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62616115"/>
        <w:docPartObj>
          <w:docPartGallery w:val="Cover Pages"/>
          <w:docPartUnique/>
        </w:docPartObj>
      </w:sdtPr>
      <w:sdtEndPr>
        <w:rPr>
          <w:rFonts w:ascii="Times New Roman" w:hAnsi="Times New Roman" w:cs="Times New Roman"/>
          <w:b/>
          <w:bCs/>
          <w:smallCaps/>
        </w:rPr>
      </w:sdtEndPr>
      <w:sdtContent>
        <w:p w:rsidR="0043197A" w:rsidRDefault="0043197A" w:rsidP="00165BF6">
          <w:pPr>
            <w:ind w:left="1701" w:right="1134"/>
          </w:pPr>
        </w:p>
        <w:p w:rsidR="0043197A" w:rsidRDefault="00A118B2">
          <w:pPr>
            <w:rPr>
              <w:rFonts w:ascii="Times New Roman" w:hAnsi="Times New Roman" w:cs="Times New Roman"/>
            </w:rPr>
          </w:pPr>
          <w:r w:rsidRPr="00AC1747">
            <w:rPr>
              <w:rFonts w:ascii="Times New Roman" w:hAnsi="Times New Roman" w:cs="Times New Roman"/>
              <w:b/>
              <w:bCs/>
              <w:smallCaps/>
              <w:noProof/>
              <w:lang w:eastAsia="lv-LV"/>
            </w:rPr>
            <w:drawing>
              <wp:anchor distT="0" distB="0" distL="114300" distR="114300" simplePos="0" relativeHeight="251672576" behindDoc="0" locked="0" layoutInCell="1" allowOverlap="1">
                <wp:simplePos x="0" y="0"/>
                <wp:positionH relativeFrom="column">
                  <wp:posOffset>4351020</wp:posOffset>
                </wp:positionH>
                <wp:positionV relativeFrom="paragraph">
                  <wp:posOffset>7890510</wp:posOffset>
                </wp:positionV>
                <wp:extent cx="1751330" cy="548640"/>
                <wp:effectExtent l="0" t="0" r="1270" b="381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330" cy="548640"/>
                        </a:xfrm>
                        <a:prstGeom prst="rect">
                          <a:avLst/>
                        </a:prstGeom>
                        <a:noFill/>
                        <a:ln>
                          <a:noFill/>
                        </a:ln>
                      </pic:spPr>
                    </pic:pic>
                  </a:graphicData>
                </a:graphic>
              </wp:anchor>
            </w:drawing>
          </w:r>
          <w:r w:rsidR="00D81AF8">
            <w:rPr>
              <w:noProof/>
              <w:lang w:eastAsia="lv-LV"/>
            </w:rPr>
            <w:pict>
              <v:shapetype id="_x0000_t202" coordsize="21600,21600" o:spt="202" path="m,l,21600r21600,l21600,xe">
                <v:stroke joinstyle="miter"/>
                <v:path gradientshapeok="t" o:connecttype="rect"/>
              </v:shapetype>
              <v:shape id="Text Box 129" o:spid="_x0000_s1026" type="#_x0000_t202" style="position:absolute;margin-left:35.95pt;margin-top:714.6pt;width:453pt;height:38.15pt;z-index:251667456;visibility:visible;mso-width-percent:1154;mso-position-horizontal-relative:page;mso-position-vertical-relative:page;mso-width-percent:115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4pgQIAAGE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t3Q6ZWtd2i0t/2wBMevG3TjhoV4zzymAw3ExMc7fKSyqLod&#10;JErW1v/6mz7hQVpYKWkxbRUNPzfMC0rUVwM6n01ms0SMmE8QfBYm5dnJ9BTH1ag3G31p0YkJ1orj&#10;WUzoqEZRequfsBOW6UGYmOF4tqJxFC9jP/7YKVwslxmEWXQs3pgHx5Pr1JhEs8fuiXk3cDGCxbd2&#10;HEk2f0PJHps545abCGJmvqba9gUdao45zowfdk5aFK/PGfWyGRe/AQAA//8DAFBLAwQUAAYACAAA&#10;ACEAxItTnuAAAAAMAQAADwAAAGRycy9kb3ducmV2LnhtbEyPwU7DMAyG70i8Q2QkbixdRSntmk4T&#10;Ui9ISDA4sFvWeG1E41RNthWeHnNiR3/+9ftztZ7dIE44BetJwXKRgEBqvbHUKfh4b+4eQYSoyejB&#10;Eyr4xgDr+vqq0qXxZ3rD0zZ2gksolFpBH+NYShnaHp0OCz8i8e7gJ6cjj1MnzaTPXO4GmSbJg3Ta&#10;El/o9YhPPbZf26NT8BJ2TdQ+/LyGzwZ3m8E+U2qVur2ZNysQEef4H4Y/fVaHmp32/kgmiEFBviw4&#10;yfw+LVIQnCjynNGeUZZkGci6kpdP1L8AAAD//wMAUEsBAi0AFAAGAAgAAAAhALaDOJL+AAAA4QEA&#10;ABMAAAAAAAAAAAAAAAAAAAAAAFtDb250ZW50X1R5cGVzXS54bWxQSwECLQAUAAYACAAAACEAOP0h&#10;/9YAAACUAQAACwAAAAAAAAAAAAAAAAAvAQAAX3JlbHMvLnJlbHNQSwECLQAUAAYACAAAACEA73ke&#10;KYECAABhBQAADgAAAAAAAAAAAAAAAAAuAgAAZHJzL2Uyb0RvYy54bWxQSwECLQAUAAYACAAAACEA&#10;xItTnuAAAAAMAQAADwAAAAAAAAAAAAAAAADbBAAAZHJzL2Rvd25yZXYueG1sUEsFBgAAAAAEAAQA&#10;8wAAAOgFAAAAAA==&#10;" filled="f" stroked="f" strokeweight=".5pt">
                <v:textbox style="mso-fit-shape-to-text:t" inset="1in,0,86.4pt,0">
                  <w:txbxContent>
                    <w:sdt>
                      <w:sdtPr>
                        <w:rPr>
                          <w:caps/>
                          <w:color w:val="5B9BD5" w:themeColor="accent1"/>
                          <w:sz w:val="28"/>
                          <w:szCs w:val="28"/>
                        </w:rPr>
                        <w:alias w:val="Subtitle"/>
                        <w:tag w:val=""/>
                        <w:id w:val="2123952161"/>
                        <w:showingPlcHdr/>
                        <w:dataBinding w:prefixMappings="xmlns:ns0='http://purl.org/dc/elements/1.1/' xmlns:ns1='http://schemas.openxmlformats.org/package/2006/metadata/core-properties' " w:xpath="/ns1:coreProperties[1]/ns0:subject[1]" w:storeItemID="{6C3C8BC8-F283-45AE-878A-BAB7291924A1}"/>
                        <w:text/>
                      </w:sdtPr>
                      <w:sdtContent>
                        <w:p w:rsidR="00D81AF8" w:rsidRDefault="00D81AF8">
                          <w:pPr>
                            <w:pStyle w:val="NoSpacing"/>
                            <w:spacing w:before="40" w:after="40"/>
                            <w:rPr>
                              <w:caps/>
                              <w:color w:val="5B9BD5" w:themeColor="accent1"/>
                              <w:sz w:val="28"/>
                              <w:szCs w:val="28"/>
                            </w:rPr>
                          </w:pPr>
                          <w:r>
                            <w:rPr>
                              <w:caps/>
                              <w:color w:val="5B9BD5" w:themeColor="accent1"/>
                              <w:sz w:val="28"/>
                              <w:szCs w:val="28"/>
                            </w:rPr>
                            <w:t xml:space="preserve">     </w:t>
                          </w:r>
                        </w:p>
                      </w:sdtContent>
                    </w:sdt>
                    <w:p w:rsidR="00D81AF8" w:rsidRPr="0043197A" w:rsidRDefault="00D81AF8">
                      <w:pPr>
                        <w:pStyle w:val="NoSpacing"/>
                        <w:spacing w:before="40" w:after="40"/>
                        <w:rPr>
                          <w:rFonts w:ascii="Times New Roman" w:hAnsi="Times New Roman" w:cs="Times New Roman"/>
                          <w:b/>
                          <w:caps/>
                          <w:sz w:val="28"/>
                          <w:szCs w:val="24"/>
                        </w:rPr>
                      </w:pPr>
                      <w:r>
                        <w:rPr>
                          <w:rFonts w:ascii="Times New Roman" w:hAnsi="Times New Roman" w:cs="Times New Roman"/>
                          <w:b/>
                          <w:caps/>
                          <w:sz w:val="28"/>
                          <w:szCs w:val="24"/>
                        </w:rPr>
                        <w:t>Rīga, 2018</w:t>
                      </w:r>
                    </w:p>
                  </w:txbxContent>
                </v:textbox>
                <w10:wrap type="square" anchorx="page" anchory="page"/>
              </v:shape>
            </w:pict>
          </w:r>
          <w:r w:rsidR="00D81AF8">
            <w:rPr>
              <w:noProof/>
              <w:lang w:eastAsia="lv-LV"/>
            </w:rPr>
            <w:pict>
              <v:group id="Group 125" o:spid="_x0000_s1027" style="position:absolute;margin-left:0;margin-top:0;width:540pt;height:556.55pt;z-index:-25165107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Bb5Q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aFaFX3FlI5MHuL+V1BQUKDMMcqm+WmwP9PPSav7YcSUsVv5YAQeJHM9D+tPSzLGj0F3BVI2n&#10;m/GUVzEgYreAhozDm1a7clerIsuJn6ENlXwL9CEt8JKn6GjlzATYkFb5P6BFcKFqynmkRdRN0WPf&#10;khatwmCJ7oSSh44QhStqwpAPhjR6wDftnjTaUWR3nafjVy8iSIEdApGAX93dsp5FTa/sIJhKQGPs&#10;WYQTBvMwwxvbRxLxGGfIkPDin1FmyI+81SzKkB25vjOPM2JHwSzOkBs96ZwhN3LnrRoxoyeBHjEj&#10;7R5oCf8TmhnGNk9osMf3XO8lDAUzDhkKOB+bz5GCGAqAn6Euuy5//D5HIzxzzY85Slfb/uhmhrIh&#10;ZL2KdpxkEdBoB1u6K94zi6ZpaL1NNyHichY22I92TqiObxiQaQAaG0qMZPt8Pa35EnCJ/4yAPLw0&#10;8NDRKkUEVt2eFZ90TLdlRCBOL04cA9OTJKKRZZEgg8Bkmdzpm8yhHOJlnXN9zUPo9b+XgN1LE0sZ&#10;Ac1TE7oADKHGq4BebP6MHNezr93o4jZYhRferedfRKG9urCd6DoKbC/y3t3+hXo43jovkkRUH4tK&#10;dK9HjnfeC4J5x9LvPvR+hHQ+8uHVhSwfucEQIyI2aPDR5KEYPBdVCdzpfJ0Lnrw345YXpR4vxhqT&#10;l8Ds7i85YsLWXkJbOtbi+cRdNWchQgP/yxBjMV++IV+hRx14IyNbzHsePsIN5zAevjpe/Q0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F5XsFvlBQAAvRQAAA4AAAAAAAAAAAAAAAAALgIAAGRycy9lMm9Eb2MueG1sUEsBAi0AFAAG&#10;AAgAAAAhAEjB3GvaAAAABwEAAA8AAAAAAAAAAAAAAAAAPwgAAGRycy9kb3ducmV2LnhtbFBLBQYA&#10;AAAABAAEAPMAAABGCQAAAAA=&#10;">
                <o:lock v:ext="edit" aspectratio="t"/>
                <v:shape id="Freeform 10" o:spid="_x0000_s1028"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D81AF8" w:rsidRPr="000B207A" w:rsidRDefault="00D81AF8" w:rsidP="0043197A">
                        <w:pPr>
                          <w:rPr>
                            <w:rFonts w:ascii="Times New Roman" w:hAnsi="Times New Roman" w:cs="Times New Roman"/>
                            <w:color w:val="FFFFFF" w:themeColor="background1"/>
                            <w:sz w:val="56"/>
                            <w:szCs w:val="56"/>
                          </w:rPr>
                        </w:pPr>
                        <w:sdt>
                          <w:sdtPr>
                            <w:rPr>
                              <w:rFonts w:ascii="Times New Roman" w:hAnsi="Times New Roman" w:cs="Times New Roman"/>
                              <w:sz w:val="56"/>
                              <w:szCs w:val="56"/>
                            </w:rPr>
                            <w:alias w:val="Title"/>
                            <w:tag w:val=""/>
                            <w:id w:val="363876279"/>
                            <w:dataBinding w:prefixMappings="xmlns:ns0='http://purl.org/dc/elements/1.1/' xmlns:ns1='http://schemas.openxmlformats.org/package/2006/metadata/core-properties' " w:xpath="/ns1:coreProperties[1]/ns0:title[1]" w:storeItemID="{6C3C8BC8-F283-45AE-878A-BAB7291924A1}"/>
                            <w:text/>
                          </w:sdtPr>
                          <w:sdtContent>
                            <w:r w:rsidRPr="000B207A">
                              <w:rPr>
                                <w:rFonts w:ascii="Times New Roman" w:hAnsi="Times New Roman" w:cs="Times New Roman"/>
                                <w:sz w:val="56"/>
                                <w:szCs w:val="56"/>
                              </w:rPr>
                              <w:t>Latvijas Stabilitātes programma 2018. – 2021.gadam</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D81AF8">
            <w:rPr>
              <w:noProof/>
              <w:lang w:eastAsia="lv-LV"/>
            </w:rPr>
            <w:pict>
              <v:rect id="Rectangle 130" o:spid="_x0000_s1030" style="position:absolute;margin-left:.4pt;margin-top:0;width:46.8pt;height:77.75pt;z-index:251666432;visibility:visible;mso-width-percent:76;mso-height-percent:98;mso-top-percent:23;mso-position-horizontal:right;mso-position-horizontal-relative:margin;mso-position-vertical-relative:page;mso-width-percent:76;mso-height-percent:98;mso-top-percent:2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9vmgIAAJAFAAAOAAAAZHJzL2Uyb0RvYy54bWysVEtv2zAMvg/YfxB0X52kTR9GnSJI0WFA&#10;0AZth54VWYqNyaImKbGzXz9KctysLXYY5oNgUeTH10de33SNIjthXQ26oOOTESVCcyhrvSno9+e7&#10;L5eUOM90yRRoUdC9cPRm9vnTdWtyMYEKVCksQRDt8tYUtPLe5FnmeCUa5k7ACI2PEmzDPF7tJist&#10;axG9UdlkNDrPWrClscCFcyi9TY90FvGlFNw/SOmEJ6qgGJuPp43nOpzZ7JrlG8tMVfM+DPYPUTSs&#10;1uh0gLplnpGtrd9BNTW34ED6Ew5NBlLWXMQcMJvx6E02TxUzIuaCxXFmKJP7f7D8freypC6xd6dY&#10;H80abNIjlo3pjRIkCLFErXE5aj6ZlQ1JOrME/sMRDYsK9cTcGbRAiKCb/aEcLq4366RtgjlmTbrY&#10;gv3QAtF5wlE4vTo7PcdAOD5dXV5Mp5OIyfKDsbHOfxXQkPBTUIuOY+HZbul8cM/yg0rwpXQ4NdzV&#10;SqXXIIkxprBigH6vRNJ+FBKrgYFMImrkoVgoS3YMGcQ4F9qP01PFSpHE0xF+fZyDRQxFaQQMyBL9&#10;D9g9QOD4e+wUZa8fTEWk8WA8+ltgyXiwiJ5B+8G4qTXYjwAUZtV7TvqHIqXShCr5bt1FpsSWBMka&#10;yj2yx0IaK2f4XY1dWTLnV8ziHGEjcTf4Bzykgrag0P9RUoH99ZE86CO98ZWSFueyoO7nlllBifqm&#10;kfhn04tJGOTjiz2+rI8vetssABs3xi1kePxFY+vV4VdaaF5whcyDV3ximqPvgq4PvwuftgWuIC7m&#10;86iEo2uYX+onwwN0qHLg3HP3wqzpiemR0fdwmGCWv+Fn0g2WGuZbD7KO5H2tal9/HPtIpH5Fhb1y&#10;fI9ar4t09hsAAP//AwBQSwMEFAAGAAgAAAAhAIgVZqzaAAAABAEAAA8AAABkcnMvZG93bnJldi54&#10;bWxMj8FOwzAQRO9I/IO1SNyoQ5GrEuJUUIkjFbRBvbrxEkeN11HstuHv2fZCLyOtZjTztliMvhNH&#10;HGIbSMPjJAOBVAfbUqOh2rw/zEHEZMiaLhBq+MUIi/L2pjC5DSf6wuM6NYJLKOZGg0upz6WMtUNv&#10;4iT0SOz9hMGbxOfQSDuYE5f7Tk6zbCa9aYkXnOlx6bDerw9ew3S7dd9v9NG6T1yt9spWKi0rre/v&#10;xtcXEAnH9B+GMz6jQ8lMu3AgG0WngR9JF2Xv+WkGYscZpRTIspDX8OUfAAAA//8DAFBLAQItABQA&#10;BgAIAAAAIQC2gziS/gAAAOEBAAATAAAAAAAAAAAAAAAAAAAAAABbQ29udGVudF9UeXBlc10ueG1s&#10;UEsBAi0AFAAGAAgAAAAhADj9If/WAAAAlAEAAAsAAAAAAAAAAAAAAAAALwEAAF9yZWxzLy5yZWxz&#10;UEsBAi0AFAAGAAgAAAAhAF9if2+aAgAAkAUAAA4AAAAAAAAAAAAAAAAALgIAAGRycy9lMm9Eb2Mu&#10;eG1sUEsBAi0AFAAGAAgAAAAhAIgVZqzaAAAABAEAAA8AAAAAAAAAAAAAAAAA9AQAAGRycy9kb3du&#10;cmV2LnhtbFBLBQYAAAAABAAEAPMAAAD7BQAAAAA=&#10;" fillcolor="#5b9bd5 [3204]" stroked="f" strokeweight="1pt">
                <v:path arrowok="t"/>
                <o:lock v:ext="edit" aspectratio="t"/>
                <v:textbox inset="3.6pt,,3.6pt">
                  <w:txbxContent>
                    <w:sdt>
                      <w:sdtPr>
                        <w:rPr>
                          <w:rFonts w:ascii="Times New Roman" w:hAnsi="Times New Roman" w:cs="Times New Roman"/>
                          <w:color w:val="FFFFFF" w:themeColor="background1"/>
                          <w:sz w:val="24"/>
                          <w:szCs w:val="24"/>
                        </w:rPr>
                        <w:alias w:val="Year"/>
                        <w:tag w:val=""/>
                        <w:id w:val="-571654576"/>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rsidR="00D81AF8" w:rsidRDefault="00D81AF8">
                          <w:pPr>
                            <w:pStyle w:val="NoSpacing"/>
                            <w:jc w:val="right"/>
                            <w:rPr>
                              <w:color w:val="FFFFFF" w:themeColor="background1"/>
                              <w:sz w:val="24"/>
                              <w:szCs w:val="24"/>
                            </w:rPr>
                          </w:pPr>
                          <w:r w:rsidRPr="002E7E06">
                            <w:rPr>
                              <w:rFonts w:ascii="Times New Roman" w:hAnsi="Times New Roman" w:cs="Times New Roman"/>
                              <w:color w:val="FFFFFF" w:themeColor="background1"/>
                              <w:sz w:val="24"/>
                              <w:szCs w:val="24"/>
                              <w:lang w:val="en-US"/>
                            </w:rPr>
                            <w:t>201</w:t>
                          </w:r>
                          <w:r>
                            <w:rPr>
                              <w:rFonts w:ascii="Times New Roman" w:hAnsi="Times New Roman" w:cs="Times New Roman"/>
                              <w:color w:val="FFFFFF" w:themeColor="background1"/>
                              <w:sz w:val="24"/>
                              <w:szCs w:val="24"/>
                              <w:lang w:val="en-US"/>
                            </w:rPr>
                            <w:t>8</w:t>
                          </w:r>
                        </w:p>
                      </w:sdtContent>
                    </w:sdt>
                  </w:txbxContent>
                </v:textbox>
                <w10:wrap anchorx="margin" anchory="page"/>
              </v:rect>
            </w:pict>
          </w:r>
          <w:r w:rsidR="0043197A">
            <w:rPr>
              <w:rFonts w:ascii="Times New Roman" w:hAnsi="Times New Roman" w:cs="Times New Roman"/>
              <w:b/>
              <w:bCs/>
              <w:smallCaps/>
            </w:rPr>
            <w:br w:type="page"/>
          </w:r>
        </w:p>
      </w:sdtContent>
    </w:sdt>
    <w:sdt>
      <w:sdtPr>
        <w:rPr>
          <w:rFonts w:asciiTheme="minorHAnsi" w:eastAsiaTheme="minorEastAsia" w:hAnsiTheme="minorHAnsi" w:cstheme="minorBidi"/>
          <w:b w:val="0"/>
          <w:bCs w:val="0"/>
          <w:smallCaps w:val="0"/>
          <w:color w:val="auto"/>
          <w:sz w:val="22"/>
          <w:szCs w:val="22"/>
        </w:rPr>
        <w:id w:val="423391642"/>
        <w:docPartObj>
          <w:docPartGallery w:val="Table of Contents"/>
          <w:docPartUnique/>
        </w:docPartObj>
      </w:sdtPr>
      <w:sdtEndPr>
        <w:rPr>
          <w:noProof/>
        </w:rPr>
      </w:sdtEndPr>
      <w:sdtContent>
        <w:p w:rsidR="00551458" w:rsidRDefault="00551458" w:rsidP="00551458">
          <w:pPr>
            <w:pStyle w:val="TOCHeading"/>
            <w:numPr>
              <w:ilvl w:val="0"/>
              <w:numId w:val="0"/>
            </w:numPr>
            <w:ind w:left="432"/>
            <w:jc w:val="center"/>
            <w:rPr>
              <w:rFonts w:ascii="Times New Roman" w:hAnsi="Times New Roman" w:cs="Times New Roman"/>
            </w:rPr>
          </w:pPr>
          <w:r w:rsidRPr="00551458">
            <w:rPr>
              <w:rFonts w:ascii="Times New Roman" w:hAnsi="Times New Roman" w:cs="Times New Roman"/>
            </w:rPr>
            <w:t>SATURS</w:t>
          </w:r>
        </w:p>
        <w:p w:rsidR="00D81AF8" w:rsidRDefault="006C007F">
          <w:pPr>
            <w:pStyle w:val="TOC1"/>
            <w:rPr>
              <w:rFonts w:asciiTheme="minorHAnsi" w:eastAsiaTheme="minorEastAsia" w:hAnsiTheme="minorHAnsi" w:cstheme="minorBidi"/>
              <w:noProof/>
              <w:sz w:val="22"/>
              <w:szCs w:val="22"/>
              <w:lang w:eastAsia="lv-LV"/>
            </w:rPr>
          </w:pPr>
          <w:r>
            <w:fldChar w:fldCharType="begin"/>
          </w:r>
          <w:r w:rsidR="00551458">
            <w:instrText xml:space="preserve"> TOC \o "1-3" \h \z \u </w:instrText>
          </w:r>
          <w:r>
            <w:fldChar w:fldCharType="separate"/>
          </w:r>
          <w:hyperlink w:anchor="_Toc511027810" w:history="1">
            <w:r w:rsidR="00D81AF8" w:rsidRPr="006947A3">
              <w:rPr>
                <w:rStyle w:val="Hyperlink"/>
                <w:rFonts w:eastAsiaTheme="majorEastAsia"/>
                <w:noProof/>
              </w:rPr>
              <w:t>1.</w:t>
            </w:r>
            <w:r w:rsidR="00D81AF8">
              <w:rPr>
                <w:rFonts w:asciiTheme="minorHAnsi" w:eastAsiaTheme="minorEastAsia" w:hAnsiTheme="minorHAnsi" w:cstheme="minorBidi"/>
                <w:noProof/>
                <w:sz w:val="22"/>
                <w:szCs w:val="22"/>
                <w:lang w:eastAsia="lv-LV"/>
              </w:rPr>
              <w:tab/>
            </w:r>
            <w:r w:rsidR="00D81AF8" w:rsidRPr="006947A3">
              <w:rPr>
                <w:rStyle w:val="Hyperlink"/>
                <w:rFonts w:eastAsiaTheme="majorEastAsia"/>
                <w:noProof/>
              </w:rPr>
              <w:t>Vispārējās ekonomiskās politikas vadlīnijas un mērķi</w:t>
            </w:r>
            <w:r w:rsidR="00D81AF8">
              <w:rPr>
                <w:noProof/>
                <w:webHidden/>
              </w:rPr>
              <w:tab/>
            </w:r>
            <w:r w:rsidR="00D81AF8">
              <w:rPr>
                <w:noProof/>
                <w:webHidden/>
              </w:rPr>
              <w:fldChar w:fldCharType="begin"/>
            </w:r>
            <w:r w:rsidR="00D81AF8">
              <w:rPr>
                <w:noProof/>
                <w:webHidden/>
              </w:rPr>
              <w:instrText xml:space="preserve"> PAGEREF _Toc511027810 \h </w:instrText>
            </w:r>
            <w:r w:rsidR="00D81AF8">
              <w:rPr>
                <w:noProof/>
                <w:webHidden/>
              </w:rPr>
            </w:r>
            <w:r w:rsidR="00D81AF8">
              <w:rPr>
                <w:noProof/>
                <w:webHidden/>
              </w:rPr>
              <w:fldChar w:fldCharType="separate"/>
            </w:r>
            <w:r w:rsidR="00D81AF8">
              <w:rPr>
                <w:noProof/>
                <w:webHidden/>
              </w:rPr>
              <w:t>4</w:t>
            </w:r>
            <w:r w:rsidR="00D81AF8">
              <w:rPr>
                <w:noProof/>
                <w:webHidden/>
              </w:rPr>
              <w:fldChar w:fldCharType="end"/>
            </w:r>
          </w:hyperlink>
        </w:p>
        <w:p w:rsidR="00D81AF8" w:rsidRDefault="00D81AF8">
          <w:pPr>
            <w:pStyle w:val="TOC1"/>
            <w:rPr>
              <w:rFonts w:asciiTheme="minorHAnsi" w:eastAsiaTheme="minorEastAsia" w:hAnsiTheme="minorHAnsi" w:cstheme="minorBidi"/>
              <w:noProof/>
              <w:sz w:val="22"/>
              <w:szCs w:val="22"/>
              <w:lang w:eastAsia="lv-LV"/>
            </w:rPr>
          </w:pPr>
          <w:hyperlink w:anchor="_Toc511027811" w:history="1">
            <w:r w:rsidRPr="006947A3">
              <w:rPr>
                <w:rStyle w:val="Hyperlink"/>
                <w:rFonts w:eastAsiaTheme="majorEastAsia"/>
                <w:noProof/>
              </w:rPr>
              <w:t>2.</w:t>
            </w:r>
            <w:r>
              <w:rPr>
                <w:rFonts w:asciiTheme="minorHAnsi" w:eastAsiaTheme="minorEastAsia" w:hAnsiTheme="minorHAnsi" w:cstheme="minorBidi"/>
                <w:noProof/>
                <w:sz w:val="22"/>
                <w:szCs w:val="22"/>
                <w:lang w:eastAsia="lv-LV"/>
              </w:rPr>
              <w:tab/>
            </w:r>
            <w:r w:rsidRPr="006947A3">
              <w:rPr>
                <w:rStyle w:val="Hyperlink"/>
                <w:rFonts w:eastAsiaTheme="majorEastAsia"/>
                <w:noProof/>
              </w:rPr>
              <w:t>Ekonomiskā situācija</w:t>
            </w:r>
            <w:r>
              <w:rPr>
                <w:noProof/>
                <w:webHidden/>
              </w:rPr>
              <w:tab/>
            </w:r>
            <w:r>
              <w:rPr>
                <w:noProof/>
                <w:webHidden/>
              </w:rPr>
              <w:fldChar w:fldCharType="begin"/>
            </w:r>
            <w:r>
              <w:rPr>
                <w:noProof/>
                <w:webHidden/>
              </w:rPr>
              <w:instrText xml:space="preserve"> PAGEREF _Toc511027811 \h </w:instrText>
            </w:r>
            <w:r>
              <w:rPr>
                <w:noProof/>
                <w:webHidden/>
              </w:rPr>
            </w:r>
            <w:r>
              <w:rPr>
                <w:noProof/>
                <w:webHidden/>
              </w:rPr>
              <w:fldChar w:fldCharType="separate"/>
            </w:r>
            <w:r>
              <w:rPr>
                <w:noProof/>
                <w:webHidden/>
              </w:rPr>
              <w:t>5</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12" w:history="1">
            <w:r w:rsidRPr="006947A3">
              <w:rPr>
                <w:rStyle w:val="Hyperlink"/>
                <w:rFonts w:eastAsiaTheme="majorEastAsia"/>
                <w:noProof/>
              </w:rPr>
              <w:t>2.1.</w:t>
            </w:r>
            <w:r>
              <w:rPr>
                <w:rFonts w:asciiTheme="minorHAnsi" w:eastAsiaTheme="minorEastAsia" w:hAnsiTheme="minorHAnsi" w:cstheme="minorBidi"/>
                <w:noProof/>
                <w:sz w:val="22"/>
                <w:szCs w:val="22"/>
                <w:lang w:eastAsia="lv-LV"/>
              </w:rPr>
              <w:tab/>
            </w:r>
            <w:r w:rsidRPr="006947A3">
              <w:rPr>
                <w:rStyle w:val="Hyperlink"/>
                <w:rFonts w:eastAsiaTheme="majorEastAsia"/>
                <w:noProof/>
              </w:rPr>
              <w:t>Ārējā ekonomiskā vide</w:t>
            </w:r>
            <w:r>
              <w:rPr>
                <w:noProof/>
                <w:webHidden/>
              </w:rPr>
              <w:tab/>
            </w:r>
            <w:r>
              <w:rPr>
                <w:noProof/>
                <w:webHidden/>
              </w:rPr>
              <w:fldChar w:fldCharType="begin"/>
            </w:r>
            <w:r>
              <w:rPr>
                <w:noProof/>
                <w:webHidden/>
              </w:rPr>
              <w:instrText xml:space="preserve"> PAGEREF _Toc511027812 \h </w:instrText>
            </w:r>
            <w:r>
              <w:rPr>
                <w:noProof/>
                <w:webHidden/>
              </w:rPr>
            </w:r>
            <w:r>
              <w:rPr>
                <w:noProof/>
                <w:webHidden/>
              </w:rPr>
              <w:fldChar w:fldCharType="separate"/>
            </w:r>
            <w:r>
              <w:rPr>
                <w:noProof/>
                <w:webHidden/>
              </w:rPr>
              <w:t>5</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13" w:history="1">
            <w:r w:rsidRPr="006947A3">
              <w:rPr>
                <w:rStyle w:val="Hyperlink"/>
                <w:rFonts w:eastAsiaTheme="majorEastAsia"/>
                <w:noProof/>
              </w:rPr>
              <w:t>2.2.</w:t>
            </w:r>
            <w:r>
              <w:rPr>
                <w:rFonts w:asciiTheme="minorHAnsi" w:eastAsiaTheme="minorEastAsia" w:hAnsiTheme="minorHAnsi" w:cstheme="minorBidi"/>
                <w:noProof/>
                <w:sz w:val="22"/>
                <w:szCs w:val="22"/>
                <w:lang w:eastAsia="lv-LV"/>
              </w:rPr>
              <w:tab/>
            </w:r>
            <w:r w:rsidRPr="006947A3">
              <w:rPr>
                <w:rStyle w:val="Hyperlink"/>
                <w:rFonts w:eastAsiaTheme="majorEastAsia"/>
                <w:noProof/>
              </w:rPr>
              <w:t>Pašreizējā ekonomiskā situācija</w:t>
            </w:r>
            <w:r>
              <w:rPr>
                <w:noProof/>
                <w:webHidden/>
              </w:rPr>
              <w:tab/>
            </w:r>
            <w:r>
              <w:rPr>
                <w:noProof/>
                <w:webHidden/>
              </w:rPr>
              <w:fldChar w:fldCharType="begin"/>
            </w:r>
            <w:r>
              <w:rPr>
                <w:noProof/>
                <w:webHidden/>
              </w:rPr>
              <w:instrText xml:space="preserve"> PAGEREF _Toc511027813 \h </w:instrText>
            </w:r>
            <w:r>
              <w:rPr>
                <w:noProof/>
                <w:webHidden/>
              </w:rPr>
            </w:r>
            <w:r>
              <w:rPr>
                <w:noProof/>
                <w:webHidden/>
              </w:rPr>
              <w:fldChar w:fldCharType="separate"/>
            </w:r>
            <w:r>
              <w:rPr>
                <w:noProof/>
                <w:webHidden/>
              </w:rPr>
              <w:t>7</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14" w:history="1">
            <w:r w:rsidRPr="006947A3">
              <w:rPr>
                <w:rStyle w:val="Hyperlink"/>
                <w:rFonts w:eastAsiaTheme="majorEastAsia"/>
                <w:noProof/>
              </w:rPr>
              <w:t>2.3.</w:t>
            </w:r>
            <w:r>
              <w:rPr>
                <w:rFonts w:asciiTheme="minorHAnsi" w:eastAsiaTheme="minorEastAsia" w:hAnsiTheme="minorHAnsi" w:cstheme="minorBidi"/>
                <w:noProof/>
                <w:sz w:val="22"/>
                <w:szCs w:val="22"/>
                <w:lang w:eastAsia="lv-LV"/>
              </w:rPr>
              <w:tab/>
            </w:r>
            <w:r w:rsidRPr="006947A3">
              <w:rPr>
                <w:rStyle w:val="Hyperlink"/>
                <w:rFonts w:eastAsiaTheme="majorEastAsia"/>
                <w:noProof/>
              </w:rPr>
              <w:t>Makroekonomiskās attīstības scenārijs</w:t>
            </w:r>
            <w:r>
              <w:rPr>
                <w:noProof/>
                <w:webHidden/>
              </w:rPr>
              <w:tab/>
            </w:r>
            <w:r>
              <w:rPr>
                <w:noProof/>
                <w:webHidden/>
              </w:rPr>
              <w:fldChar w:fldCharType="begin"/>
            </w:r>
            <w:r>
              <w:rPr>
                <w:noProof/>
                <w:webHidden/>
              </w:rPr>
              <w:instrText xml:space="preserve"> PAGEREF _Toc511027814 \h </w:instrText>
            </w:r>
            <w:r>
              <w:rPr>
                <w:noProof/>
                <w:webHidden/>
              </w:rPr>
            </w:r>
            <w:r>
              <w:rPr>
                <w:noProof/>
                <w:webHidden/>
              </w:rPr>
              <w:fldChar w:fldCharType="separate"/>
            </w:r>
            <w:r>
              <w:rPr>
                <w:noProof/>
                <w:webHidden/>
              </w:rPr>
              <w:t>13</w:t>
            </w:r>
            <w:r>
              <w:rPr>
                <w:noProof/>
                <w:webHidden/>
              </w:rPr>
              <w:fldChar w:fldCharType="end"/>
            </w:r>
          </w:hyperlink>
          <w:bookmarkStart w:id="0" w:name="_GoBack"/>
          <w:bookmarkEnd w:id="0"/>
        </w:p>
        <w:p w:rsidR="00D81AF8" w:rsidRDefault="00D81AF8">
          <w:pPr>
            <w:pStyle w:val="TOC1"/>
            <w:rPr>
              <w:rFonts w:asciiTheme="minorHAnsi" w:eastAsiaTheme="minorEastAsia" w:hAnsiTheme="minorHAnsi" w:cstheme="minorBidi"/>
              <w:noProof/>
              <w:sz w:val="22"/>
              <w:szCs w:val="22"/>
              <w:lang w:eastAsia="lv-LV"/>
            </w:rPr>
          </w:pPr>
          <w:hyperlink w:anchor="_Toc511027815" w:history="1">
            <w:r w:rsidRPr="006947A3">
              <w:rPr>
                <w:rStyle w:val="Hyperlink"/>
                <w:rFonts w:eastAsiaTheme="majorEastAsia"/>
                <w:noProof/>
              </w:rPr>
              <w:t>3.</w:t>
            </w:r>
            <w:r>
              <w:rPr>
                <w:rFonts w:asciiTheme="minorHAnsi" w:eastAsiaTheme="minorEastAsia" w:hAnsiTheme="minorHAnsi" w:cstheme="minorBidi"/>
                <w:noProof/>
                <w:sz w:val="22"/>
                <w:szCs w:val="22"/>
                <w:lang w:eastAsia="lv-LV"/>
              </w:rPr>
              <w:tab/>
            </w:r>
            <w:r w:rsidRPr="006947A3">
              <w:rPr>
                <w:rStyle w:val="Hyperlink"/>
                <w:rFonts w:eastAsiaTheme="majorEastAsia"/>
                <w:noProof/>
              </w:rPr>
              <w:t>Vispārējās valdības budžeta bilance un parāds</w:t>
            </w:r>
            <w:r>
              <w:rPr>
                <w:noProof/>
                <w:webHidden/>
              </w:rPr>
              <w:tab/>
            </w:r>
            <w:r>
              <w:rPr>
                <w:noProof/>
                <w:webHidden/>
              </w:rPr>
              <w:fldChar w:fldCharType="begin"/>
            </w:r>
            <w:r>
              <w:rPr>
                <w:noProof/>
                <w:webHidden/>
              </w:rPr>
              <w:instrText xml:space="preserve"> PAGEREF _Toc511027815 \h </w:instrText>
            </w:r>
            <w:r>
              <w:rPr>
                <w:noProof/>
                <w:webHidden/>
              </w:rPr>
            </w:r>
            <w:r>
              <w:rPr>
                <w:noProof/>
                <w:webHidden/>
              </w:rPr>
              <w:fldChar w:fldCharType="separate"/>
            </w:r>
            <w:r>
              <w:rPr>
                <w:noProof/>
                <w:webHidden/>
              </w:rPr>
              <w:t>21</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16" w:history="1">
            <w:r w:rsidRPr="006947A3">
              <w:rPr>
                <w:rStyle w:val="Hyperlink"/>
                <w:rFonts w:eastAsiaTheme="majorEastAsia"/>
                <w:noProof/>
              </w:rPr>
              <w:t>3.1.</w:t>
            </w:r>
            <w:r>
              <w:rPr>
                <w:rFonts w:asciiTheme="minorHAnsi" w:eastAsiaTheme="minorEastAsia" w:hAnsiTheme="minorHAnsi" w:cstheme="minorBidi"/>
                <w:noProof/>
                <w:sz w:val="22"/>
                <w:szCs w:val="22"/>
                <w:lang w:eastAsia="lv-LV"/>
              </w:rPr>
              <w:tab/>
            </w:r>
            <w:r w:rsidRPr="006947A3">
              <w:rPr>
                <w:rStyle w:val="Hyperlink"/>
                <w:rFonts w:eastAsiaTheme="majorEastAsia"/>
                <w:noProof/>
              </w:rPr>
              <w:t>Pašreizējā fiskālā situācija</w:t>
            </w:r>
            <w:r>
              <w:rPr>
                <w:noProof/>
                <w:webHidden/>
              </w:rPr>
              <w:tab/>
            </w:r>
            <w:r>
              <w:rPr>
                <w:noProof/>
                <w:webHidden/>
              </w:rPr>
              <w:fldChar w:fldCharType="begin"/>
            </w:r>
            <w:r>
              <w:rPr>
                <w:noProof/>
                <w:webHidden/>
              </w:rPr>
              <w:instrText xml:space="preserve"> PAGEREF _Toc511027816 \h </w:instrText>
            </w:r>
            <w:r>
              <w:rPr>
                <w:noProof/>
                <w:webHidden/>
              </w:rPr>
            </w:r>
            <w:r>
              <w:rPr>
                <w:noProof/>
                <w:webHidden/>
              </w:rPr>
              <w:fldChar w:fldCharType="separate"/>
            </w:r>
            <w:r>
              <w:rPr>
                <w:noProof/>
                <w:webHidden/>
              </w:rPr>
              <w:t>21</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17" w:history="1">
            <w:r w:rsidRPr="006947A3">
              <w:rPr>
                <w:rStyle w:val="Hyperlink"/>
                <w:rFonts w:eastAsiaTheme="majorEastAsia"/>
                <w:noProof/>
              </w:rPr>
              <w:t>3.2.</w:t>
            </w:r>
            <w:r>
              <w:rPr>
                <w:rFonts w:asciiTheme="minorHAnsi" w:eastAsiaTheme="minorEastAsia" w:hAnsiTheme="minorHAnsi" w:cstheme="minorBidi"/>
                <w:noProof/>
                <w:sz w:val="22"/>
                <w:szCs w:val="22"/>
                <w:lang w:eastAsia="lv-LV"/>
              </w:rPr>
              <w:tab/>
            </w:r>
            <w:r w:rsidRPr="006947A3">
              <w:rPr>
                <w:rStyle w:val="Hyperlink"/>
                <w:rFonts w:eastAsiaTheme="majorEastAsia"/>
                <w:noProof/>
              </w:rPr>
              <w:t>Fiskālās politikas stratēģija un vidēja termiņa mērķis</w:t>
            </w:r>
            <w:r>
              <w:rPr>
                <w:noProof/>
                <w:webHidden/>
              </w:rPr>
              <w:tab/>
            </w:r>
            <w:r>
              <w:rPr>
                <w:noProof/>
                <w:webHidden/>
              </w:rPr>
              <w:fldChar w:fldCharType="begin"/>
            </w:r>
            <w:r>
              <w:rPr>
                <w:noProof/>
                <w:webHidden/>
              </w:rPr>
              <w:instrText xml:space="preserve"> PAGEREF _Toc511027817 \h </w:instrText>
            </w:r>
            <w:r>
              <w:rPr>
                <w:noProof/>
                <w:webHidden/>
              </w:rPr>
            </w:r>
            <w:r>
              <w:rPr>
                <w:noProof/>
                <w:webHidden/>
              </w:rPr>
              <w:fldChar w:fldCharType="separate"/>
            </w:r>
            <w:r>
              <w:rPr>
                <w:noProof/>
                <w:webHidden/>
              </w:rPr>
              <w:t>24</w:t>
            </w:r>
            <w:r>
              <w:rPr>
                <w:noProof/>
                <w:webHidden/>
              </w:rPr>
              <w:fldChar w:fldCharType="end"/>
            </w:r>
          </w:hyperlink>
        </w:p>
        <w:p w:rsidR="00D81AF8" w:rsidRDefault="00D81AF8">
          <w:pPr>
            <w:pStyle w:val="TOC2"/>
            <w:tabs>
              <w:tab w:val="left" w:pos="1100"/>
            </w:tabs>
            <w:rPr>
              <w:rFonts w:asciiTheme="minorHAnsi" w:eastAsiaTheme="minorEastAsia" w:hAnsiTheme="minorHAnsi" w:cstheme="minorBidi"/>
              <w:noProof/>
              <w:sz w:val="22"/>
              <w:szCs w:val="22"/>
              <w:lang w:eastAsia="lv-LV"/>
            </w:rPr>
          </w:pPr>
          <w:hyperlink w:anchor="_Toc511027818" w:history="1">
            <w:r w:rsidRPr="006947A3">
              <w:rPr>
                <w:rStyle w:val="Hyperlink"/>
                <w:rFonts w:eastAsia="Calibri"/>
                <w:noProof/>
              </w:rPr>
              <w:t>3.2.1.</w:t>
            </w:r>
            <w:r>
              <w:rPr>
                <w:rFonts w:asciiTheme="minorHAnsi" w:eastAsiaTheme="minorEastAsia" w:hAnsiTheme="minorHAnsi" w:cstheme="minorBidi"/>
                <w:noProof/>
                <w:sz w:val="22"/>
                <w:szCs w:val="22"/>
                <w:lang w:eastAsia="lv-LV"/>
              </w:rPr>
              <w:tab/>
            </w:r>
            <w:r w:rsidRPr="006947A3">
              <w:rPr>
                <w:rStyle w:val="Hyperlink"/>
                <w:rFonts w:eastAsia="Calibri"/>
                <w:noProof/>
              </w:rPr>
              <w:t>Strukturālās bilances mērķa noteikšana</w:t>
            </w:r>
            <w:r>
              <w:rPr>
                <w:noProof/>
                <w:webHidden/>
              </w:rPr>
              <w:tab/>
            </w:r>
            <w:r>
              <w:rPr>
                <w:noProof/>
                <w:webHidden/>
              </w:rPr>
              <w:fldChar w:fldCharType="begin"/>
            </w:r>
            <w:r>
              <w:rPr>
                <w:noProof/>
                <w:webHidden/>
              </w:rPr>
              <w:instrText xml:space="preserve"> PAGEREF _Toc511027818 \h </w:instrText>
            </w:r>
            <w:r>
              <w:rPr>
                <w:noProof/>
                <w:webHidden/>
              </w:rPr>
            </w:r>
            <w:r>
              <w:rPr>
                <w:noProof/>
                <w:webHidden/>
              </w:rPr>
              <w:fldChar w:fldCharType="separate"/>
            </w:r>
            <w:r>
              <w:rPr>
                <w:noProof/>
                <w:webHidden/>
              </w:rPr>
              <w:t>24</w:t>
            </w:r>
            <w:r>
              <w:rPr>
                <w:noProof/>
                <w:webHidden/>
              </w:rPr>
              <w:fldChar w:fldCharType="end"/>
            </w:r>
          </w:hyperlink>
        </w:p>
        <w:p w:rsidR="00D81AF8" w:rsidRDefault="00D81AF8">
          <w:pPr>
            <w:pStyle w:val="TOC2"/>
            <w:tabs>
              <w:tab w:val="left" w:pos="1100"/>
            </w:tabs>
            <w:rPr>
              <w:rFonts w:asciiTheme="minorHAnsi" w:eastAsiaTheme="minorEastAsia" w:hAnsiTheme="minorHAnsi" w:cstheme="minorBidi"/>
              <w:noProof/>
              <w:sz w:val="22"/>
              <w:szCs w:val="22"/>
              <w:lang w:eastAsia="lv-LV"/>
            </w:rPr>
          </w:pPr>
          <w:hyperlink w:anchor="_Toc511027819" w:history="1">
            <w:r w:rsidRPr="006947A3">
              <w:rPr>
                <w:rStyle w:val="Hyperlink"/>
                <w:rFonts w:eastAsia="Calibri"/>
                <w:noProof/>
              </w:rPr>
              <w:t>3.2.2.</w:t>
            </w:r>
            <w:r>
              <w:rPr>
                <w:rFonts w:asciiTheme="minorHAnsi" w:eastAsiaTheme="minorEastAsia" w:hAnsiTheme="minorHAnsi" w:cstheme="minorBidi"/>
                <w:noProof/>
                <w:sz w:val="22"/>
                <w:szCs w:val="22"/>
                <w:lang w:eastAsia="lv-LV"/>
              </w:rPr>
              <w:tab/>
            </w:r>
            <w:r w:rsidRPr="006947A3">
              <w:rPr>
                <w:rStyle w:val="Hyperlink"/>
                <w:rFonts w:eastAsia="Calibri"/>
                <w:noProof/>
              </w:rPr>
              <w:t>Strukturālās bilances mērķa noteikšana</w:t>
            </w:r>
            <w:r>
              <w:rPr>
                <w:noProof/>
                <w:webHidden/>
              </w:rPr>
              <w:tab/>
            </w:r>
            <w:r>
              <w:rPr>
                <w:noProof/>
                <w:webHidden/>
              </w:rPr>
              <w:fldChar w:fldCharType="begin"/>
            </w:r>
            <w:r>
              <w:rPr>
                <w:noProof/>
                <w:webHidden/>
              </w:rPr>
              <w:instrText xml:space="preserve"> PAGEREF _Toc511027819 \h </w:instrText>
            </w:r>
            <w:r>
              <w:rPr>
                <w:noProof/>
                <w:webHidden/>
              </w:rPr>
            </w:r>
            <w:r>
              <w:rPr>
                <w:noProof/>
                <w:webHidden/>
              </w:rPr>
              <w:fldChar w:fldCharType="separate"/>
            </w:r>
            <w:r>
              <w:rPr>
                <w:noProof/>
                <w:webHidden/>
              </w:rPr>
              <w:t>24</w:t>
            </w:r>
            <w:r>
              <w:rPr>
                <w:noProof/>
                <w:webHidden/>
              </w:rPr>
              <w:fldChar w:fldCharType="end"/>
            </w:r>
          </w:hyperlink>
        </w:p>
        <w:p w:rsidR="00D81AF8" w:rsidRDefault="00D81AF8">
          <w:pPr>
            <w:pStyle w:val="TOC2"/>
            <w:tabs>
              <w:tab w:val="left" w:pos="1100"/>
            </w:tabs>
            <w:rPr>
              <w:rFonts w:asciiTheme="minorHAnsi" w:eastAsiaTheme="minorEastAsia" w:hAnsiTheme="minorHAnsi" w:cstheme="minorBidi"/>
              <w:noProof/>
              <w:sz w:val="22"/>
              <w:szCs w:val="22"/>
              <w:lang w:eastAsia="lv-LV"/>
            </w:rPr>
          </w:pPr>
          <w:hyperlink w:anchor="_Toc511027820" w:history="1">
            <w:r w:rsidRPr="006947A3">
              <w:rPr>
                <w:rStyle w:val="Hyperlink"/>
                <w:rFonts w:eastAsia="Calibri"/>
                <w:noProof/>
              </w:rPr>
              <w:t>3.2.3.</w:t>
            </w:r>
            <w:r>
              <w:rPr>
                <w:rFonts w:asciiTheme="minorHAnsi" w:eastAsiaTheme="minorEastAsia" w:hAnsiTheme="minorHAnsi" w:cstheme="minorBidi"/>
                <w:noProof/>
                <w:sz w:val="22"/>
                <w:szCs w:val="22"/>
                <w:lang w:eastAsia="lv-LV"/>
              </w:rPr>
              <w:tab/>
            </w:r>
            <w:r w:rsidRPr="006947A3">
              <w:rPr>
                <w:rStyle w:val="Hyperlink"/>
                <w:rFonts w:eastAsia="Calibri"/>
                <w:noProof/>
              </w:rPr>
              <w:t>Vispārējie fiskālās politikas mērķi un prioritārie attīstības virzieni 2018. – 2021. periodam - paveiktais pēc iepriekšējas Stabilitātes programmas</w:t>
            </w:r>
            <w:r>
              <w:rPr>
                <w:noProof/>
                <w:webHidden/>
              </w:rPr>
              <w:tab/>
            </w:r>
            <w:r>
              <w:rPr>
                <w:noProof/>
                <w:webHidden/>
              </w:rPr>
              <w:fldChar w:fldCharType="begin"/>
            </w:r>
            <w:r>
              <w:rPr>
                <w:noProof/>
                <w:webHidden/>
              </w:rPr>
              <w:instrText xml:space="preserve"> PAGEREF _Toc511027820 \h </w:instrText>
            </w:r>
            <w:r>
              <w:rPr>
                <w:noProof/>
                <w:webHidden/>
              </w:rPr>
            </w:r>
            <w:r>
              <w:rPr>
                <w:noProof/>
                <w:webHidden/>
              </w:rPr>
              <w:fldChar w:fldCharType="separate"/>
            </w:r>
            <w:r>
              <w:rPr>
                <w:noProof/>
                <w:webHidden/>
              </w:rPr>
              <w:t>29</w:t>
            </w:r>
            <w:r>
              <w:rPr>
                <w:noProof/>
                <w:webHidden/>
              </w:rPr>
              <w:fldChar w:fldCharType="end"/>
            </w:r>
          </w:hyperlink>
        </w:p>
        <w:p w:rsidR="00D81AF8" w:rsidRDefault="00D81AF8">
          <w:pPr>
            <w:pStyle w:val="TOC2"/>
            <w:tabs>
              <w:tab w:val="left" w:pos="1100"/>
            </w:tabs>
            <w:rPr>
              <w:rFonts w:asciiTheme="minorHAnsi" w:eastAsiaTheme="minorEastAsia" w:hAnsiTheme="minorHAnsi" w:cstheme="minorBidi"/>
              <w:noProof/>
              <w:sz w:val="22"/>
              <w:szCs w:val="22"/>
              <w:lang w:eastAsia="lv-LV"/>
            </w:rPr>
          </w:pPr>
          <w:hyperlink w:anchor="_Toc511027821" w:history="1">
            <w:r w:rsidRPr="006947A3">
              <w:rPr>
                <w:rStyle w:val="Hyperlink"/>
                <w:rFonts w:eastAsia="Calibri"/>
                <w:noProof/>
              </w:rPr>
              <w:t>3.2.4.</w:t>
            </w:r>
            <w:r>
              <w:rPr>
                <w:rFonts w:asciiTheme="minorHAnsi" w:eastAsiaTheme="minorEastAsia" w:hAnsiTheme="minorHAnsi" w:cstheme="minorBidi"/>
                <w:noProof/>
                <w:sz w:val="22"/>
                <w:szCs w:val="22"/>
                <w:lang w:eastAsia="lv-LV"/>
              </w:rPr>
              <w:tab/>
            </w:r>
            <w:r w:rsidRPr="006947A3">
              <w:rPr>
                <w:rStyle w:val="Hyperlink"/>
                <w:rFonts w:eastAsia="Calibri"/>
                <w:noProof/>
              </w:rPr>
              <w:t>Fiskāli nozīmīgākās strukturālās reformas Regulas Nr. 1175/2011 izpratnē</w:t>
            </w:r>
            <w:r>
              <w:rPr>
                <w:noProof/>
                <w:webHidden/>
              </w:rPr>
              <w:tab/>
            </w:r>
            <w:r>
              <w:rPr>
                <w:noProof/>
                <w:webHidden/>
              </w:rPr>
              <w:fldChar w:fldCharType="begin"/>
            </w:r>
            <w:r>
              <w:rPr>
                <w:noProof/>
                <w:webHidden/>
              </w:rPr>
              <w:instrText xml:space="preserve"> PAGEREF _Toc511027821 \h </w:instrText>
            </w:r>
            <w:r>
              <w:rPr>
                <w:noProof/>
                <w:webHidden/>
              </w:rPr>
            </w:r>
            <w:r>
              <w:rPr>
                <w:noProof/>
                <w:webHidden/>
              </w:rPr>
              <w:fldChar w:fldCharType="separate"/>
            </w:r>
            <w:r>
              <w:rPr>
                <w:noProof/>
                <w:webHidden/>
              </w:rPr>
              <w:t>37</w:t>
            </w:r>
            <w:r>
              <w:rPr>
                <w:noProof/>
                <w:webHidden/>
              </w:rPr>
              <w:fldChar w:fldCharType="end"/>
            </w:r>
          </w:hyperlink>
        </w:p>
        <w:p w:rsidR="00D81AF8" w:rsidRDefault="00D81AF8">
          <w:pPr>
            <w:pStyle w:val="TOC2"/>
            <w:tabs>
              <w:tab w:val="left" w:pos="1320"/>
            </w:tabs>
            <w:rPr>
              <w:rFonts w:asciiTheme="minorHAnsi" w:eastAsiaTheme="minorEastAsia" w:hAnsiTheme="minorHAnsi" w:cstheme="minorBidi"/>
              <w:noProof/>
              <w:sz w:val="22"/>
              <w:szCs w:val="22"/>
              <w:lang w:eastAsia="lv-LV"/>
            </w:rPr>
          </w:pPr>
          <w:hyperlink w:anchor="_Toc511027822" w:history="1">
            <w:r w:rsidRPr="006947A3">
              <w:rPr>
                <w:rStyle w:val="Hyperlink"/>
                <w:rFonts w:eastAsia="Calibri"/>
                <w:noProof/>
              </w:rPr>
              <w:t>3.2.4.1.</w:t>
            </w:r>
            <w:r>
              <w:rPr>
                <w:rFonts w:asciiTheme="minorHAnsi" w:eastAsiaTheme="minorEastAsia" w:hAnsiTheme="minorHAnsi" w:cstheme="minorBidi"/>
                <w:noProof/>
                <w:sz w:val="22"/>
                <w:szCs w:val="22"/>
                <w:lang w:eastAsia="lv-LV"/>
              </w:rPr>
              <w:tab/>
            </w:r>
            <w:r w:rsidRPr="006947A3">
              <w:rPr>
                <w:rStyle w:val="Hyperlink"/>
                <w:rFonts w:eastAsia="Calibri"/>
                <w:noProof/>
              </w:rPr>
              <w:t>Pensiju sistēmas reforma</w:t>
            </w:r>
            <w:r>
              <w:rPr>
                <w:noProof/>
                <w:webHidden/>
              </w:rPr>
              <w:tab/>
            </w:r>
            <w:r>
              <w:rPr>
                <w:noProof/>
                <w:webHidden/>
              </w:rPr>
              <w:fldChar w:fldCharType="begin"/>
            </w:r>
            <w:r>
              <w:rPr>
                <w:noProof/>
                <w:webHidden/>
              </w:rPr>
              <w:instrText xml:space="preserve"> PAGEREF _Toc511027822 \h </w:instrText>
            </w:r>
            <w:r>
              <w:rPr>
                <w:noProof/>
                <w:webHidden/>
              </w:rPr>
            </w:r>
            <w:r>
              <w:rPr>
                <w:noProof/>
                <w:webHidden/>
              </w:rPr>
              <w:fldChar w:fldCharType="separate"/>
            </w:r>
            <w:r>
              <w:rPr>
                <w:noProof/>
                <w:webHidden/>
              </w:rPr>
              <w:t>37</w:t>
            </w:r>
            <w:r>
              <w:rPr>
                <w:noProof/>
                <w:webHidden/>
              </w:rPr>
              <w:fldChar w:fldCharType="end"/>
            </w:r>
          </w:hyperlink>
        </w:p>
        <w:p w:rsidR="00D81AF8" w:rsidRDefault="00D81AF8">
          <w:pPr>
            <w:pStyle w:val="TOC2"/>
            <w:tabs>
              <w:tab w:val="left" w:pos="1320"/>
            </w:tabs>
            <w:rPr>
              <w:rFonts w:asciiTheme="minorHAnsi" w:eastAsiaTheme="minorEastAsia" w:hAnsiTheme="minorHAnsi" w:cstheme="minorBidi"/>
              <w:noProof/>
              <w:sz w:val="22"/>
              <w:szCs w:val="22"/>
              <w:lang w:eastAsia="lv-LV"/>
            </w:rPr>
          </w:pPr>
          <w:hyperlink w:anchor="_Toc511027823" w:history="1">
            <w:r w:rsidRPr="006947A3">
              <w:rPr>
                <w:rStyle w:val="Hyperlink"/>
                <w:rFonts w:eastAsia="Calibri"/>
                <w:noProof/>
              </w:rPr>
              <w:t>3.2.4.2.</w:t>
            </w:r>
            <w:r>
              <w:rPr>
                <w:rFonts w:asciiTheme="minorHAnsi" w:eastAsiaTheme="minorEastAsia" w:hAnsiTheme="minorHAnsi" w:cstheme="minorBidi"/>
                <w:noProof/>
                <w:sz w:val="22"/>
                <w:szCs w:val="22"/>
                <w:lang w:eastAsia="lv-LV"/>
              </w:rPr>
              <w:tab/>
            </w:r>
            <w:r w:rsidRPr="006947A3">
              <w:rPr>
                <w:rStyle w:val="Hyperlink"/>
                <w:rFonts w:eastAsia="Calibri"/>
                <w:noProof/>
              </w:rPr>
              <w:t>Veselības sistēmas reforma</w:t>
            </w:r>
            <w:r>
              <w:rPr>
                <w:noProof/>
                <w:webHidden/>
              </w:rPr>
              <w:tab/>
            </w:r>
            <w:r>
              <w:rPr>
                <w:noProof/>
                <w:webHidden/>
              </w:rPr>
              <w:fldChar w:fldCharType="begin"/>
            </w:r>
            <w:r>
              <w:rPr>
                <w:noProof/>
                <w:webHidden/>
              </w:rPr>
              <w:instrText xml:space="preserve"> PAGEREF _Toc511027823 \h </w:instrText>
            </w:r>
            <w:r>
              <w:rPr>
                <w:noProof/>
                <w:webHidden/>
              </w:rPr>
            </w:r>
            <w:r>
              <w:rPr>
                <w:noProof/>
                <w:webHidden/>
              </w:rPr>
              <w:fldChar w:fldCharType="separate"/>
            </w:r>
            <w:r>
              <w:rPr>
                <w:noProof/>
                <w:webHidden/>
              </w:rPr>
              <w:t>37</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24" w:history="1">
            <w:r w:rsidRPr="006947A3">
              <w:rPr>
                <w:rStyle w:val="Hyperlink"/>
                <w:rFonts w:eastAsiaTheme="majorEastAsia"/>
                <w:noProof/>
              </w:rPr>
              <w:t>3.3.</w:t>
            </w:r>
            <w:r>
              <w:rPr>
                <w:rFonts w:asciiTheme="minorHAnsi" w:eastAsiaTheme="minorEastAsia" w:hAnsiTheme="minorHAnsi" w:cstheme="minorBidi"/>
                <w:noProof/>
                <w:sz w:val="22"/>
                <w:szCs w:val="22"/>
                <w:lang w:eastAsia="lv-LV"/>
              </w:rPr>
              <w:tab/>
            </w:r>
            <w:r w:rsidRPr="006947A3">
              <w:rPr>
                <w:rStyle w:val="Hyperlink"/>
                <w:rFonts w:eastAsiaTheme="majorEastAsia"/>
                <w:noProof/>
              </w:rPr>
              <w:t>Fiskālās attīstības scenārijs</w:t>
            </w:r>
            <w:r>
              <w:rPr>
                <w:noProof/>
                <w:webHidden/>
              </w:rPr>
              <w:tab/>
            </w:r>
            <w:r>
              <w:rPr>
                <w:noProof/>
                <w:webHidden/>
              </w:rPr>
              <w:fldChar w:fldCharType="begin"/>
            </w:r>
            <w:r>
              <w:rPr>
                <w:noProof/>
                <w:webHidden/>
              </w:rPr>
              <w:instrText xml:space="preserve"> PAGEREF _Toc511027824 \h </w:instrText>
            </w:r>
            <w:r>
              <w:rPr>
                <w:noProof/>
                <w:webHidden/>
              </w:rPr>
            </w:r>
            <w:r>
              <w:rPr>
                <w:noProof/>
                <w:webHidden/>
              </w:rPr>
              <w:fldChar w:fldCharType="separate"/>
            </w:r>
            <w:r>
              <w:rPr>
                <w:noProof/>
                <w:webHidden/>
              </w:rPr>
              <w:t>52</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25" w:history="1">
            <w:r w:rsidRPr="006947A3">
              <w:rPr>
                <w:rStyle w:val="Hyperlink"/>
                <w:rFonts w:eastAsiaTheme="majorEastAsia"/>
                <w:noProof/>
              </w:rPr>
              <w:t>3.4.</w:t>
            </w:r>
            <w:r>
              <w:rPr>
                <w:rFonts w:asciiTheme="minorHAnsi" w:eastAsiaTheme="minorEastAsia" w:hAnsiTheme="minorHAnsi" w:cstheme="minorBidi"/>
                <w:noProof/>
                <w:sz w:val="22"/>
                <w:szCs w:val="22"/>
                <w:lang w:eastAsia="lv-LV"/>
              </w:rPr>
              <w:tab/>
            </w:r>
            <w:r w:rsidRPr="006947A3">
              <w:rPr>
                <w:rStyle w:val="Hyperlink"/>
                <w:rFonts w:eastAsiaTheme="majorEastAsia"/>
                <w:noProof/>
              </w:rPr>
              <w:t>Valdības parāda vidēja termiņa attīstības tendences</w:t>
            </w:r>
            <w:r>
              <w:rPr>
                <w:noProof/>
                <w:webHidden/>
              </w:rPr>
              <w:tab/>
            </w:r>
            <w:r>
              <w:rPr>
                <w:noProof/>
                <w:webHidden/>
              </w:rPr>
              <w:fldChar w:fldCharType="begin"/>
            </w:r>
            <w:r>
              <w:rPr>
                <w:noProof/>
                <w:webHidden/>
              </w:rPr>
              <w:instrText xml:space="preserve"> PAGEREF _Toc511027825 \h </w:instrText>
            </w:r>
            <w:r>
              <w:rPr>
                <w:noProof/>
                <w:webHidden/>
              </w:rPr>
            </w:r>
            <w:r>
              <w:rPr>
                <w:noProof/>
                <w:webHidden/>
              </w:rPr>
              <w:fldChar w:fldCharType="separate"/>
            </w:r>
            <w:r>
              <w:rPr>
                <w:noProof/>
                <w:webHidden/>
              </w:rPr>
              <w:t>57</w:t>
            </w:r>
            <w:r>
              <w:rPr>
                <w:noProof/>
                <w:webHidden/>
              </w:rPr>
              <w:fldChar w:fldCharType="end"/>
            </w:r>
          </w:hyperlink>
        </w:p>
        <w:p w:rsidR="00D81AF8" w:rsidRDefault="00D81AF8">
          <w:pPr>
            <w:pStyle w:val="TOC1"/>
            <w:rPr>
              <w:rFonts w:asciiTheme="minorHAnsi" w:eastAsiaTheme="minorEastAsia" w:hAnsiTheme="minorHAnsi" w:cstheme="minorBidi"/>
              <w:noProof/>
              <w:sz w:val="22"/>
              <w:szCs w:val="22"/>
              <w:lang w:eastAsia="lv-LV"/>
            </w:rPr>
          </w:pPr>
          <w:hyperlink w:anchor="_Toc511027826" w:history="1">
            <w:r w:rsidRPr="006947A3">
              <w:rPr>
                <w:rStyle w:val="Hyperlink"/>
                <w:rFonts w:eastAsiaTheme="majorEastAsia"/>
                <w:noProof/>
              </w:rPr>
              <w:t>4.</w:t>
            </w:r>
            <w:r>
              <w:rPr>
                <w:rFonts w:asciiTheme="minorHAnsi" w:eastAsiaTheme="minorEastAsia" w:hAnsiTheme="minorHAnsi" w:cstheme="minorBidi"/>
                <w:noProof/>
                <w:sz w:val="22"/>
                <w:szCs w:val="22"/>
                <w:lang w:eastAsia="lv-LV"/>
              </w:rPr>
              <w:tab/>
            </w:r>
            <w:r w:rsidRPr="006947A3">
              <w:rPr>
                <w:rStyle w:val="Hyperlink"/>
                <w:rFonts w:eastAsiaTheme="majorEastAsia"/>
                <w:noProof/>
              </w:rPr>
              <w:t>Jutīguma analīze un salīdzinājums</w:t>
            </w:r>
            <w:r>
              <w:rPr>
                <w:noProof/>
                <w:webHidden/>
              </w:rPr>
              <w:tab/>
            </w:r>
            <w:r>
              <w:rPr>
                <w:noProof/>
                <w:webHidden/>
              </w:rPr>
              <w:fldChar w:fldCharType="begin"/>
            </w:r>
            <w:r>
              <w:rPr>
                <w:noProof/>
                <w:webHidden/>
              </w:rPr>
              <w:instrText xml:space="preserve"> PAGEREF _Toc511027826 \h </w:instrText>
            </w:r>
            <w:r>
              <w:rPr>
                <w:noProof/>
                <w:webHidden/>
              </w:rPr>
            </w:r>
            <w:r>
              <w:rPr>
                <w:noProof/>
                <w:webHidden/>
              </w:rPr>
              <w:fldChar w:fldCharType="separate"/>
            </w:r>
            <w:r>
              <w:rPr>
                <w:noProof/>
                <w:webHidden/>
              </w:rPr>
              <w:t>60</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27" w:history="1">
            <w:r w:rsidRPr="006947A3">
              <w:rPr>
                <w:rStyle w:val="Hyperlink"/>
                <w:rFonts w:eastAsiaTheme="majorEastAsia"/>
                <w:noProof/>
              </w:rPr>
              <w:t>4.1.</w:t>
            </w:r>
            <w:r>
              <w:rPr>
                <w:rFonts w:asciiTheme="minorHAnsi" w:eastAsiaTheme="minorEastAsia" w:hAnsiTheme="minorHAnsi" w:cstheme="minorBidi"/>
                <w:noProof/>
                <w:sz w:val="22"/>
                <w:szCs w:val="22"/>
                <w:lang w:eastAsia="lv-LV"/>
              </w:rPr>
              <w:tab/>
            </w:r>
            <w:r w:rsidRPr="006947A3">
              <w:rPr>
                <w:rStyle w:val="Hyperlink"/>
                <w:rFonts w:eastAsiaTheme="majorEastAsia"/>
                <w:noProof/>
              </w:rPr>
              <w:t>Makroekonomiskā scenārija riski</w:t>
            </w:r>
            <w:r>
              <w:rPr>
                <w:noProof/>
                <w:webHidden/>
              </w:rPr>
              <w:tab/>
            </w:r>
            <w:r>
              <w:rPr>
                <w:noProof/>
                <w:webHidden/>
              </w:rPr>
              <w:fldChar w:fldCharType="begin"/>
            </w:r>
            <w:r>
              <w:rPr>
                <w:noProof/>
                <w:webHidden/>
              </w:rPr>
              <w:instrText xml:space="preserve"> PAGEREF _Toc511027827 \h </w:instrText>
            </w:r>
            <w:r>
              <w:rPr>
                <w:noProof/>
                <w:webHidden/>
              </w:rPr>
            </w:r>
            <w:r>
              <w:rPr>
                <w:noProof/>
                <w:webHidden/>
              </w:rPr>
              <w:fldChar w:fldCharType="separate"/>
            </w:r>
            <w:r>
              <w:rPr>
                <w:noProof/>
                <w:webHidden/>
              </w:rPr>
              <w:t>60</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28" w:history="1">
            <w:r w:rsidRPr="006947A3">
              <w:rPr>
                <w:rStyle w:val="Hyperlink"/>
                <w:rFonts w:eastAsiaTheme="majorEastAsia"/>
                <w:noProof/>
              </w:rPr>
              <w:t>4.2.</w:t>
            </w:r>
            <w:r>
              <w:rPr>
                <w:rFonts w:asciiTheme="minorHAnsi" w:eastAsiaTheme="minorEastAsia" w:hAnsiTheme="minorHAnsi" w:cstheme="minorBidi"/>
                <w:noProof/>
                <w:sz w:val="22"/>
                <w:szCs w:val="22"/>
                <w:lang w:eastAsia="lv-LV"/>
              </w:rPr>
              <w:tab/>
            </w:r>
            <w:r w:rsidRPr="006947A3">
              <w:rPr>
                <w:rStyle w:val="Hyperlink"/>
                <w:rFonts w:eastAsiaTheme="majorEastAsia"/>
                <w:noProof/>
              </w:rPr>
              <w:t>Jutīguma analīze</w:t>
            </w:r>
            <w:r>
              <w:rPr>
                <w:noProof/>
                <w:webHidden/>
              </w:rPr>
              <w:tab/>
            </w:r>
            <w:r>
              <w:rPr>
                <w:noProof/>
                <w:webHidden/>
              </w:rPr>
              <w:fldChar w:fldCharType="begin"/>
            </w:r>
            <w:r>
              <w:rPr>
                <w:noProof/>
                <w:webHidden/>
              </w:rPr>
              <w:instrText xml:space="preserve"> PAGEREF _Toc511027828 \h </w:instrText>
            </w:r>
            <w:r>
              <w:rPr>
                <w:noProof/>
                <w:webHidden/>
              </w:rPr>
            </w:r>
            <w:r>
              <w:rPr>
                <w:noProof/>
                <w:webHidden/>
              </w:rPr>
              <w:fldChar w:fldCharType="separate"/>
            </w:r>
            <w:r>
              <w:rPr>
                <w:noProof/>
                <w:webHidden/>
              </w:rPr>
              <w:t>60</w:t>
            </w:r>
            <w:r>
              <w:rPr>
                <w:noProof/>
                <w:webHidden/>
              </w:rPr>
              <w:fldChar w:fldCharType="end"/>
            </w:r>
          </w:hyperlink>
        </w:p>
        <w:p w:rsidR="00D81AF8" w:rsidRDefault="00D81AF8">
          <w:pPr>
            <w:pStyle w:val="TOC2"/>
            <w:tabs>
              <w:tab w:val="left" w:pos="1100"/>
            </w:tabs>
            <w:rPr>
              <w:rFonts w:asciiTheme="minorHAnsi" w:eastAsiaTheme="minorEastAsia" w:hAnsiTheme="minorHAnsi" w:cstheme="minorBidi"/>
              <w:noProof/>
              <w:sz w:val="22"/>
              <w:szCs w:val="22"/>
              <w:lang w:eastAsia="lv-LV"/>
            </w:rPr>
          </w:pPr>
          <w:hyperlink w:anchor="_Toc511027829" w:history="1">
            <w:r w:rsidRPr="006947A3">
              <w:rPr>
                <w:rStyle w:val="Hyperlink"/>
                <w:rFonts w:eastAsiaTheme="majorEastAsia"/>
                <w:noProof/>
              </w:rPr>
              <w:t>4.2.1.</w:t>
            </w:r>
            <w:r>
              <w:rPr>
                <w:rFonts w:asciiTheme="minorHAnsi" w:eastAsiaTheme="minorEastAsia" w:hAnsiTheme="minorHAnsi" w:cstheme="minorBidi"/>
                <w:noProof/>
                <w:sz w:val="22"/>
                <w:szCs w:val="22"/>
                <w:lang w:eastAsia="lv-LV"/>
              </w:rPr>
              <w:tab/>
            </w:r>
            <w:r w:rsidRPr="006947A3">
              <w:rPr>
                <w:rStyle w:val="Hyperlink"/>
                <w:rFonts w:eastAsiaTheme="majorEastAsia"/>
                <w:noProof/>
              </w:rPr>
              <w:t>Optimistiskais scenārijs</w:t>
            </w:r>
            <w:r>
              <w:rPr>
                <w:noProof/>
                <w:webHidden/>
              </w:rPr>
              <w:tab/>
            </w:r>
            <w:r>
              <w:rPr>
                <w:noProof/>
                <w:webHidden/>
              </w:rPr>
              <w:fldChar w:fldCharType="begin"/>
            </w:r>
            <w:r>
              <w:rPr>
                <w:noProof/>
                <w:webHidden/>
              </w:rPr>
              <w:instrText xml:space="preserve"> PAGEREF _Toc511027829 \h </w:instrText>
            </w:r>
            <w:r>
              <w:rPr>
                <w:noProof/>
                <w:webHidden/>
              </w:rPr>
            </w:r>
            <w:r>
              <w:rPr>
                <w:noProof/>
                <w:webHidden/>
              </w:rPr>
              <w:fldChar w:fldCharType="separate"/>
            </w:r>
            <w:r>
              <w:rPr>
                <w:noProof/>
                <w:webHidden/>
              </w:rPr>
              <w:t>60</w:t>
            </w:r>
            <w:r>
              <w:rPr>
                <w:noProof/>
                <w:webHidden/>
              </w:rPr>
              <w:fldChar w:fldCharType="end"/>
            </w:r>
          </w:hyperlink>
        </w:p>
        <w:p w:rsidR="00D81AF8" w:rsidRDefault="00D81AF8">
          <w:pPr>
            <w:pStyle w:val="TOC2"/>
            <w:tabs>
              <w:tab w:val="left" w:pos="1100"/>
            </w:tabs>
            <w:rPr>
              <w:rFonts w:asciiTheme="minorHAnsi" w:eastAsiaTheme="minorEastAsia" w:hAnsiTheme="minorHAnsi" w:cstheme="minorBidi"/>
              <w:noProof/>
              <w:sz w:val="22"/>
              <w:szCs w:val="22"/>
              <w:lang w:eastAsia="lv-LV"/>
            </w:rPr>
          </w:pPr>
          <w:hyperlink w:anchor="_Toc511027830" w:history="1">
            <w:r w:rsidRPr="006947A3">
              <w:rPr>
                <w:rStyle w:val="Hyperlink"/>
                <w:rFonts w:eastAsiaTheme="majorEastAsia"/>
                <w:noProof/>
              </w:rPr>
              <w:t>4.2.2.</w:t>
            </w:r>
            <w:r>
              <w:rPr>
                <w:rFonts w:asciiTheme="minorHAnsi" w:eastAsiaTheme="minorEastAsia" w:hAnsiTheme="minorHAnsi" w:cstheme="minorBidi"/>
                <w:noProof/>
                <w:sz w:val="22"/>
                <w:szCs w:val="22"/>
                <w:lang w:eastAsia="lv-LV"/>
              </w:rPr>
              <w:tab/>
            </w:r>
            <w:r w:rsidRPr="006947A3">
              <w:rPr>
                <w:rStyle w:val="Hyperlink"/>
                <w:rFonts w:eastAsiaTheme="majorEastAsia"/>
                <w:noProof/>
              </w:rPr>
              <w:t>Pesimistiskais scenārijs</w:t>
            </w:r>
            <w:r>
              <w:rPr>
                <w:noProof/>
                <w:webHidden/>
              </w:rPr>
              <w:tab/>
            </w:r>
            <w:r>
              <w:rPr>
                <w:noProof/>
                <w:webHidden/>
              </w:rPr>
              <w:fldChar w:fldCharType="begin"/>
            </w:r>
            <w:r>
              <w:rPr>
                <w:noProof/>
                <w:webHidden/>
              </w:rPr>
              <w:instrText xml:space="preserve"> PAGEREF _Toc511027830 \h </w:instrText>
            </w:r>
            <w:r>
              <w:rPr>
                <w:noProof/>
                <w:webHidden/>
              </w:rPr>
            </w:r>
            <w:r>
              <w:rPr>
                <w:noProof/>
                <w:webHidden/>
              </w:rPr>
              <w:fldChar w:fldCharType="separate"/>
            </w:r>
            <w:r>
              <w:rPr>
                <w:noProof/>
                <w:webHidden/>
              </w:rPr>
              <w:t>62</w:t>
            </w:r>
            <w:r>
              <w:rPr>
                <w:noProof/>
                <w:webHidden/>
              </w:rPr>
              <w:fldChar w:fldCharType="end"/>
            </w:r>
          </w:hyperlink>
        </w:p>
        <w:p w:rsidR="00D81AF8" w:rsidRDefault="00D81AF8">
          <w:pPr>
            <w:pStyle w:val="TOC1"/>
            <w:rPr>
              <w:rFonts w:asciiTheme="minorHAnsi" w:eastAsiaTheme="minorEastAsia" w:hAnsiTheme="minorHAnsi" w:cstheme="minorBidi"/>
              <w:noProof/>
              <w:sz w:val="22"/>
              <w:szCs w:val="22"/>
              <w:lang w:eastAsia="lv-LV"/>
            </w:rPr>
          </w:pPr>
          <w:hyperlink w:anchor="_Toc511027831" w:history="1">
            <w:r w:rsidRPr="006947A3">
              <w:rPr>
                <w:rStyle w:val="Hyperlink"/>
                <w:rFonts w:eastAsiaTheme="majorEastAsia"/>
                <w:noProof/>
              </w:rPr>
              <w:t>5.</w:t>
            </w:r>
            <w:r>
              <w:rPr>
                <w:rFonts w:asciiTheme="minorHAnsi" w:eastAsiaTheme="minorEastAsia" w:hAnsiTheme="minorHAnsi" w:cstheme="minorBidi"/>
                <w:noProof/>
                <w:sz w:val="22"/>
                <w:szCs w:val="22"/>
                <w:lang w:eastAsia="lv-LV"/>
              </w:rPr>
              <w:tab/>
            </w:r>
            <w:r w:rsidRPr="006947A3">
              <w:rPr>
                <w:rStyle w:val="Hyperlink"/>
                <w:rFonts w:eastAsiaTheme="majorEastAsia"/>
                <w:noProof/>
              </w:rPr>
              <w:t>Vispārējās valdības budžeta bilances un parāda prognožu salīdzinājums ar Latvijas Stabilitātes programmu 2017.</w:t>
            </w:r>
            <w:r w:rsidRPr="006947A3">
              <w:rPr>
                <w:rStyle w:val="Hyperlink"/>
                <w:rFonts w:eastAsia="Calibri"/>
                <w:noProof/>
              </w:rPr>
              <w:t xml:space="preserve"> – </w:t>
            </w:r>
            <w:r w:rsidRPr="006947A3">
              <w:rPr>
                <w:rStyle w:val="Hyperlink"/>
                <w:rFonts w:eastAsiaTheme="majorEastAsia"/>
                <w:noProof/>
              </w:rPr>
              <w:t>2020. gadam</w:t>
            </w:r>
            <w:r>
              <w:rPr>
                <w:noProof/>
                <w:webHidden/>
              </w:rPr>
              <w:tab/>
            </w:r>
            <w:r>
              <w:rPr>
                <w:noProof/>
                <w:webHidden/>
              </w:rPr>
              <w:fldChar w:fldCharType="begin"/>
            </w:r>
            <w:r>
              <w:rPr>
                <w:noProof/>
                <w:webHidden/>
              </w:rPr>
              <w:instrText xml:space="preserve"> PAGEREF _Toc511027831 \h </w:instrText>
            </w:r>
            <w:r>
              <w:rPr>
                <w:noProof/>
                <w:webHidden/>
              </w:rPr>
            </w:r>
            <w:r>
              <w:rPr>
                <w:noProof/>
                <w:webHidden/>
              </w:rPr>
              <w:fldChar w:fldCharType="separate"/>
            </w:r>
            <w:r>
              <w:rPr>
                <w:noProof/>
                <w:webHidden/>
              </w:rPr>
              <w:t>65</w:t>
            </w:r>
            <w:r>
              <w:rPr>
                <w:noProof/>
                <w:webHidden/>
              </w:rPr>
              <w:fldChar w:fldCharType="end"/>
            </w:r>
          </w:hyperlink>
        </w:p>
        <w:p w:rsidR="00D81AF8" w:rsidRDefault="00D81AF8">
          <w:pPr>
            <w:pStyle w:val="TOC1"/>
            <w:rPr>
              <w:rFonts w:asciiTheme="minorHAnsi" w:eastAsiaTheme="minorEastAsia" w:hAnsiTheme="minorHAnsi" w:cstheme="minorBidi"/>
              <w:noProof/>
              <w:sz w:val="22"/>
              <w:szCs w:val="22"/>
              <w:lang w:eastAsia="lv-LV"/>
            </w:rPr>
          </w:pPr>
          <w:hyperlink w:anchor="_Toc511027832" w:history="1">
            <w:r w:rsidRPr="006947A3">
              <w:rPr>
                <w:rStyle w:val="Hyperlink"/>
                <w:rFonts w:eastAsiaTheme="majorEastAsia"/>
                <w:noProof/>
              </w:rPr>
              <w:t>6.</w:t>
            </w:r>
            <w:r>
              <w:rPr>
                <w:rFonts w:asciiTheme="minorHAnsi" w:eastAsiaTheme="minorEastAsia" w:hAnsiTheme="minorHAnsi" w:cstheme="minorBidi"/>
                <w:noProof/>
                <w:sz w:val="22"/>
                <w:szCs w:val="22"/>
                <w:lang w:eastAsia="lv-LV"/>
              </w:rPr>
              <w:tab/>
            </w:r>
            <w:r w:rsidRPr="006947A3">
              <w:rPr>
                <w:rStyle w:val="Hyperlink"/>
                <w:rFonts w:eastAsiaTheme="majorEastAsia"/>
                <w:noProof/>
              </w:rPr>
              <w:t>Valsts finanšu kvalitāte</w:t>
            </w:r>
            <w:r>
              <w:rPr>
                <w:noProof/>
                <w:webHidden/>
              </w:rPr>
              <w:tab/>
            </w:r>
            <w:r>
              <w:rPr>
                <w:noProof/>
                <w:webHidden/>
              </w:rPr>
              <w:fldChar w:fldCharType="begin"/>
            </w:r>
            <w:r>
              <w:rPr>
                <w:noProof/>
                <w:webHidden/>
              </w:rPr>
              <w:instrText xml:space="preserve"> PAGEREF _Toc511027832 \h </w:instrText>
            </w:r>
            <w:r>
              <w:rPr>
                <w:noProof/>
                <w:webHidden/>
              </w:rPr>
            </w:r>
            <w:r>
              <w:rPr>
                <w:noProof/>
                <w:webHidden/>
              </w:rPr>
              <w:fldChar w:fldCharType="separate"/>
            </w:r>
            <w:r>
              <w:rPr>
                <w:noProof/>
                <w:webHidden/>
              </w:rPr>
              <w:t>66</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33" w:history="1">
            <w:r w:rsidRPr="006947A3">
              <w:rPr>
                <w:rStyle w:val="Hyperlink"/>
                <w:rFonts w:eastAsiaTheme="majorEastAsia"/>
                <w:noProof/>
              </w:rPr>
              <w:t>6.1.</w:t>
            </w:r>
            <w:r>
              <w:rPr>
                <w:rFonts w:asciiTheme="minorHAnsi" w:eastAsiaTheme="minorEastAsia" w:hAnsiTheme="minorHAnsi" w:cstheme="minorBidi"/>
                <w:noProof/>
                <w:sz w:val="22"/>
                <w:szCs w:val="22"/>
                <w:lang w:eastAsia="lv-LV"/>
              </w:rPr>
              <w:tab/>
            </w:r>
            <w:r w:rsidRPr="006947A3">
              <w:rPr>
                <w:rStyle w:val="Hyperlink"/>
                <w:rFonts w:eastAsiaTheme="majorEastAsia"/>
                <w:noProof/>
              </w:rPr>
              <w:t>Valsts budžeta līdzekļu efektivitāte un izlietojuma kontrole</w:t>
            </w:r>
            <w:r>
              <w:rPr>
                <w:noProof/>
                <w:webHidden/>
              </w:rPr>
              <w:tab/>
            </w:r>
            <w:r>
              <w:rPr>
                <w:noProof/>
                <w:webHidden/>
              </w:rPr>
              <w:fldChar w:fldCharType="begin"/>
            </w:r>
            <w:r>
              <w:rPr>
                <w:noProof/>
                <w:webHidden/>
              </w:rPr>
              <w:instrText xml:space="preserve"> PAGEREF _Toc511027833 \h </w:instrText>
            </w:r>
            <w:r>
              <w:rPr>
                <w:noProof/>
                <w:webHidden/>
              </w:rPr>
            </w:r>
            <w:r>
              <w:rPr>
                <w:noProof/>
                <w:webHidden/>
              </w:rPr>
              <w:fldChar w:fldCharType="separate"/>
            </w:r>
            <w:r>
              <w:rPr>
                <w:noProof/>
                <w:webHidden/>
              </w:rPr>
              <w:t>66</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34" w:history="1">
            <w:r w:rsidRPr="006947A3">
              <w:rPr>
                <w:rStyle w:val="Hyperlink"/>
                <w:rFonts w:eastAsiaTheme="majorEastAsia"/>
                <w:noProof/>
              </w:rPr>
              <w:t>6.2.</w:t>
            </w:r>
            <w:r>
              <w:rPr>
                <w:rFonts w:asciiTheme="minorHAnsi" w:eastAsiaTheme="minorEastAsia" w:hAnsiTheme="minorHAnsi" w:cstheme="minorBidi"/>
                <w:noProof/>
                <w:sz w:val="22"/>
                <w:szCs w:val="22"/>
                <w:lang w:eastAsia="lv-LV"/>
              </w:rPr>
              <w:tab/>
            </w:r>
            <w:r w:rsidRPr="006947A3">
              <w:rPr>
                <w:rStyle w:val="Hyperlink"/>
                <w:rFonts w:eastAsiaTheme="majorEastAsia"/>
                <w:noProof/>
              </w:rPr>
              <w:t>Ieņēmumu struktūras un sistēmas efektivitāte</w:t>
            </w:r>
            <w:r>
              <w:rPr>
                <w:noProof/>
                <w:webHidden/>
              </w:rPr>
              <w:tab/>
            </w:r>
            <w:r>
              <w:rPr>
                <w:noProof/>
                <w:webHidden/>
              </w:rPr>
              <w:fldChar w:fldCharType="begin"/>
            </w:r>
            <w:r>
              <w:rPr>
                <w:noProof/>
                <w:webHidden/>
              </w:rPr>
              <w:instrText xml:space="preserve"> PAGEREF _Toc511027834 \h </w:instrText>
            </w:r>
            <w:r>
              <w:rPr>
                <w:noProof/>
                <w:webHidden/>
              </w:rPr>
            </w:r>
            <w:r>
              <w:rPr>
                <w:noProof/>
                <w:webHidden/>
              </w:rPr>
              <w:fldChar w:fldCharType="separate"/>
            </w:r>
            <w:r>
              <w:rPr>
                <w:noProof/>
                <w:webHidden/>
              </w:rPr>
              <w:t>69</w:t>
            </w:r>
            <w:r>
              <w:rPr>
                <w:noProof/>
                <w:webHidden/>
              </w:rPr>
              <w:fldChar w:fldCharType="end"/>
            </w:r>
          </w:hyperlink>
        </w:p>
        <w:p w:rsidR="00D81AF8" w:rsidRDefault="00D81AF8">
          <w:pPr>
            <w:pStyle w:val="TOC1"/>
            <w:rPr>
              <w:rFonts w:asciiTheme="minorHAnsi" w:eastAsiaTheme="minorEastAsia" w:hAnsiTheme="minorHAnsi" w:cstheme="minorBidi"/>
              <w:noProof/>
              <w:sz w:val="22"/>
              <w:szCs w:val="22"/>
              <w:lang w:eastAsia="lv-LV"/>
            </w:rPr>
          </w:pPr>
          <w:hyperlink w:anchor="_Toc511027835" w:history="1">
            <w:r w:rsidRPr="006947A3">
              <w:rPr>
                <w:rStyle w:val="Hyperlink"/>
                <w:rFonts w:eastAsiaTheme="majorEastAsia"/>
                <w:noProof/>
              </w:rPr>
              <w:t>7.</w:t>
            </w:r>
            <w:r>
              <w:rPr>
                <w:rFonts w:asciiTheme="minorHAnsi" w:eastAsiaTheme="minorEastAsia" w:hAnsiTheme="minorHAnsi" w:cstheme="minorBidi"/>
                <w:noProof/>
                <w:sz w:val="22"/>
                <w:szCs w:val="22"/>
                <w:lang w:eastAsia="lv-LV"/>
              </w:rPr>
              <w:tab/>
            </w:r>
            <w:r w:rsidRPr="006947A3">
              <w:rPr>
                <w:rStyle w:val="Hyperlink"/>
                <w:rFonts w:eastAsiaTheme="majorEastAsia"/>
                <w:noProof/>
              </w:rPr>
              <w:t>Publisko finanšu ilgtspēja</w:t>
            </w:r>
            <w:r>
              <w:rPr>
                <w:noProof/>
                <w:webHidden/>
              </w:rPr>
              <w:tab/>
            </w:r>
            <w:r>
              <w:rPr>
                <w:noProof/>
                <w:webHidden/>
              </w:rPr>
              <w:fldChar w:fldCharType="begin"/>
            </w:r>
            <w:r>
              <w:rPr>
                <w:noProof/>
                <w:webHidden/>
              </w:rPr>
              <w:instrText xml:space="preserve"> PAGEREF _Toc511027835 \h </w:instrText>
            </w:r>
            <w:r>
              <w:rPr>
                <w:noProof/>
                <w:webHidden/>
              </w:rPr>
            </w:r>
            <w:r>
              <w:rPr>
                <w:noProof/>
                <w:webHidden/>
              </w:rPr>
              <w:fldChar w:fldCharType="separate"/>
            </w:r>
            <w:r>
              <w:rPr>
                <w:noProof/>
                <w:webHidden/>
              </w:rPr>
              <w:t>84</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36" w:history="1">
            <w:r w:rsidRPr="006947A3">
              <w:rPr>
                <w:rStyle w:val="Hyperlink"/>
                <w:rFonts w:eastAsiaTheme="majorEastAsia"/>
                <w:noProof/>
              </w:rPr>
              <w:t>7.1.</w:t>
            </w:r>
            <w:r>
              <w:rPr>
                <w:rFonts w:asciiTheme="minorHAnsi" w:eastAsiaTheme="minorEastAsia" w:hAnsiTheme="minorHAnsi" w:cstheme="minorBidi"/>
                <w:noProof/>
                <w:sz w:val="22"/>
                <w:szCs w:val="22"/>
                <w:lang w:eastAsia="lv-LV"/>
              </w:rPr>
              <w:tab/>
            </w:r>
            <w:r w:rsidRPr="006947A3">
              <w:rPr>
                <w:rStyle w:val="Hyperlink"/>
                <w:rFonts w:eastAsiaTheme="majorEastAsia"/>
                <w:noProof/>
              </w:rPr>
              <w:t>Publisko finanšu ilgtermiņa attīstības scenārijs</w:t>
            </w:r>
            <w:r>
              <w:rPr>
                <w:noProof/>
                <w:webHidden/>
              </w:rPr>
              <w:tab/>
            </w:r>
            <w:r>
              <w:rPr>
                <w:noProof/>
                <w:webHidden/>
              </w:rPr>
              <w:fldChar w:fldCharType="begin"/>
            </w:r>
            <w:r>
              <w:rPr>
                <w:noProof/>
                <w:webHidden/>
              </w:rPr>
              <w:instrText xml:space="preserve"> PAGEREF _Toc511027836 \h </w:instrText>
            </w:r>
            <w:r>
              <w:rPr>
                <w:noProof/>
                <w:webHidden/>
              </w:rPr>
            </w:r>
            <w:r>
              <w:rPr>
                <w:noProof/>
                <w:webHidden/>
              </w:rPr>
              <w:fldChar w:fldCharType="separate"/>
            </w:r>
            <w:r>
              <w:rPr>
                <w:noProof/>
                <w:webHidden/>
              </w:rPr>
              <w:t>84</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37" w:history="1">
            <w:r w:rsidRPr="006947A3">
              <w:rPr>
                <w:rStyle w:val="Hyperlink"/>
                <w:rFonts w:eastAsiaTheme="majorEastAsia"/>
                <w:noProof/>
              </w:rPr>
              <w:t>7.2.</w:t>
            </w:r>
            <w:r>
              <w:rPr>
                <w:rFonts w:asciiTheme="minorHAnsi" w:eastAsiaTheme="minorEastAsia" w:hAnsiTheme="minorHAnsi" w:cstheme="minorBidi"/>
                <w:noProof/>
                <w:sz w:val="22"/>
                <w:szCs w:val="22"/>
                <w:lang w:eastAsia="lv-LV"/>
              </w:rPr>
              <w:tab/>
            </w:r>
            <w:r w:rsidRPr="006947A3">
              <w:rPr>
                <w:rStyle w:val="Hyperlink"/>
                <w:rFonts w:eastAsiaTheme="majorEastAsia"/>
                <w:noProof/>
              </w:rPr>
              <w:t>Valsts sniegtie galvojumi</w:t>
            </w:r>
            <w:r>
              <w:rPr>
                <w:noProof/>
                <w:webHidden/>
              </w:rPr>
              <w:tab/>
            </w:r>
            <w:r>
              <w:rPr>
                <w:noProof/>
                <w:webHidden/>
              </w:rPr>
              <w:fldChar w:fldCharType="begin"/>
            </w:r>
            <w:r>
              <w:rPr>
                <w:noProof/>
                <w:webHidden/>
              </w:rPr>
              <w:instrText xml:space="preserve"> PAGEREF _Toc511027837 \h </w:instrText>
            </w:r>
            <w:r>
              <w:rPr>
                <w:noProof/>
                <w:webHidden/>
              </w:rPr>
            </w:r>
            <w:r>
              <w:rPr>
                <w:noProof/>
                <w:webHidden/>
              </w:rPr>
              <w:fldChar w:fldCharType="separate"/>
            </w:r>
            <w:r>
              <w:rPr>
                <w:noProof/>
                <w:webHidden/>
              </w:rPr>
              <w:t>91</w:t>
            </w:r>
            <w:r>
              <w:rPr>
                <w:noProof/>
                <w:webHidden/>
              </w:rPr>
              <w:fldChar w:fldCharType="end"/>
            </w:r>
          </w:hyperlink>
        </w:p>
        <w:p w:rsidR="00D81AF8" w:rsidRDefault="00D81AF8">
          <w:pPr>
            <w:pStyle w:val="TOC1"/>
            <w:rPr>
              <w:rFonts w:asciiTheme="minorHAnsi" w:eastAsiaTheme="minorEastAsia" w:hAnsiTheme="minorHAnsi" w:cstheme="minorBidi"/>
              <w:noProof/>
              <w:sz w:val="22"/>
              <w:szCs w:val="22"/>
              <w:lang w:eastAsia="lv-LV"/>
            </w:rPr>
          </w:pPr>
          <w:hyperlink w:anchor="_Toc511027838" w:history="1">
            <w:r w:rsidRPr="006947A3">
              <w:rPr>
                <w:rStyle w:val="Hyperlink"/>
                <w:rFonts w:eastAsiaTheme="majorEastAsia"/>
                <w:noProof/>
              </w:rPr>
              <w:t>8.</w:t>
            </w:r>
            <w:r>
              <w:rPr>
                <w:rFonts w:asciiTheme="minorHAnsi" w:eastAsiaTheme="minorEastAsia" w:hAnsiTheme="minorHAnsi" w:cstheme="minorBidi"/>
                <w:noProof/>
                <w:sz w:val="22"/>
                <w:szCs w:val="22"/>
                <w:lang w:eastAsia="lv-LV"/>
              </w:rPr>
              <w:tab/>
            </w:r>
            <w:r w:rsidRPr="006947A3">
              <w:rPr>
                <w:rStyle w:val="Hyperlink"/>
                <w:rFonts w:eastAsiaTheme="majorEastAsia"/>
                <w:noProof/>
              </w:rPr>
              <w:t>Valsts finanšu institucionālās iezīmes</w:t>
            </w:r>
            <w:r>
              <w:rPr>
                <w:noProof/>
                <w:webHidden/>
              </w:rPr>
              <w:tab/>
            </w:r>
            <w:r>
              <w:rPr>
                <w:noProof/>
                <w:webHidden/>
              </w:rPr>
              <w:fldChar w:fldCharType="begin"/>
            </w:r>
            <w:r>
              <w:rPr>
                <w:noProof/>
                <w:webHidden/>
              </w:rPr>
              <w:instrText xml:space="preserve"> PAGEREF _Toc511027838 \h </w:instrText>
            </w:r>
            <w:r>
              <w:rPr>
                <w:noProof/>
                <w:webHidden/>
              </w:rPr>
            </w:r>
            <w:r>
              <w:rPr>
                <w:noProof/>
                <w:webHidden/>
              </w:rPr>
              <w:fldChar w:fldCharType="separate"/>
            </w:r>
            <w:r>
              <w:rPr>
                <w:noProof/>
                <w:webHidden/>
              </w:rPr>
              <w:t>93</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39" w:history="1">
            <w:r w:rsidRPr="006947A3">
              <w:rPr>
                <w:rStyle w:val="Hyperlink"/>
                <w:rFonts w:eastAsiaTheme="majorEastAsia"/>
                <w:noProof/>
              </w:rPr>
              <w:t>8.1.</w:t>
            </w:r>
            <w:r>
              <w:rPr>
                <w:rFonts w:asciiTheme="minorHAnsi" w:eastAsiaTheme="minorEastAsia" w:hAnsiTheme="minorHAnsi" w:cstheme="minorBidi"/>
                <w:noProof/>
                <w:sz w:val="22"/>
                <w:szCs w:val="22"/>
                <w:lang w:eastAsia="lv-LV"/>
              </w:rPr>
              <w:tab/>
            </w:r>
            <w:r w:rsidRPr="006947A3">
              <w:rPr>
                <w:rStyle w:val="Hyperlink"/>
                <w:rFonts w:eastAsiaTheme="majorEastAsia"/>
                <w:noProof/>
              </w:rPr>
              <w:t>Valsts budžeta noteikumu ieviešana un citas institucionālās attīstības attiecībā uz valsts finansēm</w:t>
            </w:r>
            <w:r>
              <w:rPr>
                <w:noProof/>
                <w:webHidden/>
              </w:rPr>
              <w:tab/>
            </w:r>
            <w:r>
              <w:rPr>
                <w:noProof/>
                <w:webHidden/>
              </w:rPr>
              <w:fldChar w:fldCharType="begin"/>
            </w:r>
            <w:r>
              <w:rPr>
                <w:noProof/>
                <w:webHidden/>
              </w:rPr>
              <w:instrText xml:space="preserve"> PAGEREF _Toc511027839 \h </w:instrText>
            </w:r>
            <w:r>
              <w:rPr>
                <w:noProof/>
                <w:webHidden/>
              </w:rPr>
            </w:r>
            <w:r>
              <w:rPr>
                <w:noProof/>
                <w:webHidden/>
              </w:rPr>
              <w:fldChar w:fldCharType="separate"/>
            </w:r>
            <w:r>
              <w:rPr>
                <w:noProof/>
                <w:webHidden/>
              </w:rPr>
              <w:t>93</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40" w:history="1">
            <w:r w:rsidRPr="006947A3">
              <w:rPr>
                <w:rStyle w:val="Hyperlink"/>
                <w:rFonts w:eastAsiaTheme="majorEastAsia"/>
                <w:noProof/>
              </w:rPr>
              <w:t>8.2.</w:t>
            </w:r>
            <w:r>
              <w:rPr>
                <w:rFonts w:asciiTheme="minorHAnsi" w:eastAsiaTheme="minorEastAsia" w:hAnsiTheme="minorHAnsi" w:cstheme="minorBidi"/>
                <w:noProof/>
                <w:sz w:val="22"/>
                <w:szCs w:val="22"/>
                <w:lang w:eastAsia="lv-LV"/>
              </w:rPr>
              <w:tab/>
            </w:r>
            <w:r w:rsidRPr="006947A3">
              <w:rPr>
                <w:rStyle w:val="Hyperlink"/>
                <w:rFonts w:eastAsiaTheme="majorEastAsia"/>
                <w:noProof/>
              </w:rPr>
              <w:t>Vidēja termiņa budžeta plānošana</w:t>
            </w:r>
            <w:r>
              <w:rPr>
                <w:noProof/>
                <w:webHidden/>
              </w:rPr>
              <w:tab/>
            </w:r>
            <w:r>
              <w:rPr>
                <w:noProof/>
                <w:webHidden/>
              </w:rPr>
              <w:fldChar w:fldCharType="begin"/>
            </w:r>
            <w:r>
              <w:rPr>
                <w:noProof/>
                <w:webHidden/>
              </w:rPr>
              <w:instrText xml:space="preserve"> PAGEREF _Toc511027840 \h </w:instrText>
            </w:r>
            <w:r>
              <w:rPr>
                <w:noProof/>
                <w:webHidden/>
              </w:rPr>
            </w:r>
            <w:r>
              <w:rPr>
                <w:noProof/>
                <w:webHidden/>
              </w:rPr>
              <w:fldChar w:fldCharType="separate"/>
            </w:r>
            <w:r>
              <w:rPr>
                <w:noProof/>
                <w:webHidden/>
              </w:rPr>
              <w:t>93</w:t>
            </w:r>
            <w:r>
              <w:rPr>
                <w:noProof/>
                <w:webHidden/>
              </w:rPr>
              <w:fldChar w:fldCharType="end"/>
            </w:r>
          </w:hyperlink>
        </w:p>
        <w:p w:rsidR="00D81AF8" w:rsidRDefault="00D81AF8">
          <w:pPr>
            <w:pStyle w:val="TOC2"/>
            <w:tabs>
              <w:tab w:val="left" w:pos="880"/>
            </w:tabs>
            <w:rPr>
              <w:rFonts w:asciiTheme="minorHAnsi" w:eastAsiaTheme="minorEastAsia" w:hAnsiTheme="minorHAnsi" w:cstheme="minorBidi"/>
              <w:noProof/>
              <w:sz w:val="22"/>
              <w:szCs w:val="22"/>
              <w:lang w:eastAsia="lv-LV"/>
            </w:rPr>
          </w:pPr>
          <w:hyperlink w:anchor="_Toc511027841" w:history="1">
            <w:r w:rsidRPr="006947A3">
              <w:rPr>
                <w:rStyle w:val="Hyperlink"/>
                <w:rFonts w:eastAsiaTheme="majorEastAsia"/>
                <w:noProof/>
              </w:rPr>
              <w:t>8.3.</w:t>
            </w:r>
            <w:r>
              <w:rPr>
                <w:rFonts w:asciiTheme="minorHAnsi" w:eastAsiaTheme="minorEastAsia" w:hAnsiTheme="minorHAnsi" w:cstheme="minorBidi"/>
                <w:noProof/>
                <w:sz w:val="22"/>
                <w:szCs w:val="22"/>
                <w:lang w:eastAsia="lv-LV"/>
              </w:rPr>
              <w:tab/>
            </w:r>
            <w:r w:rsidRPr="006947A3">
              <w:rPr>
                <w:rStyle w:val="Hyperlink"/>
                <w:rFonts w:eastAsiaTheme="majorEastAsia"/>
                <w:noProof/>
              </w:rPr>
              <w:t>Budžeta procedūras, t.sk. valsts finanšu statistikas pārvalde</w:t>
            </w:r>
            <w:r>
              <w:rPr>
                <w:noProof/>
                <w:webHidden/>
              </w:rPr>
              <w:tab/>
            </w:r>
            <w:r>
              <w:rPr>
                <w:noProof/>
                <w:webHidden/>
              </w:rPr>
              <w:fldChar w:fldCharType="begin"/>
            </w:r>
            <w:r>
              <w:rPr>
                <w:noProof/>
                <w:webHidden/>
              </w:rPr>
              <w:instrText xml:space="preserve"> PAGEREF _Toc511027841 \h </w:instrText>
            </w:r>
            <w:r>
              <w:rPr>
                <w:noProof/>
                <w:webHidden/>
              </w:rPr>
            </w:r>
            <w:r>
              <w:rPr>
                <w:noProof/>
                <w:webHidden/>
              </w:rPr>
              <w:fldChar w:fldCharType="separate"/>
            </w:r>
            <w:r>
              <w:rPr>
                <w:noProof/>
                <w:webHidden/>
              </w:rPr>
              <w:t>94</w:t>
            </w:r>
            <w:r>
              <w:rPr>
                <w:noProof/>
                <w:webHidden/>
              </w:rPr>
              <w:fldChar w:fldCharType="end"/>
            </w:r>
          </w:hyperlink>
        </w:p>
        <w:p w:rsidR="00D81AF8" w:rsidRDefault="00D81AF8">
          <w:pPr>
            <w:pStyle w:val="TOC3"/>
            <w:tabs>
              <w:tab w:val="left" w:pos="1809"/>
            </w:tabs>
            <w:rPr>
              <w:rFonts w:asciiTheme="minorHAnsi" w:eastAsiaTheme="minorEastAsia" w:hAnsiTheme="minorHAnsi" w:cstheme="minorBidi"/>
              <w:noProof/>
              <w:sz w:val="22"/>
              <w:szCs w:val="22"/>
              <w:lang w:eastAsia="lv-LV"/>
            </w:rPr>
          </w:pPr>
          <w:hyperlink w:anchor="_Toc511027842" w:history="1">
            <w:r w:rsidRPr="006947A3">
              <w:rPr>
                <w:rStyle w:val="Hyperlink"/>
                <w:rFonts w:eastAsiaTheme="majorEastAsia"/>
                <w:noProof/>
              </w:rPr>
              <w:t>8.3.1.</w:t>
            </w:r>
            <w:r>
              <w:rPr>
                <w:rFonts w:asciiTheme="minorHAnsi" w:eastAsiaTheme="minorEastAsia" w:hAnsiTheme="minorHAnsi" w:cstheme="minorBidi"/>
                <w:noProof/>
                <w:sz w:val="22"/>
                <w:szCs w:val="22"/>
                <w:lang w:eastAsia="lv-LV"/>
              </w:rPr>
              <w:tab/>
            </w:r>
            <w:r w:rsidRPr="006947A3">
              <w:rPr>
                <w:rStyle w:val="Hyperlink"/>
                <w:rFonts w:eastAsiaTheme="majorEastAsia"/>
                <w:noProof/>
              </w:rPr>
              <w:t>Budžeta procedūras</w:t>
            </w:r>
            <w:r>
              <w:rPr>
                <w:noProof/>
                <w:webHidden/>
              </w:rPr>
              <w:tab/>
            </w:r>
            <w:r>
              <w:rPr>
                <w:noProof/>
                <w:webHidden/>
              </w:rPr>
              <w:fldChar w:fldCharType="begin"/>
            </w:r>
            <w:r>
              <w:rPr>
                <w:noProof/>
                <w:webHidden/>
              </w:rPr>
              <w:instrText xml:space="preserve"> PAGEREF _Toc511027842 \h </w:instrText>
            </w:r>
            <w:r>
              <w:rPr>
                <w:noProof/>
                <w:webHidden/>
              </w:rPr>
            </w:r>
            <w:r>
              <w:rPr>
                <w:noProof/>
                <w:webHidden/>
              </w:rPr>
              <w:fldChar w:fldCharType="separate"/>
            </w:r>
            <w:r>
              <w:rPr>
                <w:noProof/>
                <w:webHidden/>
              </w:rPr>
              <w:t>94</w:t>
            </w:r>
            <w:r>
              <w:rPr>
                <w:noProof/>
                <w:webHidden/>
              </w:rPr>
              <w:fldChar w:fldCharType="end"/>
            </w:r>
          </w:hyperlink>
        </w:p>
        <w:p w:rsidR="00D81AF8" w:rsidRDefault="00D81AF8">
          <w:pPr>
            <w:pStyle w:val="TOC3"/>
            <w:tabs>
              <w:tab w:val="left" w:pos="1809"/>
            </w:tabs>
            <w:rPr>
              <w:rFonts w:asciiTheme="minorHAnsi" w:eastAsiaTheme="minorEastAsia" w:hAnsiTheme="minorHAnsi" w:cstheme="minorBidi"/>
              <w:noProof/>
              <w:sz w:val="22"/>
              <w:szCs w:val="22"/>
              <w:lang w:eastAsia="lv-LV"/>
            </w:rPr>
          </w:pPr>
          <w:hyperlink w:anchor="_Toc511027843" w:history="1">
            <w:r w:rsidRPr="006947A3">
              <w:rPr>
                <w:rStyle w:val="Hyperlink"/>
                <w:rFonts w:eastAsiaTheme="majorEastAsia"/>
                <w:noProof/>
              </w:rPr>
              <w:t>8.3.2.</w:t>
            </w:r>
            <w:r>
              <w:rPr>
                <w:rFonts w:asciiTheme="minorHAnsi" w:eastAsiaTheme="minorEastAsia" w:hAnsiTheme="minorHAnsi" w:cstheme="minorBidi"/>
                <w:noProof/>
                <w:sz w:val="22"/>
                <w:szCs w:val="22"/>
                <w:lang w:eastAsia="lv-LV"/>
              </w:rPr>
              <w:tab/>
            </w:r>
            <w:r w:rsidRPr="006947A3">
              <w:rPr>
                <w:rStyle w:val="Hyperlink"/>
                <w:rFonts w:eastAsiaTheme="majorEastAsia"/>
                <w:noProof/>
              </w:rPr>
              <w:t>Valsts finanšu statistikas pārvaldība</w:t>
            </w:r>
            <w:r>
              <w:rPr>
                <w:noProof/>
                <w:webHidden/>
              </w:rPr>
              <w:tab/>
            </w:r>
            <w:r>
              <w:rPr>
                <w:noProof/>
                <w:webHidden/>
              </w:rPr>
              <w:fldChar w:fldCharType="begin"/>
            </w:r>
            <w:r>
              <w:rPr>
                <w:noProof/>
                <w:webHidden/>
              </w:rPr>
              <w:instrText xml:space="preserve"> PAGEREF _Toc511027843 \h </w:instrText>
            </w:r>
            <w:r>
              <w:rPr>
                <w:noProof/>
                <w:webHidden/>
              </w:rPr>
            </w:r>
            <w:r>
              <w:rPr>
                <w:noProof/>
                <w:webHidden/>
              </w:rPr>
              <w:fldChar w:fldCharType="separate"/>
            </w:r>
            <w:r>
              <w:rPr>
                <w:noProof/>
                <w:webHidden/>
              </w:rPr>
              <w:t>97</w:t>
            </w:r>
            <w:r>
              <w:rPr>
                <w:noProof/>
                <w:webHidden/>
              </w:rPr>
              <w:fldChar w:fldCharType="end"/>
            </w:r>
          </w:hyperlink>
        </w:p>
        <w:p w:rsidR="00D81AF8" w:rsidRDefault="00D81AF8">
          <w:pPr>
            <w:pStyle w:val="TOC1"/>
            <w:rPr>
              <w:rFonts w:asciiTheme="minorHAnsi" w:eastAsiaTheme="minorEastAsia" w:hAnsiTheme="minorHAnsi" w:cstheme="minorBidi"/>
              <w:noProof/>
              <w:sz w:val="22"/>
              <w:szCs w:val="22"/>
              <w:lang w:eastAsia="lv-LV"/>
            </w:rPr>
          </w:pPr>
          <w:hyperlink w:anchor="_Toc511027844" w:history="1">
            <w:r w:rsidRPr="006947A3">
              <w:rPr>
                <w:rStyle w:val="Hyperlink"/>
                <w:rFonts w:eastAsiaTheme="majorEastAsia"/>
                <w:noProof/>
              </w:rPr>
              <w:t>Pielikumi</w:t>
            </w:r>
            <w:r>
              <w:rPr>
                <w:noProof/>
                <w:webHidden/>
              </w:rPr>
              <w:tab/>
            </w:r>
            <w:r>
              <w:rPr>
                <w:noProof/>
                <w:webHidden/>
              </w:rPr>
              <w:fldChar w:fldCharType="begin"/>
            </w:r>
            <w:r>
              <w:rPr>
                <w:noProof/>
                <w:webHidden/>
              </w:rPr>
              <w:instrText xml:space="preserve"> PAGEREF _Toc511027844 \h </w:instrText>
            </w:r>
            <w:r>
              <w:rPr>
                <w:noProof/>
                <w:webHidden/>
              </w:rPr>
            </w:r>
            <w:r>
              <w:rPr>
                <w:noProof/>
                <w:webHidden/>
              </w:rPr>
              <w:fldChar w:fldCharType="separate"/>
            </w:r>
            <w:r>
              <w:rPr>
                <w:noProof/>
                <w:webHidden/>
              </w:rPr>
              <w:t>99</w:t>
            </w:r>
            <w:r>
              <w:rPr>
                <w:noProof/>
                <w:webHidden/>
              </w:rPr>
              <w:fldChar w:fldCharType="end"/>
            </w:r>
          </w:hyperlink>
        </w:p>
        <w:p w:rsidR="00AE4A09" w:rsidRDefault="006C007F" w:rsidP="00AE4A09">
          <w:pPr>
            <w:spacing w:after="0" w:line="240" w:lineRule="auto"/>
            <w:rPr>
              <w:noProof/>
            </w:rPr>
          </w:pPr>
          <w:r>
            <w:rPr>
              <w:b/>
              <w:bCs/>
              <w:noProof/>
            </w:rPr>
            <w:fldChar w:fldCharType="end"/>
          </w:r>
        </w:p>
      </w:sdtContent>
    </w:sdt>
    <w:p w:rsidR="00551458" w:rsidRPr="00AE4A09" w:rsidRDefault="00551458" w:rsidP="00AE4A09">
      <w:pPr>
        <w:spacing w:after="60"/>
      </w:pPr>
      <w:r>
        <w:rPr>
          <w:rFonts w:ascii="Times New Roman" w:hAnsi="Times New Roman" w:cs="Times New Roman"/>
          <w:b/>
          <w:color w:val="000000"/>
          <w:sz w:val="28"/>
          <w:szCs w:val="24"/>
          <w:lang w:eastAsia="lv-LV"/>
        </w:rPr>
        <w:br w:type="page"/>
      </w:r>
    </w:p>
    <w:p w:rsidR="003F78CC" w:rsidRPr="00F51615" w:rsidRDefault="003F78CC" w:rsidP="003F78CC">
      <w:pPr>
        <w:tabs>
          <w:tab w:val="left" w:pos="3544"/>
        </w:tabs>
        <w:jc w:val="center"/>
        <w:rPr>
          <w:rFonts w:ascii="Times New Roman" w:hAnsi="Times New Roman" w:cs="Times New Roman"/>
          <w:b/>
          <w:color w:val="000000"/>
          <w:sz w:val="28"/>
          <w:szCs w:val="24"/>
          <w:lang w:eastAsia="lv-LV"/>
        </w:rPr>
      </w:pPr>
      <w:r w:rsidRPr="00F51615">
        <w:rPr>
          <w:rFonts w:ascii="Times New Roman" w:hAnsi="Times New Roman" w:cs="Times New Roman"/>
          <w:b/>
          <w:color w:val="000000"/>
          <w:sz w:val="28"/>
          <w:szCs w:val="24"/>
          <w:lang w:eastAsia="lv-LV"/>
        </w:rPr>
        <w:lastRenderedPageBreak/>
        <w:t>Saīsinājumu apzīmējumi</w:t>
      </w:r>
    </w:p>
    <w:p w:rsidR="00FE22B6" w:rsidRDefault="00FE22B6" w:rsidP="004E0A34">
      <w:pPr>
        <w:tabs>
          <w:tab w:val="left" w:pos="3544"/>
        </w:tabs>
        <w:spacing w:after="40" w:line="240" w:lineRule="auto"/>
        <w:jc w:val="both"/>
        <w:rPr>
          <w:rFonts w:ascii="Times New Roman" w:hAnsi="Times New Roman" w:cs="Times New Roman"/>
          <w:color w:val="000000"/>
          <w:sz w:val="24"/>
          <w:szCs w:val="24"/>
          <w:lang w:eastAsia="lv-LV"/>
        </w:rPr>
      </w:pPr>
      <w:r w:rsidRPr="00B93C87">
        <w:rPr>
          <w:rFonts w:ascii="Times New Roman" w:hAnsi="Times New Roman" w:cs="Times New Roman"/>
          <w:color w:val="000000"/>
          <w:sz w:val="24"/>
          <w:szCs w:val="24"/>
          <w:lang w:eastAsia="lv-LV"/>
        </w:rPr>
        <w:t>ANO</w:t>
      </w:r>
      <w:r w:rsidRPr="00B93C87">
        <w:rPr>
          <w:rFonts w:ascii="Times New Roman" w:hAnsi="Times New Roman" w:cs="Times New Roman"/>
          <w:color w:val="000000"/>
          <w:sz w:val="24"/>
          <w:szCs w:val="24"/>
          <w:lang w:eastAsia="lv-LV"/>
        </w:rPr>
        <w:tab/>
      </w:r>
      <w:r w:rsidR="007752B0" w:rsidRPr="00B93C87">
        <w:rPr>
          <w:rFonts w:ascii="Times New Roman" w:hAnsi="Times New Roman" w:cs="Times New Roman"/>
          <w:iCs/>
          <w:color w:val="000000"/>
          <w:sz w:val="24"/>
          <w:szCs w:val="24"/>
          <w:lang w:eastAsia="lv-LV"/>
        </w:rPr>
        <w:t>Apvienoto Nāciju Organizācija</w:t>
      </w:r>
    </w:p>
    <w:p w:rsidR="003F78CC" w:rsidRPr="000047C9"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935B82">
        <w:rPr>
          <w:rFonts w:ascii="Times New Roman" w:hAnsi="Times New Roman" w:cs="Times New Roman"/>
          <w:color w:val="000000"/>
          <w:sz w:val="24"/>
          <w:szCs w:val="24"/>
          <w:lang w:eastAsia="lv-LV"/>
        </w:rPr>
        <w:t>ASV</w:t>
      </w:r>
      <w:r w:rsidRPr="00935B82">
        <w:rPr>
          <w:rFonts w:ascii="Times New Roman" w:hAnsi="Times New Roman" w:cs="Times New Roman"/>
          <w:color w:val="000000"/>
          <w:sz w:val="24"/>
          <w:szCs w:val="24"/>
          <w:lang w:eastAsia="lv-LV"/>
        </w:rPr>
        <w:tab/>
        <w:t>Amerikas Savienotās valstis</w:t>
      </w:r>
    </w:p>
    <w:p w:rsidR="003F78CC" w:rsidRPr="001877F8" w:rsidRDefault="00CE3B47" w:rsidP="004E0A34">
      <w:pPr>
        <w:tabs>
          <w:tab w:val="left" w:pos="1276"/>
          <w:tab w:val="left" w:pos="3544"/>
        </w:tabs>
        <w:spacing w:after="40" w:line="240" w:lineRule="auto"/>
        <w:ind w:left="3544" w:hanging="3544"/>
        <w:jc w:val="both"/>
        <w:rPr>
          <w:rFonts w:ascii="Times New Roman" w:hAnsi="Times New Roman"/>
          <w:sz w:val="24"/>
        </w:rPr>
      </w:pPr>
      <w:r w:rsidRPr="003F0A9C">
        <w:rPr>
          <w:rFonts w:ascii="Times New Roman" w:hAnsi="Times New Roman"/>
          <w:sz w:val="24"/>
        </w:rPr>
        <w:t>A</w:t>
      </w:r>
      <w:r w:rsidRPr="001877F8">
        <w:rPr>
          <w:rFonts w:ascii="Times New Roman" w:hAnsi="Times New Roman"/>
          <w:sz w:val="24"/>
        </w:rPr>
        <w:t xml:space="preserve">WG </w:t>
      </w:r>
      <w:r w:rsidRPr="001877F8">
        <w:rPr>
          <w:rFonts w:ascii="Times New Roman" w:hAnsi="Times New Roman"/>
          <w:sz w:val="24"/>
        </w:rPr>
        <w:tab/>
      </w:r>
      <w:r w:rsidRPr="001877F8">
        <w:rPr>
          <w:rFonts w:ascii="Times New Roman" w:hAnsi="Times New Roman"/>
          <w:sz w:val="24"/>
        </w:rPr>
        <w:tab/>
      </w:r>
      <w:r w:rsidR="003F78CC" w:rsidRPr="001877F8">
        <w:rPr>
          <w:rFonts w:ascii="Times New Roman" w:hAnsi="Times New Roman"/>
          <w:sz w:val="24"/>
        </w:rPr>
        <w:t>Ekonomikas politikas komitejas Sabiedrības novecošanās un valsts finanšu ilgtspējas darba grupa</w:t>
      </w:r>
    </w:p>
    <w:p w:rsidR="004E0D45" w:rsidRPr="00935B82" w:rsidRDefault="00262343" w:rsidP="004E0A34">
      <w:pPr>
        <w:tabs>
          <w:tab w:val="left" w:pos="1276"/>
          <w:tab w:val="left" w:pos="3544"/>
        </w:tabs>
        <w:spacing w:after="40" w:line="240" w:lineRule="auto"/>
        <w:ind w:left="3544" w:hanging="3544"/>
        <w:jc w:val="both"/>
        <w:rPr>
          <w:rFonts w:ascii="Times New Roman" w:hAnsi="Times New Roman" w:cs="Times New Roman"/>
          <w:sz w:val="24"/>
        </w:rPr>
      </w:pPr>
      <w:r w:rsidRPr="00935B82">
        <w:rPr>
          <w:rFonts w:ascii="Times New Roman" w:hAnsi="Times New Roman" w:cs="Times New Roman"/>
          <w:sz w:val="24"/>
        </w:rPr>
        <w:t>ĀTI</w:t>
      </w:r>
      <w:r w:rsidRPr="00935B82">
        <w:rPr>
          <w:rFonts w:ascii="Times New Roman" w:hAnsi="Times New Roman" w:cs="Times New Roman"/>
          <w:sz w:val="24"/>
        </w:rPr>
        <w:tab/>
      </w:r>
      <w:r w:rsidRPr="00935B82">
        <w:rPr>
          <w:rFonts w:ascii="Times New Roman" w:hAnsi="Times New Roman" w:cs="Times New Roman"/>
          <w:sz w:val="24"/>
        </w:rPr>
        <w:tab/>
      </w:r>
      <w:r w:rsidR="004E0D45" w:rsidRPr="00935B82">
        <w:rPr>
          <w:rFonts w:ascii="Times New Roman" w:hAnsi="Times New Roman" w:cs="Times New Roman"/>
          <w:sz w:val="24"/>
        </w:rPr>
        <w:t>Ārvalstu tiešās investīcijas</w:t>
      </w:r>
    </w:p>
    <w:p w:rsidR="003F78CC" w:rsidRPr="00044653" w:rsidRDefault="003F78CC" w:rsidP="004E0A34">
      <w:pPr>
        <w:tabs>
          <w:tab w:val="left" w:pos="3544"/>
        </w:tabs>
        <w:spacing w:after="40" w:line="240" w:lineRule="auto"/>
        <w:jc w:val="both"/>
        <w:rPr>
          <w:rFonts w:ascii="Times New Roman" w:hAnsi="Times New Roman" w:cs="Times New Roman"/>
          <w:color w:val="000000"/>
          <w:sz w:val="24"/>
        </w:rPr>
      </w:pPr>
      <w:r w:rsidRPr="00044653">
        <w:rPr>
          <w:rFonts w:ascii="Times New Roman" w:hAnsi="Times New Roman" w:cs="Times New Roman"/>
          <w:color w:val="000000"/>
          <w:sz w:val="24"/>
          <w:szCs w:val="24"/>
          <w:lang w:eastAsia="lv-LV"/>
        </w:rPr>
        <w:t xml:space="preserve">CSP </w:t>
      </w:r>
      <w:r w:rsidRPr="00044653">
        <w:rPr>
          <w:rFonts w:ascii="Times New Roman" w:hAnsi="Times New Roman" w:cs="Times New Roman"/>
          <w:color w:val="000000"/>
          <w:sz w:val="24"/>
          <w:szCs w:val="24"/>
          <w:lang w:eastAsia="lv-LV"/>
        </w:rPr>
        <w:tab/>
      </w:r>
      <w:r w:rsidRPr="00044653">
        <w:rPr>
          <w:rFonts w:ascii="Times New Roman" w:hAnsi="Times New Roman" w:cs="Times New Roman"/>
          <w:color w:val="000000"/>
          <w:sz w:val="24"/>
        </w:rPr>
        <w:t>Centrālā statistikas pārvalde</w:t>
      </w:r>
    </w:p>
    <w:p w:rsidR="003F78CC" w:rsidRPr="00FE22B6"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FE22B6">
        <w:rPr>
          <w:rFonts w:ascii="Times New Roman" w:hAnsi="Times New Roman" w:cs="Times New Roman"/>
          <w:color w:val="000000"/>
          <w:sz w:val="24"/>
          <w:szCs w:val="24"/>
          <w:lang w:eastAsia="lv-LV"/>
        </w:rPr>
        <w:t xml:space="preserve">EK </w:t>
      </w:r>
      <w:r w:rsidRPr="00FE22B6">
        <w:rPr>
          <w:rFonts w:ascii="Times New Roman" w:hAnsi="Times New Roman" w:cs="Times New Roman"/>
          <w:color w:val="000000"/>
          <w:sz w:val="24"/>
          <w:szCs w:val="24"/>
          <w:lang w:eastAsia="lv-LV"/>
        </w:rPr>
        <w:tab/>
        <w:t>Eiropas Komisija</w:t>
      </w:r>
    </w:p>
    <w:p w:rsidR="003F78CC" w:rsidRPr="00044653" w:rsidRDefault="00E42D7B"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color w:val="000000"/>
          <w:sz w:val="24"/>
          <w:szCs w:val="24"/>
          <w:lang w:eastAsia="lv-LV"/>
        </w:rPr>
        <w:t xml:space="preserve">EKS </w:t>
      </w:r>
      <w:r w:rsidR="00B958AE">
        <w:rPr>
          <w:rFonts w:ascii="Times New Roman" w:hAnsi="Times New Roman" w:cs="Times New Roman"/>
          <w:color w:val="000000"/>
          <w:sz w:val="24"/>
          <w:szCs w:val="24"/>
          <w:lang w:eastAsia="lv-LV"/>
        </w:rPr>
        <w:t>2010</w:t>
      </w:r>
      <w:r w:rsidRPr="00044653">
        <w:rPr>
          <w:rFonts w:ascii="Times New Roman" w:hAnsi="Times New Roman" w:cs="Times New Roman"/>
          <w:color w:val="000000"/>
          <w:sz w:val="24"/>
          <w:szCs w:val="24"/>
          <w:lang w:eastAsia="lv-LV"/>
        </w:rPr>
        <w:tab/>
        <w:t>Eiropas K</w:t>
      </w:r>
      <w:r w:rsidR="003F78CC" w:rsidRPr="00044653">
        <w:rPr>
          <w:rFonts w:ascii="Times New Roman" w:hAnsi="Times New Roman" w:cs="Times New Roman"/>
          <w:color w:val="000000"/>
          <w:sz w:val="24"/>
          <w:szCs w:val="24"/>
          <w:lang w:eastAsia="lv-LV"/>
        </w:rPr>
        <w:t>ontu sistēma</w:t>
      </w:r>
    </w:p>
    <w:p w:rsidR="003F78CC"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color w:val="000000"/>
          <w:sz w:val="24"/>
          <w:szCs w:val="24"/>
          <w:lang w:eastAsia="lv-LV"/>
        </w:rPr>
        <w:t xml:space="preserve">ES </w:t>
      </w:r>
      <w:r w:rsidRPr="00044653">
        <w:rPr>
          <w:rFonts w:ascii="Times New Roman" w:hAnsi="Times New Roman" w:cs="Times New Roman"/>
          <w:color w:val="000000"/>
          <w:sz w:val="24"/>
          <w:szCs w:val="24"/>
          <w:lang w:eastAsia="lv-LV"/>
        </w:rPr>
        <w:tab/>
        <w:t>Eiropas Savienība</w:t>
      </w:r>
    </w:p>
    <w:p w:rsidR="003F78CC" w:rsidRPr="00044653"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color w:val="000000"/>
          <w:sz w:val="24"/>
          <w:szCs w:val="24"/>
          <w:lang w:eastAsia="lv-LV"/>
        </w:rPr>
        <w:t xml:space="preserve">FM </w:t>
      </w:r>
      <w:r w:rsidRPr="00044653">
        <w:rPr>
          <w:rFonts w:ascii="Times New Roman" w:hAnsi="Times New Roman" w:cs="Times New Roman"/>
          <w:color w:val="000000"/>
          <w:sz w:val="24"/>
          <w:szCs w:val="24"/>
          <w:lang w:eastAsia="lv-LV"/>
        </w:rPr>
        <w:tab/>
      </w:r>
      <w:r w:rsidRPr="00044653">
        <w:rPr>
          <w:rFonts w:ascii="Times New Roman" w:hAnsi="Times New Roman" w:cs="Times New Roman"/>
          <w:sz w:val="24"/>
        </w:rPr>
        <w:t>Finanšu ministrija</w:t>
      </w:r>
    </w:p>
    <w:p w:rsidR="003F78CC"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color w:val="000000"/>
          <w:sz w:val="24"/>
          <w:szCs w:val="24"/>
          <w:lang w:eastAsia="lv-LV"/>
        </w:rPr>
        <w:t xml:space="preserve">FDL </w:t>
      </w:r>
      <w:r w:rsidRPr="00044653">
        <w:rPr>
          <w:rFonts w:ascii="Times New Roman" w:hAnsi="Times New Roman" w:cs="Times New Roman"/>
          <w:color w:val="000000"/>
          <w:sz w:val="24"/>
          <w:szCs w:val="24"/>
          <w:lang w:eastAsia="lv-LV"/>
        </w:rPr>
        <w:tab/>
        <w:t>Fiskālās disciplīnas likums</w:t>
      </w:r>
    </w:p>
    <w:p w:rsidR="00FE22B6" w:rsidRPr="00044653" w:rsidRDefault="00FE22B6" w:rsidP="004E0A34">
      <w:pPr>
        <w:tabs>
          <w:tab w:val="left" w:pos="3544"/>
        </w:tabs>
        <w:spacing w:after="40" w:line="240" w:lineRule="auto"/>
        <w:jc w:val="both"/>
        <w:rPr>
          <w:rFonts w:ascii="Times New Roman" w:hAnsi="Times New Roman" w:cs="Times New Roman"/>
          <w:color w:val="000000"/>
          <w:sz w:val="24"/>
          <w:szCs w:val="24"/>
          <w:lang w:eastAsia="lv-LV"/>
        </w:rPr>
      </w:pPr>
      <w:r w:rsidRPr="00B93C87">
        <w:rPr>
          <w:rFonts w:ascii="Times New Roman" w:hAnsi="Times New Roman" w:cs="Times New Roman"/>
          <w:color w:val="000000"/>
          <w:sz w:val="24"/>
          <w:szCs w:val="24"/>
          <w:lang w:eastAsia="lv-LV"/>
        </w:rPr>
        <w:t>FKTK</w:t>
      </w:r>
      <w:r w:rsidRPr="00B93C87">
        <w:rPr>
          <w:rFonts w:ascii="Times New Roman" w:hAnsi="Times New Roman" w:cs="Times New Roman"/>
          <w:color w:val="000000"/>
          <w:sz w:val="24"/>
          <w:szCs w:val="24"/>
          <w:lang w:eastAsia="lv-LV"/>
        </w:rPr>
        <w:tab/>
      </w:r>
      <w:r w:rsidRPr="00B93C87">
        <w:rPr>
          <w:rFonts w:ascii="Times New Roman" w:eastAsia="Times New Roman" w:hAnsi="Times New Roman" w:cs="Times New Roman"/>
          <w:color w:val="000000"/>
          <w:sz w:val="24"/>
          <w:szCs w:val="24"/>
          <w:lang w:eastAsia="lv-LV"/>
        </w:rPr>
        <w:t>Finanšu un kapitāla tirgus komisijas</w:t>
      </w:r>
    </w:p>
    <w:p w:rsidR="003F78CC" w:rsidRPr="001877F8" w:rsidRDefault="003F78CC" w:rsidP="004E0A34">
      <w:pPr>
        <w:tabs>
          <w:tab w:val="left" w:pos="3544"/>
        </w:tabs>
        <w:spacing w:after="40" w:line="240" w:lineRule="auto"/>
        <w:ind w:left="3544" w:hanging="3544"/>
        <w:jc w:val="both"/>
        <w:rPr>
          <w:rFonts w:ascii="Times New Roman" w:hAnsi="Times New Roman"/>
          <w:color w:val="000000" w:themeColor="text1"/>
          <w:sz w:val="24"/>
          <w:highlight w:val="yellow"/>
        </w:rPr>
      </w:pPr>
      <w:r w:rsidRPr="001877F8">
        <w:rPr>
          <w:rFonts w:ascii="Times New Roman" w:hAnsi="Times New Roman"/>
          <w:color w:val="000000" w:themeColor="text1"/>
          <w:sz w:val="24"/>
        </w:rPr>
        <w:t xml:space="preserve">Ietvara likums </w:t>
      </w:r>
      <w:r w:rsidRPr="001877F8">
        <w:rPr>
          <w:rFonts w:ascii="Times New Roman" w:hAnsi="Times New Roman"/>
          <w:color w:val="000000" w:themeColor="text1"/>
          <w:sz w:val="24"/>
        </w:rPr>
        <w:tab/>
        <w:t>Vidēja termiņa budžeta ietvara likums</w:t>
      </w:r>
    </w:p>
    <w:p w:rsidR="003F78CC" w:rsidRPr="00FE22B6"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FE22B6">
        <w:rPr>
          <w:rFonts w:ascii="Times New Roman" w:hAnsi="Times New Roman" w:cs="Times New Roman"/>
          <w:color w:val="000000"/>
          <w:sz w:val="24"/>
          <w:szCs w:val="24"/>
          <w:lang w:eastAsia="lv-LV"/>
        </w:rPr>
        <w:t>IIN</w:t>
      </w:r>
      <w:r w:rsidRPr="00FE22B6">
        <w:rPr>
          <w:rFonts w:ascii="Times New Roman" w:hAnsi="Times New Roman" w:cs="Times New Roman"/>
          <w:color w:val="000000"/>
          <w:sz w:val="24"/>
          <w:szCs w:val="24"/>
          <w:lang w:eastAsia="lv-LV"/>
        </w:rPr>
        <w:tab/>
        <w:t>Iedzīvotāju ienākumu nodoklis</w:t>
      </w:r>
    </w:p>
    <w:p w:rsidR="003F78CC" w:rsidRPr="00044653"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color w:val="000000"/>
          <w:sz w:val="24"/>
          <w:szCs w:val="24"/>
          <w:lang w:eastAsia="lv-LV"/>
        </w:rPr>
        <w:t xml:space="preserve">IKP </w:t>
      </w:r>
      <w:r w:rsidRPr="00044653">
        <w:rPr>
          <w:rFonts w:ascii="Times New Roman" w:hAnsi="Times New Roman" w:cs="Times New Roman"/>
          <w:color w:val="000000"/>
          <w:sz w:val="24"/>
          <w:szCs w:val="24"/>
          <w:lang w:eastAsia="lv-LV"/>
        </w:rPr>
        <w:tab/>
        <w:t>Iekšzemes kopprodukts</w:t>
      </w:r>
    </w:p>
    <w:p w:rsidR="003F78CC" w:rsidRPr="00044653"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color w:val="000000"/>
          <w:sz w:val="24"/>
          <w:szCs w:val="24"/>
          <w:lang w:eastAsia="lv-LV"/>
        </w:rPr>
        <w:t xml:space="preserve">LPS </w:t>
      </w:r>
      <w:r w:rsidRPr="00044653">
        <w:rPr>
          <w:rFonts w:ascii="Times New Roman" w:hAnsi="Times New Roman" w:cs="Times New Roman"/>
          <w:color w:val="000000"/>
          <w:sz w:val="24"/>
          <w:szCs w:val="24"/>
          <w:lang w:eastAsia="lv-LV"/>
        </w:rPr>
        <w:tab/>
        <w:t>Latvijas Pašvaldību savienība</w:t>
      </w:r>
    </w:p>
    <w:p w:rsidR="003F78CC" w:rsidRPr="00044653"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sz w:val="24"/>
          <w:szCs w:val="24"/>
        </w:rPr>
        <w:t xml:space="preserve">LBFV </w:t>
      </w:r>
      <w:r w:rsidRPr="00044653">
        <w:rPr>
          <w:rFonts w:ascii="Times New Roman" w:hAnsi="Times New Roman" w:cs="Times New Roman"/>
          <w:sz w:val="24"/>
          <w:szCs w:val="24"/>
        </w:rPr>
        <w:tab/>
        <w:t>Likums par budžetu un finanšu vadību</w:t>
      </w:r>
    </w:p>
    <w:p w:rsidR="003F78CC" w:rsidRPr="00044653"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color w:val="000000"/>
          <w:sz w:val="24"/>
          <w:szCs w:val="24"/>
          <w:lang w:eastAsia="lv-LV"/>
        </w:rPr>
        <w:t xml:space="preserve">MK </w:t>
      </w:r>
      <w:r w:rsidRPr="00044653">
        <w:rPr>
          <w:rFonts w:ascii="Times New Roman" w:hAnsi="Times New Roman" w:cs="Times New Roman"/>
          <w:color w:val="000000"/>
          <w:sz w:val="24"/>
          <w:szCs w:val="24"/>
          <w:lang w:eastAsia="lv-LV"/>
        </w:rPr>
        <w:tab/>
        <w:t>Ministru kabinets</w:t>
      </w:r>
    </w:p>
    <w:p w:rsidR="003F78CC" w:rsidRPr="001877F8" w:rsidRDefault="003F78CC" w:rsidP="004E0A34">
      <w:pPr>
        <w:tabs>
          <w:tab w:val="left" w:pos="3544"/>
          <w:tab w:val="left" w:pos="3570"/>
        </w:tabs>
        <w:spacing w:after="40" w:line="240" w:lineRule="auto"/>
        <w:jc w:val="both"/>
        <w:rPr>
          <w:rFonts w:ascii="Times New Roman" w:hAnsi="Times New Roman"/>
          <w:color w:val="000000"/>
          <w:sz w:val="24"/>
          <w:highlight w:val="yellow"/>
        </w:rPr>
      </w:pPr>
      <w:r w:rsidRPr="001877F8">
        <w:rPr>
          <w:rFonts w:ascii="Times New Roman" w:hAnsi="Times New Roman"/>
          <w:color w:val="000000"/>
          <w:sz w:val="24"/>
        </w:rPr>
        <w:t>NAP</w:t>
      </w:r>
      <w:r w:rsidR="00CE3B47" w:rsidRPr="001877F8">
        <w:rPr>
          <w:rFonts w:ascii="Times New Roman" w:hAnsi="Times New Roman"/>
          <w:color w:val="000000"/>
          <w:sz w:val="24"/>
        </w:rPr>
        <w:t xml:space="preserve"> 2020</w:t>
      </w:r>
      <w:r w:rsidRPr="001877F8">
        <w:rPr>
          <w:rFonts w:ascii="Times New Roman" w:hAnsi="Times New Roman"/>
          <w:color w:val="000000"/>
          <w:sz w:val="24"/>
        </w:rPr>
        <w:tab/>
        <w:t xml:space="preserve">Nacionālās attīstības plāns </w:t>
      </w:r>
      <w:r w:rsidRPr="001877F8">
        <w:rPr>
          <w:rFonts w:ascii="Times New Roman" w:hAnsi="Times New Roman"/>
          <w:sz w:val="24"/>
        </w:rPr>
        <w:t>2014.-2020.gadam</w:t>
      </w:r>
    </w:p>
    <w:p w:rsidR="004D308F" w:rsidRDefault="004D308F" w:rsidP="004E0A34">
      <w:pPr>
        <w:tabs>
          <w:tab w:val="left" w:pos="3544"/>
          <w:tab w:val="left" w:pos="3585"/>
        </w:tabs>
        <w:spacing w:after="40" w:line="240" w:lineRule="auto"/>
        <w:ind w:left="3537" w:hanging="3537"/>
        <w:jc w:val="both"/>
        <w:rPr>
          <w:rFonts w:ascii="Times New Roman" w:hAnsi="Times New Roman" w:cs="Times New Roman"/>
          <w:color w:val="000000"/>
          <w:sz w:val="24"/>
          <w:szCs w:val="24"/>
          <w:lang w:eastAsia="lv-LV"/>
        </w:rPr>
      </w:pPr>
      <w:r w:rsidRPr="00935B82">
        <w:rPr>
          <w:rFonts w:ascii="Times New Roman" w:hAnsi="Times New Roman" w:cs="Times New Roman"/>
          <w:sz w:val="24"/>
          <w:szCs w:val="24"/>
        </w:rPr>
        <w:t>OECD</w:t>
      </w:r>
      <w:r w:rsidRPr="00935B82">
        <w:rPr>
          <w:rFonts w:ascii="Times New Roman" w:hAnsi="Times New Roman" w:cs="Times New Roman"/>
          <w:sz w:val="24"/>
          <w:szCs w:val="24"/>
        </w:rPr>
        <w:tab/>
      </w:r>
      <w:r w:rsidRPr="00935B82">
        <w:rPr>
          <w:rFonts w:ascii="Times New Roman" w:hAnsi="Times New Roman" w:cs="Times New Roman"/>
          <w:color w:val="000000"/>
          <w:sz w:val="24"/>
          <w:szCs w:val="24"/>
          <w:lang w:eastAsia="lv-LV"/>
        </w:rPr>
        <w:t xml:space="preserve">Ekonomiskās sadarbības un attīstības organizācija </w:t>
      </w:r>
    </w:p>
    <w:p w:rsidR="00D340C6" w:rsidRDefault="00D340C6" w:rsidP="004E0A34">
      <w:pPr>
        <w:tabs>
          <w:tab w:val="left" w:pos="3544"/>
          <w:tab w:val="left" w:pos="3585"/>
        </w:tabs>
        <w:spacing w:after="40" w:line="240" w:lineRule="auto"/>
        <w:ind w:left="3537" w:hanging="3537"/>
        <w:jc w:val="both"/>
        <w:rPr>
          <w:rFonts w:ascii="Times New Roman" w:hAnsi="Times New Roman" w:cs="Times New Roman"/>
          <w:color w:val="000000"/>
          <w:sz w:val="24"/>
          <w:szCs w:val="24"/>
          <w:lang w:eastAsia="lv-LV"/>
        </w:rPr>
      </w:pPr>
      <w:r w:rsidRPr="00B93C87">
        <w:rPr>
          <w:rFonts w:ascii="Times New Roman" w:hAnsi="Times New Roman" w:cs="Times New Roman"/>
          <w:sz w:val="24"/>
          <w:szCs w:val="24"/>
        </w:rPr>
        <w:t>OIK</w:t>
      </w:r>
      <w:r w:rsidRPr="00B93C87">
        <w:rPr>
          <w:rFonts w:ascii="Times New Roman" w:hAnsi="Times New Roman" w:cs="Times New Roman"/>
          <w:sz w:val="24"/>
          <w:szCs w:val="24"/>
        </w:rPr>
        <w:tab/>
        <w:t>Obligātās iepirkumu kompenentes</w:t>
      </w:r>
    </w:p>
    <w:p w:rsidR="00FE22B6" w:rsidRPr="00935B82" w:rsidRDefault="00B93C87" w:rsidP="004E0A34">
      <w:pPr>
        <w:tabs>
          <w:tab w:val="left" w:pos="3544"/>
          <w:tab w:val="left" w:pos="3585"/>
        </w:tabs>
        <w:spacing w:after="40" w:line="240" w:lineRule="auto"/>
        <w:ind w:left="3537" w:hanging="3537"/>
        <w:jc w:val="both"/>
        <w:rPr>
          <w:rFonts w:ascii="Times New Roman" w:hAnsi="Times New Roman" w:cs="Times New Roman"/>
          <w:sz w:val="24"/>
          <w:szCs w:val="24"/>
        </w:rPr>
      </w:pPr>
      <w:r w:rsidRPr="00B93C87">
        <w:rPr>
          <w:rFonts w:ascii="Times New Roman" w:hAnsi="Times New Roman" w:cs="Times New Roman"/>
          <w:sz w:val="24"/>
          <w:szCs w:val="24"/>
        </w:rPr>
        <w:t>OPEC</w:t>
      </w:r>
      <w:r w:rsidR="00FE22B6" w:rsidRPr="00B93C87">
        <w:rPr>
          <w:rFonts w:ascii="Times New Roman" w:hAnsi="Times New Roman" w:cs="Times New Roman"/>
          <w:sz w:val="24"/>
          <w:szCs w:val="24"/>
        </w:rPr>
        <w:tab/>
      </w:r>
      <w:r w:rsidR="00FE22B6" w:rsidRPr="00B93C87">
        <w:rPr>
          <w:rFonts w:ascii="Times New Roman" w:eastAsia="Times New Roman" w:hAnsi="Times New Roman" w:cs="Times New Roman"/>
          <w:color w:val="000000"/>
          <w:sz w:val="24"/>
          <w:szCs w:val="24"/>
          <w:lang w:eastAsia="lv-LV"/>
        </w:rPr>
        <w:t>Naftas eksportētājvalstu organizācija</w:t>
      </w:r>
    </w:p>
    <w:p w:rsidR="004D308F" w:rsidRPr="001877F8" w:rsidRDefault="004D308F" w:rsidP="004E0A34">
      <w:pPr>
        <w:tabs>
          <w:tab w:val="left" w:pos="3544"/>
          <w:tab w:val="left" w:pos="3585"/>
        </w:tabs>
        <w:spacing w:after="40" w:line="240" w:lineRule="auto"/>
        <w:jc w:val="both"/>
        <w:rPr>
          <w:rFonts w:ascii="Times New Roman" w:hAnsi="Times New Roman"/>
          <w:sz w:val="24"/>
        </w:rPr>
      </w:pPr>
      <w:r w:rsidRPr="001877F8">
        <w:rPr>
          <w:rFonts w:ascii="Times New Roman" w:hAnsi="Times New Roman"/>
          <w:sz w:val="24"/>
        </w:rPr>
        <w:t>PCI</w:t>
      </w:r>
      <w:r w:rsidRPr="001877F8">
        <w:rPr>
          <w:rFonts w:ascii="Times New Roman" w:hAnsi="Times New Roman"/>
          <w:sz w:val="24"/>
        </w:rPr>
        <w:tab/>
        <w:t>Patēriņa cenu indekss</w:t>
      </w:r>
    </w:p>
    <w:p w:rsidR="003F78CC" w:rsidRPr="00FE22B6" w:rsidRDefault="003F78CC" w:rsidP="004E0A34">
      <w:pPr>
        <w:tabs>
          <w:tab w:val="left" w:pos="3544"/>
          <w:tab w:val="left" w:pos="3585"/>
        </w:tabs>
        <w:spacing w:after="40" w:line="240" w:lineRule="auto"/>
        <w:jc w:val="both"/>
        <w:rPr>
          <w:rFonts w:ascii="Times New Roman" w:hAnsi="Times New Roman" w:cs="Times New Roman"/>
          <w:sz w:val="24"/>
          <w:szCs w:val="24"/>
        </w:rPr>
      </w:pPr>
      <w:r w:rsidRPr="00FE22B6">
        <w:rPr>
          <w:rFonts w:ascii="Times New Roman" w:hAnsi="Times New Roman" w:cs="Times New Roman"/>
          <w:sz w:val="24"/>
          <w:szCs w:val="24"/>
        </w:rPr>
        <w:t>PVN</w:t>
      </w:r>
      <w:r w:rsidRPr="00FE22B6">
        <w:rPr>
          <w:rFonts w:ascii="Times New Roman" w:hAnsi="Times New Roman" w:cs="Times New Roman"/>
          <w:sz w:val="24"/>
          <w:szCs w:val="24"/>
        </w:rPr>
        <w:tab/>
        <w:t>Pievienotās vērtības nodoklis</w:t>
      </w:r>
    </w:p>
    <w:p w:rsidR="004E0D45" w:rsidRPr="001877F8" w:rsidRDefault="004E0D45" w:rsidP="004E0A34">
      <w:pPr>
        <w:tabs>
          <w:tab w:val="left" w:pos="3544"/>
        </w:tabs>
        <w:spacing w:after="40" w:line="240" w:lineRule="auto"/>
        <w:ind w:left="3544" w:hanging="3544"/>
        <w:jc w:val="both"/>
        <w:rPr>
          <w:rFonts w:ascii="Times New Roman" w:hAnsi="Times New Roman"/>
          <w:color w:val="000000"/>
          <w:sz w:val="24"/>
          <w:highlight w:val="yellow"/>
        </w:rPr>
      </w:pPr>
      <w:r w:rsidRPr="001877F8">
        <w:rPr>
          <w:rFonts w:ascii="Times New Roman" w:hAnsi="Times New Roman"/>
          <w:sz w:val="24"/>
        </w:rPr>
        <w:t>PZDG</w:t>
      </w:r>
      <w:r w:rsidRPr="001877F8">
        <w:rPr>
          <w:rFonts w:ascii="Times New Roman" w:hAnsi="Times New Roman"/>
          <w:sz w:val="24"/>
        </w:rPr>
        <w:tab/>
        <w:t>Potenciāli zaudētie dzīves gadi</w:t>
      </w:r>
    </w:p>
    <w:p w:rsidR="003F78CC" w:rsidRPr="00B93C87" w:rsidRDefault="003F78CC" w:rsidP="004E0A34">
      <w:pPr>
        <w:tabs>
          <w:tab w:val="left" w:pos="3544"/>
          <w:tab w:val="left" w:pos="3570"/>
        </w:tabs>
        <w:spacing w:after="40" w:line="240" w:lineRule="auto"/>
        <w:ind w:left="3544" w:hanging="3544"/>
        <w:jc w:val="both"/>
        <w:rPr>
          <w:rFonts w:ascii="Times New Roman" w:hAnsi="Times New Roman" w:cs="Times New Roman"/>
          <w:color w:val="000000"/>
          <w:sz w:val="24"/>
        </w:rPr>
      </w:pPr>
      <w:r w:rsidRPr="00B93C87">
        <w:rPr>
          <w:rFonts w:ascii="Times New Roman" w:hAnsi="Times New Roman" w:cs="Times New Roman"/>
          <w:color w:val="000000"/>
          <w:sz w:val="24"/>
        </w:rPr>
        <w:t xml:space="preserve">Regula </w:t>
      </w:r>
      <w:r w:rsidR="00B93C87" w:rsidRPr="00B93C87">
        <w:rPr>
          <w:rFonts w:ascii="Times New Roman" w:hAnsi="Times New Roman" w:cs="Times New Roman"/>
          <w:color w:val="000000"/>
          <w:sz w:val="24"/>
        </w:rPr>
        <w:t>Nr. 1175/2011</w:t>
      </w:r>
      <w:r w:rsidRPr="00B93C87">
        <w:rPr>
          <w:rFonts w:ascii="Times New Roman" w:hAnsi="Times New Roman" w:cs="Times New Roman"/>
          <w:color w:val="000000"/>
          <w:sz w:val="24"/>
        </w:rPr>
        <w:tab/>
        <w:t>Eiropas Parlamenta un Padomes regula (ES) Nr. 1175/2011 (2011. gada 16. novembris), ar ko groza Padomes Regulu (EK) Nr. 1466/97 par budžeta stāvokļa uzraudzības un ekonomikas politikas uzraudzības un koordinācijas stiprināšanu</w:t>
      </w:r>
    </w:p>
    <w:p w:rsidR="003F78CC" w:rsidRPr="00044653" w:rsidRDefault="003F78CC" w:rsidP="004E0A34">
      <w:pPr>
        <w:tabs>
          <w:tab w:val="left" w:pos="3544"/>
        </w:tabs>
        <w:spacing w:after="40" w:line="240" w:lineRule="auto"/>
        <w:jc w:val="both"/>
        <w:rPr>
          <w:rFonts w:ascii="Times New Roman" w:hAnsi="Times New Roman" w:cs="Times New Roman"/>
          <w:sz w:val="24"/>
          <w:szCs w:val="24"/>
        </w:rPr>
      </w:pPr>
      <w:r w:rsidRPr="00044653">
        <w:rPr>
          <w:rFonts w:ascii="Times New Roman" w:hAnsi="Times New Roman" w:cs="Times New Roman"/>
          <w:sz w:val="24"/>
          <w:szCs w:val="24"/>
        </w:rPr>
        <w:t>UIN</w:t>
      </w:r>
      <w:r w:rsidRPr="00044653">
        <w:rPr>
          <w:rFonts w:ascii="Times New Roman" w:hAnsi="Times New Roman" w:cs="Times New Roman"/>
          <w:sz w:val="24"/>
          <w:szCs w:val="24"/>
        </w:rPr>
        <w:tab/>
        <w:t>Uzņēmumu ieņēmumu nodoklis</w:t>
      </w:r>
    </w:p>
    <w:p w:rsidR="00F00EDA" w:rsidRPr="001877F8" w:rsidRDefault="00F00EDA" w:rsidP="004E0A34">
      <w:pPr>
        <w:tabs>
          <w:tab w:val="left" w:pos="3544"/>
        </w:tabs>
        <w:spacing w:after="40" w:line="240" w:lineRule="auto"/>
        <w:jc w:val="both"/>
        <w:rPr>
          <w:rFonts w:ascii="Times New Roman" w:hAnsi="Times New Roman"/>
          <w:sz w:val="24"/>
        </w:rPr>
      </w:pPr>
      <w:r w:rsidRPr="001877F8">
        <w:rPr>
          <w:rFonts w:ascii="Times New Roman" w:hAnsi="Times New Roman"/>
          <w:sz w:val="24"/>
        </w:rPr>
        <w:t>SIP</w:t>
      </w:r>
      <w:r w:rsidRPr="001877F8">
        <w:rPr>
          <w:rFonts w:ascii="Times New Roman" w:hAnsi="Times New Roman"/>
          <w:sz w:val="24"/>
        </w:rPr>
        <w:tab/>
        <w:t>Stabilitātes un izaugsmes pakts</w:t>
      </w:r>
    </w:p>
    <w:p w:rsidR="003F78CC" w:rsidRPr="00935B82"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935B82">
        <w:rPr>
          <w:rFonts w:ascii="Times New Roman" w:hAnsi="Times New Roman" w:cs="Times New Roman"/>
          <w:color w:val="000000"/>
          <w:sz w:val="24"/>
          <w:szCs w:val="24"/>
          <w:lang w:eastAsia="lv-LV"/>
        </w:rPr>
        <w:t xml:space="preserve">SVF </w:t>
      </w:r>
      <w:r w:rsidRPr="00935B82">
        <w:rPr>
          <w:rFonts w:ascii="Times New Roman" w:hAnsi="Times New Roman" w:cs="Times New Roman"/>
          <w:color w:val="000000"/>
          <w:sz w:val="24"/>
          <w:szCs w:val="24"/>
          <w:lang w:eastAsia="lv-LV"/>
        </w:rPr>
        <w:tab/>
        <w:t>Starptautiskais valūtas fonds</w:t>
      </w:r>
    </w:p>
    <w:p w:rsidR="003F78CC" w:rsidRPr="00044653" w:rsidRDefault="003F78CC" w:rsidP="004E0A34">
      <w:pPr>
        <w:tabs>
          <w:tab w:val="left" w:pos="3544"/>
        </w:tabs>
        <w:spacing w:after="40" w:line="240" w:lineRule="auto"/>
        <w:jc w:val="both"/>
        <w:rPr>
          <w:rFonts w:ascii="Times New Roman" w:hAnsi="Times New Roman" w:cs="Times New Roman"/>
          <w:color w:val="000000"/>
          <w:sz w:val="24"/>
          <w:szCs w:val="24"/>
          <w:lang w:eastAsia="lv-LV"/>
        </w:rPr>
      </w:pPr>
      <w:r w:rsidRPr="00044653">
        <w:rPr>
          <w:rFonts w:ascii="Times New Roman" w:hAnsi="Times New Roman" w:cs="Times New Roman"/>
          <w:color w:val="000000"/>
          <w:sz w:val="24"/>
          <w:szCs w:val="24"/>
          <w:lang w:eastAsia="lv-LV"/>
        </w:rPr>
        <w:t xml:space="preserve">VID </w:t>
      </w:r>
      <w:r w:rsidRPr="00044653">
        <w:rPr>
          <w:rFonts w:ascii="Times New Roman" w:hAnsi="Times New Roman" w:cs="Times New Roman"/>
          <w:color w:val="000000"/>
          <w:sz w:val="24"/>
          <w:szCs w:val="24"/>
          <w:lang w:eastAsia="lv-LV"/>
        </w:rPr>
        <w:tab/>
        <w:t>Valsts ieņēmumu dienests</w:t>
      </w:r>
    </w:p>
    <w:p w:rsidR="003F78CC" w:rsidRPr="00044653" w:rsidRDefault="003F78CC" w:rsidP="004E0A34">
      <w:pPr>
        <w:tabs>
          <w:tab w:val="left" w:pos="3544"/>
        </w:tabs>
        <w:spacing w:after="40" w:line="240" w:lineRule="auto"/>
        <w:jc w:val="both"/>
        <w:rPr>
          <w:rFonts w:ascii="Times New Roman" w:hAnsi="Times New Roman" w:cs="Times New Roman"/>
          <w:sz w:val="24"/>
          <w:szCs w:val="24"/>
        </w:rPr>
      </w:pPr>
      <w:r w:rsidRPr="00044653">
        <w:rPr>
          <w:rFonts w:ascii="Times New Roman" w:hAnsi="Times New Roman" w:cs="Times New Roman"/>
          <w:sz w:val="24"/>
          <w:szCs w:val="24"/>
        </w:rPr>
        <w:t xml:space="preserve">VK </w:t>
      </w:r>
      <w:r w:rsidRPr="00044653">
        <w:rPr>
          <w:rFonts w:ascii="Times New Roman" w:hAnsi="Times New Roman" w:cs="Times New Roman"/>
          <w:sz w:val="24"/>
          <w:szCs w:val="24"/>
        </w:rPr>
        <w:tab/>
        <w:t>Valsts kase</w:t>
      </w:r>
    </w:p>
    <w:p w:rsidR="003F78CC" w:rsidRPr="001877F8" w:rsidRDefault="003F78CC" w:rsidP="004E0A34">
      <w:pPr>
        <w:tabs>
          <w:tab w:val="left" w:pos="3544"/>
        </w:tabs>
        <w:spacing w:after="40" w:line="240" w:lineRule="auto"/>
        <w:ind w:left="3544" w:hanging="3544"/>
        <w:jc w:val="both"/>
        <w:rPr>
          <w:rFonts w:ascii="Times New Roman" w:hAnsi="Times New Roman" w:cs="Times New Roman"/>
          <w:color w:val="000000"/>
          <w:sz w:val="24"/>
        </w:rPr>
      </w:pPr>
      <w:r w:rsidRPr="001877F8">
        <w:rPr>
          <w:rFonts w:ascii="Times New Roman" w:hAnsi="Times New Roman"/>
          <w:color w:val="000000"/>
          <w:sz w:val="24"/>
        </w:rPr>
        <w:t xml:space="preserve">VTM </w:t>
      </w:r>
      <w:r w:rsidRPr="001877F8">
        <w:rPr>
          <w:rFonts w:ascii="Times New Roman" w:hAnsi="Times New Roman"/>
          <w:color w:val="000000"/>
          <w:sz w:val="24"/>
        </w:rPr>
        <w:tab/>
        <w:t>Vidēja termiņa budžeta bilances mērķis strukturālā izteiksmē</w:t>
      </w:r>
    </w:p>
    <w:p w:rsidR="001210E9" w:rsidRPr="001877F8" w:rsidRDefault="001210E9" w:rsidP="004E0A34">
      <w:pPr>
        <w:tabs>
          <w:tab w:val="left" w:pos="3544"/>
        </w:tabs>
        <w:spacing w:after="40" w:line="240" w:lineRule="auto"/>
        <w:ind w:left="3544" w:hanging="3544"/>
        <w:jc w:val="both"/>
        <w:rPr>
          <w:rFonts w:ascii="Times New Roman" w:hAnsi="Times New Roman"/>
          <w:color w:val="000000"/>
          <w:sz w:val="24"/>
        </w:rPr>
      </w:pPr>
      <w:r w:rsidRPr="001877F8">
        <w:rPr>
          <w:rFonts w:ascii="Times New Roman" w:hAnsi="Times New Roman"/>
          <w:color w:val="000000"/>
          <w:sz w:val="24"/>
        </w:rPr>
        <w:t>VHC</w:t>
      </w:r>
      <w:r w:rsidRPr="001877F8">
        <w:rPr>
          <w:rFonts w:ascii="Times New Roman" w:hAnsi="Times New Roman"/>
          <w:color w:val="000000"/>
          <w:sz w:val="24"/>
        </w:rPr>
        <w:tab/>
        <w:t>Vīruss hepatīts C</w:t>
      </w:r>
    </w:p>
    <w:p w:rsidR="00E829CD" w:rsidRPr="00B93C87" w:rsidRDefault="00E829CD" w:rsidP="004E0A34">
      <w:pPr>
        <w:tabs>
          <w:tab w:val="left" w:pos="3544"/>
        </w:tabs>
        <w:spacing w:after="40" w:line="240" w:lineRule="auto"/>
        <w:ind w:left="3544" w:hanging="3544"/>
        <w:jc w:val="both"/>
        <w:rPr>
          <w:rFonts w:ascii="Times New Roman" w:hAnsi="Times New Roman" w:cs="Times New Roman"/>
          <w:color w:val="000000"/>
          <w:sz w:val="24"/>
        </w:rPr>
      </w:pPr>
      <w:r w:rsidRPr="00B93C87">
        <w:rPr>
          <w:rFonts w:ascii="Times New Roman" w:hAnsi="Times New Roman" w:cs="Times New Roman"/>
          <w:color w:val="000000"/>
          <w:sz w:val="24"/>
        </w:rPr>
        <w:t>VTM SIP</w:t>
      </w:r>
      <w:r w:rsidRPr="00B93C87">
        <w:rPr>
          <w:rFonts w:ascii="Times New Roman" w:hAnsi="Times New Roman" w:cs="Times New Roman"/>
          <w:color w:val="000000"/>
          <w:sz w:val="24"/>
        </w:rPr>
        <w:tab/>
        <w:t>Vidēja termiņa budžeta bilances mērķis SIP izpratnē</w:t>
      </w:r>
    </w:p>
    <w:p w:rsidR="00D51057" w:rsidRPr="007752B0" w:rsidRDefault="00D51057" w:rsidP="004E0A34">
      <w:pPr>
        <w:tabs>
          <w:tab w:val="left" w:pos="3544"/>
        </w:tabs>
        <w:spacing w:after="40" w:line="240" w:lineRule="auto"/>
        <w:ind w:left="3544" w:hanging="3544"/>
        <w:jc w:val="both"/>
        <w:rPr>
          <w:rFonts w:ascii="Times New Roman" w:hAnsi="Times New Roman" w:cs="Times New Roman"/>
          <w:color w:val="000000"/>
          <w:sz w:val="24"/>
        </w:rPr>
      </w:pPr>
      <w:r w:rsidRPr="007752B0">
        <w:rPr>
          <w:rFonts w:ascii="Times New Roman" w:hAnsi="Times New Roman" w:cs="Times New Roman"/>
          <w:color w:val="000000"/>
          <w:sz w:val="24"/>
        </w:rPr>
        <w:t>VSAOI</w:t>
      </w:r>
      <w:r w:rsidRPr="007752B0">
        <w:rPr>
          <w:rFonts w:ascii="Times New Roman" w:hAnsi="Times New Roman" w:cs="Times New Roman"/>
          <w:color w:val="000000"/>
          <w:sz w:val="24"/>
        </w:rPr>
        <w:tab/>
        <w:t>Valsts sociālās apdrošināšanas obligātās iemaksas</w:t>
      </w:r>
    </w:p>
    <w:p w:rsidR="003F78CC" w:rsidRPr="00F51615" w:rsidRDefault="003F78CC" w:rsidP="00D51057">
      <w:pPr>
        <w:spacing w:after="0" w:line="240" w:lineRule="auto"/>
        <w:ind w:left="3544" w:hanging="3544"/>
        <w:jc w:val="both"/>
        <w:rPr>
          <w:rFonts w:ascii="Times New Roman" w:hAnsi="Times New Roman" w:cs="Times New Roman"/>
          <w:color w:val="000000"/>
        </w:rPr>
      </w:pPr>
      <w:r w:rsidRPr="00F51615">
        <w:rPr>
          <w:rFonts w:ascii="Times New Roman" w:hAnsi="Times New Roman" w:cs="Times New Roman"/>
          <w:color w:val="000000"/>
        </w:rPr>
        <w:br w:type="page"/>
      </w:r>
    </w:p>
    <w:p w:rsidR="003F78CC" w:rsidRDefault="003F78CC" w:rsidP="00F74C66">
      <w:pPr>
        <w:pStyle w:val="Heading1"/>
        <w:numPr>
          <w:ilvl w:val="0"/>
          <w:numId w:val="1"/>
        </w:numPr>
        <w:spacing w:before="0" w:after="0" w:line="240" w:lineRule="auto"/>
        <w:ind w:left="284" w:hanging="283"/>
        <w:jc w:val="center"/>
        <w:rPr>
          <w:rFonts w:ascii="Times New Roman" w:hAnsi="Times New Roman" w:cs="Times New Roman"/>
          <w:sz w:val="32"/>
        </w:rPr>
      </w:pPr>
      <w:bookmarkStart w:id="1" w:name="_Toc510790650"/>
      <w:bookmarkStart w:id="2" w:name="_Toc511027810"/>
      <w:r w:rsidRPr="00F51615">
        <w:rPr>
          <w:rFonts w:ascii="Times New Roman" w:hAnsi="Times New Roman" w:cs="Times New Roman"/>
          <w:sz w:val="32"/>
        </w:rPr>
        <w:lastRenderedPageBreak/>
        <w:t>Vispārējās ekonomiskās politikas vadlīnijas un mērķi</w:t>
      </w:r>
      <w:bookmarkEnd w:id="1"/>
      <w:bookmarkEnd w:id="2"/>
    </w:p>
    <w:p w:rsidR="00CF7805" w:rsidRDefault="00CF7805" w:rsidP="00CF7805">
      <w:pPr>
        <w:jc w:val="both"/>
      </w:pPr>
    </w:p>
    <w:p w:rsidR="00461360" w:rsidRPr="00F14E08" w:rsidRDefault="00461360" w:rsidP="00461360">
      <w:pPr>
        <w:spacing w:before="120" w:after="0" w:line="240" w:lineRule="auto"/>
        <w:ind w:firstLine="720"/>
        <w:jc w:val="both"/>
        <w:rPr>
          <w:rFonts w:ascii="Times New Roman" w:hAnsi="Times New Roman" w:cs="Times New Roman"/>
          <w:sz w:val="24"/>
          <w:szCs w:val="24"/>
        </w:rPr>
      </w:pPr>
      <w:r w:rsidRPr="00F14E08">
        <w:rPr>
          <w:rFonts w:ascii="Times New Roman" w:hAnsi="Times New Roman" w:cs="Times New Roman"/>
          <w:sz w:val="24"/>
          <w:szCs w:val="24"/>
        </w:rPr>
        <w:t>Latvijas Stabilitātes programma ir vidēja termiņa politikas dokuments, kas raksturo Latvijas fiskālo politiku 201</w:t>
      </w:r>
      <w:r>
        <w:rPr>
          <w:rFonts w:ascii="Times New Roman" w:hAnsi="Times New Roman" w:cs="Times New Roman"/>
          <w:sz w:val="24"/>
          <w:szCs w:val="24"/>
        </w:rPr>
        <w:t>8</w:t>
      </w:r>
      <w:r w:rsidRPr="00F14E08">
        <w:rPr>
          <w:rFonts w:ascii="Times New Roman" w:hAnsi="Times New Roman" w:cs="Times New Roman"/>
          <w:sz w:val="24"/>
          <w:szCs w:val="24"/>
        </w:rPr>
        <w:t>.</w:t>
      </w:r>
      <w:r w:rsidR="000B207A" w:rsidRPr="000B207A">
        <w:t xml:space="preserve"> </w:t>
      </w:r>
      <w:r w:rsidR="000B207A" w:rsidRPr="000B207A">
        <w:rPr>
          <w:rFonts w:ascii="Times New Roman" w:hAnsi="Times New Roman" w:cs="Times New Roman"/>
          <w:sz w:val="24"/>
          <w:szCs w:val="24"/>
        </w:rPr>
        <w:t>–</w:t>
      </w:r>
      <w:r w:rsidR="000B207A">
        <w:rPr>
          <w:rFonts w:ascii="Times New Roman" w:hAnsi="Times New Roman" w:cs="Times New Roman"/>
          <w:sz w:val="24"/>
          <w:szCs w:val="24"/>
        </w:rPr>
        <w:t xml:space="preserve"> </w:t>
      </w:r>
      <w:r w:rsidRPr="00F14E08">
        <w:rPr>
          <w:rFonts w:ascii="Times New Roman" w:hAnsi="Times New Roman" w:cs="Times New Roman"/>
          <w:sz w:val="24"/>
          <w:szCs w:val="24"/>
        </w:rPr>
        <w:t xml:space="preserve">2020.gadam un ir sagatavots, vadoties pēc SIP ieviešanas nosacījumiem un vadlīnijām, un tiek sagatavota saskaņā ar Padomes 1997.gada 7.jūlija Regulas (EK) Nr. </w:t>
      </w:r>
      <w:hyperlink r:id="rId10" w:tgtFrame="_blank" w:history="1">
        <w:r w:rsidRPr="00F14E08">
          <w:rPr>
            <w:rFonts w:ascii="Times New Roman" w:hAnsi="Times New Roman" w:cs="Times New Roman"/>
            <w:sz w:val="24"/>
            <w:szCs w:val="24"/>
          </w:rPr>
          <w:t>1466/97</w:t>
        </w:r>
      </w:hyperlink>
      <w:r w:rsidRPr="00F14E08">
        <w:rPr>
          <w:rFonts w:ascii="Times New Roman" w:hAnsi="Times New Roman" w:cs="Times New Roman"/>
          <w:sz w:val="24"/>
          <w:szCs w:val="24"/>
        </w:rPr>
        <w:t xml:space="preserve"> par budžeta stāvokļa uzraudzības un ekonomikas politikas uzraudzības un koordinācijas stiprināšanu prasībām. LBFV 28.pants nosaka, ka MK līdz kārtējā gada 15.aprīlim iesniedz Saeimai Latvijas Stabilitātes programmu.</w:t>
      </w:r>
    </w:p>
    <w:p w:rsidR="00461360" w:rsidRPr="00F14E08" w:rsidRDefault="00461360" w:rsidP="00461360">
      <w:pPr>
        <w:spacing w:after="0" w:line="240" w:lineRule="auto"/>
        <w:ind w:firstLine="720"/>
        <w:jc w:val="both"/>
        <w:rPr>
          <w:rFonts w:ascii="Times New Roman" w:eastAsia="Calibri" w:hAnsi="Times New Roman" w:cs="Times New Roman"/>
          <w:sz w:val="24"/>
        </w:rPr>
      </w:pPr>
      <w:r w:rsidRPr="00F14E08">
        <w:rPr>
          <w:rFonts w:ascii="Times New Roman" w:eastAsia="Calibri" w:hAnsi="Times New Roman" w:cs="Times New Roman"/>
          <w:sz w:val="24"/>
        </w:rPr>
        <w:t xml:space="preserve">Pēc ekonomiskās izaugsmes sabremzēšanās 2016.gadā līdz 2,2%, Latvijas IKP pieauguma temps 2017.gadā ir būtiski paātrinājies, sasniedzot 4,5%, kas ir straujākais kāpums kopš 2011.gada. Ekonomiskās izaugsmes paātrināšanos 2017.gadā pamatā nodrošināja augošais ārējais pieprasījums un investīciju aktivitātes atjaunošanās Latvijā, pieaugot ES fondu līdzekļu plūsmai, turklāt arī privātais patēriņš pērn bija samērā spēcīgs. </w:t>
      </w:r>
      <w:r w:rsidRPr="00F14E08">
        <w:rPr>
          <w:rFonts w:ascii="Times New Roman" w:eastAsia="Times New Roman" w:hAnsi="Times New Roman" w:cs="Times New Roman"/>
          <w:color w:val="000000"/>
          <w:sz w:val="24"/>
          <w:szCs w:val="24"/>
          <w:lang w:eastAsia="lv-LV"/>
        </w:rPr>
        <w:t>Arī 2018.gadam visas vadošās starptautiskās organizācijas prognozē spēcīgu pasaules ekonomikas izaugsmi. Pēc SVF janvāra prognozēm, pasaules ekonomikas izaugsme vēl paātrināsies no 3,7% 2017.gadā līdz 3,9% 2018.gadā.</w:t>
      </w:r>
      <w:r w:rsidRPr="00F14E08">
        <w:rPr>
          <w:rFonts w:ascii="Times New Roman" w:eastAsia="Calibri" w:hAnsi="Times New Roman" w:cs="Times New Roman"/>
          <w:sz w:val="24"/>
        </w:rPr>
        <w:t xml:space="preserve"> </w:t>
      </w:r>
      <w:r w:rsidRPr="00F14E08">
        <w:rPr>
          <w:rFonts w:ascii="Times New Roman" w:eastAsia="Times New Roman" w:hAnsi="Times New Roman" w:cs="Times New Roman"/>
          <w:color w:val="000000"/>
          <w:sz w:val="24"/>
          <w:szCs w:val="24"/>
          <w:lang w:eastAsia="lv-LV"/>
        </w:rPr>
        <w:t xml:space="preserve">2017.gadā atjaunojies arī ienākošo </w:t>
      </w:r>
      <w:r w:rsidR="006D6A17">
        <w:rPr>
          <w:rFonts w:ascii="Times New Roman" w:eastAsia="Times New Roman" w:hAnsi="Times New Roman" w:cs="Times New Roman"/>
          <w:color w:val="000000"/>
          <w:sz w:val="24"/>
          <w:szCs w:val="24"/>
          <w:lang w:eastAsia="lv-LV"/>
        </w:rPr>
        <w:t>ĀTI</w:t>
      </w:r>
      <w:r w:rsidRPr="00F14E08">
        <w:rPr>
          <w:rFonts w:ascii="Times New Roman" w:eastAsia="Times New Roman" w:hAnsi="Times New Roman" w:cs="Times New Roman"/>
          <w:color w:val="000000"/>
          <w:sz w:val="24"/>
          <w:szCs w:val="24"/>
          <w:lang w:eastAsia="lv-LV"/>
        </w:rPr>
        <w:t xml:space="preserve"> apjoms Latvijā, neto plūsmai sasniedzot 640 milj. </w:t>
      </w:r>
      <w:r w:rsidRPr="00F14E08">
        <w:rPr>
          <w:rFonts w:ascii="Times New Roman" w:eastAsia="Times New Roman" w:hAnsi="Times New Roman" w:cs="Times New Roman"/>
          <w:i/>
          <w:color w:val="000000"/>
          <w:sz w:val="24"/>
          <w:szCs w:val="24"/>
          <w:lang w:eastAsia="lv-LV"/>
        </w:rPr>
        <w:t>euro</w:t>
      </w:r>
      <w:r w:rsidRPr="00F14E08">
        <w:rPr>
          <w:rFonts w:ascii="Times New Roman" w:eastAsia="Times New Roman" w:hAnsi="Times New Roman" w:cs="Times New Roman"/>
          <w:color w:val="000000"/>
          <w:sz w:val="24"/>
          <w:szCs w:val="24"/>
          <w:lang w:eastAsia="lv-LV"/>
        </w:rPr>
        <w:t>, tādējādi atgriežoties pie vēsturiski vidējā līmeņa pēc būtiska krituma 2016.gadā.</w:t>
      </w:r>
      <w:r w:rsidRPr="00F14E08">
        <w:rPr>
          <w:rFonts w:ascii="Times New Roman" w:eastAsia="Calibri" w:hAnsi="Times New Roman" w:cs="Times New Roman"/>
          <w:sz w:val="24"/>
        </w:rPr>
        <w:t xml:space="preserve"> </w:t>
      </w:r>
      <w:r w:rsidRPr="00F14E08">
        <w:rPr>
          <w:rFonts w:ascii="Times New Roman" w:eastAsia="Times New Roman" w:hAnsi="Times New Roman" w:cs="Times New Roman"/>
          <w:color w:val="000000"/>
          <w:sz w:val="24"/>
          <w:szCs w:val="24"/>
          <w:lang w:eastAsia="lv-LV"/>
        </w:rPr>
        <w:t>Saskaņā ar FM aprēķiniem potenciālā IKP izaugsme vidējā termiņā būs 3,2</w:t>
      </w:r>
      <w:r w:rsidRPr="00F14E08">
        <w:rPr>
          <w:rFonts w:ascii="Times New Roman" w:eastAsia="Calibri" w:hAnsi="Times New Roman" w:cs="Times New Roman"/>
          <w:sz w:val="24"/>
          <w:szCs w:val="24"/>
        </w:rPr>
        <w:t xml:space="preserve"> – </w:t>
      </w:r>
      <w:r w:rsidRPr="00F14E08">
        <w:rPr>
          <w:rFonts w:ascii="Times New Roman" w:eastAsia="Times New Roman" w:hAnsi="Times New Roman" w:cs="Times New Roman"/>
          <w:color w:val="000000"/>
          <w:sz w:val="24"/>
          <w:szCs w:val="24"/>
          <w:lang w:eastAsia="lv-LV"/>
        </w:rPr>
        <w:t xml:space="preserve">3,4% apmērā, kas ir līdzīgi kā iepriekšējos </w:t>
      </w:r>
      <w:r w:rsidR="00FF2C11">
        <w:rPr>
          <w:rFonts w:ascii="Times New Roman" w:eastAsia="Times New Roman" w:hAnsi="Times New Roman" w:cs="Times New Roman"/>
          <w:color w:val="000000"/>
          <w:sz w:val="24"/>
          <w:szCs w:val="24"/>
          <w:lang w:eastAsia="lv-LV"/>
        </w:rPr>
        <w:t>divos</w:t>
      </w:r>
      <w:r w:rsidRPr="00F14E08">
        <w:rPr>
          <w:rFonts w:ascii="Times New Roman" w:eastAsia="Times New Roman" w:hAnsi="Times New Roman" w:cs="Times New Roman"/>
          <w:color w:val="000000"/>
          <w:sz w:val="24"/>
          <w:szCs w:val="24"/>
          <w:lang w:eastAsia="lv-LV"/>
        </w:rPr>
        <w:t xml:space="preserve"> gados. Lai gan pašreizējā ekonomiskā izaugsme norāda uz cikla augšupeju, FM pozīcija attiecībā uz potenciālo ilgtermiņa izaugsmi balstās piesardzīgā pieejā, jo līdztekus paredzamajai pozitīvajai nodokļu reformas ietekmei uz uzņēmējdarbības vidi, potenciālo izaugsmi nākotnē ierobežos tādi strukturāli faktori kā darbaspēka trūkums un zemais investīciju līmenis.</w:t>
      </w:r>
    </w:p>
    <w:p w:rsidR="00461360" w:rsidRPr="00F14E08" w:rsidRDefault="00461360" w:rsidP="00461360">
      <w:pPr>
        <w:autoSpaceDE w:val="0"/>
        <w:autoSpaceDN w:val="0"/>
        <w:adjustRightInd w:val="0"/>
        <w:spacing w:after="0" w:line="240" w:lineRule="auto"/>
        <w:ind w:firstLine="720"/>
        <w:jc w:val="both"/>
        <w:rPr>
          <w:rFonts w:ascii="Times New Roman" w:eastAsia="Calibri" w:hAnsi="Times New Roman" w:cs="Times New Roman"/>
          <w:sz w:val="24"/>
          <w:szCs w:val="24"/>
        </w:rPr>
      </w:pPr>
      <w:r w:rsidRPr="00F14E08">
        <w:rPr>
          <w:rFonts w:ascii="Times New Roman" w:eastAsia="Times New Roman" w:hAnsi="Times New Roman" w:cs="Times New Roman"/>
          <w:color w:val="000000"/>
          <w:sz w:val="24"/>
          <w:szCs w:val="24"/>
          <w:lang w:eastAsia="lv-LV"/>
        </w:rPr>
        <w:t>Latvijas valdības fiskālās politikas virziens ir saglabājies nemainīgs – īstenot tādu budžeta politiku, lai ilgtspējīgi kāpinātu Latvijas iedzīvotāju dzīves kvalitāti. Tādējādi 2018.gada valsts budžets ir izstrādāts balstoties pieejā, kas (i)</w:t>
      </w:r>
      <w:r w:rsidR="00FF2C11">
        <w:rPr>
          <w:rFonts w:ascii="Times New Roman" w:eastAsia="Times New Roman" w:hAnsi="Times New Roman" w:cs="Times New Roman"/>
          <w:color w:val="000000"/>
          <w:sz w:val="24"/>
          <w:szCs w:val="24"/>
          <w:lang w:eastAsia="lv-LV"/>
        </w:rPr>
        <w:t xml:space="preserve"> </w:t>
      </w:r>
      <w:r w:rsidRPr="00F14E08">
        <w:rPr>
          <w:rFonts w:ascii="Times New Roman" w:eastAsia="Times New Roman" w:hAnsi="Times New Roman" w:cs="Times New Roman"/>
          <w:color w:val="000000"/>
          <w:sz w:val="24"/>
          <w:szCs w:val="24"/>
          <w:lang w:eastAsia="lv-LV"/>
        </w:rPr>
        <w:t xml:space="preserve">nodrošina adekvātu valsts budžeta finansējumu valsts aizsardzības spēju uzlabošanai, (ii) īstenojot nodokļu politikas reformu rada labvēlīgus nosacījumus </w:t>
      </w:r>
      <w:r w:rsidRPr="00F14E08">
        <w:rPr>
          <w:rFonts w:ascii="Times New Roman" w:eastAsia="Calibri" w:hAnsi="Times New Roman" w:cs="Times New Roman"/>
          <w:sz w:val="24"/>
          <w:szCs w:val="24"/>
        </w:rPr>
        <w:t xml:space="preserve">uzņēmējdarbības vides stimulēšanai un mazina iedzīvotāju ienākumu nevienlīdzību, kā arī </w:t>
      </w:r>
      <w:r w:rsidRPr="00F14E08">
        <w:rPr>
          <w:rFonts w:ascii="Times New Roman" w:eastAsia="Times New Roman" w:hAnsi="Times New Roman" w:cs="Times New Roman"/>
          <w:color w:val="000000"/>
          <w:sz w:val="24"/>
          <w:szCs w:val="24"/>
          <w:lang w:eastAsia="lv-LV"/>
        </w:rPr>
        <w:t xml:space="preserve">(iii) nodrošina papildu valsts budžeta finansējumu jomām, kas ir valsts ekonomikas stūrakmeņi </w:t>
      </w:r>
      <w:r w:rsidR="00057E3E" w:rsidRPr="00F14E08">
        <w:rPr>
          <w:rFonts w:ascii="Times New Roman" w:eastAsia="Calibri" w:hAnsi="Times New Roman" w:cs="Times New Roman"/>
          <w:sz w:val="24"/>
          <w:szCs w:val="24"/>
        </w:rPr>
        <w:t>–</w:t>
      </w:r>
      <w:r w:rsidRPr="00F14E08">
        <w:rPr>
          <w:rFonts w:ascii="Times New Roman" w:eastAsia="Times New Roman" w:hAnsi="Times New Roman" w:cs="Times New Roman"/>
          <w:color w:val="000000"/>
          <w:sz w:val="24"/>
          <w:szCs w:val="24"/>
          <w:lang w:eastAsia="lv-LV"/>
        </w:rPr>
        <w:t xml:space="preserve"> </w:t>
      </w:r>
      <w:r w:rsidRPr="00F14E08">
        <w:rPr>
          <w:rFonts w:ascii="Times New Roman" w:eastAsia="Calibri" w:hAnsi="Times New Roman" w:cs="Times New Roman"/>
          <w:sz w:val="24"/>
          <w:szCs w:val="24"/>
        </w:rPr>
        <w:t>veselības aprūpe, demogrāfiskās situācijas uzlabošana un autoceļu uzturēšana. Īstenojot augstākminētos rīcības virzienus, valdība tajā pašā laikā ievēro fiskālās politikas īstenošanas principus, kas ir balstīti fi</w:t>
      </w:r>
      <w:r w:rsidR="00057E3E">
        <w:rPr>
          <w:rFonts w:ascii="Times New Roman" w:eastAsia="Calibri" w:hAnsi="Times New Roman" w:cs="Times New Roman"/>
          <w:sz w:val="24"/>
          <w:szCs w:val="24"/>
        </w:rPr>
        <w:t>skālās disciplīnas nosacījumos.</w:t>
      </w:r>
    </w:p>
    <w:p w:rsidR="00CF7805" w:rsidRDefault="00461360" w:rsidP="00105474">
      <w:pPr>
        <w:ind w:firstLine="720"/>
        <w:jc w:val="both"/>
      </w:pPr>
      <w:r w:rsidRPr="00F14E08">
        <w:rPr>
          <w:rFonts w:ascii="Times New Roman" w:hAnsi="Times New Roman"/>
          <w:sz w:val="24"/>
          <w:szCs w:val="20"/>
        </w:rPr>
        <w:t>Fiskālās prognozes rāda, ka 2018.gadā vispārējās valdības budžeta deficīts</w:t>
      </w:r>
      <w:r>
        <w:rPr>
          <w:rFonts w:ascii="Times New Roman" w:hAnsi="Times New Roman"/>
          <w:sz w:val="24"/>
          <w:szCs w:val="20"/>
        </w:rPr>
        <w:t>, neietverot fiskālos riskus,</w:t>
      </w:r>
      <w:r w:rsidRPr="00F14E08">
        <w:rPr>
          <w:rFonts w:ascii="Times New Roman" w:hAnsi="Times New Roman"/>
          <w:sz w:val="24"/>
          <w:szCs w:val="20"/>
        </w:rPr>
        <w:t xml:space="preserve"> būs 0,9% no IKP, 2019.gadā pie nemainīgas politikas</w:t>
      </w:r>
      <w:r>
        <w:rPr>
          <w:rFonts w:ascii="Times New Roman" w:hAnsi="Times New Roman"/>
          <w:sz w:val="24"/>
          <w:szCs w:val="20"/>
        </w:rPr>
        <w:t xml:space="preserve"> un, neietverot fiskālos riskus</w:t>
      </w:r>
      <w:r w:rsidR="00FF2C11">
        <w:rPr>
          <w:rFonts w:ascii="Times New Roman" w:hAnsi="Times New Roman"/>
          <w:sz w:val="24"/>
          <w:szCs w:val="20"/>
        </w:rPr>
        <w:t>,</w:t>
      </w:r>
      <w:r w:rsidRPr="00F14E08">
        <w:rPr>
          <w:rFonts w:ascii="Times New Roman" w:hAnsi="Times New Roman"/>
          <w:sz w:val="24"/>
          <w:szCs w:val="20"/>
        </w:rPr>
        <w:t xml:space="preserve"> tas </w:t>
      </w:r>
      <w:r>
        <w:rPr>
          <w:rFonts w:ascii="Times New Roman" w:hAnsi="Times New Roman"/>
          <w:sz w:val="24"/>
          <w:szCs w:val="20"/>
        </w:rPr>
        <w:t>palielinātos</w:t>
      </w:r>
      <w:r w:rsidRPr="00F14E08">
        <w:rPr>
          <w:rFonts w:ascii="Times New Roman" w:hAnsi="Times New Roman"/>
          <w:sz w:val="24"/>
          <w:szCs w:val="20"/>
        </w:rPr>
        <w:t xml:space="preserve"> līdz 1,0%, bet 2020. un 2021.gadā samazinātos attiecīgi līdz 0,4% un 0,3% no IKP. </w:t>
      </w:r>
      <w:r>
        <w:rPr>
          <w:rFonts w:ascii="Times New Roman" w:hAnsi="Times New Roman"/>
          <w:sz w:val="24"/>
          <w:szCs w:val="20"/>
        </w:rPr>
        <w:t xml:space="preserve">Saskaņā ar fiskālās disciplīnas noteikumiem vispārējās </w:t>
      </w:r>
      <w:r w:rsidR="00B958AE">
        <w:rPr>
          <w:rFonts w:ascii="Times New Roman" w:hAnsi="Times New Roman"/>
          <w:sz w:val="24"/>
          <w:szCs w:val="20"/>
        </w:rPr>
        <w:t>valdības budžeta deficīts 2019.</w:t>
      </w:r>
      <w:r>
        <w:rPr>
          <w:rFonts w:ascii="Times New Roman" w:hAnsi="Times New Roman"/>
          <w:sz w:val="24"/>
          <w:szCs w:val="20"/>
        </w:rPr>
        <w:t>gadā nedrīkst pārsniegt 0,9% no IKP un 2020. un 2021.gadā 0,4% no IKP.</w:t>
      </w:r>
    </w:p>
    <w:p w:rsidR="00B51617" w:rsidRDefault="00B51617" w:rsidP="00CF7805">
      <w:pPr>
        <w:jc w:val="both"/>
      </w:pPr>
      <w:r>
        <w:br w:type="page"/>
      </w:r>
    </w:p>
    <w:p w:rsidR="005536A9" w:rsidRPr="00F51615" w:rsidRDefault="00F512CA" w:rsidP="00F512CA">
      <w:pPr>
        <w:pStyle w:val="Heading1"/>
        <w:numPr>
          <w:ilvl w:val="0"/>
          <w:numId w:val="1"/>
        </w:numPr>
        <w:ind w:left="284" w:hanging="283"/>
        <w:jc w:val="center"/>
        <w:rPr>
          <w:rFonts w:ascii="Times New Roman" w:hAnsi="Times New Roman" w:cs="Times New Roman"/>
          <w:sz w:val="32"/>
        </w:rPr>
      </w:pPr>
      <w:bookmarkStart w:id="3" w:name="_Toc510790651"/>
      <w:bookmarkStart w:id="4" w:name="_Toc511027811"/>
      <w:r w:rsidRPr="00F51615">
        <w:rPr>
          <w:rFonts w:ascii="Times New Roman" w:hAnsi="Times New Roman" w:cs="Times New Roman"/>
          <w:sz w:val="32"/>
        </w:rPr>
        <w:lastRenderedPageBreak/>
        <w:t>Ekonomiskā situācija</w:t>
      </w:r>
      <w:bookmarkEnd w:id="3"/>
      <w:bookmarkEnd w:id="4"/>
    </w:p>
    <w:p w:rsidR="00B45C68" w:rsidRDefault="00B45C68" w:rsidP="00B958AE">
      <w:pPr>
        <w:pStyle w:val="Heading2"/>
        <w:numPr>
          <w:ilvl w:val="1"/>
          <w:numId w:val="20"/>
        </w:numPr>
        <w:spacing w:before="120" w:after="60"/>
        <w:ind w:left="1134" w:hanging="425"/>
        <w:rPr>
          <w:rFonts w:ascii="Times New Roman" w:hAnsi="Times New Roman" w:cs="Times New Roman"/>
          <w:sz w:val="24"/>
        </w:rPr>
      </w:pPr>
      <w:bookmarkStart w:id="5" w:name="_Toc479331082"/>
      <w:bookmarkStart w:id="6" w:name="_Toc510790652"/>
      <w:bookmarkStart w:id="7" w:name="_Toc511027812"/>
      <w:r w:rsidRPr="00F51615">
        <w:rPr>
          <w:rFonts w:ascii="Times New Roman" w:hAnsi="Times New Roman" w:cs="Times New Roman"/>
          <w:sz w:val="24"/>
        </w:rPr>
        <w:t>Ārējā ekonomiskā vide</w:t>
      </w:r>
      <w:bookmarkEnd w:id="5"/>
      <w:bookmarkEnd w:id="6"/>
      <w:bookmarkEnd w:id="7"/>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b/>
          <w:color w:val="000000"/>
          <w:sz w:val="24"/>
          <w:szCs w:val="24"/>
          <w:lang w:eastAsia="lv-LV"/>
        </w:rPr>
        <w:t xml:space="preserve">Pasaules ekonomika </w:t>
      </w:r>
      <w:r w:rsidRPr="00D316B2">
        <w:rPr>
          <w:rFonts w:ascii="Times New Roman" w:eastAsia="Times New Roman" w:hAnsi="Times New Roman" w:cs="Times New Roman"/>
          <w:color w:val="000000"/>
          <w:sz w:val="24"/>
          <w:szCs w:val="24"/>
          <w:lang w:eastAsia="lv-LV"/>
        </w:rPr>
        <w:t xml:space="preserve">2017.gadā sasniedza straujāko kāpumu pēdējo sešu gadu laikā, salīdzinājumā ar iepriekšējo gadu palielinoties par 3,9%, liecina jaunākie </w:t>
      </w:r>
      <w:r w:rsidR="006D6A17">
        <w:rPr>
          <w:rFonts w:ascii="Times New Roman" w:eastAsia="Times New Roman" w:hAnsi="Times New Roman" w:cs="Times New Roman"/>
          <w:color w:val="000000"/>
          <w:sz w:val="24"/>
          <w:szCs w:val="24"/>
          <w:lang w:eastAsia="lv-LV"/>
        </w:rPr>
        <w:t xml:space="preserve">SVF </w:t>
      </w:r>
      <w:r w:rsidRPr="00D316B2">
        <w:rPr>
          <w:rFonts w:ascii="Times New Roman" w:eastAsia="Times New Roman" w:hAnsi="Times New Roman" w:cs="Times New Roman"/>
          <w:color w:val="000000"/>
          <w:sz w:val="24"/>
          <w:szCs w:val="24"/>
          <w:lang w:eastAsia="lv-LV"/>
        </w:rPr>
        <w:t xml:space="preserve">dati. Gada laikā izaugsmes prognozes gan pasaulei kopumā, gan īpaši lielajām attīstītajām valstīm un </w:t>
      </w:r>
      <w:r w:rsidR="009F2A3D" w:rsidRPr="00633484">
        <w:rPr>
          <w:rFonts w:ascii="Times New Roman" w:eastAsia="Times New Roman" w:hAnsi="Times New Roman" w:cs="Times New Roman"/>
          <w:i/>
          <w:color w:val="000000"/>
          <w:sz w:val="24"/>
          <w:szCs w:val="24"/>
          <w:lang w:eastAsia="lv-LV"/>
        </w:rPr>
        <w:t>euro</w:t>
      </w:r>
      <w:r w:rsidR="009F2A3D">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 xml:space="preserve">zonai kopumā tika pastāvīgi paaugstinātas, un straujais pieaugums šajās valstīs arī noteica kopējās globālās izaugsmes tempu paātrināšanos. Kopumā pasaules attīstītajās valstīs ekonomikas izaugsme pērn paātrinājās līdz 2,3%, salīdzinot ar 1,7% 2016.gadā, un īpaši būtiski izaugsmes tempi kāpa ASV, Vācijā un </w:t>
      </w:r>
      <w:r w:rsidR="009F2A3D" w:rsidRPr="00633484">
        <w:rPr>
          <w:rFonts w:ascii="Times New Roman" w:eastAsia="Times New Roman" w:hAnsi="Times New Roman" w:cs="Times New Roman"/>
          <w:i/>
          <w:color w:val="000000"/>
          <w:sz w:val="24"/>
          <w:szCs w:val="24"/>
          <w:lang w:eastAsia="lv-LV"/>
        </w:rPr>
        <w:t>euro</w:t>
      </w:r>
      <w:r w:rsidR="009F2A3D">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 xml:space="preserve">zonā kopumā. Tāpat uzlabojās arī attīstības valstu izaugsme </w:t>
      </w:r>
      <w:r w:rsidRPr="00F52310">
        <w:rPr>
          <w:rFonts w:ascii="Times New Roman" w:eastAsia="Times New Roman" w:hAnsi="Times New Roman" w:cs="Times New Roman"/>
          <w:color w:val="000000"/>
          <w:sz w:val="24"/>
          <w:szCs w:val="24"/>
          <w:lang w:eastAsia="lv-LV"/>
        </w:rPr>
        <w:t>– no 4,4% 2016.gadā paātrinoties līdz 4,7 procentiem 2017.gadā, bet šeit uzlabojumi nebija tik strauji.</w:t>
      </w:r>
      <w:r w:rsidRPr="00D316B2">
        <w:rPr>
          <w:rFonts w:ascii="Times New Roman" w:eastAsia="Times New Roman" w:hAnsi="Times New Roman" w:cs="Times New Roman"/>
          <w:color w:val="000000"/>
          <w:sz w:val="24"/>
          <w:szCs w:val="24"/>
          <w:lang w:eastAsia="lv-LV"/>
        </w:rPr>
        <w:t xml:space="preserve"> Ķīnas ekonomikas izaugsme paātrinājās līdz 6,8%, bet Krievija pēc divu gadu krituma sasniedza ap 1,8% </w:t>
      </w:r>
      <w:r w:rsidR="006D6A17">
        <w:rPr>
          <w:rFonts w:ascii="Times New Roman" w:eastAsia="Times New Roman" w:hAnsi="Times New Roman" w:cs="Times New Roman"/>
          <w:color w:val="000000"/>
          <w:sz w:val="24"/>
          <w:szCs w:val="24"/>
          <w:lang w:eastAsia="lv-LV"/>
        </w:rPr>
        <w:t>IKP</w:t>
      </w:r>
      <w:r w:rsidRPr="00D316B2">
        <w:rPr>
          <w:rFonts w:ascii="Times New Roman" w:eastAsia="Times New Roman" w:hAnsi="Times New Roman" w:cs="Times New Roman"/>
          <w:color w:val="000000"/>
          <w:sz w:val="24"/>
          <w:szCs w:val="24"/>
          <w:lang w:eastAsia="lv-LV"/>
        </w:rPr>
        <w:t xml:space="preserve"> pieaugumu.</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Latvijas lielākajā eksporta tirgū</w:t>
      </w:r>
      <w:r w:rsidRPr="00D316B2">
        <w:rPr>
          <w:rFonts w:ascii="Times New Roman" w:eastAsia="Times New Roman" w:hAnsi="Times New Roman" w:cs="Times New Roman"/>
          <w:b/>
          <w:color w:val="000000"/>
          <w:sz w:val="24"/>
          <w:szCs w:val="24"/>
          <w:lang w:eastAsia="lv-LV"/>
        </w:rPr>
        <w:t xml:space="preserve"> </w:t>
      </w:r>
      <w:r w:rsidR="00FB62BB">
        <w:rPr>
          <w:rFonts w:ascii="Times New Roman" w:eastAsia="Times New Roman" w:hAnsi="Times New Roman" w:cs="Times New Roman"/>
          <w:color w:val="000000"/>
          <w:sz w:val="24"/>
          <w:szCs w:val="24"/>
          <w:lang w:eastAsia="lv-LV"/>
        </w:rPr>
        <w:t>ES</w:t>
      </w:r>
      <w:r>
        <w:rPr>
          <w:rFonts w:ascii="Times New Roman" w:eastAsia="Times New Roman" w:hAnsi="Times New Roman" w:cs="Times New Roman"/>
          <w:b/>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pērn pirmo reizi kopš 2007.gada ekonomikas izaugsme tika sasniegta pilnīgi visās dalībvalstīs, un IKP</w:t>
      </w:r>
      <w:r w:rsidR="00B958AE">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salīdzinājumā ar 2016.gadu</w:t>
      </w:r>
      <w:r w:rsidR="00B958AE">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palielinājās par 2,4%, kas bija straujākais kāpums pēdējo desmit gadu laikā. Izaugsmes paātrināšanos ES nodrošināja gan spēcīgi augošais iekšzemes pieprasījums, ko veicināja situācijas uzlabošanās darba tirgū un pozitīvie uzņēmēju un patērētāju konfidences rādītāji, gan globālās tirdzniecības aktivitātes pieaugums, palielinot ārējo pieprasījumu. ES ekonomiskās konfidences indekss (ESI indekss) gada beigās sasniedza augstāko līmeni kopš 2000.gada un tuvu šim līmenim saglabājās arī nākamajos mēnešos.</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 xml:space="preserve">Būtisks izaugsmes paātrinājums pērn bija arī lielākajās </w:t>
      </w:r>
      <w:r w:rsidRPr="00D316B2">
        <w:rPr>
          <w:rFonts w:ascii="Times New Roman" w:eastAsia="Times New Roman" w:hAnsi="Times New Roman" w:cs="Times New Roman"/>
          <w:b/>
          <w:color w:val="000000"/>
          <w:sz w:val="24"/>
          <w:szCs w:val="24"/>
          <w:lang w:eastAsia="lv-LV"/>
        </w:rPr>
        <w:t>Latvijas ārējās tirdzniecības partnervalstīs</w:t>
      </w:r>
      <w:r w:rsidRPr="00D316B2">
        <w:rPr>
          <w:rFonts w:ascii="Times New Roman" w:eastAsia="Times New Roman" w:hAnsi="Times New Roman" w:cs="Times New Roman"/>
          <w:color w:val="000000"/>
          <w:sz w:val="24"/>
          <w:szCs w:val="24"/>
          <w:lang w:eastAsia="lv-LV"/>
        </w:rPr>
        <w:t xml:space="preserve">, tostarp Lietuvā IKP pieauguma temps paātrinājās no 2,3% līdz 3,8%, Igaunijā – no 2,1% līdz 4,9%, Vācijā no 1,9% līdz 2,2%, Polijā – no 2,9% līdz 4,6%. Vienlaikus divās citās nozīmīgās Latvijas ārējās tirdzniecības partnervalstīs – Lielbritānijā un Zviedrijā </w:t>
      </w:r>
      <w:r>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izaug</w:t>
      </w:r>
      <w:r>
        <w:rPr>
          <w:rFonts w:ascii="Times New Roman" w:eastAsia="Times New Roman" w:hAnsi="Times New Roman" w:cs="Times New Roman"/>
          <w:color w:val="000000"/>
          <w:sz w:val="24"/>
          <w:szCs w:val="24"/>
          <w:lang w:eastAsia="lv-LV"/>
        </w:rPr>
        <w:t xml:space="preserve">smes tempi nedaudz pazeminājās. </w:t>
      </w:r>
      <w:r w:rsidRPr="00D316B2">
        <w:rPr>
          <w:rFonts w:ascii="Times New Roman" w:eastAsia="Times New Roman" w:hAnsi="Times New Roman" w:cs="Times New Roman"/>
          <w:color w:val="000000"/>
          <w:sz w:val="24"/>
          <w:szCs w:val="24"/>
          <w:lang w:eastAsia="lv-LV"/>
        </w:rPr>
        <w:t>Lielbritānijā to lielā mērā ietekmēja nenoteiktība saistībā ar valsts gaidāmo izstāšanos no ES, bet Zviedrijas ekonomikas izaugsmes tempi iepriekšējos divos gados jau bija visai augsti, 2017.gadā pazeminoties līdz 2,4%, kas joprojām ir labs izaugsmes temps.</w:t>
      </w:r>
    </w:p>
    <w:p w:rsidR="00B45C68" w:rsidRPr="00D316B2" w:rsidRDefault="00B45C68" w:rsidP="00B958AE">
      <w:pPr>
        <w:autoSpaceDE w:val="0"/>
        <w:autoSpaceDN w:val="0"/>
        <w:adjustRightInd w:val="0"/>
        <w:spacing w:before="60" w:after="0" w:line="240" w:lineRule="auto"/>
        <w:jc w:val="right"/>
        <w:rPr>
          <w:rFonts w:ascii="Times New Roman" w:eastAsia="Times New Roman" w:hAnsi="Times New Roman" w:cs="Times New Roman"/>
          <w:b/>
          <w:color w:val="000000"/>
          <w:sz w:val="24"/>
          <w:szCs w:val="24"/>
          <w:lang w:eastAsia="lv-LV"/>
        </w:rPr>
      </w:pPr>
      <w:r w:rsidRPr="00D316B2">
        <w:rPr>
          <w:rFonts w:ascii="Times New Roman" w:eastAsia="Times New Roman" w:hAnsi="Times New Roman" w:cs="Times New Roman"/>
          <w:b/>
          <w:color w:val="000000"/>
          <w:sz w:val="24"/>
          <w:szCs w:val="24"/>
          <w:lang w:eastAsia="lv-LV"/>
        </w:rPr>
        <w:t xml:space="preserve">2.1.tabula. Lielāko pasaules ekonomiku IKP pieauguma tempi un prognozes, </w:t>
      </w:r>
      <w:r w:rsidR="003F0A9C">
        <w:rPr>
          <w:rFonts w:ascii="Times New Roman" w:eastAsia="Times New Roman" w:hAnsi="Times New Roman" w:cs="Times New Roman"/>
          <w:b/>
          <w:color w:val="000000"/>
          <w:sz w:val="24"/>
          <w:szCs w:val="24"/>
          <w:lang w:eastAsia="lv-LV"/>
        </w:rPr>
        <w:br/>
      </w:r>
      <w:r w:rsidRPr="00D316B2">
        <w:rPr>
          <w:rFonts w:ascii="Times New Roman" w:eastAsia="Times New Roman" w:hAnsi="Times New Roman" w:cs="Times New Roman"/>
          <w:b/>
          <w:color w:val="000000"/>
          <w:sz w:val="24"/>
          <w:szCs w:val="24"/>
          <w:lang w:eastAsia="lv-LV"/>
        </w:rPr>
        <w:t>% pret iepriekšējo gadu</w:t>
      </w:r>
      <w:r w:rsidRPr="00D316B2">
        <w:rPr>
          <w:rFonts w:ascii="Times New Roman" w:eastAsia="Times New Roman" w:hAnsi="Times New Roman" w:cs="Times New Roman"/>
          <w:b/>
          <w:color w:val="000000"/>
          <w:sz w:val="24"/>
          <w:szCs w:val="24"/>
          <w:vertAlign w:val="superscript"/>
          <w:lang w:eastAsia="lv-LV"/>
        </w:rPr>
        <w:footnoteReference w:id="2"/>
      </w:r>
    </w:p>
    <w:tbl>
      <w:tblPr>
        <w:tblStyle w:val="GridTable6Colorful-Accent14"/>
        <w:tblW w:w="9106" w:type="dxa"/>
        <w:jc w:val="center"/>
        <w:tblLayout w:type="fixed"/>
        <w:tblLook w:val="04A0" w:firstRow="1" w:lastRow="0" w:firstColumn="1" w:lastColumn="0" w:noHBand="0" w:noVBand="1"/>
      </w:tblPr>
      <w:tblGrid>
        <w:gridCol w:w="2564"/>
        <w:gridCol w:w="856"/>
        <w:gridCol w:w="851"/>
        <w:gridCol w:w="850"/>
        <w:gridCol w:w="851"/>
        <w:gridCol w:w="1701"/>
        <w:gridCol w:w="1433"/>
      </w:tblGrid>
      <w:tr w:rsidR="00B45C68" w:rsidRPr="00D316B2" w:rsidTr="00D31F35">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564" w:type="dxa"/>
            <w:vMerge w:val="restart"/>
            <w:shd w:val="clear" w:color="auto" w:fill="FDE9D9"/>
            <w:vAlign w:val="center"/>
          </w:tcPr>
          <w:p w:rsidR="00B45C68" w:rsidRPr="00D316B2" w:rsidRDefault="00B45C68" w:rsidP="003F0A9C">
            <w:pPr>
              <w:autoSpaceDE w:val="0"/>
              <w:autoSpaceDN w:val="0"/>
              <w:adjustRightInd w:val="0"/>
              <w:spacing w:line="259" w:lineRule="auto"/>
              <w:jc w:val="both"/>
              <w:rPr>
                <w:rFonts w:ascii="Times New Roman" w:eastAsia="Times New Roman" w:hAnsi="Times New Roman" w:cs="Times New Roman"/>
                <w:color w:val="000000"/>
                <w:sz w:val="20"/>
                <w:szCs w:val="24"/>
                <w:lang w:eastAsia="lv-LV"/>
              </w:rPr>
            </w:pPr>
          </w:p>
        </w:tc>
        <w:tc>
          <w:tcPr>
            <w:tcW w:w="856" w:type="dxa"/>
            <w:vMerge w:val="restart"/>
            <w:shd w:val="clear" w:color="auto" w:fill="FDE9D9"/>
            <w:vAlign w:val="center"/>
          </w:tcPr>
          <w:p w:rsidR="00B45C68" w:rsidRPr="00D316B2"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316B2">
              <w:rPr>
                <w:rFonts w:ascii="Times New Roman" w:eastAsia="Times New Roman" w:hAnsi="Times New Roman" w:cs="Times New Roman"/>
                <w:color w:val="000000"/>
                <w:sz w:val="20"/>
                <w:szCs w:val="24"/>
                <w:lang w:eastAsia="lv-LV"/>
              </w:rPr>
              <w:t>2016</w:t>
            </w:r>
          </w:p>
        </w:tc>
        <w:tc>
          <w:tcPr>
            <w:tcW w:w="851" w:type="dxa"/>
            <w:vMerge w:val="restart"/>
            <w:shd w:val="clear" w:color="auto" w:fill="FDE9D9"/>
            <w:vAlign w:val="center"/>
          </w:tcPr>
          <w:p w:rsidR="00B45C68" w:rsidRPr="00D316B2"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316B2">
              <w:rPr>
                <w:rFonts w:ascii="Times New Roman" w:eastAsia="Times New Roman" w:hAnsi="Times New Roman" w:cs="Times New Roman"/>
                <w:color w:val="000000"/>
                <w:sz w:val="20"/>
                <w:szCs w:val="24"/>
                <w:lang w:eastAsia="lv-LV"/>
              </w:rPr>
              <w:t>2017</w:t>
            </w:r>
          </w:p>
        </w:tc>
        <w:tc>
          <w:tcPr>
            <w:tcW w:w="850" w:type="dxa"/>
            <w:vMerge w:val="restart"/>
            <w:shd w:val="clear" w:color="auto" w:fill="FDE9D9"/>
            <w:vAlign w:val="center"/>
          </w:tcPr>
          <w:p w:rsidR="00B45C68" w:rsidRPr="00D316B2"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316B2">
              <w:rPr>
                <w:rFonts w:ascii="Times New Roman" w:eastAsia="Times New Roman" w:hAnsi="Times New Roman" w:cs="Times New Roman"/>
                <w:color w:val="000000"/>
                <w:sz w:val="20"/>
                <w:szCs w:val="24"/>
                <w:lang w:eastAsia="lv-LV"/>
              </w:rPr>
              <w:t>2018p</w:t>
            </w:r>
          </w:p>
        </w:tc>
        <w:tc>
          <w:tcPr>
            <w:tcW w:w="851" w:type="dxa"/>
            <w:vMerge w:val="restart"/>
            <w:tcBorders>
              <w:right w:val="single" w:sz="4" w:space="0" w:color="95B3D7"/>
            </w:tcBorders>
            <w:shd w:val="clear" w:color="auto" w:fill="FDE9D9"/>
            <w:vAlign w:val="center"/>
          </w:tcPr>
          <w:p w:rsidR="00B45C68" w:rsidRPr="00D316B2"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316B2">
              <w:rPr>
                <w:rFonts w:ascii="Times New Roman" w:eastAsia="Times New Roman" w:hAnsi="Times New Roman" w:cs="Times New Roman"/>
                <w:color w:val="000000"/>
                <w:sz w:val="20"/>
                <w:szCs w:val="24"/>
                <w:lang w:eastAsia="lv-LV"/>
              </w:rPr>
              <w:t>2019p</w:t>
            </w:r>
          </w:p>
        </w:tc>
        <w:tc>
          <w:tcPr>
            <w:tcW w:w="3134" w:type="dxa"/>
            <w:gridSpan w:val="2"/>
            <w:tcBorders>
              <w:top w:val="single" w:sz="4" w:space="0" w:color="95B3D7"/>
              <w:left w:val="single" w:sz="4" w:space="0" w:color="95B3D7"/>
              <w:bottom w:val="single" w:sz="4" w:space="0" w:color="95B3D7"/>
              <w:right w:val="single" w:sz="4" w:space="0" w:color="95B3D7"/>
            </w:tcBorders>
            <w:shd w:val="clear" w:color="auto" w:fill="FDE9D9"/>
            <w:vAlign w:val="center"/>
          </w:tcPr>
          <w:p w:rsidR="00B45C68" w:rsidRPr="00D316B2"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D316B2">
              <w:rPr>
                <w:rFonts w:ascii="Times New Roman" w:eastAsia="Times New Roman" w:hAnsi="Times New Roman" w:cs="Times New Roman"/>
                <w:color w:val="000000"/>
                <w:sz w:val="20"/>
                <w:szCs w:val="24"/>
                <w:lang w:eastAsia="lv-LV"/>
              </w:rPr>
              <w:t>Salīdzinājumā ar SVF 2017.gada oktobra prognozēm</w:t>
            </w:r>
          </w:p>
        </w:tc>
      </w:tr>
      <w:tr w:rsidR="00B45C68" w:rsidRPr="00D316B2" w:rsidTr="00D31F3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564" w:type="dxa"/>
            <w:vMerge/>
            <w:shd w:val="clear" w:color="auto" w:fill="FDE9D9"/>
            <w:vAlign w:val="center"/>
          </w:tcPr>
          <w:p w:rsidR="00B45C68" w:rsidRPr="00D316B2" w:rsidRDefault="00B45C68" w:rsidP="003F0A9C">
            <w:pPr>
              <w:autoSpaceDE w:val="0"/>
              <w:autoSpaceDN w:val="0"/>
              <w:adjustRightInd w:val="0"/>
              <w:spacing w:line="259" w:lineRule="auto"/>
              <w:jc w:val="both"/>
              <w:rPr>
                <w:rFonts w:ascii="Times New Roman" w:eastAsia="Times New Roman" w:hAnsi="Times New Roman" w:cs="Times New Roman"/>
                <w:color w:val="000000"/>
                <w:sz w:val="20"/>
                <w:szCs w:val="24"/>
                <w:lang w:eastAsia="lv-LV"/>
              </w:rPr>
            </w:pPr>
          </w:p>
        </w:tc>
        <w:tc>
          <w:tcPr>
            <w:tcW w:w="856" w:type="dxa"/>
            <w:vMerge/>
            <w:shd w:val="clear" w:color="auto" w:fill="FDE9D9"/>
            <w:vAlign w:val="center"/>
          </w:tcPr>
          <w:p w:rsidR="00B45C68" w:rsidRPr="00D316B2"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51" w:type="dxa"/>
            <w:vMerge/>
            <w:shd w:val="clear" w:color="auto" w:fill="FDE9D9"/>
            <w:vAlign w:val="center"/>
          </w:tcPr>
          <w:p w:rsidR="00B45C68" w:rsidRPr="00D316B2"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50" w:type="dxa"/>
            <w:vMerge/>
            <w:shd w:val="clear" w:color="auto" w:fill="FDE9D9"/>
            <w:vAlign w:val="center"/>
          </w:tcPr>
          <w:p w:rsidR="00B45C68" w:rsidRPr="00D316B2"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51" w:type="dxa"/>
            <w:vMerge/>
            <w:shd w:val="clear" w:color="auto" w:fill="FDE9D9"/>
            <w:vAlign w:val="center"/>
          </w:tcPr>
          <w:p w:rsidR="00B45C68" w:rsidRPr="00D316B2"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1701" w:type="dxa"/>
            <w:tcBorders>
              <w:top w:val="single" w:sz="4" w:space="0" w:color="95B3D7"/>
            </w:tcBorders>
            <w:shd w:val="clear" w:color="auto" w:fill="FDE9D9"/>
            <w:vAlign w:val="center"/>
          </w:tcPr>
          <w:p w:rsidR="00B45C68" w:rsidRPr="00D316B2"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D316B2">
              <w:rPr>
                <w:rFonts w:ascii="Times New Roman" w:eastAsia="Times New Roman" w:hAnsi="Times New Roman" w:cs="Times New Roman"/>
                <w:b/>
                <w:color w:val="000000"/>
                <w:sz w:val="20"/>
                <w:szCs w:val="24"/>
                <w:lang w:eastAsia="lv-LV"/>
              </w:rPr>
              <w:t>2016</w:t>
            </w:r>
          </w:p>
        </w:tc>
        <w:tc>
          <w:tcPr>
            <w:tcW w:w="1433" w:type="dxa"/>
            <w:tcBorders>
              <w:top w:val="single" w:sz="4" w:space="0" w:color="95B3D7"/>
            </w:tcBorders>
            <w:shd w:val="clear" w:color="auto" w:fill="FDE9D9"/>
            <w:vAlign w:val="center"/>
          </w:tcPr>
          <w:p w:rsidR="00B45C68" w:rsidRPr="00D316B2"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D316B2">
              <w:rPr>
                <w:rFonts w:ascii="Times New Roman" w:eastAsia="Times New Roman" w:hAnsi="Times New Roman" w:cs="Times New Roman"/>
                <w:b/>
                <w:color w:val="000000"/>
                <w:sz w:val="20"/>
                <w:szCs w:val="24"/>
                <w:lang w:eastAsia="lv-LV"/>
              </w:rPr>
              <w:t>2017</w:t>
            </w:r>
          </w:p>
        </w:tc>
      </w:tr>
      <w:tr w:rsidR="00B45C68" w:rsidRPr="00D316B2" w:rsidTr="00D31F35">
        <w:trPr>
          <w:trHeight w:val="217"/>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Pasaule</w:t>
            </w:r>
          </w:p>
        </w:tc>
        <w:tc>
          <w:tcPr>
            <w:tcW w:w="856"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3,2</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3,7</w:t>
            </w:r>
          </w:p>
        </w:tc>
        <w:tc>
          <w:tcPr>
            <w:tcW w:w="850"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3,9</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3,9</w:t>
            </w:r>
          </w:p>
        </w:tc>
        <w:tc>
          <w:tcPr>
            <w:tcW w:w="170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+0,2</w:t>
            </w:r>
          </w:p>
        </w:tc>
        <w:tc>
          <w:tcPr>
            <w:tcW w:w="1433"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+0,2</w:t>
            </w:r>
          </w:p>
        </w:tc>
      </w:tr>
      <w:tr w:rsidR="00B45C68" w:rsidRPr="00D316B2" w:rsidTr="00D31F35">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Attīstītās valstis</w:t>
            </w:r>
          </w:p>
        </w:tc>
        <w:tc>
          <w:tcPr>
            <w:tcW w:w="856"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1,7</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2,3</w:t>
            </w:r>
          </w:p>
        </w:tc>
        <w:tc>
          <w:tcPr>
            <w:tcW w:w="850"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2,3</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2,2</w:t>
            </w:r>
          </w:p>
        </w:tc>
        <w:tc>
          <w:tcPr>
            <w:tcW w:w="170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+0,3</w:t>
            </w:r>
          </w:p>
        </w:tc>
        <w:tc>
          <w:tcPr>
            <w:tcW w:w="1433"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+0,4</w:t>
            </w:r>
          </w:p>
        </w:tc>
      </w:tr>
      <w:tr w:rsidR="00B45C68" w:rsidRPr="00D316B2" w:rsidTr="00D31F35">
        <w:trPr>
          <w:trHeight w:val="234"/>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b w:val="0"/>
                <w:color w:val="000000"/>
                <w:lang w:eastAsia="lv-LV"/>
              </w:rPr>
            </w:pPr>
            <w:r w:rsidRPr="00D316B2">
              <w:rPr>
                <w:rFonts w:ascii="Times New Roman" w:eastAsia="Times New Roman" w:hAnsi="Times New Roman" w:cs="Times New Roman"/>
                <w:b w:val="0"/>
                <w:color w:val="000000"/>
                <w:lang w:eastAsia="lv-LV"/>
              </w:rPr>
              <w:t>E</w:t>
            </w:r>
            <w:r w:rsidR="001877F8">
              <w:rPr>
                <w:rFonts w:ascii="Times New Roman" w:eastAsia="Times New Roman" w:hAnsi="Times New Roman" w:cs="Times New Roman"/>
                <w:b w:val="0"/>
                <w:color w:val="000000"/>
                <w:lang w:eastAsia="lv-LV"/>
              </w:rPr>
              <w:t>u</w:t>
            </w:r>
            <w:r w:rsidRPr="00D316B2">
              <w:rPr>
                <w:rFonts w:ascii="Times New Roman" w:eastAsia="Times New Roman" w:hAnsi="Times New Roman" w:cs="Times New Roman"/>
                <w:b w:val="0"/>
                <w:color w:val="000000"/>
                <w:lang w:eastAsia="lv-LV"/>
              </w:rPr>
              <w:t>rozona</w:t>
            </w:r>
          </w:p>
        </w:tc>
        <w:tc>
          <w:tcPr>
            <w:tcW w:w="856"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1,8</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2,4</w:t>
            </w:r>
          </w:p>
        </w:tc>
        <w:tc>
          <w:tcPr>
            <w:tcW w:w="850"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2,2</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2,0</w:t>
            </w:r>
          </w:p>
        </w:tc>
        <w:tc>
          <w:tcPr>
            <w:tcW w:w="170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+0,3</w:t>
            </w:r>
          </w:p>
        </w:tc>
        <w:tc>
          <w:tcPr>
            <w:tcW w:w="1433"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+0,3</w:t>
            </w:r>
          </w:p>
        </w:tc>
      </w:tr>
      <w:tr w:rsidR="00B45C68" w:rsidRPr="00D316B2" w:rsidTr="00D31F35">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b w:val="0"/>
                <w:color w:val="000000"/>
                <w:lang w:eastAsia="lv-LV"/>
              </w:rPr>
            </w:pPr>
            <w:r w:rsidRPr="00D316B2">
              <w:rPr>
                <w:rFonts w:ascii="Times New Roman" w:eastAsia="Times New Roman" w:hAnsi="Times New Roman" w:cs="Times New Roman"/>
                <w:b w:val="0"/>
                <w:color w:val="000000"/>
                <w:lang w:eastAsia="lv-LV"/>
              </w:rPr>
              <w:t>Lielbritānija</w:t>
            </w:r>
          </w:p>
        </w:tc>
        <w:tc>
          <w:tcPr>
            <w:tcW w:w="856"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1,9</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1,7</w:t>
            </w:r>
          </w:p>
        </w:tc>
        <w:tc>
          <w:tcPr>
            <w:tcW w:w="850"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1,5</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1,5</w:t>
            </w:r>
          </w:p>
        </w:tc>
        <w:tc>
          <w:tcPr>
            <w:tcW w:w="170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0,0</w:t>
            </w:r>
          </w:p>
        </w:tc>
        <w:tc>
          <w:tcPr>
            <w:tcW w:w="1433"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-0,1</w:t>
            </w:r>
          </w:p>
        </w:tc>
      </w:tr>
      <w:tr w:rsidR="00B45C68" w:rsidRPr="00D316B2" w:rsidTr="00D31F35">
        <w:trPr>
          <w:trHeight w:val="244"/>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b w:val="0"/>
                <w:color w:val="000000"/>
                <w:lang w:eastAsia="lv-LV"/>
              </w:rPr>
            </w:pPr>
            <w:r w:rsidRPr="00D316B2">
              <w:rPr>
                <w:rFonts w:ascii="Times New Roman" w:eastAsia="Times New Roman" w:hAnsi="Times New Roman" w:cs="Times New Roman"/>
                <w:b w:val="0"/>
                <w:color w:val="000000"/>
                <w:lang w:eastAsia="lv-LV"/>
              </w:rPr>
              <w:t>ASV</w:t>
            </w:r>
          </w:p>
        </w:tc>
        <w:tc>
          <w:tcPr>
            <w:tcW w:w="856"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1,5</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2,3</w:t>
            </w:r>
          </w:p>
        </w:tc>
        <w:tc>
          <w:tcPr>
            <w:tcW w:w="850"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2,7</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2,5</w:t>
            </w:r>
          </w:p>
        </w:tc>
        <w:tc>
          <w:tcPr>
            <w:tcW w:w="170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+0,4</w:t>
            </w:r>
          </w:p>
        </w:tc>
        <w:tc>
          <w:tcPr>
            <w:tcW w:w="1433"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+0,6</w:t>
            </w:r>
          </w:p>
        </w:tc>
      </w:tr>
      <w:tr w:rsidR="00B45C68" w:rsidRPr="00D316B2" w:rsidTr="00D31F35">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b w:val="0"/>
                <w:color w:val="000000"/>
                <w:lang w:eastAsia="lv-LV"/>
              </w:rPr>
            </w:pPr>
            <w:r w:rsidRPr="00D316B2">
              <w:rPr>
                <w:rFonts w:ascii="Times New Roman" w:eastAsia="Times New Roman" w:hAnsi="Times New Roman" w:cs="Times New Roman"/>
                <w:b w:val="0"/>
                <w:color w:val="000000"/>
                <w:lang w:eastAsia="lv-LV"/>
              </w:rPr>
              <w:t>Japāna</w:t>
            </w:r>
          </w:p>
        </w:tc>
        <w:tc>
          <w:tcPr>
            <w:tcW w:w="856"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0,9</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1,8</w:t>
            </w:r>
          </w:p>
        </w:tc>
        <w:tc>
          <w:tcPr>
            <w:tcW w:w="850"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1,2</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0,9</w:t>
            </w:r>
          </w:p>
        </w:tc>
        <w:tc>
          <w:tcPr>
            <w:tcW w:w="170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+0,5</w:t>
            </w:r>
          </w:p>
        </w:tc>
        <w:tc>
          <w:tcPr>
            <w:tcW w:w="1433"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+0,1</w:t>
            </w:r>
          </w:p>
        </w:tc>
      </w:tr>
      <w:tr w:rsidR="00B45C68" w:rsidRPr="00D316B2" w:rsidTr="00D31F35">
        <w:trPr>
          <w:trHeight w:val="171"/>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b w:val="0"/>
                <w:color w:val="000000"/>
                <w:lang w:eastAsia="lv-LV"/>
              </w:rPr>
            </w:pPr>
            <w:r w:rsidRPr="00D316B2">
              <w:rPr>
                <w:rFonts w:ascii="Times New Roman" w:eastAsia="Times New Roman" w:hAnsi="Times New Roman" w:cs="Times New Roman"/>
                <w:b w:val="0"/>
                <w:color w:val="000000"/>
                <w:lang w:eastAsia="lv-LV"/>
              </w:rPr>
              <w:t>Kanāda</w:t>
            </w:r>
          </w:p>
        </w:tc>
        <w:tc>
          <w:tcPr>
            <w:tcW w:w="856"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1,4</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3,0</w:t>
            </w:r>
          </w:p>
        </w:tc>
        <w:tc>
          <w:tcPr>
            <w:tcW w:w="850"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2,3</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2,0</w:t>
            </w:r>
          </w:p>
        </w:tc>
        <w:tc>
          <w:tcPr>
            <w:tcW w:w="170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+0,2</w:t>
            </w:r>
          </w:p>
        </w:tc>
        <w:tc>
          <w:tcPr>
            <w:tcW w:w="1433"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+0,3</w:t>
            </w:r>
          </w:p>
        </w:tc>
      </w:tr>
      <w:tr w:rsidR="00B45C68" w:rsidRPr="00D316B2" w:rsidTr="00D31F35">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Attīstības valstis</w:t>
            </w:r>
          </w:p>
        </w:tc>
        <w:tc>
          <w:tcPr>
            <w:tcW w:w="856"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4,4</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4,7</w:t>
            </w:r>
          </w:p>
        </w:tc>
        <w:tc>
          <w:tcPr>
            <w:tcW w:w="850"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4,9</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5,0</w:t>
            </w:r>
          </w:p>
        </w:tc>
        <w:tc>
          <w:tcPr>
            <w:tcW w:w="170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0,0</w:t>
            </w:r>
          </w:p>
        </w:tc>
        <w:tc>
          <w:tcPr>
            <w:tcW w:w="1433"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lv-LV"/>
              </w:rPr>
            </w:pPr>
            <w:r w:rsidRPr="00D316B2">
              <w:rPr>
                <w:rFonts w:ascii="Times New Roman" w:eastAsia="Times New Roman" w:hAnsi="Times New Roman" w:cs="Times New Roman"/>
                <w:b/>
                <w:color w:val="000000"/>
                <w:lang w:eastAsia="lv-LV"/>
              </w:rPr>
              <w:t>0,0</w:t>
            </w:r>
          </w:p>
        </w:tc>
      </w:tr>
      <w:tr w:rsidR="00B45C68" w:rsidRPr="00D316B2" w:rsidTr="00D31F35">
        <w:trPr>
          <w:trHeight w:val="112"/>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b w:val="0"/>
                <w:color w:val="000000"/>
                <w:lang w:eastAsia="lv-LV"/>
              </w:rPr>
            </w:pPr>
            <w:r w:rsidRPr="00D316B2">
              <w:rPr>
                <w:rFonts w:ascii="Times New Roman" w:eastAsia="Times New Roman" w:hAnsi="Times New Roman" w:cs="Times New Roman"/>
                <w:b w:val="0"/>
                <w:color w:val="000000"/>
                <w:lang w:eastAsia="lv-LV"/>
              </w:rPr>
              <w:t>Ķīna</w:t>
            </w:r>
          </w:p>
        </w:tc>
        <w:tc>
          <w:tcPr>
            <w:tcW w:w="856"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6,7</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6,8</w:t>
            </w:r>
          </w:p>
        </w:tc>
        <w:tc>
          <w:tcPr>
            <w:tcW w:w="850"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6,6</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6,4</w:t>
            </w:r>
          </w:p>
        </w:tc>
        <w:tc>
          <w:tcPr>
            <w:tcW w:w="170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+0,1</w:t>
            </w:r>
          </w:p>
        </w:tc>
        <w:tc>
          <w:tcPr>
            <w:tcW w:w="1433"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+0,1</w:t>
            </w:r>
          </w:p>
        </w:tc>
      </w:tr>
      <w:tr w:rsidR="00B45C68" w:rsidRPr="00D316B2" w:rsidTr="00D31F35">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b w:val="0"/>
                <w:color w:val="000000"/>
                <w:lang w:eastAsia="lv-LV"/>
              </w:rPr>
            </w:pPr>
            <w:r w:rsidRPr="00D316B2">
              <w:rPr>
                <w:rFonts w:ascii="Times New Roman" w:eastAsia="Times New Roman" w:hAnsi="Times New Roman" w:cs="Times New Roman"/>
                <w:b w:val="0"/>
                <w:color w:val="000000"/>
                <w:lang w:eastAsia="lv-LV"/>
              </w:rPr>
              <w:t>Indija</w:t>
            </w:r>
          </w:p>
        </w:tc>
        <w:tc>
          <w:tcPr>
            <w:tcW w:w="856"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7,1</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6,7</w:t>
            </w:r>
          </w:p>
        </w:tc>
        <w:tc>
          <w:tcPr>
            <w:tcW w:w="850"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7,4</w:t>
            </w:r>
          </w:p>
        </w:tc>
        <w:tc>
          <w:tcPr>
            <w:tcW w:w="85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7,8</w:t>
            </w:r>
          </w:p>
        </w:tc>
        <w:tc>
          <w:tcPr>
            <w:tcW w:w="1701"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0,0</w:t>
            </w:r>
          </w:p>
        </w:tc>
        <w:tc>
          <w:tcPr>
            <w:tcW w:w="1433" w:type="dxa"/>
            <w:vAlign w:val="center"/>
          </w:tcPr>
          <w:p w:rsidR="00B45C68" w:rsidRPr="00D316B2" w:rsidRDefault="00B45C68" w:rsidP="00FB62BB">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0,0</w:t>
            </w:r>
          </w:p>
        </w:tc>
      </w:tr>
      <w:tr w:rsidR="00B45C68" w:rsidRPr="00D316B2" w:rsidTr="00D31F35">
        <w:trPr>
          <w:trHeight w:val="282"/>
          <w:jc w:val="center"/>
        </w:trPr>
        <w:tc>
          <w:tcPr>
            <w:cnfStyle w:val="001000000000" w:firstRow="0" w:lastRow="0" w:firstColumn="1" w:lastColumn="0" w:oddVBand="0" w:evenVBand="0" w:oddHBand="0" w:evenHBand="0" w:firstRowFirstColumn="0" w:firstRowLastColumn="0" w:lastRowFirstColumn="0" w:lastRowLastColumn="0"/>
            <w:tcW w:w="2564" w:type="dxa"/>
            <w:vAlign w:val="center"/>
          </w:tcPr>
          <w:p w:rsidR="00B45C68" w:rsidRPr="00D316B2" w:rsidRDefault="00B45C68" w:rsidP="003F0A9C">
            <w:pPr>
              <w:spacing w:line="259" w:lineRule="auto"/>
              <w:rPr>
                <w:rFonts w:ascii="Times New Roman" w:eastAsia="Times New Roman" w:hAnsi="Times New Roman" w:cs="Times New Roman"/>
                <w:b w:val="0"/>
                <w:color w:val="000000"/>
                <w:lang w:eastAsia="lv-LV"/>
              </w:rPr>
            </w:pPr>
            <w:r w:rsidRPr="00D316B2">
              <w:rPr>
                <w:rFonts w:ascii="Times New Roman" w:eastAsia="Times New Roman" w:hAnsi="Times New Roman" w:cs="Times New Roman"/>
                <w:b w:val="0"/>
                <w:color w:val="000000"/>
                <w:lang w:eastAsia="lv-LV"/>
              </w:rPr>
              <w:t>Krievija</w:t>
            </w:r>
          </w:p>
        </w:tc>
        <w:tc>
          <w:tcPr>
            <w:tcW w:w="856"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-0,2</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1,8</w:t>
            </w:r>
          </w:p>
        </w:tc>
        <w:tc>
          <w:tcPr>
            <w:tcW w:w="850"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1,7</w:t>
            </w:r>
          </w:p>
        </w:tc>
        <w:tc>
          <w:tcPr>
            <w:tcW w:w="85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1,5</w:t>
            </w:r>
          </w:p>
        </w:tc>
        <w:tc>
          <w:tcPr>
            <w:tcW w:w="1701"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+0,1</w:t>
            </w:r>
          </w:p>
        </w:tc>
        <w:tc>
          <w:tcPr>
            <w:tcW w:w="1433" w:type="dxa"/>
            <w:vAlign w:val="center"/>
          </w:tcPr>
          <w:p w:rsidR="00B45C68" w:rsidRPr="00D316B2" w:rsidRDefault="00B45C68" w:rsidP="00FB62BB">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D316B2">
              <w:rPr>
                <w:rFonts w:ascii="Times New Roman" w:eastAsia="Times New Roman" w:hAnsi="Times New Roman" w:cs="Times New Roman"/>
                <w:color w:val="000000"/>
                <w:lang w:eastAsia="lv-LV"/>
              </w:rPr>
              <w:t>0,0</w:t>
            </w:r>
          </w:p>
        </w:tc>
      </w:tr>
    </w:tbl>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b/>
          <w:color w:val="000000"/>
          <w:sz w:val="24"/>
          <w:szCs w:val="24"/>
          <w:lang w:eastAsia="lv-LV"/>
        </w:rPr>
        <w:lastRenderedPageBreak/>
        <w:t>Arī 2018.gadam visas vadošās starptautiskās organizācijas prognozē spēcīgu pasaules ekonomikas izaugsmi</w:t>
      </w:r>
      <w:r w:rsidRPr="00D316B2">
        <w:rPr>
          <w:rFonts w:ascii="Times New Roman" w:eastAsia="Times New Roman" w:hAnsi="Times New Roman" w:cs="Times New Roman"/>
          <w:color w:val="000000"/>
          <w:sz w:val="24"/>
          <w:szCs w:val="24"/>
          <w:lang w:eastAsia="lv-LV"/>
        </w:rPr>
        <w:t>. Pēc</w:t>
      </w:r>
      <w:r>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SVF janvāra prognozēm, pasaules ekonomikas izaugsme vēl paātrināsies no 3,7% 2017.gadā līdz 3,9% 2018.gadā</w:t>
      </w:r>
      <w:r>
        <w:rPr>
          <w:rFonts w:ascii="Times New Roman" w:eastAsia="Times New Roman" w:hAnsi="Times New Roman" w:cs="Times New Roman"/>
          <w:color w:val="000000"/>
          <w:sz w:val="24"/>
          <w:szCs w:val="24"/>
          <w:lang w:eastAsia="lv-LV"/>
        </w:rPr>
        <w:t xml:space="preserve">, un līdzīgas prognozes par pasaules ekonomikas izaugsmi martā izteica arī </w:t>
      </w:r>
      <w:r w:rsidR="007A160A">
        <w:rPr>
          <w:rFonts w:ascii="Times New Roman" w:eastAsia="Times New Roman" w:hAnsi="Times New Roman" w:cs="Times New Roman"/>
          <w:color w:val="000000"/>
          <w:sz w:val="24"/>
          <w:szCs w:val="24"/>
          <w:lang w:eastAsia="lv-LV"/>
        </w:rPr>
        <w:t>OECD</w:t>
      </w:r>
      <w:r w:rsidRPr="00D316B2">
        <w:rPr>
          <w:rFonts w:ascii="Times New Roman" w:eastAsia="Times New Roman" w:hAnsi="Times New Roman" w:cs="Times New Roman"/>
          <w:color w:val="000000"/>
          <w:sz w:val="24"/>
          <w:szCs w:val="24"/>
          <w:lang w:eastAsia="lv-LV"/>
        </w:rPr>
        <w:t>. Izaugsmi pasaulē turpinās nodrošināt augošās investīcijas, pasaules tirdzniecības aktivizēšanās un to vēl papildus veicinās nodokļu atvieglojumi ASV, kā arī Vācijas īstenotie fiskālās stimulēšanas pasākumi. Līdzīga pasaules ekonomikas izaugsme sa</w:t>
      </w:r>
      <w:r>
        <w:rPr>
          <w:rFonts w:ascii="Times New Roman" w:eastAsia="Times New Roman" w:hAnsi="Times New Roman" w:cs="Times New Roman"/>
          <w:color w:val="000000"/>
          <w:sz w:val="24"/>
          <w:szCs w:val="24"/>
          <w:lang w:eastAsia="lv-LV"/>
        </w:rPr>
        <w:t>glabāsies arī 2019.gadā, kad tā pēc SVF prognozēm</w:t>
      </w:r>
      <w:r w:rsidRPr="00D316B2">
        <w:rPr>
          <w:rFonts w:ascii="Times New Roman" w:eastAsia="Times New Roman" w:hAnsi="Times New Roman" w:cs="Times New Roman"/>
          <w:color w:val="000000"/>
          <w:sz w:val="24"/>
          <w:szCs w:val="24"/>
          <w:lang w:eastAsia="lv-LV"/>
        </w:rPr>
        <w:t xml:space="preserve"> tāpat būs 3,9% līmenī. </w:t>
      </w:r>
    </w:p>
    <w:p w:rsidR="00B45C68"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Ar</w:t>
      </w:r>
      <w:r>
        <w:rPr>
          <w:rFonts w:ascii="Times New Roman" w:eastAsia="Times New Roman" w:hAnsi="Times New Roman" w:cs="Times New Roman"/>
          <w:color w:val="000000"/>
          <w:sz w:val="24"/>
          <w:szCs w:val="24"/>
          <w:lang w:eastAsia="lv-LV"/>
        </w:rPr>
        <w:t>ī 2018. un 2019.gadā</w:t>
      </w:r>
      <w:r w:rsidRPr="00D316B2">
        <w:rPr>
          <w:rFonts w:ascii="Times New Roman" w:eastAsia="Times New Roman" w:hAnsi="Times New Roman" w:cs="Times New Roman"/>
          <w:color w:val="000000"/>
          <w:sz w:val="24"/>
          <w:szCs w:val="24"/>
          <w:lang w:eastAsia="lv-LV"/>
        </w:rPr>
        <w:t xml:space="preserve"> līdzīgi kā 2017.gadā pasaules ekonomiskās izaugsmes paātrinājumu nodrošinās galveno</w:t>
      </w:r>
      <w:r>
        <w:rPr>
          <w:rFonts w:ascii="Times New Roman" w:eastAsia="Times New Roman" w:hAnsi="Times New Roman" w:cs="Times New Roman"/>
          <w:color w:val="000000"/>
          <w:sz w:val="24"/>
          <w:szCs w:val="24"/>
          <w:lang w:eastAsia="lv-LV"/>
        </w:rPr>
        <w:t>kārt attīstītās valstis, pirmkārt,</w:t>
      </w:r>
      <w:r w:rsidRPr="00D316B2">
        <w:rPr>
          <w:rFonts w:ascii="Times New Roman" w:eastAsia="Times New Roman" w:hAnsi="Times New Roman" w:cs="Times New Roman"/>
          <w:color w:val="000000"/>
          <w:sz w:val="24"/>
          <w:szCs w:val="24"/>
          <w:lang w:eastAsia="lv-LV"/>
        </w:rPr>
        <w:t xml:space="preserve"> ASV, kur ekonomikas izaugsme 2018.gadā paātrināsies līdz 2,</w:t>
      </w:r>
      <w:r>
        <w:rPr>
          <w:rFonts w:ascii="Times New Roman" w:eastAsia="Times New Roman" w:hAnsi="Times New Roman" w:cs="Times New Roman"/>
          <w:color w:val="000000"/>
          <w:sz w:val="24"/>
          <w:szCs w:val="24"/>
          <w:lang w:eastAsia="lv-LV"/>
        </w:rPr>
        <w:t xml:space="preserve">7%, bet 2019.gadā veidos 2,5%. </w:t>
      </w:r>
      <w:r w:rsidRPr="00B958AE">
        <w:rPr>
          <w:rFonts w:ascii="Times New Roman" w:eastAsia="Times New Roman" w:hAnsi="Times New Roman" w:cs="Times New Roman"/>
          <w:i/>
          <w:color w:val="000000"/>
          <w:sz w:val="24"/>
          <w:szCs w:val="24"/>
          <w:lang w:eastAsia="lv-LV"/>
        </w:rPr>
        <w:t>E</w:t>
      </w:r>
      <w:r w:rsidR="009F2A3D" w:rsidRPr="00B958AE">
        <w:rPr>
          <w:rFonts w:ascii="Times New Roman" w:eastAsia="Times New Roman" w:hAnsi="Times New Roman" w:cs="Times New Roman"/>
          <w:i/>
          <w:color w:val="000000"/>
          <w:sz w:val="24"/>
          <w:szCs w:val="24"/>
          <w:lang w:eastAsia="lv-LV"/>
        </w:rPr>
        <w:t>u</w:t>
      </w:r>
      <w:r w:rsidRPr="00B958AE">
        <w:rPr>
          <w:rFonts w:ascii="Times New Roman" w:eastAsia="Times New Roman" w:hAnsi="Times New Roman" w:cs="Times New Roman"/>
          <w:i/>
          <w:color w:val="000000"/>
          <w:sz w:val="24"/>
          <w:szCs w:val="24"/>
          <w:lang w:eastAsia="lv-LV"/>
        </w:rPr>
        <w:t>ro</w:t>
      </w:r>
      <w:r w:rsidR="009F2A3D">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zonas ekonomikas izaugsme 2018.gadā saglabāsies visai augstā 2,2% līmenī, bet 2019.gadā veidos 2,0%. Spēcīga izaugsme saglabāsies arī Latvijas galvenajās ārējās tirdzniecības partnervalstīs, kur tā nākamajos gados būs</w:t>
      </w:r>
      <w:r>
        <w:rPr>
          <w:rFonts w:ascii="Times New Roman" w:eastAsia="Times New Roman" w:hAnsi="Times New Roman" w:cs="Times New Roman"/>
          <w:color w:val="000000"/>
          <w:sz w:val="24"/>
          <w:szCs w:val="24"/>
          <w:lang w:eastAsia="lv-LV"/>
        </w:rPr>
        <w:t xml:space="preserve"> arī</w:t>
      </w:r>
      <w:r w:rsidRPr="00D316B2">
        <w:rPr>
          <w:rFonts w:ascii="Times New Roman" w:eastAsia="Times New Roman" w:hAnsi="Times New Roman" w:cs="Times New Roman"/>
          <w:color w:val="000000"/>
          <w:sz w:val="24"/>
          <w:szCs w:val="24"/>
          <w:lang w:eastAsia="lv-LV"/>
        </w:rPr>
        <w:t xml:space="preserve"> augstāka par ES vidējo.</w:t>
      </w:r>
    </w:p>
    <w:p w:rsidR="00912C6D" w:rsidRDefault="00912C6D"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rsidR="00B45C68" w:rsidRDefault="004E73E1" w:rsidP="00B45C68">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Pr>
          <w:noProof/>
          <w:lang w:eastAsia="lv-LV"/>
        </w:rPr>
        <w:drawing>
          <wp:inline distT="0" distB="0" distL="0" distR="0">
            <wp:extent cx="5760085" cy="31337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5C68" w:rsidRPr="00D316B2" w:rsidRDefault="00B45C68" w:rsidP="00B45C68">
      <w:pPr>
        <w:autoSpaceDE w:val="0"/>
        <w:autoSpaceDN w:val="0"/>
        <w:adjustRightInd w:val="0"/>
        <w:spacing w:before="60" w:after="120" w:line="240" w:lineRule="auto"/>
        <w:jc w:val="center"/>
        <w:rPr>
          <w:rFonts w:ascii="Times New Roman" w:eastAsia="Times New Roman" w:hAnsi="Times New Roman" w:cs="Times New Roman"/>
          <w:b/>
          <w:color w:val="000000"/>
          <w:sz w:val="24"/>
          <w:szCs w:val="24"/>
          <w:lang w:eastAsia="lv-LV"/>
        </w:rPr>
      </w:pPr>
      <w:r w:rsidRPr="00D316B2">
        <w:rPr>
          <w:rFonts w:ascii="Times New Roman" w:eastAsia="Times New Roman" w:hAnsi="Times New Roman" w:cs="Times New Roman"/>
          <w:b/>
          <w:color w:val="000000"/>
          <w:sz w:val="24"/>
          <w:szCs w:val="24"/>
          <w:lang w:eastAsia="lv-LV"/>
        </w:rPr>
        <w:t>2.1.attēls. Latvijas partnervalstu</w:t>
      </w:r>
      <w:r w:rsidRPr="00D316B2">
        <w:rPr>
          <w:rFonts w:ascii="Times New Roman" w:eastAsia="Times New Roman" w:hAnsi="Times New Roman" w:cs="Times New Roman"/>
          <w:b/>
          <w:color w:val="000000"/>
          <w:sz w:val="24"/>
          <w:szCs w:val="24"/>
          <w:vertAlign w:val="superscript"/>
          <w:lang w:eastAsia="lv-LV"/>
        </w:rPr>
        <w:footnoteReference w:id="3"/>
      </w:r>
      <w:r w:rsidRPr="00D316B2">
        <w:rPr>
          <w:rFonts w:ascii="Times New Roman" w:eastAsia="Times New Roman" w:hAnsi="Times New Roman" w:cs="Times New Roman"/>
          <w:b/>
          <w:color w:val="000000"/>
          <w:sz w:val="24"/>
          <w:szCs w:val="24"/>
          <w:lang w:eastAsia="lv-LV"/>
        </w:rPr>
        <w:t xml:space="preserve"> un ES IKP pieauguma tempi un prognozes, %</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 xml:space="preserve">Kopumā Latvijas septiņu galveno ārējās tirdzniecības partnervalstu vidējā svērtā ekonomikas izaugsme 2018.gadā veidos 2,7% un 2019.gadā – 2,3%. Pēdējā gada laikā Latvijas tirdzniecības partnervalstu tāpat kā visas pasaules ekonomikas izaugsmes prognozes ir būtiski uzlabojušās, un pašlaik partnervalstīm prognozētā izaugsme 2018.gadam ir par 0,4 </w:t>
      </w:r>
      <w:r>
        <w:rPr>
          <w:rFonts w:ascii="Times New Roman" w:eastAsia="Times New Roman" w:hAnsi="Times New Roman" w:cs="Times New Roman"/>
          <w:color w:val="000000"/>
          <w:sz w:val="24"/>
          <w:szCs w:val="24"/>
          <w:lang w:eastAsia="lv-LV"/>
        </w:rPr>
        <w:t>procentpunktiem augstāka, nekā tā bija pirms gada,</w:t>
      </w:r>
      <w:r w:rsidRPr="00D316B2">
        <w:rPr>
          <w:rFonts w:ascii="Times New Roman" w:eastAsia="Times New Roman" w:hAnsi="Times New Roman" w:cs="Times New Roman"/>
          <w:color w:val="000000"/>
          <w:sz w:val="24"/>
          <w:szCs w:val="24"/>
          <w:lang w:eastAsia="lv-LV"/>
        </w:rPr>
        <w:t xml:space="preserve"> Latvijas Stabilitātes programmas 2017.</w:t>
      </w:r>
      <w:r w:rsidR="00B958AE" w:rsidRPr="00B958AE">
        <w:rPr>
          <w:rFonts w:ascii="Times New Roman" w:eastAsia="Calibri" w:hAnsi="Times New Roman" w:cs="Times New Roman"/>
          <w:sz w:val="24"/>
          <w:szCs w:val="24"/>
        </w:rPr>
        <w:t xml:space="preserve"> </w:t>
      </w:r>
      <w:r w:rsidR="00B958AE" w:rsidRPr="00F14E08">
        <w:rPr>
          <w:rFonts w:ascii="Times New Roman" w:eastAsia="Calibri" w:hAnsi="Times New Roman" w:cs="Times New Roman"/>
          <w:sz w:val="24"/>
          <w:szCs w:val="24"/>
        </w:rPr>
        <w:t>–</w:t>
      </w:r>
      <w:r w:rsidRPr="00D316B2">
        <w:rPr>
          <w:rFonts w:ascii="Times New Roman" w:eastAsia="Times New Roman" w:hAnsi="Times New Roman" w:cs="Times New Roman"/>
          <w:color w:val="000000"/>
          <w:sz w:val="24"/>
          <w:szCs w:val="24"/>
          <w:lang w:eastAsia="lv-LV"/>
        </w:rPr>
        <w:t>2020.gadam sagatavošanas laikā.</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 xml:space="preserve">Pieaugot pārtikas un energoresursu cenām pasaules tirgū, 2017.gadā samērā būtiski paaugstinājās kopējais </w:t>
      </w:r>
      <w:r w:rsidRPr="00D316B2">
        <w:rPr>
          <w:rFonts w:ascii="Times New Roman" w:eastAsia="Times New Roman" w:hAnsi="Times New Roman" w:cs="Times New Roman"/>
          <w:b/>
          <w:color w:val="000000"/>
          <w:sz w:val="24"/>
          <w:szCs w:val="24"/>
          <w:lang w:eastAsia="lv-LV"/>
        </w:rPr>
        <w:t xml:space="preserve">inflācijas līmenis </w:t>
      </w:r>
      <w:r w:rsidRPr="00D316B2">
        <w:rPr>
          <w:rFonts w:ascii="Times New Roman" w:eastAsia="Times New Roman" w:hAnsi="Times New Roman" w:cs="Times New Roman"/>
          <w:color w:val="000000"/>
          <w:sz w:val="24"/>
          <w:szCs w:val="24"/>
          <w:lang w:eastAsia="lv-LV"/>
        </w:rPr>
        <w:t xml:space="preserve">pasaulē. Kopumā pasaules attīstītajās valstīs inflācija 2017.gadā veidoja 1,7%, salīdzinot ar 0,8% 2016.gadā, kamēr attīstības valstīs kopējais inflācijas līmenis saglabājās 4,1% līmenī. Naftas cenas pēc naftas eksportētājvalstu </w:t>
      </w:r>
      <w:r w:rsidRPr="00D316B2">
        <w:rPr>
          <w:rFonts w:ascii="Times New Roman" w:eastAsia="Times New Roman" w:hAnsi="Times New Roman" w:cs="Times New Roman"/>
          <w:color w:val="000000"/>
          <w:sz w:val="24"/>
          <w:szCs w:val="24"/>
          <w:lang w:eastAsia="lv-LV"/>
        </w:rPr>
        <w:lastRenderedPageBreak/>
        <w:t xml:space="preserve">organizācijas OPEC lēmuma par ieguves apjomu samazināšanu 2017.gadā kopumā palielinājās vairāk nekā par 20%, </w:t>
      </w:r>
      <w:r w:rsidRPr="00D316B2">
        <w:rPr>
          <w:rFonts w:ascii="Times New Roman" w:eastAsia="Times New Roman" w:hAnsi="Times New Roman" w:cs="Times New Roman"/>
          <w:i/>
          <w:color w:val="000000"/>
          <w:sz w:val="24"/>
          <w:szCs w:val="24"/>
          <w:lang w:eastAsia="lv-LV"/>
        </w:rPr>
        <w:t>Brent</w:t>
      </w:r>
      <w:r w:rsidRPr="00D316B2">
        <w:rPr>
          <w:rFonts w:ascii="Times New Roman" w:eastAsia="Times New Roman" w:hAnsi="Times New Roman" w:cs="Times New Roman"/>
          <w:color w:val="000000"/>
          <w:sz w:val="24"/>
          <w:szCs w:val="24"/>
          <w:lang w:eastAsia="lv-LV"/>
        </w:rPr>
        <w:t xml:space="preserve"> jēlnaftas cenai paaugstinoties līdz vidēji 55 dolāriem par barelu, savukārt neapstrādātās pārtikas cenas pēc Pārtikas un lauksaimniecības organizācijas (FAO) datiem 2017.gadā bija kopumā par 8% augstākas nekā pirms gada, īpaši strauji palielinoties piena cenām.</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B958AE">
        <w:rPr>
          <w:rFonts w:ascii="Times New Roman" w:eastAsia="Times New Roman" w:hAnsi="Times New Roman" w:cs="Times New Roman"/>
          <w:i/>
          <w:color w:val="000000"/>
          <w:sz w:val="24"/>
          <w:szCs w:val="24"/>
          <w:lang w:eastAsia="lv-LV"/>
        </w:rPr>
        <w:t>E</w:t>
      </w:r>
      <w:r w:rsidR="009F2A3D" w:rsidRPr="00B958AE">
        <w:rPr>
          <w:rFonts w:ascii="Times New Roman" w:eastAsia="Times New Roman" w:hAnsi="Times New Roman" w:cs="Times New Roman"/>
          <w:i/>
          <w:color w:val="000000"/>
          <w:sz w:val="24"/>
          <w:szCs w:val="24"/>
          <w:lang w:eastAsia="lv-LV"/>
        </w:rPr>
        <w:t>u</w:t>
      </w:r>
      <w:r w:rsidRPr="00B958AE">
        <w:rPr>
          <w:rFonts w:ascii="Times New Roman" w:eastAsia="Times New Roman" w:hAnsi="Times New Roman" w:cs="Times New Roman"/>
          <w:i/>
          <w:color w:val="000000"/>
          <w:sz w:val="24"/>
          <w:szCs w:val="24"/>
          <w:lang w:eastAsia="lv-LV"/>
        </w:rPr>
        <w:t>ro</w:t>
      </w:r>
      <w:r w:rsidR="009F2A3D">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zonā inflācija</w:t>
      </w:r>
      <w:r w:rsidRPr="00D316B2">
        <w:rPr>
          <w:rFonts w:ascii="Times New Roman" w:eastAsia="Times New Roman" w:hAnsi="Times New Roman" w:cs="Times New Roman"/>
          <w:color w:val="000000"/>
          <w:sz w:val="24"/>
          <w:szCs w:val="24"/>
          <w:lang w:eastAsia="lv-LV"/>
        </w:rPr>
        <w:t xml:space="preserve"> pērn paaugstinājās līdz 1,5%, salīdzinot ar 0,2 procentiem 2016.gadā, tomēr tā joprojām ir zemāka par Eiropas Centrālās bankas noteikto vēlamo inflācijas līmeni, kas ir tuvu, bet nedaudz zem diviem procentiem. Pamatinflācijai saglabājoties zemai, ko ietekmē salīdzinoši vājā darba tirgus attīstība un ierobežotais algu pieaugums, kopējo inflācijas dinamiku </w:t>
      </w:r>
      <w:r w:rsidRPr="00B958AE">
        <w:rPr>
          <w:rFonts w:ascii="Times New Roman" w:eastAsia="Times New Roman" w:hAnsi="Times New Roman" w:cs="Times New Roman"/>
          <w:i/>
          <w:color w:val="000000"/>
          <w:sz w:val="24"/>
          <w:szCs w:val="24"/>
          <w:lang w:eastAsia="lv-LV"/>
        </w:rPr>
        <w:t>e</w:t>
      </w:r>
      <w:r w:rsidR="009F2A3D" w:rsidRPr="00B958AE">
        <w:rPr>
          <w:rFonts w:ascii="Times New Roman" w:eastAsia="Times New Roman" w:hAnsi="Times New Roman" w:cs="Times New Roman"/>
          <w:i/>
          <w:color w:val="000000"/>
          <w:sz w:val="24"/>
          <w:szCs w:val="24"/>
          <w:lang w:eastAsia="lv-LV"/>
        </w:rPr>
        <w:t>u</w:t>
      </w:r>
      <w:r w:rsidRPr="00B958AE">
        <w:rPr>
          <w:rFonts w:ascii="Times New Roman" w:eastAsia="Times New Roman" w:hAnsi="Times New Roman" w:cs="Times New Roman"/>
          <w:i/>
          <w:color w:val="000000"/>
          <w:sz w:val="24"/>
          <w:szCs w:val="24"/>
          <w:lang w:eastAsia="lv-LV"/>
        </w:rPr>
        <w:t>ro</w:t>
      </w:r>
      <w:r w:rsidR="009F2A3D">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zonā turpinās noteikt galvenokārt energoresursu cenu svārstības</w:t>
      </w:r>
      <w:r>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2018.gadā tā saglabāsies 1,5% līmenī, bet 2019.gadā nedaudz pieaugs, sasniedzot 1,6%. Pasaules attīstītajās valstīs kopumā 2018.gadā gaidāma inflācijas līmeņa paaugstināšanās līdz 1,9 procentiem.</w:t>
      </w:r>
    </w:p>
    <w:p w:rsidR="00B45C68"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rsidR="00B45C68" w:rsidRDefault="00B45C68" w:rsidP="00EC1451">
      <w:pPr>
        <w:pStyle w:val="Heading2"/>
        <w:numPr>
          <w:ilvl w:val="1"/>
          <w:numId w:val="20"/>
        </w:numPr>
        <w:spacing w:before="0" w:after="120" w:line="240" w:lineRule="auto"/>
        <w:ind w:left="935" w:hanging="357"/>
        <w:jc w:val="both"/>
        <w:rPr>
          <w:rFonts w:ascii="Times New Roman" w:hAnsi="Times New Roman" w:cs="Times New Roman"/>
          <w:sz w:val="24"/>
        </w:rPr>
      </w:pPr>
      <w:bookmarkStart w:id="8" w:name="_Toc479331083"/>
      <w:bookmarkStart w:id="9" w:name="_Toc510790653"/>
      <w:bookmarkStart w:id="10" w:name="_Toc511027813"/>
      <w:r w:rsidRPr="00F51615">
        <w:rPr>
          <w:rFonts w:ascii="Times New Roman" w:hAnsi="Times New Roman" w:cs="Times New Roman"/>
          <w:sz w:val="24"/>
        </w:rPr>
        <w:t>Pašreizējā ekonomiskā situācija</w:t>
      </w:r>
      <w:bookmarkEnd w:id="8"/>
      <w:bookmarkEnd w:id="9"/>
      <w:bookmarkEnd w:id="10"/>
    </w:p>
    <w:p w:rsidR="00B45C68" w:rsidRPr="00D316B2" w:rsidRDefault="00B45C68" w:rsidP="00CB3583">
      <w:pPr>
        <w:spacing w:after="0" w:line="240" w:lineRule="auto"/>
        <w:ind w:firstLine="567"/>
        <w:jc w:val="both"/>
        <w:rPr>
          <w:rFonts w:ascii="Times New Roman" w:eastAsia="Calibri" w:hAnsi="Times New Roman" w:cs="Times New Roman"/>
          <w:sz w:val="24"/>
        </w:rPr>
      </w:pPr>
      <w:r w:rsidRPr="00D316B2">
        <w:rPr>
          <w:rFonts w:ascii="Times New Roman" w:eastAsia="Calibri" w:hAnsi="Times New Roman" w:cs="Times New Roman"/>
          <w:sz w:val="24"/>
        </w:rPr>
        <w:t>Pēc ekonomiskās izaugsmes sabremzēšanās 2016.gadā līdz 2,2%, Latvijas IKP pieauguma temps 2017.gadā ir būtiski paātrinājies, sasniedzot 4,5%, kas ir straujākais kāpums kopš 2011.gada. Ekonomiskās izaugsmes paātrināšanos 2017.gadā pamatā nodrošināja augošais ārējais pieprasījums un investīciju aktivitātes atjaunošanās Latvijā, pieaugot ES fondu līdzekļu plūsmai, turklāt arī privātais patēriņš pērn bija samērā spēcīgs.</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Calibri" w:hAnsi="Times New Roman" w:cs="Times New Roman"/>
          <w:b/>
          <w:sz w:val="24"/>
        </w:rPr>
        <w:t>Noturīgais iekšējais pieprasījums nodrošināja privātā patēriņa pieaugumu</w:t>
      </w:r>
      <w:r w:rsidRPr="00D316B2">
        <w:rPr>
          <w:rFonts w:ascii="Times New Roman" w:eastAsia="Calibri" w:hAnsi="Times New Roman" w:cs="Times New Roman"/>
          <w:sz w:val="24"/>
        </w:rPr>
        <w:t xml:space="preserve">, kas 2017.gadā sasniedza 5,1%. </w:t>
      </w:r>
      <w:r w:rsidRPr="00D316B2">
        <w:rPr>
          <w:rFonts w:ascii="Times New Roman" w:eastAsia="Times New Roman" w:hAnsi="Times New Roman" w:cs="Times New Roman"/>
          <w:color w:val="000000"/>
          <w:sz w:val="24"/>
          <w:szCs w:val="24"/>
          <w:lang w:eastAsia="lv-LV"/>
        </w:rPr>
        <w:t>Privāto patēriņu veicināja joprojām spēcīgi augošā darba samaksa, kas pērn uzrādīja straujāko kāpumu kopš 2008.gada, bezdarba samazināšanās, kā arī kreditēšanas aktivizēšanās, 2017.gadā turpinot pieaugt mājsaimniecībām jaunizsniegto kredītu apjomam. Pērn palielinājās arī sabiedriskais patēriņš – par 4,1%.</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Calibri" w:hAnsi="Times New Roman" w:cs="Times New Roman"/>
          <w:sz w:val="24"/>
        </w:rPr>
        <w:t xml:space="preserve">Savukārt </w:t>
      </w:r>
      <w:r w:rsidRPr="00D316B2">
        <w:rPr>
          <w:rFonts w:ascii="Times New Roman" w:eastAsia="Calibri" w:hAnsi="Times New Roman" w:cs="Times New Roman"/>
          <w:b/>
          <w:sz w:val="24"/>
        </w:rPr>
        <w:t>spēcīgāko izaugsmi pērn uzrādīja investīcijas, ieguldījumiem bruto pamatkapitālā 2017.gadā palielinoties par 16,0%.</w:t>
      </w:r>
      <w:r w:rsidRPr="00D316B2">
        <w:rPr>
          <w:rFonts w:ascii="Times New Roman" w:eastAsia="Calibri" w:hAnsi="Times New Roman" w:cs="Times New Roman"/>
          <w:sz w:val="24"/>
        </w:rPr>
        <w:t xml:space="preserve"> Pēc stagnācijas 2014. un 2015.gadā un ievērojamā krituma 2016.gadā </w:t>
      </w:r>
      <w:r w:rsidRPr="00D316B2">
        <w:rPr>
          <w:rFonts w:ascii="Times New Roman" w:eastAsia="Times New Roman" w:hAnsi="Times New Roman" w:cs="Times New Roman"/>
          <w:color w:val="000000"/>
          <w:sz w:val="24"/>
          <w:szCs w:val="24"/>
          <w:lang w:eastAsia="lv-LV"/>
        </w:rPr>
        <w:t>investīciju kāpumu pērn lielā mērā noteica 2014.</w:t>
      </w:r>
      <w:r w:rsidR="00B958AE" w:rsidRPr="00B958AE">
        <w:rPr>
          <w:rFonts w:ascii="Times New Roman" w:eastAsia="Calibri" w:hAnsi="Times New Roman" w:cs="Times New Roman"/>
          <w:sz w:val="24"/>
          <w:szCs w:val="24"/>
        </w:rPr>
        <w:t xml:space="preserve"> </w:t>
      </w:r>
      <w:r w:rsidR="00B958AE" w:rsidRPr="00F14E08">
        <w:rPr>
          <w:rFonts w:ascii="Times New Roman" w:eastAsia="Calibri" w:hAnsi="Times New Roman" w:cs="Times New Roman"/>
          <w:sz w:val="24"/>
          <w:szCs w:val="24"/>
        </w:rPr>
        <w:t>–</w:t>
      </w:r>
      <w:r w:rsidR="00B958AE">
        <w:rPr>
          <w:rFonts w:ascii="Times New Roman" w:eastAsia="Calibri" w:hAnsi="Times New Roman" w:cs="Times New Roman"/>
          <w:sz w:val="24"/>
          <w:szCs w:val="24"/>
        </w:rPr>
        <w:t xml:space="preserve"> </w:t>
      </w:r>
      <w:r w:rsidRPr="00D316B2">
        <w:rPr>
          <w:rFonts w:ascii="Times New Roman" w:eastAsia="Times New Roman" w:hAnsi="Times New Roman" w:cs="Times New Roman"/>
          <w:color w:val="000000"/>
          <w:sz w:val="24"/>
          <w:szCs w:val="24"/>
          <w:lang w:eastAsia="lv-LV"/>
        </w:rPr>
        <w:t xml:space="preserve">2020.gada plānošanas perioda ES fondu investīciju aktivitāte, kas nodrošinās investīciju pieaugumu arī šogad un nākamajos gados. </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 xml:space="preserve">Aptuveni pusi (2017.gadā </w:t>
      </w:r>
      <w:r>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45%) no kopējiem ieguldījumiem bruto pamatkapitālā veido ne</w:t>
      </w:r>
      <w:r w:rsidR="00FC4AA3">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finanšu investīcijas, un pērn to apjoms faktiskajās cenās palielinājās par 0,3 mljrd.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jeb 14,9%, veidojot 2,4 mljrd.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Lielākais ne</w:t>
      </w:r>
      <w:r w:rsidR="00B958AE" w:rsidRPr="00F14E08">
        <w:rPr>
          <w:rFonts w:ascii="Times New Roman" w:eastAsia="Calibri" w:hAnsi="Times New Roman" w:cs="Times New Roman"/>
          <w:sz w:val="24"/>
          <w:szCs w:val="24"/>
        </w:rPr>
        <w:t>–</w:t>
      </w:r>
      <w:r w:rsidRPr="00D316B2">
        <w:rPr>
          <w:rFonts w:ascii="Times New Roman" w:eastAsia="Times New Roman" w:hAnsi="Times New Roman" w:cs="Times New Roman"/>
          <w:color w:val="000000"/>
          <w:sz w:val="24"/>
          <w:szCs w:val="24"/>
          <w:lang w:eastAsia="lv-LV"/>
        </w:rPr>
        <w:t xml:space="preserve">finanšu investīciju īpatsvars reģistrēts šādās nozarēs </w:t>
      </w:r>
      <w:r>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valsts pārvalde un aizsardzība (21% no kopējām ne</w:t>
      </w:r>
      <w:r w:rsidR="00FC4AA3">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finanšu investīcijām 2017.gadā), transports un uzglabāšana (16%) un apstrādes rūpniecība (12%). Ne</w:t>
      </w:r>
      <w:r w:rsidR="00B958AE" w:rsidRPr="00F14E08">
        <w:rPr>
          <w:rFonts w:ascii="Times New Roman" w:eastAsia="Calibri" w:hAnsi="Times New Roman" w:cs="Times New Roman"/>
          <w:sz w:val="24"/>
          <w:szCs w:val="24"/>
        </w:rPr>
        <w:t>–</w:t>
      </w:r>
      <w:r w:rsidRPr="00D316B2">
        <w:rPr>
          <w:rFonts w:ascii="Times New Roman" w:eastAsia="Times New Roman" w:hAnsi="Times New Roman" w:cs="Times New Roman"/>
          <w:color w:val="000000"/>
          <w:sz w:val="24"/>
          <w:szCs w:val="24"/>
          <w:lang w:eastAsia="lv-LV"/>
        </w:rPr>
        <w:t>finanšu investīciju pieaugums no augstākminētajām nozarēm pērn salīdzinājumā ar 2016.gadu bija vērojams visās</w:t>
      </w:r>
      <w:r>
        <w:rPr>
          <w:rFonts w:ascii="Times New Roman" w:eastAsia="Times New Roman" w:hAnsi="Times New Roman" w:cs="Times New Roman"/>
          <w:color w:val="000000"/>
          <w:sz w:val="24"/>
          <w:szCs w:val="24"/>
          <w:lang w:eastAsia="lv-LV"/>
        </w:rPr>
        <w:t xml:space="preserve"> nozarēs</w:t>
      </w:r>
      <w:r w:rsidRPr="00D316B2">
        <w:rPr>
          <w:rFonts w:ascii="Times New Roman" w:eastAsia="Times New Roman" w:hAnsi="Times New Roman" w:cs="Times New Roman"/>
          <w:color w:val="000000"/>
          <w:sz w:val="24"/>
          <w:szCs w:val="24"/>
          <w:lang w:eastAsia="lv-LV"/>
        </w:rPr>
        <w:t>, piemēram, investīcijas valsts pārvaldes un aizsardzības sektorā bija par 41,1% augstākas nekā pirms gada, transportā un uzglabāšanā – par 13,5% un apstrādes rūpniecībā – par 3,6%</w:t>
      </w:r>
      <w:r>
        <w:rPr>
          <w:rFonts w:ascii="Times New Roman" w:eastAsia="Times New Roman" w:hAnsi="Times New Roman" w:cs="Times New Roman"/>
          <w:color w:val="000000"/>
          <w:sz w:val="24"/>
          <w:szCs w:val="24"/>
          <w:lang w:eastAsia="lv-LV"/>
        </w:rPr>
        <w:t xml:space="preserve"> augstākas</w:t>
      </w:r>
      <w:r w:rsidRPr="00D316B2">
        <w:rPr>
          <w:rFonts w:ascii="Times New Roman" w:eastAsia="Times New Roman" w:hAnsi="Times New Roman" w:cs="Times New Roman"/>
          <w:color w:val="000000"/>
          <w:sz w:val="24"/>
          <w:szCs w:val="24"/>
          <w:lang w:eastAsia="lv-LV"/>
        </w:rPr>
        <w:t>. Nozīmīgs ne</w:t>
      </w:r>
      <w:r w:rsidR="00B958AE" w:rsidRPr="00F14E08">
        <w:rPr>
          <w:rFonts w:ascii="Times New Roman" w:eastAsia="Calibri" w:hAnsi="Times New Roman" w:cs="Times New Roman"/>
          <w:sz w:val="24"/>
          <w:szCs w:val="24"/>
        </w:rPr>
        <w:t>–</w:t>
      </w:r>
      <w:r w:rsidRPr="00D316B2">
        <w:rPr>
          <w:rFonts w:ascii="Times New Roman" w:eastAsia="Times New Roman" w:hAnsi="Times New Roman" w:cs="Times New Roman"/>
          <w:color w:val="000000"/>
          <w:sz w:val="24"/>
          <w:szCs w:val="24"/>
          <w:lang w:eastAsia="lv-LV"/>
        </w:rPr>
        <w:t>finanšu inves</w:t>
      </w:r>
      <w:r>
        <w:rPr>
          <w:rFonts w:ascii="Times New Roman" w:eastAsia="Times New Roman" w:hAnsi="Times New Roman" w:cs="Times New Roman"/>
          <w:color w:val="000000"/>
          <w:sz w:val="24"/>
          <w:szCs w:val="24"/>
          <w:lang w:eastAsia="lv-LV"/>
        </w:rPr>
        <w:t xml:space="preserve">tīciju pieaugums – par 114,1% – </w:t>
      </w:r>
      <w:r w:rsidRPr="00D316B2">
        <w:rPr>
          <w:rFonts w:ascii="Times New Roman" w:eastAsia="Times New Roman" w:hAnsi="Times New Roman" w:cs="Times New Roman"/>
          <w:color w:val="000000"/>
          <w:sz w:val="24"/>
          <w:szCs w:val="24"/>
          <w:lang w:eastAsia="lv-LV"/>
        </w:rPr>
        <w:t>2017.gadā tika reģistrēts operācijās ar nekustamo īpašumu, tādējādi šī sektora ne</w:t>
      </w:r>
      <w:r w:rsidR="00FC4AA3">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finanšu investīciju īpatsvars pērn veidoja 9%. Investīciju kāpums tika reģistrēts arī tirdzniecībā un citās īpatsvara ziņā mazākās nozarēs, tikmēr ne</w:t>
      </w:r>
      <w:r w:rsidR="00B958AE" w:rsidRPr="00F14E08">
        <w:rPr>
          <w:rFonts w:ascii="Times New Roman" w:eastAsia="Calibri" w:hAnsi="Times New Roman" w:cs="Times New Roman"/>
          <w:sz w:val="24"/>
          <w:szCs w:val="24"/>
        </w:rPr>
        <w:t>–</w:t>
      </w:r>
      <w:r w:rsidRPr="00D316B2">
        <w:rPr>
          <w:rFonts w:ascii="Times New Roman" w:eastAsia="Times New Roman" w:hAnsi="Times New Roman" w:cs="Times New Roman"/>
          <w:color w:val="000000"/>
          <w:sz w:val="24"/>
          <w:szCs w:val="24"/>
          <w:lang w:eastAsia="lv-LV"/>
        </w:rPr>
        <w:t>finanšu investīcijas saruka elektroenerģijas un gāzes apgādes sektorā, kā arī informācijas un komunikācijas pakalpojumos u.c. mazākās nozarēs.</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 xml:space="preserve">2017.gadā atjaunojies arī ienākošo ĀTI apjoms Latvijā, neto plūsmai sasniedzot 640 milj. </w:t>
      </w:r>
      <w:r w:rsidRPr="00B84C9D">
        <w:rPr>
          <w:rFonts w:ascii="Times New Roman" w:hAnsi="Times New Roman"/>
          <w:i/>
          <w:color w:val="000000"/>
          <w:sz w:val="24"/>
        </w:rPr>
        <w:t>euro</w:t>
      </w:r>
      <w:r w:rsidRPr="00D316B2">
        <w:rPr>
          <w:rFonts w:ascii="Times New Roman" w:eastAsia="Times New Roman" w:hAnsi="Times New Roman" w:cs="Times New Roman"/>
          <w:color w:val="000000"/>
          <w:sz w:val="24"/>
          <w:szCs w:val="24"/>
          <w:lang w:eastAsia="lv-LV"/>
        </w:rPr>
        <w:t>, tādējādi atgriežoties pie vēsturiski vidējā līmeņa pēc būtiska kritum</w:t>
      </w:r>
      <w:r>
        <w:rPr>
          <w:rFonts w:ascii="Times New Roman" w:eastAsia="Times New Roman" w:hAnsi="Times New Roman" w:cs="Times New Roman"/>
          <w:color w:val="000000"/>
          <w:sz w:val="24"/>
          <w:szCs w:val="24"/>
          <w:lang w:eastAsia="lv-LV"/>
        </w:rPr>
        <w:t>a</w:t>
      </w:r>
      <w:r w:rsidRPr="00D316B2">
        <w:rPr>
          <w:rFonts w:ascii="Times New Roman" w:eastAsia="Times New Roman" w:hAnsi="Times New Roman" w:cs="Times New Roman"/>
          <w:color w:val="000000"/>
          <w:sz w:val="24"/>
          <w:szCs w:val="24"/>
          <w:lang w:eastAsia="lv-LV"/>
        </w:rPr>
        <w:t xml:space="preserve"> 2016.gadā. Jāatzīmē, ka ienākošo ĀTI apjoms Latvijā 2016.gadā samazinājies līdz 134 milj. </w:t>
      </w:r>
      <w:r w:rsidRPr="00B84C9D">
        <w:rPr>
          <w:rFonts w:ascii="Times New Roman" w:hAnsi="Times New Roman"/>
          <w:i/>
          <w:color w:val="000000"/>
          <w:sz w:val="24"/>
        </w:rPr>
        <w:t>euro,</w:t>
      </w:r>
      <w:r w:rsidRPr="00D316B2">
        <w:rPr>
          <w:rFonts w:ascii="Times New Roman" w:eastAsia="Times New Roman" w:hAnsi="Times New Roman" w:cs="Times New Roman"/>
          <w:color w:val="000000"/>
          <w:sz w:val="24"/>
          <w:szCs w:val="24"/>
          <w:lang w:eastAsia="lv-LV"/>
        </w:rPr>
        <w:t xml:space="preserve"> ko pamatā ietekmēja vienreizējs faktors – būtisks pašu kapitāla samazinājums </w:t>
      </w:r>
      <w:r w:rsidRPr="00D316B2">
        <w:rPr>
          <w:rFonts w:ascii="Times New Roman" w:eastAsia="Times New Roman" w:hAnsi="Times New Roman" w:cs="Times New Roman"/>
          <w:i/>
          <w:color w:val="000000"/>
          <w:sz w:val="24"/>
          <w:szCs w:val="24"/>
          <w:lang w:eastAsia="lv-LV"/>
        </w:rPr>
        <w:t>Swedbank AS</w:t>
      </w:r>
      <w:r w:rsidRPr="00D316B2">
        <w:rPr>
          <w:rFonts w:ascii="Times New Roman" w:eastAsia="Times New Roman" w:hAnsi="Times New Roman" w:cs="Times New Roman"/>
          <w:color w:val="000000"/>
          <w:sz w:val="24"/>
          <w:szCs w:val="24"/>
          <w:lang w:eastAsia="lv-LV"/>
        </w:rPr>
        <w:t xml:space="preserve">. Komercbankas lēmums par pašu kapitāla samazinājumu bija saistīts ar kapitāla struktūras </w:t>
      </w:r>
      <w:r w:rsidRPr="00D316B2">
        <w:rPr>
          <w:rFonts w:ascii="Times New Roman" w:eastAsia="Times New Roman" w:hAnsi="Times New Roman" w:cs="Times New Roman"/>
          <w:color w:val="000000"/>
          <w:sz w:val="24"/>
          <w:szCs w:val="24"/>
          <w:lang w:eastAsia="lv-LV"/>
        </w:rPr>
        <w:lastRenderedPageBreak/>
        <w:t xml:space="preserve">optimizēšanu, tādējādi samazinot pamatkapitālu par 367,9 milj.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Lai arī šis vienreizēj</w:t>
      </w:r>
      <w:r>
        <w:rPr>
          <w:rFonts w:ascii="Times New Roman" w:eastAsia="Times New Roman" w:hAnsi="Times New Roman" w:cs="Times New Roman"/>
          <w:color w:val="000000"/>
          <w:sz w:val="24"/>
          <w:szCs w:val="24"/>
          <w:lang w:eastAsia="lv-LV"/>
        </w:rPr>
        <w:t>ai</w:t>
      </w:r>
      <w:r w:rsidRPr="00D316B2">
        <w:rPr>
          <w:rFonts w:ascii="Times New Roman" w:eastAsia="Times New Roman" w:hAnsi="Times New Roman" w:cs="Times New Roman"/>
          <w:color w:val="000000"/>
          <w:sz w:val="24"/>
          <w:szCs w:val="24"/>
          <w:lang w:eastAsia="lv-LV"/>
        </w:rPr>
        <w:t xml:space="preserve">s faktors būtiski ietekmēja gan ĀTI ienākošo plūsmu, gan uzkrāto ĀTI apjomu, </w:t>
      </w:r>
      <w:r>
        <w:rPr>
          <w:rFonts w:ascii="Times New Roman" w:eastAsia="Times New Roman" w:hAnsi="Times New Roman" w:cs="Times New Roman"/>
          <w:color w:val="000000"/>
          <w:sz w:val="24"/>
          <w:szCs w:val="24"/>
          <w:lang w:eastAsia="lv-LV"/>
        </w:rPr>
        <w:t>tam</w:t>
      </w:r>
      <w:r w:rsidRPr="00D316B2">
        <w:rPr>
          <w:rFonts w:ascii="Times New Roman" w:eastAsia="Times New Roman" w:hAnsi="Times New Roman" w:cs="Times New Roman"/>
          <w:color w:val="000000"/>
          <w:sz w:val="24"/>
          <w:szCs w:val="24"/>
          <w:lang w:eastAsia="lv-LV"/>
        </w:rPr>
        <w:t xml:space="preserve"> nebija nekādas ietekmes uz valsts ekonomikas attīstību, jo komercbankas pamatdarbības apjoms saglabājies iepriekšējā līmen</w:t>
      </w:r>
      <w:r>
        <w:rPr>
          <w:rFonts w:ascii="Times New Roman" w:eastAsia="Times New Roman" w:hAnsi="Times New Roman" w:cs="Times New Roman"/>
          <w:color w:val="000000"/>
          <w:sz w:val="24"/>
          <w:szCs w:val="24"/>
          <w:lang w:eastAsia="lv-LV"/>
        </w:rPr>
        <w:t>ī</w:t>
      </w:r>
      <w:r w:rsidRPr="00D316B2">
        <w:rPr>
          <w:rFonts w:ascii="Times New Roman" w:eastAsia="Times New Roman" w:hAnsi="Times New Roman" w:cs="Times New Roman"/>
          <w:color w:val="000000"/>
          <w:sz w:val="24"/>
          <w:szCs w:val="24"/>
          <w:lang w:eastAsia="lv-LV"/>
        </w:rPr>
        <w:t xml:space="preserve"> un joprojām </w:t>
      </w:r>
      <w:r w:rsidRPr="00D316B2">
        <w:rPr>
          <w:rFonts w:ascii="Times New Roman" w:eastAsia="Times New Roman" w:hAnsi="Times New Roman" w:cs="Times New Roman"/>
          <w:i/>
          <w:color w:val="000000"/>
          <w:sz w:val="24"/>
          <w:szCs w:val="24"/>
          <w:lang w:eastAsia="lv-LV"/>
        </w:rPr>
        <w:t xml:space="preserve">Swedbank AS </w:t>
      </w:r>
      <w:r w:rsidRPr="00D316B2">
        <w:rPr>
          <w:rFonts w:ascii="Times New Roman" w:eastAsia="Times New Roman" w:hAnsi="Times New Roman" w:cs="Times New Roman"/>
          <w:color w:val="000000"/>
          <w:sz w:val="24"/>
          <w:szCs w:val="24"/>
          <w:lang w:eastAsia="lv-LV"/>
        </w:rPr>
        <w:t>ir viena no labāk kapitalizēt</w:t>
      </w:r>
      <w:r>
        <w:rPr>
          <w:rFonts w:ascii="Times New Roman" w:eastAsia="Times New Roman" w:hAnsi="Times New Roman" w:cs="Times New Roman"/>
          <w:color w:val="000000"/>
          <w:sz w:val="24"/>
          <w:szCs w:val="24"/>
          <w:lang w:eastAsia="lv-LV"/>
        </w:rPr>
        <w:t>aj</w:t>
      </w:r>
      <w:r w:rsidRPr="00D316B2">
        <w:rPr>
          <w:rFonts w:ascii="Times New Roman" w:eastAsia="Times New Roman" w:hAnsi="Times New Roman" w:cs="Times New Roman"/>
          <w:color w:val="000000"/>
          <w:sz w:val="24"/>
          <w:szCs w:val="24"/>
          <w:lang w:eastAsia="lv-LV"/>
        </w:rPr>
        <w:t>ām bankām Lat</w:t>
      </w:r>
      <w:r>
        <w:rPr>
          <w:rFonts w:ascii="Times New Roman" w:eastAsia="Times New Roman" w:hAnsi="Times New Roman" w:cs="Times New Roman"/>
          <w:color w:val="000000"/>
          <w:sz w:val="24"/>
          <w:szCs w:val="24"/>
          <w:lang w:eastAsia="lv-LV"/>
        </w:rPr>
        <w:t>vijā. 2017.gadā ienākošā</w:t>
      </w:r>
      <w:r w:rsidRPr="00D316B2">
        <w:rPr>
          <w:rFonts w:ascii="Times New Roman" w:eastAsia="Times New Roman" w:hAnsi="Times New Roman" w:cs="Times New Roman"/>
          <w:color w:val="000000"/>
          <w:sz w:val="24"/>
          <w:szCs w:val="24"/>
          <w:lang w:eastAsia="lv-LV"/>
        </w:rPr>
        <w:t xml:space="preserve">s ĀTI plūsmas apjoma kāpumu galvenokārt noteica investīcijas pieaugums pašu kapitālā par 979 milj.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Papildus tam, 280 milj.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no savas pamatdarbības peļņas ā</w:t>
      </w:r>
      <w:r>
        <w:rPr>
          <w:rFonts w:ascii="Times New Roman" w:eastAsia="Times New Roman" w:hAnsi="Times New Roman" w:cs="Times New Roman"/>
          <w:color w:val="000000"/>
          <w:sz w:val="24"/>
          <w:szCs w:val="24"/>
          <w:lang w:eastAsia="lv-LV"/>
        </w:rPr>
        <w:t>rvalstu investori ir reinvestējuši</w:t>
      </w:r>
      <w:r w:rsidRPr="00D316B2">
        <w:rPr>
          <w:rFonts w:ascii="Times New Roman" w:eastAsia="Times New Roman" w:hAnsi="Times New Roman" w:cs="Times New Roman"/>
          <w:color w:val="000000"/>
          <w:sz w:val="24"/>
          <w:szCs w:val="24"/>
          <w:lang w:eastAsia="lv-LV"/>
        </w:rPr>
        <w:t xml:space="preserve"> uzņēmumu tālākā attīstībā. Taču, izpildot saistības pret tiešajiem investoriem un māsas uzņēmumiem, izmaksājot dividendes un nosedzot kredītsaistības, ienākošo </w:t>
      </w:r>
      <w:r>
        <w:rPr>
          <w:rFonts w:ascii="Times New Roman" w:eastAsia="Times New Roman" w:hAnsi="Times New Roman" w:cs="Times New Roman"/>
          <w:color w:val="000000"/>
          <w:sz w:val="24"/>
          <w:szCs w:val="24"/>
          <w:lang w:eastAsia="lv-LV"/>
        </w:rPr>
        <w:t>ĀTI</w:t>
      </w:r>
      <w:r w:rsidRPr="00D316B2">
        <w:rPr>
          <w:rFonts w:ascii="Times New Roman" w:eastAsia="Times New Roman" w:hAnsi="Times New Roman" w:cs="Times New Roman"/>
          <w:color w:val="000000"/>
          <w:sz w:val="24"/>
          <w:szCs w:val="24"/>
          <w:lang w:eastAsia="lv-LV"/>
        </w:rPr>
        <w:t xml:space="preserve"> plūsma parāda instrumentos bija negatīva jeb 618 milj. </w:t>
      </w:r>
      <w:r w:rsidRPr="00D316B2">
        <w:rPr>
          <w:rFonts w:ascii="Times New Roman" w:eastAsia="Times New Roman" w:hAnsi="Times New Roman" w:cs="Times New Roman"/>
          <w:i/>
          <w:color w:val="000000"/>
          <w:sz w:val="24"/>
          <w:szCs w:val="24"/>
          <w:lang w:eastAsia="lv-LV"/>
        </w:rPr>
        <w:t>euro</w:t>
      </w:r>
      <w:r>
        <w:rPr>
          <w:rFonts w:ascii="Times New Roman" w:eastAsia="Times New Roman" w:hAnsi="Times New Roman" w:cs="Times New Roman"/>
          <w:color w:val="000000"/>
          <w:sz w:val="24"/>
          <w:szCs w:val="24"/>
          <w:lang w:eastAsia="lv-LV"/>
        </w:rPr>
        <w:t>. Tādējādi</w:t>
      </w:r>
      <w:r w:rsidRPr="00D316B2">
        <w:rPr>
          <w:rFonts w:ascii="Times New Roman" w:eastAsia="Times New Roman" w:hAnsi="Times New Roman" w:cs="Times New Roman"/>
          <w:color w:val="000000"/>
          <w:sz w:val="24"/>
          <w:szCs w:val="24"/>
          <w:lang w:eastAsia="lv-LV"/>
        </w:rPr>
        <w:t xml:space="preserve"> ĀTI neto plūsma pērn</w:t>
      </w:r>
      <w:r>
        <w:rPr>
          <w:rFonts w:ascii="Times New Roman" w:eastAsia="Times New Roman" w:hAnsi="Times New Roman" w:cs="Times New Roman"/>
          <w:color w:val="000000"/>
          <w:sz w:val="24"/>
          <w:szCs w:val="24"/>
          <w:lang w:eastAsia="lv-LV"/>
        </w:rPr>
        <w:t>aj</w:t>
      </w:r>
      <w:r w:rsidRPr="00D316B2">
        <w:rPr>
          <w:rFonts w:ascii="Times New Roman" w:eastAsia="Times New Roman" w:hAnsi="Times New Roman" w:cs="Times New Roman"/>
          <w:color w:val="000000"/>
          <w:sz w:val="24"/>
          <w:szCs w:val="24"/>
          <w:lang w:eastAsia="lv-LV"/>
        </w:rPr>
        <w:t xml:space="preserve">ā gadā bija 640 milj.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Kopumā lielākās </w:t>
      </w:r>
      <w:r>
        <w:rPr>
          <w:rFonts w:ascii="Times New Roman" w:eastAsia="Times New Roman" w:hAnsi="Times New Roman" w:cs="Times New Roman"/>
          <w:color w:val="000000"/>
          <w:sz w:val="24"/>
          <w:szCs w:val="24"/>
          <w:lang w:eastAsia="lv-LV"/>
        </w:rPr>
        <w:t xml:space="preserve">investīciju </w:t>
      </w:r>
      <w:r w:rsidRPr="00D316B2">
        <w:rPr>
          <w:rFonts w:ascii="Times New Roman" w:eastAsia="Times New Roman" w:hAnsi="Times New Roman" w:cs="Times New Roman"/>
          <w:color w:val="000000"/>
          <w:sz w:val="24"/>
          <w:szCs w:val="24"/>
          <w:lang w:eastAsia="lv-LV"/>
        </w:rPr>
        <w:t>ieplūdes bija gāzes apgādes, vairumtirdzniecības un mazumtirdzniecības, operācij</w:t>
      </w:r>
      <w:r>
        <w:rPr>
          <w:rFonts w:ascii="Times New Roman" w:eastAsia="Times New Roman" w:hAnsi="Times New Roman" w:cs="Times New Roman"/>
          <w:color w:val="000000"/>
          <w:sz w:val="24"/>
          <w:szCs w:val="24"/>
          <w:lang w:eastAsia="lv-LV"/>
        </w:rPr>
        <w:t>u</w:t>
      </w:r>
      <w:r w:rsidRPr="00D316B2">
        <w:rPr>
          <w:rFonts w:ascii="Times New Roman" w:eastAsia="Times New Roman" w:hAnsi="Times New Roman" w:cs="Times New Roman"/>
          <w:color w:val="000000"/>
          <w:sz w:val="24"/>
          <w:szCs w:val="24"/>
          <w:lang w:eastAsia="lv-LV"/>
        </w:rPr>
        <w:t xml:space="preserve"> ar nekust</w:t>
      </w:r>
      <w:r>
        <w:rPr>
          <w:rFonts w:ascii="Times New Roman" w:eastAsia="Times New Roman" w:hAnsi="Times New Roman" w:cs="Times New Roman"/>
          <w:color w:val="000000"/>
          <w:sz w:val="24"/>
          <w:szCs w:val="24"/>
          <w:lang w:eastAsia="lv-LV"/>
        </w:rPr>
        <w:t>amo īpašumu un transporta nozarē</w:t>
      </w:r>
      <w:r w:rsidRPr="00D316B2">
        <w:rPr>
          <w:rFonts w:ascii="Times New Roman" w:eastAsia="Times New Roman" w:hAnsi="Times New Roman" w:cs="Times New Roman"/>
          <w:color w:val="000000"/>
          <w:sz w:val="24"/>
          <w:szCs w:val="24"/>
          <w:lang w:eastAsia="lv-LV"/>
        </w:rPr>
        <w:t>s</w:t>
      </w:r>
      <w:r>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visvairāk no Zviedrijas, Igaunijas, Lietuvas un Luksemburgas.</w:t>
      </w:r>
    </w:p>
    <w:p w:rsidR="00B45C68" w:rsidRPr="00D316B2" w:rsidRDefault="00B45C68" w:rsidP="00FC4AA3">
      <w:pPr>
        <w:autoSpaceDE w:val="0"/>
        <w:autoSpaceDN w:val="0"/>
        <w:adjustRightInd w:val="0"/>
        <w:spacing w:after="0" w:line="240" w:lineRule="auto"/>
        <w:ind w:firstLine="720"/>
        <w:jc w:val="both"/>
        <w:rPr>
          <w:rFonts w:ascii="Times New Roman" w:eastAsia="Times New Roman" w:hAnsi="Times New Roman" w:cs="Times New Roman"/>
          <w:b/>
          <w:color w:val="000000"/>
          <w:sz w:val="24"/>
          <w:szCs w:val="24"/>
          <w:lang w:eastAsia="lv-LV"/>
        </w:rPr>
      </w:pPr>
      <w:r w:rsidRPr="00D316B2">
        <w:rPr>
          <w:rFonts w:ascii="Times New Roman" w:eastAsia="Calibri" w:hAnsi="Times New Roman" w:cs="Times New Roman"/>
          <w:color w:val="000000"/>
          <w:sz w:val="24"/>
          <w:szCs w:val="24"/>
        </w:rPr>
        <w:t xml:space="preserve">Pozitīvu ietekmi uz 2017.gada IKP un kopējo investīciju dinamiku ir atstājušas arī </w:t>
      </w:r>
      <w:r w:rsidRPr="00D316B2">
        <w:rPr>
          <w:rFonts w:ascii="Times New Roman" w:eastAsia="Calibri" w:hAnsi="Times New Roman" w:cs="Times New Roman"/>
          <w:b/>
          <w:color w:val="000000"/>
          <w:sz w:val="24"/>
          <w:szCs w:val="24"/>
        </w:rPr>
        <w:t xml:space="preserve">ES fondu investīcijas. </w:t>
      </w:r>
      <w:r w:rsidRPr="00D316B2">
        <w:rPr>
          <w:rFonts w:ascii="Times New Roman" w:eastAsia="Calibri" w:hAnsi="Times New Roman" w:cs="Times New Roman"/>
          <w:color w:val="000000"/>
          <w:sz w:val="24"/>
          <w:szCs w:val="24"/>
        </w:rPr>
        <w:t>Saskaņā ar FM novērtēju</w:t>
      </w:r>
      <w:r w:rsidR="003F0A9C">
        <w:rPr>
          <w:rFonts w:ascii="Times New Roman" w:eastAsia="Calibri" w:hAnsi="Times New Roman" w:cs="Times New Roman"/>
          <w:color w:val="000000"/>
          <w:sz w:val="24"/>
          <w:szCs w:val="24"/>
        </w:rPr>
        <w:t>mu, ES fondu investīcijas 2017.</w:t>
      </w:r>
      <w:r w:rsidRPr="00D316B2">
        <w:rPr>
          <w:rFonts w:ascii="Times New Roman" w:eastAsia="Calibri" w:hAnsi="Times New Roman" w:cs="Times New Roman"/>
          <w:color w:val="000000"/>
          <w:sz w:val="24"/>
          <w:szCs w:val="24"/>
        </w:rPr>
        <w:t xml:space="preserve">gadā IKP izaugsmi palielināja par 1,3%, kas ir ievērojami vairāk nekā iepriekšējā gadā. 2014.-2020.gada ES fondu plānošanas perioda ietvaros ES fondu investīciju apjoms 2017.gadā bija 404 milj. </w:t>
      </w:r>
      <w:r w:rsidRPr="00D316B2">
        <w:rPr>
          <w:rFonts w:ascii="Times New Roman" w:eastAsia="Calibri" w:hAnsi="Times New Roman" w:cs="Times New Roman"/>
          <w:i/>
          <w:color w:val="000000"/>
          <w:sz w:val="24"/>
          <w:szCs w:val="24"/>
        </w:rPr>
        <w:t>euro</w:t>
      </w:r>
      <w:r w:rsidRPr="00D316B2">
        <w:rPr>
          <w:rFonts w:ascii="Times New Roman" w:eastAsia="Calibri" w:hAnsi="Times New Roman" w:cs="Times New Roman"/>
          <w:color w:val="000000"/>
          <w:sz w:val="24"/>
          <w:szCs w:val="24"/>
        </w:rPr>
        <w:t xml:space="preserve"> pretstatā 225 milj. </w:t>
      </w:r>
      <w:r w:rsidRPr="00D316B2">
        <w:rPr>
          <w:rFonts w:ascii="Times New Roman" w:eastAsia="Calibri" w:hAnsi="Times New Roman" w:cs="Times New Roman"/>
          <w:i/>
          <w:color w:val="000000"/>
          <w:sz w:val="24"/>
          <w:szCs w:val="24"/>
        </w:rPr>
        <w:t>euro</w:t>
      </w:r>
      <w:r w:rsidRPr="00D316B2">
        <w:rPr>
          <w:rFonts w:ascii="Times New Roman" w:eastAsia="Calibri" w:hAnsi="Times New Roman" w:cs="Times New Roman"/>
          <w:color w:val="000000"/>
          <w:sz w:val="24"/>
          <w:szCs w:val="24"/>
        </w:rPr>
        <w:t xml:space="preserve"> 2016.gadā. Tādējādi, palielinoties ES fondu investīciju plūsmai, palielinājās arī pozitīvā ietekme uz </w:t>
      </w:r>
      <w:r>
        <w:rPr>
          <w:rFonts w:ascii="Times New Roman" w:eastAsia="Calibri" w:hAnsi="Times New Roman" w:cs="Times New Roman"/>
          <w:color w:val="000000"/>
          <w:sz w:val="24"/>
          <w:szCs w:val="24"/>
        </w:rPr>
        <w:t>IKP</w:t>
      </w:r>
      <w:r w:rsidRPr="00D316B2">
        <w:rPr>
          <w:rFonts w:ascii="Times New Roman" w:eastAsia="Calibri" w:hAnsi="Times New Roman" w:cs="Times New Roman"/>
          <w:color w:val="000000"/>
          <w:sz w:val="24"/>
          <w:szCs w:val="24"/>
        </w:rPr>
        <w:t xml:space="preserve"> attīstību. Lielāka ES fondu investīciju plūsma atspoguļojās kopējā investīciju aktivitātē valstī.</w:t>
      </w:r>
    </w:p>
    <w:p w:rsidR="00B45C68" w:rsidRPr="00D316B2" w:rsidRDefault="00B45C68" w:rsidP="00FC4AA3">
      <w:pPr>
        <w:spacing w:after="0" w:line="240" w:lineRule="auto"/>
        <w:ind w:firstLine="567"/>
        <w:jc w:val="both"/>
        <w:rPr>
          <w:rFonts w:ascii="Times New Roman" w:eastAsia="Calibri" w:hAnsi="Times New Roman" w:cs="Times New Roman"/>
          <w:color w:val="000000"/>
          <w:sz w:val="24"/>
        </w:rPr>
      </w:pPr>
      <w:r w:rsidRPr="00D316B2">
        <w:rPr>
          <w:rFonts w:ascii="Times New Roman" w:eastAsia="Calibri" w:hAnsi="Times New Roman" w:cs="Times New Roman"/>
          <w:b/>
          <w:color w:val="000000"/>
          <w:sz w:val="24"/>
        </w:rPr>
        <w:t>2017.gadā preču un pakalpojumu eksports salīdzināmajās cenās uzrādīja pieaugumu par 4,8%</w:t>
      </w:r>
      <w:r w:rsidRPr="00D316B2">
        <w:rPr>
          <w:rFonts w:ascii="Times New Roman" w:eastAsia="Calibri" w:hAnsi="Times New Roman" w:cs="Times New Roman"/>
          <w:color w:val="000000"/>
          <w:sz w:val="24"/>
        </w:rPr>
        <w:t xml:space="preserve">, kas ir nedaudz straujāks kāpums nekā iepriekšējā gadā. Eksporta pieaugumu nodrošināja labvēlīgā ārējā ekonomiskā situācija, tai skaitā Latvijas galvenajās tirdzniecības partnervalstīs. Tajā pašā laikā preču un pakalpojumu imports palielinājās vēl straujāk, uzrādot pieaugumu 9,5% apmērā. Tādējādi pērn </w:t>
      </w:r>
      <w:r w:rsidRPr="00D316B2">
        <w:rPr>
          <w:rFonts w:ascii="Times New Roman" w:eastAsia="Times New Roman" w:hAnsi="Times New Roman" w:cs="Times New Roman"/>
          <w:color w:val="000000"/>
          <w:sz w:val="24"/>
          <w:szCs w:val="24"/>
          <w:lang w:eastAsia="lv-LV"/>
        </w:rPr>
        <w:t>Latvijas preču un pakalpojumu ārējās tirdzn</w:t>
      </w:r>
      <w:r>
        <w:rPr>
          <w:rFonts w:ascii="Times New Roman" w:eastAsia="Times New Roman" w:hAnsi="Times New Roman" w:cs="Times New Roman"/>
          <w:color w:val="000000"/>
          <w:sz w:val="24"/>
          <w:szCs w:val="24"/>
          <w:lang w:eastAsia="lv-LV"/>
        </w:rPr>
        <w:t xml:space="preserve">iecības bilance pasliktinājās </w:t>
      </w:r>
      <w:r w:rsidRPr="00D316B2">
        <w:rPr>
          <w:rFonts w:ascii="Times New Roman" w:eastAsia="Times New Roman" w:hAnsi="Times New Roman" w:cs="Times New Roman"/>
          <w:color w:val="000000"/>
          <w:sz w:val="24"/>
          <w:szCs w:val="24"/>
          <w:lang w:eastAsia="lv-LV"/>
        </w:rPr>
        <w:t>par 2,8 procentpunktiem, tirdzniecības deficītam pieaugot līdz 3,7% no IKP.</w:t>
      </w:r>
    </w:p>
    <w:p w:rsidR="00B45C68" w:rsidRPr="00D316B2" w:rsidRDefault="00B45C68" w:rsidP="00B45C68">
      <w:pPr>
        <w:spacing w:after="0" w:line="240" w:lineRule="auto"/>
        <w:ind w:firstLine="567"/>
        <w:jc w:val="both"/>
        <w:rPr>
          <w:rFonts w:ascii="Times New Roman" w:eastAsia="Calibri" w:hAnsi="Times New Roman" w:cs="Times New Roman"/>
          <w:color w:val="000000"/>
          <w:sz w:val="24"/>
        </w:rPr>
      </w:pPr>
      <w:r w:rsidRPr="00D316B2">
        <w:rPr>
          <w:rFonts w:ascii="Times New Roman" w:eastAsia="Calibri" w:hAnsi="Times New Roman" w:cs="Times New Roman"/>
          <w:color w:val="000000"/>
          <w:sz w:val="24"/>
        </w:rPr>
        <w:t>Vērtējot 2017.gadu kopumā, jāsecina, ka situācija starptautiskajā preču tirdzniecībā ir manāmi uzlabojusies. Spriežot pēc aktuālākaj</w:t>
      </w:r>
      <w:r>
        <w:rPr>
          <w:rFonts w:ascii="Times New Roman" w:eastAsia="Calibri" w:hAnsi="Times New Roman" w:cs="Times New Roman"/>
          <w:color w:val="000000"/>
          <w:sz w:val="24"/>
        </w:rPr>
        <w:t>ie</w:t>
      </w:r>
      <w:r w:rsidRPr="00D316B2">
        <w:rPr>
          <w:rFonts w:ascii="Times New Roman" w:eastAsia="Calibri" w:hAnsi="Times New Roman" w:cs="Times New Roman"/>
          <w:color w:val="000000"/>
          <w:sz w:val="24"/>
        </w:rPr>
        <w:t xml:space="preserve">m statistikas datiem, 2017.gadā pirmo reizi šajā desmitgadē pilnīgi visām ES dalībvalstīm, vienlaicīgi bija fiksēts pozitīvs </w:t>
      </w:r>
      <w:r>
        <w:rPr>
          <w:rFonts w:ascii="Times New Roman" w:eastAsia="Calibri" w:hAnsi="Times New Roman" w:cs="Times New Roman"/>
          <w:color w:val="000000"/>
          <w:sz w:val="24"/>
        </w:rPr>
        <w:t>IKP</w:t>
      </w:r>
      <w:r w:rsidRPr="00D316B2">
        <w:rPr>
          <w:rFonts w:ascii="Times New Roman" w:eastAsia="Calibri" w:hAnsi="Times New Roman" w:cs="Times New Roman"/>
          <w:color w:val="000000"/>
          <w:sz w:val="24"/>
        </w:rPr>
        <w:t xml:space="preserve"> pieaugums, tādējādi palielinot ES kopējo IKP pieaugumu līdz 2,4%, kas arī ir straujākais pēdējos 10 gados. Pērnajā gadā Latvijas preču eksporta vērtība uz ES palielinājusies par 7,0% un ar 71,5% īpatsvaru kopējā preču eksportā tas bija lielākais Latvijas preču noieta tirgus. Kopējais preču eksports 2017.gadā palielinājās par 10,0%, sasniedzot 11,4 miljardu </w:t>
      </w:r>
      <w:r w:rsidRPr="00784332">
        <w:rPr>
          <w:rFonts w:ascii="Times New Roman" w:eastAsia="Calibri" w:hAnsi="Times New Roman" w:cs="Times New Roman"/>
          <w:i/>
          <w:color w:val="000000"/>
          <w:sz w:val="24"/>
        </w:rPr>
        <w:t>euro</w:t>
      </w:r>
      <w:r w:rsidRPr="00D316B2">
        <w:rPr>
          <w:rFonts w:ascii="Times New Roman" w:eastAsia="Calibri" w:hAnsi="Times New Roman" w:cs="Times New Roman"/>
          <w:color w:val="000000"/>
          <w:sz w:val="24"/>
        </w:rPr>
        <w:t xml:space="preserve"> vērtību</w:t>
      </w:r>
      <w:r>
        <w:rPr>
          <w:rFonts w:ascii="Times New Roman" w:eastAsia="Calibri" w:hAnsi="Times New Roman" w:cs="Times New Roman"/>
          <w:color w:val="000000"/>
          <w:sz w:val="24"/>
        </w:rPr>
        <w:t>. A</w:t>
      </w:r>
      <w:r w:rsidRPr="00D316B2">
        <w:rPr>
          <w:rFonts w:ascii="Times New Roman" w:eastAsia="Calibri" w:hAnsi="Times New Roman" w:cs="Times New Roman"/>
          <w:color w:val="000000"/>
          <w:sz w:val="24"/>
        </w:rPr>
        <w:t>r to uzstād</w:t>
      </w:r>
      <w:r>
        <w:rPr>
          <w:rFonts w:ascii="Times New Roman" w:eastAsia="Calibri" w:hAnsi="Times New Roman" w:cs="Times New Roman"/>
          <w:color w:val="000000"/>
          <w:sz w:val="24"/>
        </w:rPr>
        <w:t>īts</w:t>
      </w:r>
      <w:r w:rsidRPr="00D316B2">
        <w:rPr>
          <w:rFonts w:ascii="Times New Roman" w:eastAsia="Calibri" w:hAnsi="Times New Roman" w:cs="Times New Roman"/>
          <w:color w:val="000000"/>
          <w:sz w:val="24"/>
        </w:rPr>
        <w:t xml:space="preserve"> rekord</w:t>
      </w:r>
      <w:r>
        <w:rPr>
          <w:rFonts w:ascii="Times New Roman" w:eastAsia="Calibri" w:hAnsi="Times New Roman" w:cs="Times New Roman"/>
          <w:color w:val="000000"/>
          <w:sz w:val="24"/>
        </w:rPr>
        <w:t>s</w:t>
      </w:r>
      <w:r w:rsidRPr="00D316B2">
        <w:rPr>
          <w:rFonts w:ascii="Times New Roman" w:eastAsia="Calibri" w:hAnsi="Times New Roman" w:cs="Times New Roman"/>
          <w:color w:val="000000"/>
          <w:sz w:val="24"/>
        </w:rPr>
        <w:t>, gada ietvaros eksporta vērtībai palielinoties līdz augstākajam līmenim kopš statistika</w:t>
      </w:r>
      <w:r>
        <w:rPr>
          <w:rFonts w:ascii="Times New Roman" w:eastAsia="Calibri" w:hAnsi="Times New Roman" w:cs="Times New Roman"/>
          <w:color w:val="000000"/>
          <w:sz w:val="24"/>
        </w:rPr>
        <w:t>s uzskaites sākuma. Jāatzīmē, ka</w:t>
      </w:r>
      <w:r w:rsidRPr="00D316B2">
        <w:rPr>
          <w:rFonts w:ascii="Times New Roman" w:eastAsia="Calibri" w:hAnsi="Times New Roman" w:cs="Times New Roman"/>
          <w:color w:val="000000"/>
          <w:sz w:val="24"/>
        </w:rPr>
        <w:t xml:space="preserve"> pēdējo desmit gadu laikā Latvijas eksportētāji spējuši kāpināt eksportēto preču vērtību tieši divas rei</w:t>
      </w:r>
      <w:r>
        <w:rPr>
          <w:rFonts w:ascii="Times New Roman" w:eastAsia="Calibri" w:hAnsi="Times New Roman" w:cs="Times New Roman"/>
          <w:color w:val="000000"/>
          <w:sz w:val="24"/>
        </w:rPr>
        <w:t>zes.</w:t>
      </w:r>
    </w:p>
    <w:p w:rsidR="00B45C68" w:rsidRPr="00D316B2" w:rsidRDefault="00B45C68" w:rsidP="00B45C68">
      <w:pPr>
        <w:autoSpaceDE w:val="0"/>
        <w:autoSpaceDN w:val="0"/>
        <w:adjustRightInd w:val="0"/>
        <w:spacing w:after="0" w:line="240" w:lineRule="auto"/>
        <w:ind w:firstLine="720"/>
        <w:jc w:val="both"/>
        <w:rPr>
          <w:rFonts w:ascii="Times New Roman" w:eastAsia="Calibri" w:hAnsi="Times New Roman" w:cs="Times New Roman"/>
          <w:sz w:val="24"/>
        </w:rPr>
      </w:pPr>
      <w:r w:rsidRPr="00D316B2">
        <w:rPr>
          <w:rFonts w:ascii="Times New Roman" w:eastAsia="Calibri" w:hAnsi="Times New Roman" w:cs="Times New Roman"/>
          <w:color w:val="000000"/>
          <w:sz w:val="24"/>
        </w:rPr>
        <w:t xml:space="preserve">Preču eksporta vērtības kāpums tika sasniegts visās lielākajās preču kategorijās, bet visbūtiskāk kopējo eksporta kāpumu </w:t>
      </w:r>
      <w:r w:rsidRPr="00D316B2">
        <w:rPr>
          <w:rFonts w:ascii="Times New Roman" w:eastAsia="Calibri" w:hAnsi="Times New Roman" w:cs="Times New Roman"/>
          <w:sz w:val="24"/>
        </w:rPr>
        <w:t>veicināja lauksaimniecības un pārtikas preču, kā arī metālu un to izstrādājumu eksporta kāpums par attiecīgi 19,8% un 22,1%. Labus eksporta pieauguma tempus pērn uzrādīja arī citas preču kategorijas – ķīmiskās rūpniecības preces, mehānismi un ierīces, minerālprodukti u.c. Valstu griezumā vērtības ziņā lielākais eksporta pieaugums 2017.gadā tika sasniegts uz Kriev</w:t>
      </w:r>
      <w:r>
        <w:rPr>
          <w:rFonts w:ascii="Times New Roman" w:eastAsia="Calibri" w:hAnsi="Times New Roman" w:cs="Times New Roman"/>
          <w:sz w:val="24"/>
        </w:rPr>
        <w:t xml:space="preserve">iju – par 36,6% jeb 221 milj. </w:t>
      </w:r>
      <w:r w:rsidRPr="00784332">
        <w:rPr>
          <w:rFonts w:ascii="Times New Roman" w:eastAsia="Calibri" w:hAnsi="Times New Roman" w:cs="Times New Roman"/>
          <w:i/>
          <w:sz w:val="24"/>
        </w:rPr>
        <w:t>euro</w:t>
      </w:r>
      <w:r w:rsidRPr="00D316B2">
        <w:rPr>
          <w:rFonts w:ascii="Times New Roman" w:eastAsia="Calibri" w:hAnsi="Times New Roman" w:cs="Times New Roman"/>
          <w:sz w:val="24"/>
        </w:rPr>
        <w:t xml:space="preserve">, tādējādi </w:t>
      </w:r>
      <w:r w:rsidRPr="00D316B2">
        <w:rPr>
          <w:rFonts w:ascii="Times New Roman" w:eastAsia="Times New Roman" w:hAnsi="Times New Roman" w:cs="Times New Roman"/>
          <w:color w:val="000000"/>
          <w:sz w:val="24"/>
          <w:szCs w:val="24"/>
          <w:lang w:eastAsia="lv-LV"/>
        </w:rPr>
        <w:t xml:space="preserve">Krievija joprojām ierindojas kā trešais lielākais Latvijas preču eksporta tirgus ar 7,3% īpatsvaru aiz Lietuvas un Igaunijas. Spēcīgs preču eksporta </w:t>
      </w:r>
      <w:r w:rsidR="003F0A9C">
        <w:rPr>
          <w:rFonts w:ascii="Times New Roman" w:eastAsia="Times New Roman" w:hAnsi="Times New Roman" w:cs="Times New Roman"/>
          <w:color w:val="000000"/>
          <w:sz w:val="24"/>
          <w:szCs w:val="24"/>
          <w:lang w:eastAsia="lv-LV"/>
        </w:rPr>
        <w:t>kāpums pērn tika fiksēts arī uz</w:t>
      </w:r>
      <w:r w:rsidRPr="00D316B2">
        <w:rPr>
          <w:rFonts w:ascii="Times New Roman" w:eastAsia="Calibri" w:hAnsi="Times New Roman" w:cs="Times New Roman"/>
          <w:sz w:val="24"/>
        </w:rPr>
        <w:t xml:space="preserve"> ASV, Igauniju un Zviedriju, kamēr lielākie preču eksporta vērtības samazinājumi bija eksportā uz tādām valstīm kā Alžīrija, Gibraltārs un Kipra.</w:t>
      </w:r>
    </w:p>
    <w:p w:rsidR="00B45C68" w:rsidRDefault="00B45C68" w:rsidP="00B45C68">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D316B2">
        <w:rPr>
          <w:rFonts w:ascii="Times New Roman" w:eastAsia="Calibri" w:hAnsi="Times New Roman" w:cs="Times New Roman"/>
          <w:color w:val="000000"/>
          <w:sz w:val="24"/>
        </w:rPr>
        <w:t>Tikmēr preču importa pieaugums pagājušajā gadā bija augstāks par eksporta kāpumu, sasniedzot 14,6%.</w:t>
      </w:r>
      <w:r w:rsidRPr="00D316B2">
        <w:rPr>
          <w:rFonts w:ascii="Times New Roman" w:eastAsia="Calibri" w:hAnsi="Times New Roman" w:cs="Times New Roman"/>
          <w:color w:val="000000"/>
          <w:sz w:val="24"/>
          <w:szCs w:val="24"/>
        </w:rPr>
        <w:t xml:space="preserve"> Ir svarīgi atzīmēt, ka straujāks preču importa kāpums </w:t>
      </w:r>
      <w:r>
        <w:rPr>
          <w:rFonts w:ascii="Times New Roman" w:eastAsia="Calibri" w:hAnsi="Times New Roman" w:cs="Times New Roman"/>
          <w:color w:val="000000"/>
          <w:sz w:val="24"/>
          <w:szCs w:val="24"/>
        </w:rPr>
        <w:t>2017.gadā</w:t>
      </w:r>
      <w:r w:rsidRPr="00D316B2">
        <w:rPr>
          <w:rFonts w:ascii="Times New Roman" w:eastAsia="Calibri" w:hAnsi="Times New Roman" w:cs="Times New Roman"/>
          <w:color w:val="000000"/>
          <w:sz w:val="24"/>
          <w:szCs w:val="24"/>
        </w:rPr>
        <w:t xml:space="preserve"> kopumā ir </w:t>
      </w:r>
      <w:r w:rsidRPr="00D316B2">
        <w:rPr>
          <w:rFonts w:ascii="Times New Roman" w:eastAsia="Calibri" w:hAnsi="Times New Roman" w:cs="Times New Roman"/>
          <w:color w:val="000000"/>
          <w:sz w:val="24"/>
          <w:szCs w:val="24"/>
        </w:rPr>
        <w:lastRenderedPageBreak/>
        <w:t>saistīts ar būtiski straujāku ekonomisko izaugsmi. Latvijas ekonomikas iza</w:t>
      </w:r>
      <w:r>
        <w:rPr>
          <w:rFonts w:ascii="Times New Roman" w:eastAsia="Calibri" w:hAnsi="Times New Roman" w:cs="Times New Roman"/>
          <w:color w:val="000000"/>
          <w:sz w:val="24"/>
          <w:szCs w:val="24"/>
        </w:rPr>
        <w:t>ugsmes temps salīdzināmajās cenā</w:t>
      </w:r>
      <w:r w:rsidRPr="00D316B2">
        <w:rPr>
          <w:rFonts w:ascii="Times New Roman" w:eastAsia="Calibri" w:hAnsi="Times New Roman" w:cs="Times New Roman"/>
          <w:color w:val="000000"/>
          <w:sz w:val="24"/>
          <w:szCs w:val="24"/>
        </w:rPr>
        <w:t>s 2017.gad</w:t>
      </w:r>
      <w:r>
        <w:rPr>
          <w:rFonts w:ascii="Times New Roman" w:eastAsia="Calibri" w:hAnsi="Times New Roman" w:cs="Times New Roman"/>
          <w:color w:val="000000"/>
          <w:sz w:val="24"/>
          <w:szCs w:val="24"/>
        </w:rPr>
        <w:t>ā, salīdzinot ar iepriekšējo gadu, ir dubultojies, bet faktiskajās cenā</w:t>
      </w:r>
      <w:r w:rsidRPr="00D316B2">
        <w:rPr>
          <w:rFonts w:ascii="Times New Roman" w:eastAsia="Calibri" w:hAnsi="Times New Roman" w:cs="Times New Roman"/>
          <w:color w:val="000000"/>
          <w:sz w:val="24"/>
          <w:szCs w:val="24"/>
        </w:rPr>
        <w:t>s pat trīskāršojies. Straujāka ekonomikas izaugsme atspoguļoj</w:t>
      </w:r>
      <w:r>
        <w:rPr>
          <w:rFonts w:ascii="Times New Roman" w:eastAsia="Calibri" w:hAnsi="Times New Roman" w:cs="Times New Roman"/>
          <w:color w:val="000000"/>
          <w:sz w:val="24"/>
          <w:szCs w:val="24"/>
        </w:rPr>
        <w:t>us</w:t>
      </w:r>
      <w:r w:rsidRPr="00D316B2">
        <w:rPr>
          <w:rFonts w:ascii="Times New Roman" w:eastAsia="Calibri" w:hAnsi="Times New Roman" w:cs="Times New Roman"/>
          <w:color w:val="000000"/>
          <w:sz w:val="24"/>
          <w:szCs w:val="24"/>
        </w:rPr>
        <w:t>ies arī būtiski augstāk</w:t>
      </w:r>
      <w:r>
        <w:rPr>
          <w:rFonts w:ascii="Times New Roman" w:eastAsia="Calibri" w:hAnsi="Times New Roman" w:cs="Times New Roman"/>
          <w:color w:val="000000"/>
          <w:sz w:val="24"/>
          <w:szCs w:val="24"/>
        </w:rPr>
        <w:t>ā</w:t>
      </w:r>
      <w:r w:rsidRPr="00D316B2">
        <w:rPr>
          <w:rFonts w:ascii="Times New Roman" w:eastAsia="Calibri" w:hAnsi="Times New Roman" w:cs="Times New Roman"/>
          <w:color w:val="000000"/>
          <w:sz w:val="24"/>
          <w:szCs w:val="24"/>
        </w:rPr>
        <w:t xml:space="preserve"> investīciju un būvniecības aktivitātē, tāpēc ir likumsakarīgi, ka pieprasījums pēc tehnikas</w:t>
      </w:r>
      <w:r>
        <w:rPr>
          <w:rFonts w:ascii="Times New Roman" w:eastAsia="Calibri" w:hAnsi="Times New Roman" w:cs="Times New Roman"/>
          <w:color w:val="000000"/>
          <w:sz w:val="24"/>
          <w:szCs w:val="24"/>
        </w:rPr>
        <w:t>, metāliem un būvmateriāliem</w:t>
      </w:r>
      <w:r w:rsidRPr="00D316B2">
        <w:rPr>
          <w:rFonts w:ascii="Times New Roman" w:eastAsia="Calibri" w:hAnsi="Times New Roman" w:cs="Times New Roman"/>
          <w:color w:val="000000"/>
          <w:sz w:val="24"/>
          <w:szCs w:val="24"/>
        </w:rPr>
        <w:t xml:space="preserve"> pieaug, tād</w:t>
      </w:r>
      <w:r>
        <w:rPr>
          <w:rFonts w:ascii="Times New Roman" w:eastAsia="Calibri" w:hAnsi="Times New Roman" w:cs="Times New Roman"/>
          <w:color w:val="000000"/>
          <w:sz w:val="24"/>
          <w:szCs w:val="24"/>
        </w:rPr>
        <w:t>ā</w:t>
      </w:r>
      <w:r w:rsidRPr="00D316B2">
        <w:rPr>
          <w:rFonts w:ascii="Times New Roman" w:eastAsia="Calibri" w:hAnsi="Times New Roman" w:cs="Times New Roman"/>
          <w:color w:val="000000"/>
          <w:sz w:val="24"/>
          <w:szCs w:val="24"/>
        </w:rPr>
        <w:t xml:space="preserve"> veidā stimulējot arī import</w:t>
      </w:r>
      <w:r>
        <w:rPr>
          <w:rFonts w:ascii="Times New Roman" w:eastAsia="Calibri" w:hAnsi="Times New Roman" w:cs="Times New Roman"/>
          <w:color w:val="000000"/>
          <w:sz w:val="24"/>
          <w:szCs w:val="24"/>
        </w:rPr>
        <w:t>a pieaugumu</w:t>
      </w:r>
      <w:r w:rsidRPr="00D316B2">
        <w:rPr>
          <w:rFonts w:ascii="Times New Roman" w:eastAsia="Calibri" w:hAnsi="Times New Roman" w:cs="Times New Roman"/>
          <w:color w:val="000000"/>
          <w:sz w:val="24"/>
          <w:szCs w:val="24"/>
        </w:rPr>
        <w:t xml:space="preserve">. Papildus tam, jāatzīmē, ka Latvijas lidsabiedrība </w:t>
      </w:r>
      <w:r w:rsidRPr="00D316B2">
        <w:rPr>
          <w:rFonts w:ascii="Times New Roman" w:eastAsia="Calibri" w:hAnsi="Times New Roman" w:cs="Times New Roman"/>
          <w:i/>
          <w:color w:val="000000"/>
          <w:sz w:val="24"/>
          <w:szCs w:val="24"/>
        </w:rPr>
        <w:t>Air Baltic Corporation AS</w:t>
      </w:r>
      <w:r>
        <w:rPr>
          <w:rFonts w:ascii="Times New Roman" w:eastAsia="Calibri" w:hAnsi="Times New Roman" w:cs="Times New Roman"/>
          <w:i/>
          <w:color w:val="000000"/>
          <w:sz w:val="24"/>
          <w:szCs w:val="24"/>
        </w:rPr>
        <w:t>,</w:t>
      </w:r>
      <w:r w:rsidRPr="00D316B2">
        <w:rPr>
          <w:rFonts w:ascii="Times New Roman" w:eastAsia="Calibri" w:hAnsi="Times New Roman" w:cs="Times New Roman"/>
          <w:i/>
          <w:color w:val="000000"/>
          <w:sz w:val="24"/>
          <w:szCs w:val="24"/>
        </w:rPr>
        <w:t xml:space="preserve"> </w:t>
      </w:r>
      <w:r w:rsidRPr="00D316B2">
        <w:rPr>
          <w:rFonts w:ascii="Times New Roman" w:eastAsia="Calibri" w:hAnsi="Times New Roman" w:cs="Times New Roman"/>
          <w:color w:val="000000"/>
          <w:sz w:val="24"/>
          <w:szCs w:val="24"/>
        </w:rPr>
        <w:t>modernizējot lidaparātu floti</w:t>
      </w:r>
      <w:r>
        <w:rPr>
          <w:rFonts w:ascii="Times New Roman" w:eastAsia="Calibri" w:hAnsi="Times New Roman" w:cs="Times New Roman"/>
          <w:color w:val="000000"/>
          <w:sz w:val="24"/>
          <w:szCs w:val="24"/>
        </w:rPr>
        <w:t>,</w:t>
      </w:r>
      <w:r w:rsidRPr="00D316B2">
        <w:rPr>
          <w:rFonts w:ascii="Times New Roman" w:eastAsia="Calibri" w:hAnsi="Times New Roman" w:cs="Times New Roman"/>
          <w:color w:val="000000"/>
          <w:sz w:val="24"/>
          <w:szCs w:val="24"/>
        </w:rPr>
        <w:t xml:space="preserve"> veica būtiskas investīcijas, </w:t>
      </w:r>
      <w:r>
        <w:rPr>
          <w:rFonts w:ascii="Times New Roman" w:eastAsia="Calibri" w:hAnsi="Times New Roman" w:cs="Times New Roman"/>
          <w:color w:val="000000"/>
          <w:sz w:val="24"/>
          <w:szCs w:val="24"/>
        </w:rPr>
        <w:t>2017.gadā</w:t>
      </w:r>
      <w:r w:rsidRPr="00D316B2">
        <w:rPr>
          <w:rFonts w:ascii="Times New Roman" w:eastAsia="Calibri" w:hAnsi="Times New Roman" w:cs="Times New Roman"/>
          <w:color w:val="000000"/>
          <w:sz w:val="24"/>
          <w:szCs w:val="24"/>
        </w:rPr>
        <w:t xml:space="preserve"> papildinot savu floti ar sešām jaun</w:t>
      </w:r>
      <w:r>
        <w:rPr>
          <w:rFonts w:ascii="Times New Roman" w:eastAsia="Calibri" w:hAnsi="Times New Roman" w:cs="Times New Roman"/>
          <w:color w:val="000000"/>
          <w:sz w:val="24"/>
          <w:szCs w:val="24"/>
        </w:rPr>
        <w:t>ā</w:t>
      </w:r>
      <w:r w:rsidRPr="00D316B2">
        <w:rPr>
          <w:rFonts w:ascii="Times New Roman" w:eastAsia="Calibri" w:hAnsi="Times New Roman" w:cs="Times New Roman"/>
          <w:color w:val="000000"/>
          <w:sz w:val="24"/>
          <w:szCs w:val="24"/>
        </w:rPr>
        <w:t>m lidmašīnām</w:t>
      </w:r>
      <w:r>
        <w:rPr>
          <w:rFonts w:ascii="Times New Roman" w:eastAsia="Calibri" w:hAnsi="Times New Roman" w:cs="Times New Roman"/>
          <w:color w:val="000000"/>
          <w:sz w:val="24"/>
          <w:szCs w:val="24"/>
        </w:rPr>
        <w:t xml:space="preserve"> un </w:t>
      </w:r>
      <w:r w:rsidRPr="00D316B2">
        <w:rPr>
          <w:rFonts w:ascii="Times New Roman" w:eastAsia="Calibri" w:hAnsi="Times New Roman" w:cs="Times New Roman"/>
          <w:color w:val="000000"/>
          <w:sz w:val="24"/>
          <w:szCs w:val="24"/>
        </w:rPr>
        <w:t xml:space="preserve">palielinot preču importu </w:t>
      </w:r>
      <w:r>
        <w:rPr>
          <w:rFonts w:ascii="Times New Roman" w:eastAsia="Calibri" w:hAnsi="Times New Roman" w:cs="Times New Roman"/>
          <w:color w:val="000000"/>
          <w:sz w:val="24"/>
          <w:szCs w:val="24"/>
        </w:rPr>
        <w:t xml:space="preserve">kopsummā </w:t>
      </w:r>
      <w:r w:rsidRPr="00D316B2">
        <w:rPr>
          <w:rFonts w:ascii="Times New Roman" w:eastAsia="Calibri" w:hAnsi="Times New Roman" w:cs="Times New Roman"/>
          <w:color w:val="000000"/>
          <w:sz w:val="24"/>
          <w:szCs w:val="24"/>
        </w:rPr>
        <w:t xml:space="preserve">par 256,5 milj. </w:t>
      </w:r>
      <w:r w:rsidRPr="00D316B2">
        <w:rPr>
          <w:rFonts w:ascii="Times New Roman" w:eastAsia="Calibri" w:hAnsi="Times New Roman" w:cs="Times New Roman"/>
          <w:i/>
          <w:color w:val="000000"/>
          <w:sz w:val="24"/>
          <w:szCs w:val="24"/>
        </w:rPr>
        <w:t>euro.</w:t>
      </w:r>
      <w:r w:rsidRPr="00D316B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Atskaitot</w:t>
      </w:r>
      <w:r w:rsidRPr="00D316B2">
        <w:rPr>
          <w:rFonts w:ascii="Times New Roman" w:eastAsia="Calibri" w:hAnsi="Times New Roman" w:cs="Times New Roman"/>
          <w:color w:val="000000"/>
          <w:sz w:val="24"/>
          <w:szCs w:val="24"/>
        </w:rPr>
        <w:t xml:space="preserve"> lidaparātu importu, preču importa kāpums </w:t>
      </w:r>
      <w:r>
        <w:rPr>
          <w:rFonts w:ascii="Times New Roman" w:eastAsia="Calibri" w:hAnsi="Times New Roman" w:cs="Times New Roman"/>
          <w:color w:val="000000"/>
          <w:sz w:val="24"/>
          <w:szCs w:val="24"/>
        </w:rPr>
        <w:t xml:space="preserve">2017.gadā </w:t>
      </w:r>
      <w:r w:rsidRPr="00D316B2">
        <w:rPr>
          <w:rFonts w:ascii="Times New Roman" w:eastAsia="Calibri" w:hAnsi="Times New Roman" w:cs="Times New Roman"/>
          <w:color w:val="000000"/>
          <w:sz w:val="24"/>
          <w:szCs w:val="24"/>
        </w:rPr>
        <w:t>būtu 12,9%. Kopumā</w:t>
      </w:r>
      <w:r>
        <w:rPr>
          <w:rFonts w:ascii="Times New Roman" w:eastAsia="Calibri" w:hAnsi="Times New Roman" w:cs="Times New Roman"/>
          <w:color w:val="000000"/>
          <w:sz w:val="24"/>
          <w:szCs w:val="24"/>
        </w:rPr>
        <w:t xml:space="preserve"> preču importa pieaugums pērnajā gadā bija fiksēts visā</w:t>
      </w:r>
      <w:r w:rsidRPr="00D316B2">
        <w:rPr>
          <w:rFonts w:ascii="Times New Roman" w:eastAsia="Calibri" w:hAnsi="Times New Roman" w:cs="Times New Roman"/>
          <w:color w:val="000000"/>
          <w:sz w:val="24"/>
          <w:szCs w:val="24"/>
        </w:rPr>
        <w:t>s lielāka</w:t>
      </w:r>
      <w:r>
        <w:rPr>
          <w:rFonts w:ascii="Times New Roman" w:eastAsia="Calibri" w:hAnsi="Times New Roman" w:cs="Times New Roman"/>
          <w:color w:val="000000"/>
          <w:sz w:val="24"/>
          <w:szCs w:val="24"/>
        </w:rPr>
        <w:t>jās preču kategorijās, tomēr</w:t>
      </w:r>
      <w:r w:rsidRPr="00D316B2">
        <w:rPr>
          <w:rFonts w:ascii="Times New Roman" w:eastAsia="Calibri" w:hAnsi="Times New Roman" w:cs="Times New Roman"/>
          <w:color w:val="000000"/>
          <w:sz w:val="24"/>
          <w:szCs w:val="24"/>
        </w:rPr>
        <w:t xml:space="preserve"> lielākais un straujākais importa vērtības kāpums ir fiksēts lauksaimniecības un pārtikas precēm, mehāniska</w:t>
      </w:r>
      <w:r>
        <w:rPr>
          <w:rFonts w:ascii="Times New Roman" w:eastAsia="Calibri" w:hAnsi="Times New Roman" w:cs="Times New Roman"/>
          <w:color w:val="000000"/>
          <w:sz w:val="24"/>
          <w:szCs w:val="24"/>
        </w:rPr>
        <w:t>jām</w:t>
      </w:r>
      <w:r w:rsidRPr="00D316B2">
        <w:rPr>
          <w:rFonts w:ascii="Times New Roman" w:eastAsia="Calibri" w:hAnsi="Times New Roman" w:cs="Times New Roman"/>
          <w:color w:val="000000"/>
          <w:sz w:val="24"/>
          <w:szCs w:val="24"/>
        </w:rPr>
        <w:t xml:space="preserve"> ierīcēm un p</w:t>
      </w:r>
      <w:r>
        <w:rPr>
          <w:rFonts w:ascii="Times New Roman" w:eastAsia="Calibri" w:hAnsi="Times New Roman" w:cs="Times New Roman"/>
          <w:color w:val="000000"/>
          <w:sz w:val="24"/>
          <w:szCs w:val="24"/>
        </w:rPr>
        <w:t>recēm, kā arī minerālproduktiem</w:t>
      </w:r>
      <w:r>
        <w:rPr>
          <w:rFonts w:ascii="Times New Roman" w:eastAsia="Times New Roman" w:hAnsi="Times New Roman" w:cs="Times New Roman"/>
          <w:color w:val="000000"/>
          <w:sz w:val="24"/>
          <w:szCs w:val="24"/>
          <w:lang w:eastAsia="lv-LV"/>
        </w:rPr>
        <w:t xml:space="preserve"> – </w:t>
      </w:r>
      <w:r w:rsidRPr="00D316B2">
        <w:rPr>
          <w:rFonts w:ascii="Times New Roman" w:eastAsia="Calibri" w:hAnsi="Times New Roman" w:cs="Times New Roman"/>
          <w:color w:val="000000"/>
          <w:sz w:val="24"/>
          <w:szCs w:val="24"/>
        </w:rPr>
        <w:t xml:space="preserve">attiecīgi par 17,0%, 18,4% un 19,7%. </w:t>
      </w:r>
    </w:p>
    <w:p w:rsidR="00B45C68" w:rsidRPr="00D316B2" w:rsidRDefault="00B45C68" w:rsidP="00B45C68">
      <w:pPr>
        <w:autoSpaceDE w:val="0"/>
        <w:autoSpaceDN w:val="0"/>
        <w:adjustRightInd w:val="0"/>
        <w:spacing w:after="0" w:line="240" w:lineRule="auto"/>
        <w:ind w:firstLine="720"/>
        <w:jc w:val="both"/>
        <w:rPr>
          <w:rFonts w:ascii="Times New Roman" w:eastAsia="Calibri" w:hAnsi="Times New Roman" w:cs="Times New Roman"/>
          <w:color w:val="000000"/>
          <w:sz w:val="24"/>
        </w:rPr>
      </w:pPr>
      <w:r>
        <w:rPr>
          <w:rFonts w:ascii="Times New Roman" w:eastAsia="Calibri" w:hAnsi="Times New Roman" w:cs="Times New Roman"/>
          <w:color w:val="000000"/>
          <w:sz w:val="24"/>
          <w:szCs w:val="24"/>
        </w:rPr>
        <w:t xml:space="preserve">Arī pakalpojumu eksports, </w:t>
      </w:r>
      <w:r w:rsidRPr="00D316B2">
        <w:rPr>
          <w:rFonts w:ascii="Times New Roman" w:eastAsia="Calibri" w:hAnsi="Times New Roman" w:cs="Times New Roman"/>
          <w:color w:val="000000"/>
          <w:sz w:val="24"/>
        </w:rPr>
        <w:t>neskatoties uz būtisko finanšu pakalpojum</w:t>
      </w:r>
      <w:r>
        <w:rPr>
          <w:rFonts w:ascii="Times New Roman" w:eastAsia="Calibri" w:hAnsi="Times New Roman" w:cs="Times New Roman"/>
          <w:color w:val="000000"/>
          <w:sz w:val="24"/>
        </w:rPr>
        <w:t>u</w:t>
      </w:r>
      <w:r w:rsidRPr="00D316B2">
        <w:rPr>
          <w:rFonts w:ascii="Times New Roman" w:eastAsia="Calibri" w:hAnsi="Times New Roman" w:cs="Times New Roman"/>
          <w:color w:val="000000"/>
          <w:sz w:val="24"/>
        </w:rPr>
        <w:t xml:space="preserve"> eksporta kritumu</w:t>
      </w:r>
      <w:r>
        <w:rPr>
          <w:rFonts w:ascii="Times New Roman" w:eastAsia="Calibri" w:hAnsi="Times New Roman" w:cs="Times New Roman"/>
          <w:color w:val="000000"/>
          <w:sz w:val="24"/>
        </w:rPr>
        <w:t>,</w:t>
      </w:r>
      <w:r>
        <w:rPr>
          <w:rFonts w:ascii="Times New Roman" w:eastAsia="Calibri" w:hAnsi="Times New Roman" w:cs="Times New Roman"/>
          <w:color w:val="000000"/>
          <w:sz w:val="24"/>
          <w:szCs w:val="24"/>
        </w:rPr>
        <w:t xml:space="preserve"> pagājušajā gadā palielinājās par </w:t>
      </w:r>
      <w:r>
        <w:rPr>
          <w:rFonts w:ascii="Times New Roman" w:eastAsia="Calibri" w:hAnsi="Times New Roman" w:cs="Times New Roman"/>
          <w:color w:val="000000"/>
          <w:sz w:val="24"/>
        </w:rPr>
        <w:t xml:space="preserve">6,9%, sasniedzot 4,9 miljardus </w:t>
      </w:r>
      <w:r w:rsidRPr="000122AF">
        <w:rPr>
          <w:rFonts w:ascii="Times New Roman" w:eastAsia="Calibri" w:hAnsi="Times New Roman" w:cs="Times New Roman"/>
          <w:i/>
          <w:color w:val="000000"/>
          <w:sz w:val="24"/>
        </w:rPr>
        <w:t>euro</w:t>
      </w:r>
      <w:r>
        <w:rPr>
          <w:rFonts w:ascii="Times New Roman" w:eastAsia="Calibri" w:hAnsi="Times New Roman" w:cs="Times New Roman"/>
          <w:color w:val="000000"/>
          <w:sz w:val="24"/>
        </w:rPr>
        <w:t xml:space="preserve">, kas ir visu laiku augstākais pakalpojumu eksporta apjoms. </w:t>
      </w:r>
      <w:r w:rsidRPr="00D316B2">
        <w:rPr>
          <w:rFonts w:ascii="Times New Roman" w:eastAsia="Calibri" w:hAnsi="Times New Roman" w:cs="Times New Roman"/>
          <w:color w:val="000000"/>
          <w:sz w:val="24"/>
        </w:rPr>
        <w:t>To visbūtiskāk ve</w:t>
      </w:r>
      <w:r>
        <w:rPr>
          <w:rFonts w:ascii="Times New Roman" w:eastAsia="Calibri" w:hAnsi="Times New Roman" w:cs="Times New Roman"/>
          <w:color w:val="000000"/>
          <w:sz w:val="24"/>
        </w:rPr>
        <w:t>i</w:t>
      </w:r>
      <w:r w:rsidRPr="00D316B2">
        <w:rPr>
          <w:rFonts w:ascii="Times New Roman" w:eastAsia="Calibri" w:hAnsi="Times New Roman" w:cs="Times New Roman"/>
          <w:color w:val="000000"/>
          <w:sz w:val="24"/>
        </w:rPr>
        <w:t>cināja ieņēmumu kāp</w:t>
      </w:r>
      <w:r>
        <w:rPr>
          <w:rFonts w:ascii="Times New Roman" w:eastAsia="Calibri" w:hAnsi="Times New Roman" w:cs="Times New Roman"/>
          <w:color w:val="000000"/>
          <w:sz w:val="24"/>
        </w:rPr>
        <w:t xml:space="preserve">ums no transporta pakalpojumu, kā arī </w:t>
      </w:r>
      <w:r w:rsidRPr="00D316B2">
        <w:rPr>
          <w:rFonts w:ascii="Times New Roman" w:eastAsia="Calibri" w:hAnsi="Times New Roman" w:cs="Times New Roman"/>
          <w:color w:val="000000"/>
          <w:sz w:val="24"/>
        </w:rPr>
        <w:t>in</w:t>
      </w:r>
      <w:r>
        <w:rPr>
          <w:rFonts w:ascii="Times New Roman" w:eastAsia="Calibri" w:hAnsi="Times New Roman" w:cs="Times New Roman"/>
          <w:color w:val="000000"/>
          <w:sz w:val="24"/>
        </w:rPr>
        <w:t>formācijas un datorpakalpojumu eksporta</w:t>
      </w:r>
      <w:r w:rsidRPr="00D316B2">
        <w:rPr>
          <w:rFonts w:ascii="Times New Roman" w:eastAsia="Calibri" w:hAnsi="Times New Roman" w:cs="Times New Roman"/>
          <w:color w:val="000000"/>
          <w:sz w:val="24"/>
        </w:rPr>
        <w:t>. Transporta pakalpojumu eksport</w:t>
      </w:r>
      <w:r>
        <w:rPr>
          <w:rFonts w:ascii="Times New Roman" w:eastAsia="Calibri" w:hAnsi="Times New Roman" w:cs="Times New Roman"/>
          <w:color w:val="000000"/>
          <w:sz w:val="24"/>
        </w:rPr>
        <w:t>a</w:t>
      </w:r>
      <w:r w:rsidRPr="00D316B2">
        <w:rPr>
          <w:rFonts w:ascii="Times New Roman" w:eastAsia="Calibri" w:hAnsi="Times New Roman" w:cs="Times New Roman"/>
          <w:color w:val="000000"/>
          <w:sz w:val="24"/>
        </w:rPr>
        <w:t xml:space="preserve"> kāpumu pagājušā gadā kopumā veicināja</w:t>
      </w:r>
      <w:r w:rsidRPr="00D316B2">
        <w:rPr>
          <w:rFonts w:ascii="Times New Roman" w:eastAsia="Calibri" w:hAnsi="Times New Roman" w:cs="Times New Roman"/>
          <w:color w:val="000000"/>
          <w:sz w:val="28"/>
        </w:rPr>
        <w:t xml:space="preserve"> </w:t>
      </w:r>
      <w:r w:rsidRPr="00D316B2">
        <w:rPr>
          <w:rFonts w:ascii="Times New Roman" w:eastAsia="Calibri" w:hAnsi="Times New Roman" w:cs="Times New Roman"/>
          <w:sz w:val="24"/>
        </w:rPr>
        <w:t xml:space="preserve">gan </w:t>
      </w:r>
      <w:r>
        <w:rPr>
          <w:rFonts w:ascii="Times New Roman" w:eastAsia="Calibri" w:hAnsi="Times New Roman" w:cs="Times New Roman"/>
          <w:sz w:val="24"/>
        </w:rPr>
        <w:t>salīdzinoši stabilie tranzīt</w:t>
      </w:r>
      <w:r w:rsidRPr="00D316B2">
        <w:rPr>
          <w:rFonts w:ascii="Times New Roman" w:eastAsia="Calibri" w:hAnsi="Times New Roman" w:cs="Times New Roman"/>
          <w:sz w:val="24"/>
        </w:rPr>
        <w:t>pārvadājumu apjomi, gan autopārvadājumu pieaugums.</w:t>
      </w:r>
      <w:r w:rsidRPr="00D316B2">
        <w:rPr>
          <w:rFonts w:ascii="Calibri" w:eastAsia="Calibri" w:hAnsi="Calibri" w:cs="Times New Roman"/>
          <w:sz w:val="24"/>
        </w:rPr>
        <w:t xml:space="preserve"> </w:t>
      </w:r>
      <w:r w:rsidRPr="00D316B2">
        <w:rPr>
          <w:rFonts w:ascii="Times New Roman" w:eastAsia="Calibri" w:hAnsi="Times New Roman" w:cs="Times New Roman"/>
          <w:sz w:val="24"/>
        </w:rPr>
        <w:t>Tieši autotransporta krav</w:t>
      </w:r>
      <w:r>
        <w:rPr>
          <w:rFonts w:ascii="Times New Roman" w:eastAsia="Calibri" w:hAnsi="Times New Roman" w:cs="Times New Roman"/>
          <w:sz w:val="24"/>
        </w:rPr>
        <w:t>u pārvadājumu pieaugums ārvalstī</w:t>
      </w:r>
      <w:r w:rsidRPr="00D316B2">
        <w:rPr>
          <w:rFonts w:ascii="Times New Roman" w:eastAsia="Calibri" w:hAnsi="Times New Roman" w:cs="Times New Roman"/>
          <w:sz w:val="24"/>
        </w:rPr>
        <w:t xml:space="preserve">s par 15,9% jeb 117 milj. </w:t>
      </w:r>
      <w:r w:rsidRPr="00D316B2">
        <w:rPr>
          <w:rFonts w:ascii="Times New Roman" w:eastAsia="Calibri" w:hAnsi="Times New Roman" w:cs="Times New Roman"/>
          <w:i/>
          <w:sz w:val="24"/>
        </w:rPr>
        <w:t>euro</w:t>
      </w:r>
      <w:r w:rsidRPr="00D316B2">
        <w:rPr>
          <w:rFonts w:ascii="Times New Roman" w:eastAsia="Calibri" w:hAnsi="Times New Roman" w:cs="Times New Roman"/>
          <w:sz w:val="24"/>
        </w:rPr>
        <w:t xml:space="preserve"> pērn</w:t>
      </w:r>
      <w:r>
        <w:rPr>
          <w:rFonts w:ascii="Times New Roman" w:eastAsia="Calibri" w:hAnsi="Times New Roman" w:cs="Times New Roman"/>
          <w:sz w:val="24"/>
        </w:rPr>
        <w:t>aj</w:t>
      </w:r>
      <w:r w:rsidRPr="00D316B2">
        <w:rPr>
          <w:rFonts w:ascii="Times New Roman" w:eastAsia="Calibri" w:hAnsi="Times New Roman" w:cs="Times New Roman"/>
          <w:sz w:val="24"/>
        </w:rPr>
        <w:t>ā gadā nodrošināja lielāko devumu gan transporta pakalpojum</w:t>
      </w:r>
      <w:r>
        <w:rPr>
          <w:rFonts w:ascii="Times New Roman" w:eastAsia="Calibri" w:hAnsi="Times New Roman" w:cs="Times New Roman"/>
          <w:sz w:val="24"/>
        </w:rPr>
        <w:t>u</w:t>
      </w:r>
      <w:r w:rsidRPr="00D316B2">
        <w:rPr>
          <w:rFonts w:ascii="Times New Roman" w:eastAsia="Calibri" w:hAnsi="Times New Roman" w:cs="Times New Roman"/>
          <w:sz w:val="24"/>
        </w:rPr>
        <w:t xml:space="preserve"> eksportā, gan kopējā pakalpojum</w:t>
      </w:r>
      <w:r>
        <w:rPr>
          <w:rFonts w:ascii="Times New Roman" w:eastAsia="Calibri" w:hAnsi="Times New Roman" w:cs="Times New Roman"/>
          <w:sz w:val="24"/>
        </w:rPr>
        <w:t>u eksporta</w:t>
      </w:r>
      <w:r w:rsidRPr="00D316B2">
        <w:rPr>
          <w:rFonts w:ascii="Times New Roman" w:eastAsia="Calibri" w:hAnsi="Times New Roman" w:cs="Times New Roman"/>
          <w:sz w:val="24"/>
        </w:rPr>
        <w:t xml:space="preserve"> kāpumā. Palielināj</w:t>
      </w:r>
      <w:r>
        <w:rPr>
          <w:rFonts w:ascii="Times New Roman" w:eastAsia="Calibri" w:hAnsi="Times New Roman" w:cs="Times New Roman"/>
          <w:sz w:val="24"/>
        </w:rPr>
        <w:t>us</w:t>
      </w:r>
      <w:r w:rsidRPr="00D316B2">
        <w:rPr>
          <w:rFonts w:ascii="Times New Roman" w:eastAsia="Calibri" w:hAnsi="Times New Roman" w:cs="Times New Roman"/>
          <w:sz w:val="24"/>
        </w:rPr>
        <w:t>ies arī ārvalstniekiem sniegto gaisa un jūras transporta pakalpojumu vērtīb</w:t>
      </w:r>
      <w:r>
        <w:rPr>
          <w:rFonts w:ascii="Times New Roman" w:eastAsia="Calibri" w:hAnsi="Times New Roman" w:cs="Times New Roman"/>
          <w:sz w:val="24"/>
        </w:rPr>
        <w:t>a</w:t>
      </w:r>
      <w:r w:rsidRPr="00D316B2">
        <w:rPr>
          <w:rFonts w:ascii="Times New Roman" w:eastAsia="Calibri" w:hAnsi="Times New Roman" w:cs="Times New Roman"/>
          <w:sz w:val="24"/>
        </w:rPr>
        <w:t>, attiecīgi par 9,6% un 4,7%. Ja gaisa transporta pakalpojumu eksport</w:t>
      </w:r>
      <w:r>
        <w:rPr>
          <w:rFonts w:ascii="Times New Roman" w:eastAsia="Calibri" w:hAnsi="Times New Roman" w:cs="Times New Roman"/>
          <w:sz w:val="24"/>
        </w:rPr>
        <w:t>a</w:t>
      </w:r>
      <w:r w:rsidRPr="00D316B2">
        <w:rPr>
          <w:rFonts w:ascii="Times New Roman" w:eastAsia="Calibri" w:hAnsi="Times New Roman" w:cs="Times New Roman"/>
          <w:sz w:val="24"/>
        </w:rPr>
        <w:t xml:space="preserve"> pieaugumu veicināja lielāks apkalpoto pasažieru skaits Rīgas lidostā, tad jūras transporta pakalpojumu eksporta pieaugums ir saistīts ar jūras transporta atbalsta pakalpojumu </w:t>
      </w:r>
      <w:r>
        <w:rPr>
          <w:rFonts w:ascii="Times New Roman" w:eastAsia="Calibri" w:hAnsi="Times New Roman" w:cs="Times New Roman"/>
          <w:color w:val="000000"/>
          <w:sz w:val="24"/>
        </w:rPr>
        <w:t>kāpumu, galvenokārt remontā un citos</w:t>
      </w:r>
      <w:r w:rsidRPr="00D316B2">
        <w:rPr>
          <w:rFonts w:ascii="Times New Roman" w:eastAsia="Calibri" w:hAnsi="Times New Roman" w:cs="Times New Roman"/>
          <w:color w:val="000000"/>
          <w:sz w:val="24"/>
        </w:rPr>
        <w:t xml:space="preserve"> komerciāl</w:t>
      </w:r>
      <w:r>
        <w:rPr>
          <w:rFonts w:ascii="Times New Roman" w:eastAsia="Calibri" w:hAnsi="Times New Roman" w:cs="Times New Roman"/>
          <w:color w:val="000000"/>
          <w:sz w:val="24"/>
        </w:rPr>
        <w:t>ajos</w:t>
      </w:r>
      <w:r w:rsidRPr="00D316B2">
        <w:rPr>
          <w:rFonts w:ascii="Times New Roman" w:eastAsia="Calibri" w:hAnsi="Times New Roman" w:cs="Times New Roman"/>
          <w:color w:val="000000"/>
          <w:sz w:val="24"/>
        </w:rPr>
        <w:t xml:space="preserve"> pakalpojum</w:t>
      </w:r>
      <w:r>
        <w:rPr>
          <w:rFonts w:ascii="Times New Roman" w:eastAsia="Calibri" w:hAnsi="Times New Roman" w:cs="Times New Roman"/>
          <w:color w:val="000000"/>
          <w:sz w:val="24"/>
        </w:rPr>
        <w:t>os</w:t>
      </w:r>
      <w:r w:rsidRPr="00D316B2">
        <w:rPr>
          <w:rFonts w:ascii="Times New Roman" w:eastAsia="Calibri" w:hAnsi="Times New Roman" w:cs="Times New Roman"/>
          <w:color w:val="000000"/>
          <w:sz w:val="24"/>
        </w:rPr>
        <w:t xml:space="preserve">. Savukārt ieņēmumi no kravu </w:t>
      </w:r>
      <w:r>
        <w:rPr>
          <w:rFonts w:ascii="Times New Roman" w:eastAsia="Calibri" w:hAnsi="Times New Roman" w:cs="Times New Roman"/>
          <w:color w:val="000000"/>
          <w:sz w:val="24"/>
        </w:rPr>
        <w:t xml:space="preserve">pārvadājumiem </w:t>
      </w:r>
      <w:r w:rsidRPr="00D316B2">
        <w:rPr>
          <w:rFonts w:ascii="Times New Roman" w:eastAsia="Calibri" w:hAnsi="Times New Roman" w:cs="Times New Roman"/>
          <w:color w:val="000000"/>
          <w:sz w:val="24"/>
        </w:rPr>
        <w:t>dzelzceļā 2017.gadā samazināj</w:t>
      </w:r>
      <w:r>
        <w:rPr>
          <w:rFonts w:ascii="Times New Roman" w:eastAsia="Calibri" w:hAnsi="Times New Roman" w:cs="Times New Roman"/>
          <w:color w:val="000000"/>
          <w:sz w:val="24"/>
        </w:rPr>
        <w:t>ās</w:t>
      </w:r>
      <w:r w:rsidRPr="00D316B2">
        <w:rPr>
          <w:rFonts w:ascii="Times New Roman" w:eastAsia="Calibri" w:hAnsi="Times New Roman" w:cs="Times New Roman"/>
          <w:color w:val="000000"/>
          <w:sz w:val="24"/>
        </w:rPr>
        <w:t xml:space="preserve"> par 7,9%. </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sz w:val="24"/>
          <w:szCs w:val="28"/>
        </w:rPr>
      </w:pPr>
      <w:r w:rsidRPr="00D316B2">
        <w:rPr>
          <w:rFonts w:ascii="Times New Roman" w:eastAsia="Calibri" w:hAnsi="Times New Roman" w:cs="Times New Roman"/>
          <w:color w:val="000000"/>
          <w:sz w:val="24"/>
        </w:rPr>
        <w:t>Nedaudz straujāk nekā 2016.gadā, pērn</w:t>
      </w:r>
      <w:r>
        <w:rPr>
          <w:rFonts w:ascii="Times New Roman" w:eastAsia="Calibri" w:hAnsi="Times New Roman" w:cs="Times New Roman"/>
          <w:color w:val="000000"/>
          <w:sz w:val="24"/>
        </w:rPr>
        <w:t>aj</w:t>
      </w:r>
      <w:r w:rsidRPr="00D316B2">
        <w:rPr>
          <w:rFonts w:ascii="Times New Roman" w:eastAsia="Calibri" w:hAnsi="Times New Roman" w:cs="Times New Roman"/>
          <w:color w:val="000000"/>
          <w:sz w:val="24"/>
        </w:rPr>
        <w:t>ā gada turpin</w:t>
      </w:r>
      <w:r>
        <w:rPr>
          <w:rFonts w:ascii="Times New Roman" w:eastAsia="Calibri" w:hAnsi="Times New Roman" w:cs="Times New Roman"/>
          <w:color w:val="000000"/>
          <w:sz w:val="24"/>
        </w:rPr>
        <w:t>āja</w:t>
      </w:r>
      <w:r w:rsidRPr="00D316B2">
        <w:rPr>
          <w:rFonts w:ascii="Times New Roman" w:eastAsia="Calibri" w:hAnsi="Times New Roman" w:cs="Times New Roman"/>
          <w:color w:val="000000"/>
          <w:sz w:val="24"/>
        </w:rPr>
        <w:t xml:space="preserve"> palielināties arī citu pakalpojumu eksporta vērtība, piemēram, </w:t>
      </w:r>
      <w:r w:rsidRPr="00D316B2">
        <w:rPr>
          <w:rFonts w:ascii="Times New Roman" w:eastAsia="Calibri" w:hAnsi="Times New Roman" w:cs="Times New Roman"/>
          <w:color w:val="000000"/>
          <w:sz w:val="24"/>
          <w:szCs w:val="24"/>
        </w:rPr>
        <w:t xml:space="preserve">palielinājies </w:t>
      </w:r>
      <w:r w:rsidRPr="00D316B2">
        <w:rPr>
          <w:rFonts w:ascii="Times New Roman" w:eastAsia="Times New Roman" w:hAnsi="Times New Roman" w:cs="Times New Roman"/>
          <w:sz w:val="24"/>
          <w:szCs w:val="24"/>
        </w:rPr>
        <w:t>informācijas un datorpakalpojumu, kā arī būvniecības pakalpojumu eksport</w:t>
      </w:r>
      <w:r>
        <w:rPr>
          <w:rFonts w:ascii="Times New Roman" w:eastAsia="Times New Roman" w:hAnsi="Times New Roman" w:cs="Times New Roman"/>
          <w:sz w:val="24"/>
          <w:szCs w:val="24"/>
        </w:rPr>
        <w:t xml:space="preserve">s </w:t>
      </w:r>
      <w:r>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sz w:val="24"/>
          <w:szCs w:val="24"/>
        </w:rPr>
        <w:t>attiecīgi par 31,2% un 38,3%. Neskatoties uz</w:t>
      </w:r>
      <w:r>
        <w:rPr>
          <w:rFonts w:ascii="Times New Roman" w:eastAsia="Times New Roman" w:hAnsi="Times New Roman" w:cs="Times New Roman"/>
          <w:sz w:val="24"/>
          <w:szCs w:val="24"/>
        </w:rPr>
        <w:t xml:space="preserve"> to</w:t>
      </w:r>
      <w:r w:rsidRPr="00D316B2">
        <w:rPr>
          <w:rFonts w:ascii="Times New Roman" w:eastAsia="Times New Roman" w:hAnsi="Times New Roman" w:cs="Times New Roman"/>
          <w:sz w:val="24"/>
          <w:szCs w:val="24"/>
        </w:rPr>
        <w:t>, ka 2017.gadā</w:t>
      </w:r>
      <w:r w:rsidRPr="00D316B2">
        <w:rPr>
          <w:rFonts w:ascii="Times New Roman" w:eastAsia="Times New Roman" w:hAnsi="Times New Roman" w:cs="Times New Roman"/>
          <w:sz w:val="24"/>
          <w:szCs w:val="28"/>
        </w:rPr>
        <w:t xml:space="preserve"> iebraukušo viesu skaits Latvijā ir pieaudzis un palielinājies arī to uzturēšanās ilgums, ārvalstu viesu tēriņi kopumā </w:t>
      </w:r>
      <w:r>
        <w:rPr>
          <w:rFonts w:ascii="Times New Roman" w:eastAsia="Times New Roman" w:hAnsi="Times New Roman" w:cs="Times New Roman"/>
          <w:sz w:val="24"/>
          <w:szCs w:val="28"/>
        </w:rPr>
        <w:t>saglabājās</w:t>
      </w:r>
      <w:r w:rsidRPr="00D316B2">
        <w:rPr>
          <w:rFonts w:ascii="Times New Roman" w:eastAsia="Times New Roman" w:hAnsi="Times New Roman" w:cs="Times New Roman"/>
          <w:sz w:val="24"/>
          <w:szCs w:val="28"/>
        </w:rPr>
        <w:t xml:space="preserve"> iepriekšējā gada līmen</w:t>
      </w:r>
      <w:r>
        <w:rPr>
          <w:rFonts w:ascii="Times New Roman" w:eastAsia="Times New Roman" w:hAnsi="Times New Roman" w:cs="Times New Roman"/>
          <w:sz w:val="24"/>
          <w:szCs w:val="28"/>
        </w:rPr>
        <w:t>ī</w:t>
      </w:r>
      <w:r w:rsidRPr="00D316B2">
        <w:rPr>
          <w:rFonts w:ascii="Times New Roman" w:eastAsia="Times New Roman" w:hAnsi="Times New Roman" w:cs="Times New Roman"/>
          <w:sz w:val="24"/>
          <w:szCs w:val="28"/>
        </w:rPr>
        <w:t>, maz</w:t>
      </w:r>
      <w:r>
        <w:rPr>
          <w:rFonts w:ascii="Times New Roman" w:eastAsia="Times New Roman" w:hAnsi="Times New Roman" w:cs="Times New Roman"/>
          <w:sz w:val="24"/>
          <w:szCs w:val="28"/>
        </w:rPr>
        <w:t>inoties vien par 0,1%. Saistībā</w:t>
      </w:r>
      <w:r w:rsidRPr="00D316B2">
        <w:rPr>
          <w:rFonts w:ascii="Times New Roman" w:eastAsia="Times New Roman" w:hAnsi="Times New Roman" w:cs="Times New Roman"/>
          <w:sz w:val="24"/>
          <w:szCs w:val="28"/>
        </w:rPr>
        <w:t xml:space="preserve"> ar stingrākam prasībām noziedzīgi iegūtu līdzekļu legalizācijas un terorisma finansēšanas novēršanas jomā, kā arī saistīb</w:t>
      </w:r>
      <w:r>
        <w:rPr>
          <w:rFonts w:ascii="Times New Roman" w:eastAsia="Times New Roman" w:hAnsi="Times New Roman" w:cs="Times New Roman"/>
          <w:sz w:val="24"/>
          <w:szCs w:val="28"/>
        </w:rPr>
        <w:t>ā ar ieviestajā</w:t>
      </w:r>
      <w:r w:rsidRPr="00D316B2">
        <w:rPr>
          <w:rFonts w:ascii="Times New Roman" w:eastAsia="Times New Roman" w:hAnsi="Times New Roman" w:cs="Times New Roman"/>
          <w:sz w:val="24"/>
          <w:szCs w:val="28"/>
        </w:rPr>
        <w:t>m sankcijām pret atsevišķ</w:t>
      </w:r>
      <w:r>
        <w:rPr>
          <w:rFonts w:ascii="Times New Roman" w:eastAsia="Times New Roman" w:hAnsi="Times New Roman" w:cs="Times New Roman"/>
          <w:sz w:val="24"/>
          <w:szCs w:val="28"/>
        </w:rPr>
        <w:t>ā</w:t>
      </w:r>
      <w:r w:rsidRPr="00D316B2">
        <w:rPr>
          <w:rFonts w:ascii="Times New Roman" w:eastAsia="Times New Roman" w:hAnsi="Times New Roman" w:cs="Times New Roman"/>
          <w:sz w:val="24"/>
          <w:szCs w:val="28"/>
        </w:rPr>
        <w:t>m Neatkarīgo Valstu Sadraudzības valstīm, finanšu pakalpojum</w:t>
      </w:r>
      <w:r>
        <w:rPr>
          <w:rFonts w:ascii="Times New Roman" w:eastAsia="Times New Roman" w:hAnsi="Times New Roman" w:cs="Times New Roman"/>
          <w:sz w:val="24"/>
          <w:szCs w:val="28"/>
        </w:rPr>
        <w:t>u</w:t>
      </w:r>
      <w:r w:rsidRPr="00D316B2">
        <w:rPr>
          <w:rFonts w:ascii="Times New Roman" w:eastAsia="Times New Roman" w:hAnsi="Times New Roman" w:cs="Times New Roman"/>
          <w:sz w:val="24"/>
          <w:szCs w:val="28"/>
        </w:rPr>
        <w:t xml:space="preserve"> eksporta vērtība 2017.gadā samazinā</w:t>
      </w:r>
      <w:r>
        <w:rPr>
          <w:rFonts w:ascii="Times New Roman" w:eastAsia="Times New Roman" w:hAnsi="Times New Roman" w:cs="Times New Roman"/>
          <w:sz w:val="24"/>
          <w:szCs w:val="28"/>
        </w:rPr>
        <w:t>jās</w:t>
      </w:r>
      <w:r w:rsidRPr="00D316B2">
        <w:rPr>
          <w:rFonts w:ascii="Times New Roman" w:eastAsia="Times New Roman" w:hAnsi="Times New Roman" w:cs="Times New Roman"/>
          <w:sz w:val="24"/>
          <w:szCs w:val="28"/>
        </w:rPr>
        <w:t xml:space="preserve"> par 16,9% jeb 75 milj. </w:t>
      </w:r>
      <w:r w:rsidRPr="00D316B2">
        <w:rPr>
          <w:rFonts w:ascii="Times New Roman" w:eastAsia="Times New Roman" w:hAnsi="Times New Roman" w:cs="Times New Roman"/>
          <w:i/>
          <w:sz w:val="24"/>
          <w:szCs w:val="28"/>
        </w:rPr>
        <w:t>euro.</w:t>
      </w:r>
      <w:r w:rsidRPr="00D316B2">
        <w:rPr>
          <w:rFonts w:ascii="Times New Roman" w:eastAsia="Times New Roman" w:hAnsi="Times New Roman" w:cs="Times New Roman"/>
          <w:sz w:val="24"/>
          <w:szCs w:val="28"/>
        </w:rPr>
        <w:t xml:space="preserve"> T</w:t>
      </w:r>
      <w:r>
        <w:rPr>
          <w:rFonts w:ascii="Times New Roman" w:eastAsia="Times New Roman" w:hAnsi="Times New Roman" w:cs="Times New Roman"/>
          <w:sz w:val="24"/>
          <w:szCs w:val="28"/>
        </w:rPr>
        <w:t xml:space="preserve">o </w:t>
      </w:r>
      <w:r w:rsidRPr="00D316B2">
        <w:rPr>
          <w:rFonts w:ascii="Times New Roman" w:eastAsia="Times New Roman" w:hAnsi="Times New Roman" w:cs="Times New Roman"/>
          <w:sz w:val="24"/>
          <w:szCs w:val="28"/>
        </w:rPr>
        <w:t xml:space="preserve">apliecina fakts, ka sniegto finanšu pakalpojumu eksports ārpus ES rezidentiem samazinājies par 68 milj. </w:t>
      </w:r>
      <w:r w:rsidRPr="00D316B2">
        <w:rPr>
          <w:rFonts w:ascii="Times New Roman" w:eastAsia="Times New Roman" w:hAnsi="Times New Roman" w:cs="Times New Roman"/>
          <w:i/>
          <w:sz w:val="24"/>
          <w:szCs w:val="28"/>
        </w:rPr>
        <w:t>euro,</w:t>
      </w:r>
      <w:r w:rsidRPr="00D316B2">
        <w:rPr>
          <w:rFonts w:ascii="Times New Roman" w:eastAsia="Times New Roman" w:hAnsi="Times New Roman" w:cs="Times New Roman"/>
          <w:sz w:val="24"/>
          <w:szCs w:val="28"/>
        </w:rPr>
        <w:t xml:space="preserve"> kamēr ES rezidentiem vien par 6 milj. </w:t>
      </w:r>
      <w:r w:rsidRPr="00D316B2">
        <w:rPr>
          <w:rFonts w:ascii="Times New Roman" w:eastAsia="Times New Roman" w:hAnsi="Times New Roman" w:cs="Times New Roman"/>
          <w:i/>
          <w:sz w:val="24"/>
          <w:szCs w:val="28"/>
        </w:rPr>
        <w:t>euro.</w:t>
      </w:r>
      <w:r w:rsidRPr="00D316B2">
        <w:rPr>
          <w:rFonts w:ascii="Times New Roman" w:eastAsia="Times New Roman" w:hAnsi="Times New Roman" w:cs="Times New Roman"/>
          <w:sz w:val="24"/>
          <w:szCs w:val="28"/>
        </w:rPr>
        <w:t xml:space="preserve"> </w:t>
      </w:r>
    </w:p>
    <w:p w:rsidR="00B45C68" w:rsidRDefault="00B45C68" w:rsidP="00B45C68">
      <w:pPr>
        <w:autoSpaceDE w:val="0"/>
        <w:autoSpaceDN w:val="0"/>
        <w:adjustRightInd w:val="0"/>
        <w:spacing w:after="0" w:line="240" w:lineRule="auto"/>
        <w:ind w:firstLine="720"/>
        <w:jc w:val="both"/>
        <w:rPr>
          <w:rFonts w:ascii="Times New Roman" w:eastAsia="Times New Roman" w:hAnsi="Times New Roman" w:cs="Times New Roman"/>
          <w:sz w:val="24"/>
          <w:szCs w:val="28"/>
        </w:rPr>
      </w:pPr>
      <w:r w:rsidRPr="00D316B2">
        <w:rPr>
          <w:rFonts w:ascii="Times New Roman" w:eastAsia="Times New Roman" w:hAnsi="Times New Roman" w:cs="Times New Roman"/>
          <w:sz w:val="24"/>
          <w:szCs w:val="28"/>
        </w:rPr>
        <w:t>Pakalpojumu importa pieaugums 2017.gadā bija nedaudz straujāks par eksport</w:t>
      </w:r>
      <w:r>
        <w:rPr>
          <w:rFonts w:ascii="Times New Roman" w:eastAsia="Times New Roman" w:hAnsi="Times New Roman" w:cs="Times New Roman"/>
          <w:sz w:val="24"/>
          <w:szCs w:val="28"/>
        </w:rPr>
        <w:t>a pieaugumu</w:t>
      </w:r>
      <w:r w:rsidRPr="00D316B2">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 xml:space="preserve">to </w:t>
      </w:r>
      <w:r w:rsidRPr="00D316B2">
        <w:rPr>
          <w:rFonts w:ascii="Times New Roman" w:eastAsia="Times New Roman" w:hAnsi="Times New Roman" w:cs="Times New Roman"/>
          <w:sz w:val="24"/>
          <w:szCs w:val="28"/>
        </w:rPr>
        <w:t xml:space="preserve">vērtībai palielinoties par 8,7%. Taču </w:t>
      </w:r>
      <w:r w:rsidRPr="002F43AB">
        <w:rPr>
          <w:rFonts w:ascii="Times New Roman" w:eastAsia="Times New Roman" w:hAnsi="Times New Roman" w:cs="Times New Roman"/>
          <w:sz w:val="24"/>
          <w:szCs w:val="28"/>
        </w:rPr>
        <w:t xml:space="preserve">naudas </w:t>
      </w:r>
      <w:r>
        <w:rPr>
          <w:rFonts w:ascii="Times New Roman" w:eastAsia="Times New Roman" w:hAnsi="Times New Roman" w:cs="Times New Roman"/>
          <w:sz w:val="24"/>
          <w:szCs w:val="28"/>
        </w:rPr>
        <w:t>izteiksmē</w:t>
      </w:r>
      <w:r w:rsidRPr="00D316B2">
        <w:rPr>
          <w:rFonts w:ascii="Times New Roman" w:eastAsia="Times New Roman" w:hAnsi="Times New Roman" w:cs="Times New Roman"/>
          <w:sz w:val="24"/>
          <w:szCs w:val="28"/>
        </w:rPr>
        <w:t xml:space="preserve"> pakalpojumu eksporta kāpums par 315 milj. </w:t>
      </w:r>
      <w:r w:rsidRPr="00D316B2">
        <w:rPr>
          <w:rFonts w:ascii="Times New Roman" w:eastAsia="Times New Roman" w:hAnsi="Times New Roman" w:cs="Times New Roman"/>
          <w:i/>
          <w:sz w:val="24"/>
          <w:szCs w:val="28"/>
        </w:rPr>
        <w:t>euro</w:t>
      </w:r>
      <w:r w:rsidRPr="00D316B2">
        <w:rPr>
          <w:rFonts w:ascii="Times New Roman" w:eastAsia="Times New Roman" w:hAnsi="Times New Roman" w:cs="Times New Roman"/>
          <w:sz w:val="24"/>
          <w:szCs w:val="28"/>
        </w:rPr>
        <w:t xml:space="preserve"> tomēr bija lielāks nekā importa pieaugums par 212 milj. </w:t>
      </w:r>
      <w:r w:rsidRPr="00D316B2">
        <w:rPr>
          <w:rFonts w:ascii="Times New Roman" w:eastAsia="Times New Roman" w:hAnsi="Times New Roman" w:cs="Times New Roman"/>
          <w:i/>
          <w:sz w:val="24"/>
          <w:szCs w:val="28"/>
        </w:rPr>
        <w:t>euro</w:t>
      </w:r>
      <w:r>
        <w:rPr>
          <w:rFonts w:ascii="Times New Roman" w:eastAsia="Times New Roman" w:hAnsi="Times New Roman" w:cs="Times New Roman"/>
          <w:i/>
          <w:sz w:val="24"/>
          <w:szCs w:val="28"/>
        </w:rPr>
        <w:t>,</w:t>
      </w:r>
      <w:r w:rsidRPr="00D316B2">
        <w:rPr>
          <w:rFonts w:ascii="Times New Roman" w:eastAsia="Times New Roman" w:hAnsi="Times New Roman" w:cs="Times New Roman"/>
          <w:i/>
          <w:sz w:val="24"/>
          <w:szCs w:val="28"/>
        </w:rPr>
        <w:t xml:space="preserve"> </w:t>
      </w:r>
      <w:r w:rsidRPr="00D316B2">
        <w:rPr>
          <w:rFonts w:ascii="Times New Roman" w:eastAsia="Times New Roman" w:hAnsi="Times New Roman" w:cs="Times New Roman"/>
          <w:sz w:val="24"/>
          <w:szCs w:val="28"/>
        </w:rPr>
        <w:t>salīdzinot ar iepriekšējo gadu. Arī pakalpojumu importu galvenokārt veicināja visi transporta pakalpojumi veidi</w:t>
      </w:r>
      <w:r>
        <w:rPr>
          <w:rFonts w:ascii="Times New Roman" w:eastAsia="Times New Roman" w:hAnsi="Times New Roman" w:cs="Times New Roman"/>
          <w:sz w:val="24"/>
          <w:szCs w:val="28"/>
        </w:rPr>
        <w:t>,</w:t>
      </w:r>
      <w:r w:rsidRPr="00D316B2">
        <w:rPr>
          <w:rFonts w:ascii="Times New Roman" w:eastAsia="Times New Roman" w:hAnsi="Times New Roman" w:cs="Times New Roman"/>
          <w:sz w:val="24"/>
          <w:szCs w:val="28"/>
        </w:rPr>
        <w:t xml:space="preserve"> izņemot dzelzceļa transporta pakalpojumus. Kopējais transporta pakalpojumu imports palielinājies par 11,8%. Papildus tam pieauga arī informācijas, būvniecības un finanšu pakalpojumu imports. Lai arī Latv</w:t>
      </w:r>
      <w:r>
        <w:rPr>
          <w:rFonts w:ascii="Times New Roman" w:eastAsia="Times New Roman" w:hAnsi="Times New Roman" w:cs="Times New Roman"/>
          <w:sz w:val="24"/>
          <w:szCs w:val="28"/>
        </w:rPr>
        <w:t>ijas iedzīvotāju tēriņi ārvalstī</w:t>
      </w:r>
      <w:r w:rsidRPr="00D316B2">
        <w:rPr>
          <w:rFonts w:ascii="Times New Roman" w:eastAsia="Times New Roman" w:hAnsi="Times New Roman" w:cs="Times New Roman"/>
          <w:sz w:val="24"/>
          <w:szCs w:val="28"/>
        </w:rPr>
        <w:t>s pērnajā gadā palielinājās vien par 1,8%, k</w:t>
      </w:r>
      <w:r>
        <w:rPr>
          <w:rFonts w:ascii="Times New Roman" w:eastAsia="Times New Roman" w:hAnsi="Times New Roman" w:cs="Times New Roman"/>
          <w:sz w:val="24"/>
          <w:szCs w:val="28"/>
        </w:rPr>
        <w:t>opā ar transporta pakalpojumiem</w:t>
      </w:r>
      <w:r w:rsidRPr="00D316B2">
        <w:rPr>
          <w:rFonts w:ascii="Times New Roman" w:eastAsia="Times New Roman" w:hAnsi="Times New Roman" w:cs="Times New Roman"/>
          <w:sz w:val="24"/>
          <w:szCs w:val="28"/>
        </w:rPr>
        <w:t xml:space="preserve"> tie veido lielā</w:t>
      </w:r>
      <w:r>
        <w:rPr>
          <w:rFonts w:ascii="Times New Roman" w:eastAsia="Times New Roman" w:hAnsi="Times New Roman" w:cs="Times New Roman"/>
          <w:sz w:val="24"/>
          <w:szCs w:val="28"/>
        </w:rPr>
        <w:t>ko daļu no kopējā pakalpojumu</w:t>
      </w:r>
      <w:r w:rsidRPr="00D316B2">
        <w:rPr>
          <w:rFonts w:ascii="Times New Roman" w:eastAsia="Times New Roman" w:hAnsi="Times New Roman" w:cs="Times New Roman"/>
          <w:sz w:val="24"/>
          <w:szCs w:val="28"/>
        </w:rPr>
        <w:t xml:space="preserve"> import</w:t>
      </w:r>
      <w:r>
        <w:rPr>
          <w:rFonts w:ascii="Times New Roman" w:eastAsia="Times New Roman" w:hAnsi="Times New Roman" w:cs="Times New Roman"/>
          <w:sz w:val="24"/>
          <w:szCs w:val="28"/>
        </w:rPr>
        <w:t>a</w:t>
      </w:r>
      <w:r w:rsidRPr="00D316B2">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K</w:t>
      </w:r>
      <w:r w:rsidRPr="00D316B2">
        <w:rPr>
          <w:rFonts w:ascii="Times New Roman" w:eastAsia="Times New Roman" w:hAnsi="Times New Roman" w:cs="Times New Roman"/>
          <w:sz w:val="24"/>
          <w:szCs w:val="28"/>
        </w:rPr>
        <w:t>opējā pakalpojum</w:t>
      </w:r>
      <w:r>
        <w:rPr>
          <w:rFonts w:ascii="Times New Roman" w:eastAsia="Times New Roman" w:hAnsi="Times New Roman" w:cs="Times New Roman"/>
          <w:sz w:val="24"/>
          <w:szCs w:val="28"/>
        </w:rPr>
        <w:t>u</w:t>
      </w:r>
      <w:r w:rsidRPr="00D316B2">
        <w:rPr>
          <w:rFonts w:ascii="Times New Roman" w:eastAsia="Times New Roman" w:hAnsi="Times New Roman" w:cs="Times New Roman"/>
          <w:sz w:val="24"/>
          <w:szCs w:val="28"/>
        </w:rPr>
        <w:t xml:space="preserve"> importā 30,5% jeb 806 milj. </w:t>
      </w:r>
      <w:r w:rsidRPr="00D316B2">
        <w:rPr>
          <w:rFonts w:ascii="Times New Roman" w:eastAsia="Times New Roman" w:hAnsi="Times New Roman" w:cs="Times New Roman"/>
          <w:i/>
          <w:sz w:val="24"/>
          <w:szCs w:val="28"/>
        </w:rPr>
        <w:t>euro</w:t>
      </w:r>
      <w:r w:rsidRPr="00D316B2">
        <w:rPr>
          <w:rFonts w:ascii="Times New Roman" w:eastAsia="Times New Roman" w:hAnsi="Times New Roman" w:cs="Times New Roman"/>
          <w:sz w:val="24"/>
          <w:szCs w:val="28"/>
        </w:rPr>
        <w:t xml:space="preserve"> veido transporta pakalpojumi un 24,2% jeb 639 milj. </w:t>
      </w:r>
      <w:r w:rsidRPr="00D316B2">
        <w:rPr>
          <w:rFonts w:ascii="Times New Roman" w:eastAsia="Times New Roman" w:hAnsi="Times New Roman" w:cs="Times New Roman"/>
          <w:i/>
          <w:sz w:val="24"/>
          <w:szCs w:val="28"/>
        </w:rPr>
        <w:t>euro</w:t>
      </w:r>
      <w:r w:rsidRPr="00D316B2">
        <w:rPr>
          <w:rFonts w:ascii="Times New Roman" w:eastAsia="Times New Roman" w:hAnsi="Times New Roman" w:cs="Times New Roman"/>
          <w:sz w:val="24"/>
          <w:szCs w:val="28"/>
        </w:rPr>
        <w:t xml:space="preserve"> Latv</w:t>
      </w:r>
      <w:r>
        <w:rPr>
          <w:rFonts w:ascii="Times New Roman" w:eastAsia="Times New Roman" w:hAnsi="Times New Roman" w:cs="Times New Roman"/>
          <w:sz w:val="24"/>
          <w:szCs w:val="28"/>
        </w:rPr>
        <w:t>ijas iedzīvotāju tēriņi ārvalstī</w:t>
      </w:r>
      <w:r w:rsidRPr="00D316B2">
        <w:rPr>
          <w:rFonts w:ascii="Times New Roman" w:eastAsia="Times New Roman" w:hAnsi="Times New Roman" w:cs="Times New Roman"/>
          <w:sz w:val="24"/>
          <w:szCs w:val="28"/>
        </w:rPr>
        <w:t xml:space="preserve">s. </w:t>
      </w:r>
    </w:p>
    <w:p w:rsidR="00EC1451" w:rsidRDefault="00EC1451" w:rsidP="00EC1451">
      <w:pPr>
        <w:spacing w:before="120" w:after="120" w:line="240" w:lineRule="auto"/>
        <w:ind w:firstLine="709"/>
        <w:jc w:val="both"/>
        <w:outlineLvl w:val="3"/>
        <w:rPr>
          <w:rFonts w:ascii="Times New Roman" w:eastAsia="Times New Roman" w:hAnsi="Times New Roman" w:cs="Times New Roman"/>
          <w:b/>
          <w:sz w:val="24"/>
          <w:szCs w:val="24"/>
        </w:rPr>
      </w:pPr>
    </w:p>
    <w:p w:rsidR="00B45C68" w:rsidRPr="00D316B2" w:rsidRDefault="00B45C68" w:rsidP="00EC1451">
      <w:pPr>
        <w:spacing w:before="120" w:after="120" w:line="240" w:lineRule="auto"/>
        <w:ind w:firstLine="709"/>
        <w:jc w:val="both"/>
        <w:outlineLvl w:val="3"/>
        <w:rPr>
          <w:rFonts w:ascii="Times New Roman" w:eastAsia="Times New Roman" w:hAnsi="Times New Roman" w:cs="Times New Roman"/>
          <w:b/>
          <w:sz w:val="24"/>
          <w:szCs w:val="24"/>
        </w:rPr>
      </w:pPr>
      <w:r w:rsidRPr="00D316B2">
        <w:rPr>
          <w:rFonts w:ascii="Times New Roman" w:eastAsia="Times New Roman" w:hAnsi="Times New Roman" w:cs="Times New Roman"/>
          <w:b/>
          <w:sz w:val="24"/>
          <w:szCs w:val="24"/>
        </w:rPr>
        <w:lastRenderedPageBreak/>
        <w:t>Tekošais konts</w:t>
      </w:r>
    </w:p>
    <w:p w:rsidR="00B45C68" w:rsidRPr="003D08F2" w:rsidRDefault="00B45C68" w:rsidP="00CB3583">
      <w:pPr>
        <w:autoSpaceDE w:val="0"/>
        <w:autoSpaceDN w:val="0"/>
        <w:adjustRightInd w:val="0"/>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rPr>
        <w:t>2017.gadā saistībā</w:t>
      </w:r>
      <w:r w:rsidRPr="003D08F2">
        <w:rPr>
          <w:rFonts w:ascii="Times New Roman" w:eastAsia="Calibri" w:hAnsi="Times New Roman" w:cs="Times New Roman"/>
          <w:sz w:val="24"/>
        </w:rPr>
        <w:t xml:space="preserve"> ar preču konta deficīta pieaugumu tek</w:t>
      </w:r>
      <w:r>
        <w:rPr>
          <w:rFonts w:ascii="Times New Roman" w:eastAsia="Calibri" w:hAnsi="Times New Roman" w:cs="Times New Roman"/>
          <w:sz w:val="24"/>
        </w:rPr>
        <w:t>ošā</w:t>
      </w:r>
      <w:r w:rsidRPr="003D08F2">
        <w:rPr>
          <w:rFonts w:ascii="Times New Roman" w:eastAsia="Calibri" w:hAnsi="Times New Roman" w:cs="Times New Roman"/>
          <w:sz w:val="24"/>
        </w:rPr>
        <w:t xml:space="preserve"> konta bilance kļuva negatīva. Pēdējos gados tieši preču eksporta un importa svārstības nosaka tekoš</w:t>
      </w:r>
      <w:r>
        <w:rPr>
          <w:rFonts w:ascii="Times New Roman" w:eastAsia="Calibri" w:hAnsi="Times New Roman" w:cs="Times New Roman"/>
          <w:sz w:val="24"/>
        </w:rPr>
        <w:t>ā</w:t>
      </w:r>
      <w:r w:rsidRPr="003D08F2">
        <w:rPr>
          <w:rFonts w:ascii="Times New Roman" w:eastAsia="Calibri" w:hAnsi="Times New Roman" w:cs="Times New Roman"/>
          <w:sz w:val="24"/>
        </w:rPr>
        <w:t xml:space="preserve"> konta dinamiku. Ja 2016.gadā būtisks preču importa vērtības kritums bija galvenais iemesls tekoš</w:t>
      </w:r>
      <w:r>
        <w:rPr>
          <w:rFonts w:ascii="Times New Roman" w:eastAsia="Calibri" w:hAnsi="Times New Roman" w:cs="Times New Roman"/>
          <w:sz w:val="24"/>
        </w:rPr>
        <w:t>ā</w:t>
      </w:r>
      <w:r w:rsidRPr="003D08F2">
        <w:rPr>
          <w:rFonts w:ascii="Times New Roman" w:eastAsia="Calibri" w:hAnsi="Times New Roman" w:cs="Times New Roman"/>
          <w:sz w:val="24"/>
        </w:rPr>
        <w:t xml:space="preserve"> konta pārpalikuma pieaugumam līdz 342 milj. </w:t>
      </w:r>
      <w:r w:rsidRPr="00900DF1">
        <w:rPr>
          <w:rFonts w:ascii="Times New Roman" w:eastAsia="Calibri" w:hAnsi="Times New Roman" w:cs="Times New Roman"/>
          <w:i/>
          <w:sz w:val="24"/>
        </w:rPr>
        <w:t>euro</w:t>
      </w:r>
      <w:r w:rsidRPr="003D08F2">
        <w:rPr>
          <w:rFonts w:ascii="Times New Roman" w:eastAsia="Calibri" w:hAnsi="Times New Roman" w:cs="Times New Roman"/>
          <w:sz w:val="24"/>
        </w:rPr>
        <w:t>, tad 2017.gadā tekoš</w:t>
      </w:r>
      <w:r>
        <w:rPr>
          <w:rFonts w:ascii="Times New Roman" w:eastAsia="Calibri" w:hAnsi="Times New Roman" w:cs="Times New Roman"/>
          <w:sz w:val="24"/>
        </w:rPr>
        <w:t>ā</w:t>
      </w:r>
      <w:r w:rsidRPr="003D08F2">
        <w:rPr>
          <w:rFonts w:ascii="Times New Roman" w:eastAsia="Calibri" w:hAnsi="Times New Roman" w:cs="Times New Roman"/>
          <w:sz w:val="24"/>
        </w:rPr>
        <w:t xml:space="preserve"> konta deficīta palielinājum</w:t>
      </w:r>
      <w:r>
        <w:rPr>
          <w:rFonts w:ascii="Times New Roman" w:eastAsia="Calibri" w:hAnsi="Times New Roman" w:cs="Times New Roman"/>
          <w:sz w:val="24"/>
        </w:rPr>
        <w:t>u</w:t>
      </w:r>
      <w:r w:rsidRPr="003D08F2">
        <w:rPr>
          <w:rFonts w:ascii="Times New Roman" w:eastAsia="Calibri" w:hAnsi="Times New Roman" w:cs="Times New Roman"/>
          <w:sz w:val="24"/>
        </w:rPr>
        <w:t xml:space="preserve"> līdz 204 milj. </w:t>
      </w:r>
      <w:r w:rsidRPr="003D08F2">
        <w:rPr>
          <w:rFonts w:ascii="Times New Roman" w:eastAsia="Calibri" w:hAnsi="Times New Roman" w:cs="Times New Roman"/>
          <w:i/>
          <w:sz w:val="24"/>
        </w:rPr>
        <w:t>euro</w:t>
      </w:r>
      <w:r>
        <w:rPr>
          <w:rFonts w:ascii="Times New Roman" w:eastAsia="Calibri" w:hAnsi="Times New Roman" w:cs="Times New Roman"/>
          <w:i/>
          <w:sz w:val="24"/>
        </w:rPr>
        <w:t xml:space="preserve"> </w:t>
      </w:r>
      <w:r>
        <w:rPr>
          <w:rFonts w:ascii="Times New Roman" w:eastAsia="Calibri" w:hAnsi="Times New Roman" w:cs="Times New Roman"/>
          <w:sz w:val="24"/>
        </w:rPr>
        <w:t xml:space="preserve">noteica </w:t>
      </w:r>
      <w:r w:rsidRPr="003D08F2">
        <w:rPr>
          <w:rFonts w:ascii="Times New Roman" w:eastAsia="Calibri" w:hAnsi="Times New Roman" w:cs="Times New Roman"/>
          <w:sz w:val="24"/>
        </w:rPr>
        <w:t>būtisk</w:t>
      </w:r>
      <w:r>
        <w:rPr>
          <w:rFonts w:ascii="Times New Roman" w:eastAsia="Calibri" w:hAnsi="Times New Roman" w:cs="Times New Roman"/>
          <w:sz w:val="24"/>
        </w:rPr>
        <w:t>ais preču</w:t>
      </w:r>
      <w:r>
        <w:rPr>
          <w:rFonts w:ascii="Times New Roman" w:eastAsia="Calibri" w:hAnsi="Times New Roman" w:cs="Times New Roman"/>
          <w:i/>
          <w:sz w:val="24"/>
        </w:rPr>
        <w:t xml:space="preserve"> </w:t>
      </w:r>
      <w:r>
        <w:rPr>
          <w:rFonts w:ascii="Times New Roman" w:eastAsia="Calibri" w:hAnsi="Times New Roman" w:cs="Times New Roman"/>
          <w:sz w:val="24"/>
        </w:rPr>
        <w:t>importa</w:t>
      </w:r>
      <w:r w:rsidRPr="003D08F2">
        <w:rPr>
          <w:rFonts w:ascii="Times New Roman" w:eastAsia="Calibri" w:hAnsi="Times New Roman" w:cs="Times New Roman"/>
          <w:sz w:val="24"/>
        </w:rPr>
        <w:t xml:space="preserve"> kāpums</w:t>
      </w:r>
      <w:r>
        <w:rPr>
          <w:rFonts w:ascii="Times New Roman" w:eastAsia="Calibri" w:hAnsi="Times New Roman" w:cs="Times New Roman"/>
          <w:sz w:val="24"/>
        </w:rPr>
        <w:t>.</w:t>
      </w:r>
      <w:r w:rsidRPr="003D08F2">
        <w:rPr>
          <w:rFonts w:ascii="Times New Roman" w:eastAsia="Calibri" w:hAnsi="Times New Roman" w:cs="Times New Roman"/>
          <w:sz w:val="24"/>
        </w:rPr>
        <w:t xml:space="preserve"> Tādējādi pērn</w:t>
      </w:r>
      <w:r>
        <w:rPr>
          <w:rFonts w:ascii="Times New Roman" w:eastAsia="Calibri" w:hAnsi="Times New Roman" w:cs="Times New Roman"/>
          <w:sz w:val="24"/>
        </w:rPr>
        <w:t>aj</w:t>
      </w:r>
      <w:r w:rsidRPr="003D08F2">
        <w:rPr>
          <w:rFonts w:ascii="Times New Roman" w:eastAsia="Calibri" w:hAnsi="Times New Roman" w:cs="Times New Roman"/>
          <w:sz w:val="24"/>
        </w:rPr>
        <w:t xml:space="preserve">ā gadā tekošā konta </w:t>
      </w:r>
      <w:r>
        <w:rPr>
          <w:rFonts w:ascii="Times New Roman" w:eastAsia="Calibri" w:hAnsi="Times New Roman" w:cs="Times New Roman"/>
          <w:sz w:val="24"/>
        </w:rPr>
        <w:t>deficīts</w:t>
      </w:r>
      <w:r w:rsidRPr="003D08F2">
        <w:rPr>
          <w:rFonts w:ascii="Times New Roman" w:eastAsia="Calibri" w:hAnsi="Times New Roman" w:cs="Times New Roman"/>
          <w:sz w:val="24"/>
        </w:rPr>
        <w:t xml:space="preserve"> veidoja 0,8% no nominālā IKP. Tekoš</w:t>
      </w:r>
      <w:r>
        <w:rPr>
          <w:rFonts w:ascii="Times New Roman" w:eastAsia="Calibri" w:hAnsi="Times New Roman" w:cs="Times New Roman"/>
          <w:sz w:val="24"/>
        </w:rPr>
        <w:t>ā</w:t>
      </w:r>
      <w:r w:rsidRPr="003D08F2">
        <w:rPr>
          <w:rFonts w:ascii="Times New Roman" w:eastAsia="Calibri" w:hAnsi="Times New Roman" w:cs="Times New Roman"/>
          <w:sz w:val="24"/>
        </w:rPr>
        <w:t xml:space="preserve"> konta deficīta pieaugums kopumā atbilst straujākai tautsaimniecības attīstībai un nenorāda uz ekonomikas pārkaršanu. Tekošā konta deficītu piln</w:t>
      </w:r>
      <w:r>
        <w:rPr>
          <w:rFonts w:ascii="Times New Roman" w:eastAsia="Calibri" w:hAnsi="Times New Roman" w:cs="Times New Roman"/>
          <w:sz w:val="24"/>
        </w:rPr>
        <w:t>ā</w:t>
      </w:r>
      <w:r w:rsidRPr="003D08F2">
        <w:rPr>
          <w:rFonts w:ascii="Times New Roman" w:eastAsia="Calibri" w:hAnsi="Times New Roman" w:cs="Times New Roman"/>
          <w:sz w:val="24"/>
        </w:rPr>
        <w:t xml:space="preserve"> apmēr</w:t>
      </w:r>
      <w:r>
        <w:rPr>
          <w:rFonts w:ascii="Times New Roman" w:eastAsia="Calibri" w:hAnsi="Times New Roman" w:cs="Times New Roman"/>
          <w:sz w:val="24"/>
        </w:rPr>
        <w:t>ā</w:t>
      </w:r>
      <w:r w:rsidRPr="003D08F2">
        <w:rPr>
          <w:rFonts w:ascii="Times New Roman" w:eastAsia="Calibri" w:hAnsi="Times New Roman" w:cs="Times New Roman"/>
          <w:sz w:val="24"/>
        </w:rPr>
        <w:t xml:space="preserve"> nosedz ienākošās ES fondu investīcijas kapitāla kontā. Papildus tam, Latvijas maksājumu bilances tekoš</w:t>
      </w:r>
      <w:r>
        <w:rPr>
          <w:rFonts w:ascii="Times New Roman" w:eastAsia="Calibri" w:hAnsi="Times New Roman" w:cs="Times New Roman"/>
          <w:sz w:val="24"/>
        </w:rPr>
        <w:t>aj</w:t>
      </w:r>
      <w:r w:rsidRPr="003D08F2">
        <w:rPr>
          <w:rFonts w:ascii="Times New Roman" w:eastAsia="Calibri" w:hAnsi="Times New Roman" w:cs="Times New Roman"/>
          <w:sz w:val="24"/>
        </w:rPr>
        <w:t>ā kontā pēdējo trīs gadu vidējais līmenis (0,1%</w:t>
      </w:r>
      <w:r>
        <w:rPr>
          <w:rFonts w:ascii="Times New Roman" w:eastAsia="Calibri" w:hAnsi="Times New Roman" w:cs="Times New Roman"/>
          <w:sz w:val="24"/>
        </w:rPr>
        <w:t xml:space="preserve"> pārpalikums</w:t>
      </w:r>
      <w:r w:rsidRPr="003D08F2">
        <w:rPr>
          <w:rFonts w:ascii="Times New Roman" w:eastAsia="Calibri" w:hAnsi="Times New Roman" w:cs="Times New Roman"/>
          <w:sz w:val="24"/>
        </w:rPr>
        <w:t xml:space="preserve"> no nomināl</w:t>
      </w:r>
      <w:r>
        <w:rPr>
          <w:rFonts w:ascii="Times New Roman" w:eastAsia="Calibri" w:hAnsi="Times New Roman" w:cs="Times New Roman"/>
          <w:sz w:val="24"/>
        </w:rPr>
        <w:t>ā</w:t>
      </w:r>
      <w:r w:rsidRPr="003D08F2">
        <w:rPr>
          <w:rFonts w:ascii="Times New Roman" w:eastAsia="Calibri" w:hAnsi="Times New Roman" w:cs="Times New Roman"/>
          <w:sz w:val="24"/>
        </w:rPr>
        <w:t xml:space="preserve"> IKP) ir būtiski zemāks nekā ES agrās brīdināšanas mehānism</w:t>
      </w:r>
      <w:r>
        <w:rPr>
          <w:rFonts w:ascii="Times New Roman" w:eastAsia="Calibri" w:hAnsi="Times New Roman" w:cs="Times New Roman"/>
          <w:sz w:val="24"/>
        </w:rPr>
        <w:t>ā</w:t>
      </w:r>
      <w:r w:rsidRPr="003D08F2">
        <w:rPr>
          <w:rFonts w:ascii="Times New Roman" w:eastAsia="Calibri" w:hAnsi="Times New Roman" w:cs="Times New Roman"/>
          <w:sz w:val="24"/>
        </w:rPr>
        <w:t xml:space="preserve"> noteiktais slieksnis (-4% no IKP), kas ir viens no makroekonomikas nes</w:t>
      </w:r>
      <w:r>
        <w:rPr>
          <w:rFonts w:ascii="Times New Roman" w:eastAsia="Calibri" w:hAnsi="Times New Roman" w:cs="Times New Roman"/>
          <w:sz w:val="24"/>
        </w:rPr>
        <w:t>abalansētības identificēšanas rā</w:t>
      </w:r>
      <w:r w:rsidRPr="003D08F2">
        <w:rPr>
          <w:rFonts w:ascii="Times New Roman" w:eastAsia="Calibri" w:hAnsi="Times New Roman" w:cs="Times New Roman"/>
          <w:sz w:val="24"/>
        </w:rPr>
        <w:t xml:space="preserve">dītājiem. </w:t>
      </w:r>
    </w:p>
    <w:p w:rsidR="00B45C68" w:rsidRPr="003D08F2" w:rsidRDefault="00B45C68" w:rsidP="00057E3E">
      <w:pPr>
        <w:autoSpaceDE w:val="0"/>
        <w:autoSpaceDN w:val="0"/>
        <w:adjustRightInd w:val="0"/>
        <w:spacing w:after="0" w:line="240" w:lineRule="auto"/>
        <w:ind w:left="-142"/>
        <w:rPr>
          <w:rFonts w:ascii="Times New Roman" w:eastAsia="Calibri" w:hAnsi="Times New Roman" w:cs="Times New Roman"/>
          <w:sz w:val="24"/>
        </w:rPr>
      </w:pPr>
      <w:r w:rsidRPr="003D08F2">
        <w:rPr>
          <w:rFonts w:ascii="Calibri" w:eastAsia="Calibri" w:hAnsi="Calibri" w:cs="Times New Roman"/>
          <w:noProof/>
          <w:lang w:eastAsia="lv-LV"/>
        </w:rPr>
        <w:drawing>
          <wp:inline distT="0" distB="0" distL="0" distR="0">
            <wp:extent cx="5943600" cy="3700732"/>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5C68" w:rsidRPr="003D08F2" w:rsidRDefault="00B45C68" w:rsidP="00B45C68">
      <w:pPr>
        <w:autoSpaceDE w:val="0"/>
        <w:autoSpaceDN w:val="0"/>
        <w:adjustRightInd w:val="0"/>
        <w:spacing w:after="0" w:line="240" w:lineRule="auto"/>
        <w:jc w:val="center"/>
        <w:rPr>
          <w:rFonts w:ascii="Times New Roman" w:eastAsia="Calibri" w:hAnsi="Times New Roman" w:cs="Times New Roman"/>
          <w:i/>
          <w:color w:val="FF0000"/>
          <w:sz w:val="24"/>
        </w:rPr>
      </w:pPr>
      <w:r>
        <w:rPr>
          <w:rFonts w:ascii="Times New Roman" w:eastAsia="Calibri" w:hAnsi="Times New Roman" w:cs="Times New Roman"/>
          <w:b/>
          <w:color w:val="000000"/>
          <w:sz w:val="24"/>
          <w:szCs w:val="24"/>
          <w:lang w:eastAsia="lv-LV"/>
        </w:rPr>
        <w:t>2.2</w:t>
      </w:r>
      <w:r w:rsidRPr="003D08F2">
        <w:rPr>
          <w:rFonts w:ascii="Times New Roman" w:eastAsia="Calibri" w:hAnsi="Times New Roman" w:cs="Times New Roman"/>
          <w:b/>
          <w:color w:val="000000"/>
          <w:sz w:val="24"/>
          <w:szCs w:val="24"/>
          <w:lang w:eastAsia="lv-LV"/>
        </w:rPr>
        <w:t xml:space="preserve">.attēls. Latvijas maksājumu bilances tekošā konta komponentes (milj. </w:t>
      </w:r>
      <w:r w:rsidRPr="003D08F2">
        <w:rPr>
          <w:rFonts w:ascii="Times New Roman" w:eastAsia="Calibri" w:hAnsi="Times New Roman" w:cs="Times New Roman"/>
          <w:b/>
          <w:i/>
          <w:color w:val="000000"/>
          <w:sz w:val="24"/>
          <w:szCs w:val="24"/>
          <w:lang w:eastAsia="lv-LV"/>
        </w:rPr>
        <w:t>euro</w:t>
      </w:r>
      <w:r w:rsidRPr="003D08F2">
        <w:rPr>
          <w:rFonts w:ascii="Times New Roman" w:eastAsia="Calibri" w:hAnsi="Times New Roman" w:cs="Times New Roman"/>
          <w:b/>
          <w:color w:val="000000"/>
          <w:sz w:val="24"/>
          <w:szCs w:val="24"/>
          <w:lang w:eastAsia="lv-LV"/>
        </w:rPr>
        <w:t>) un tekošais un kapitāla konti procentos no IKP</w:t>
      </w:r>
      <w:r w:rsidRPr="003D08F2">
        <w:rPr>
          <w:rFonts w:ascii="Times New Roman" w:eastAsia="Calibri" w:hAnsi="Times New Roman" w:cs="Times New Roman"/>
          <w:b/>
          <w:color w:val="000000"/>
          <w:sz w:val="24"/>
          <w:szCs w:val="24"/>
          <w:vertAlign w:val="superscript"/>
          <w:lang w:eastAsia="lv-LV"/>
        </w:rPr>
        <w:footnoteReference w:id="4"/>
      </w:r>
    </w:p>
    <w:p w:rsidR="00B45C68" w:rsidRPr="00CA048B" w:rsidRDefault="00B45C68" w:rsidP="00EC1451">
      <w:pPr>
        <w:spacing w:before="120" w:after="0" w:line="240" w:lineRule="auto"/>
        <w:ind w:firstLine="709"/>
        <w:jc w:val="both"/>
        <w:rPr>
          <w:rFonts w:ascii="Times New Roman" w:eastAsia="Times New Roman" w:hAnsi="Times New Roman" w:cs="Times New Roman"/>
          <w:sz w:val="24"/>
          <w:szCs w:val="28"/>
        </w:rPr>
      </w:pPr>
      <w:r w:rsidRPr="003D08F2">
        <w:rPr>
          <w:rFonts w:ascii="Times New Roman" w:eastAsia="Times New Roman" w:hAnsi="Times New Roman" w:cs="Times New Roman"/>
          <w:sz w:val="24"/>
          <w:szCs w:val="28"/>
        </w:rPr>
        <w:t>Ekonomikas attīstības tempu paātrinājums, kas aizsākās vēl 2016.gadā beigās gan Latvijā, gan Latvijas nozīmīgā</w:t>
      </w:r>
      <w:r>
        <w:rPr>
          <w:rFonts w:ascii="Times New Roman" w:eastAsia="Times New Roman" w:hAnsi="Times New Roman" w:cs="Times New Roman"/>
          <w:sz w:val="24"/>
          <w:szCs w:val="28"/>
        </w:rPr>
        <w:t>kajās partnervalstīs, veicinājis strauju ārējā</w:t>
      </w:r>
      <w:r w:rsidRPr="003D08F2">
        <w:rPr>
          <w:rFonts w:ascii="Times New Roman" w:eastAsia="Times New Roman" w:hAnsi="Times New Roman" w:cs="Times New Roman"/>
          <w:sz w:val="24"/>
          <w:szCs w:val="28"/>
        </w:rPr>
        <w:t>s tirdzniecības pieaugumu. Lai arī preču eksporta vērtība palielinājās par 10%, importa kāpums bija vēl straujāks, tādējādi palielinot preču konta deficītu un tekošā konta bilanci kopumā. Preču konta deficīts pērn</w:t>
      </w:r>
      <w:r>
        <w:rPr>
          <w:rFonts w:ascii="Times New Roman" w:eastAsia="Times New Roman" w:hAnsi="Times New Roman" w:cs="Times New Roman"/>
          <w:sz w:val="24"/>
          <w:szCs w:val="28"/>
        </w:rPr>
        <w:t>aj</w:t>
      </w:r>
      <w:r w:rsidRPr="003D08F2">
        <w:rPr>
          <w:rFonts w:ascii="Times New Roman" w:eastAsia="Times New Roman" w:hAnsi="Times New Roman" w:cs="Times New Roman"/>
          <w:sz w:val="24"/>
          <w:szCs w:val="28"/>
        </w:rPr>
        <w:t xml:space="preserve">ā gadā pieauga par 684 milj. </w:t>
      </w:r>
      <w:r w:rsidRPr="003D08F2">
        <w:rPr>
          <w:rFonts w:ascii="Times New Roman" w:eastAsia="Times New Roman" w:hAnsi="Times New Roman" w:cs="Times New Roman"/>
          <w:i/>
          <w:sz w:val="24"/>
          <w:szCs w:val="28"/>
        </w:rPr>
        <w:t>euro</w:t>
      </w:r>
      <w:r w:rsidRPr="003D08F2">
        <w:rPr>
          <w:rFonts w:ascii="Times New Roman" w:eastAsia="Times New Roman" w:hAnsi="Times New Roman" w:cs="Times New Roman"/>
          <w:sz w:val="24"/>
          <w:szCs w:val="28"/>
        </w:rPr>
        <w:t xml:space="preserve"> un veido</w:t>
      </w:r>
      <w:r>
        <w:rPr>
          <w:rFonts w:ascii="Times New Roman" w:eastAsia="Times New Roman" w:hAnsi="Times New Roman" w:cs="Times New Roman"/>
          <w:sz w:val="24"/>
          <w:szCs w:val="28"/>
        </w:rPr>
        <w:t>ja</w:t>
      </w:r>
      <w:r w:rsidRPr="003D08F2">
        <w:rPr>
          <w:rFonts w:ascii="Times New Roman" w:eastAsia="Times New Roman" w:hAnsi="Times New Roman" w:cs="Times New Roman"/>
          <w:sz w:val="24"/>
          <w:szCs w:val="28"/>
        </w:rPr>
        <w:t xml:space="preserve"> 2</w:t>
      </w:r>
      <w:r w:rsidR="0003162E">
        <w:rPr>
          <w:rFonts w:ascii="Times New Roman" w:eastAsia="Times New Roman" w:hAnsi="Times New Roman" w:cs="Times New Roman"/>
          <w:sz w:val="24"/>
          <w:szCs w:val="28"/>
        </w:rPr>
        <w:t> </w:t>
      </w:r>
      <w:r w:rsidRPr="003D08F2">
        <w:rPr>
          <w:rFonts w:ascii="Times New Roman" w:eastAsia="Times New Roman" w:hAnsi="Times New Roman" w:cs="Times New Roman"/>
          <w:sz w:val="24"/>
          <w:szCs w:val="28"/>
        </w:rPr>
        <w:t xml:space="preserve">602 milj. </w:t>
      </w:r>
      <w:r w:rsidRPr="003D08F2">
        <w:rPr>
          <w:rFonts w:ascii="Times New Roman" w:eastAsia="Times New Roman" w:hAnsi="Times New Roman" w:cs="Times New Roman"/>
          <w:i/>
          <w:sz w:val="24"/>
          <w:szCs w:val="28"/>
        </w:rPr>
        <w:t>euro</w:t>
      </w:r>
      <w:r w:rsidRPr="003D08F2">
        <w:rPr>
          <w:rFonts w:ascii="Times New Roman" w:eastAsia="Times New Roman" w:hAnsi="Times New Roman" w:cs="Times New Roman"/>
          <w:sz w:val="24"/>
          <w:szCs w:val="28"/>
        </w:rPr>
        <w:t>. Arī pakalpojumu ārējā tirdzniecība 2017.gadā bija augšupejoša, tomēr pakalpojumu eksporta kāpums absolūta</w:t>
      </w:r>
      <w:r>
        <w:rPr>
          <w:rFonts w:ascii="Times New Roman" w:eastAsia="Times New Roman" w:hAnsi="Times New Roman" w:cs="Times New Roman"/>
          <w:sz w:val="24"/>
          <w:szCs w:val="28"/>
        </w:rPr>
        <w:t>jā</w:t>
      </w:r>
      <w:r w:rsidRPr="003D08F2">
        <w:rPr>
          <w:rFonts w:ascii="Times New Roman" w:eastAsia="Times New Roman" w:hAnsi="Times New Roman" w:cs="Times New Roman"/>
          <w:sz w:val="24"/>
          <w:szCs w:val="28"/>
        </w:rPr>
        <w:t xml:space="preserve"> izteiksm</w:t>
      </w:r>
      <w:r>
        <w:rPr>
          <w:rFonts w:ascii="Times New Roman" w:eastAsia="Times New Roman" w:hAnsi="Times New Roman" w:cs="Times New Roman"/>
          <w:sz w:val="24"/>
          <w:szCs w:val="28"/>
        </w:rPr>
        <w:t>ē</w:t>
      </w:r>
      <w:r w:rsidRPr="003D08F2">
        <w:rPr>
          <w:rFonts w:ascii="Times New Roman" w:eastAsia="Times New Roman" w:hAnsi="Times New Roman" w:cs="Times New Roman"/>
          <w:sz w:val="24"/>
          <w:szCs w:val="28"/>
        </w:rPr>
        <w:t xml:space="preserve"> bija straujāks par importu, līdz ar to palielinot pakalpojuma konta pārpalikumu par 104 milj. </w:t>
      </w:r>
      <w:r w:rsidRPr="003D08F2">
        <w:rPr>
          <w:rFonts w:ascii="Times New Roman" w:eastAsia="Times New Roman" w:hAnsi="Times New Roman" w:cs="Times New Roman"/>
          <w:i/>
          <w:sz w:val="24"/>
          <w:szCs w:val="28"/>
        </w:rPr>
        <w:t>euro</w:t>
      </w:r>
      <w:r w:rsidRPr="003D08F2">
        <w:rPr>
          <w:rFonts w:ascii="Times New Roman" w:eastAsia="Times New Roman" w:hAnsi="Times New Roman" w:cs="Times New Roman"/>
          <w:sz w:val="24"/>
          <w:szCs w:val="28"/>
        </w:rPr>
        <w:t xml:space="preserve"> līdz 2</w:t>
      </w:r>
      <w:r w:rsidR="0003162E">
        <w:rPr>
          <w:rFonts w:ascii="Times New Roman" w:eastAsia="Times New Roman" w:hAnsi="Times New Roman" w:cs="Times New Roman"/>
          <w:sz w:val="24"/>
          <w:szCs w:val="28"/>
        </w:rPr>
        <w:t> </w:t>
      </w:r>
      <w:r w:rsidRPr="003D08F2">
        <w:rPr>
          <w:rFonts w:ascii="Times New Roman" w:eastAsia="Times New Roman" w:hAnsi="Times New Roman" w:cs="Times New Roman"/>
          <w:sz w:val="24"/>
          <w:szCs w:val="28"/>
        </w:rPr>
        <w:t xml:space="preserve">245 milj. </w:t>
      </w:r>
      <w:r w:rsidRPr="003D08F2">
        <w:rPr>
          <w:rFonts w:ascii="Times New Roman" w:eastAsia="Times New Roman" w:hAnsi="Times New Roman" w:cs="Times New Roman"/>
          <w:i/>
          <w:sz w:val="24"/>
          <w:szCs w:val="28"/>
        </w:rPr>
        <w:t xml:space="preserve">euro. </w:t>
      </w:r>
      <w:r w:rsidRPr="00CA048B">
        <w:rPr>
          <w:rFonts w:ascii="Times New Roman" w:eastAsia="Times New Roman" w:hAnsi="Times New Roman" w:cs="Times New Roman"/>
          <w:sz w:val="24"/>
          <w:szCs w:val="28"/>
        </w:rPr>
        <w:t xml:space="preserve">Pakalpojumu konta pārpalikums nedaudz samazināja preču konta deficītu, tādējādi neto ārējā tirdzniecības bilance kopumā 2017.gadā bija ar </w:t>
      </w:r>
      <w:r w:rsidRPr="00CA048B">
        <w:rPr>
          <w:rFonts w:ascii="Times New Roman" w:eastAsia="Times New Roman" w:hAnsi="Times New Roman" w:cs="Times New Roman"/>
          <w:sz w:val="24"/>
          <w:szCs w:val="28"/>
        </w:rPr>
        <w:lastRenderedPageBreak/>
        <w:t>mazāku</w:t>
      </w:r>
      <w:r w:rsidR="0003162E">
        <w:rPr>
          <w:rFonts w:ascii="Times New Roman" w:eastAsia="Times New Roman" w:hAnsi="Times New Roman" w:cs="Times New Roman"/>
          <w:color w:val="000000"/>
          <w:sz w:val="24"/>
          <w:szCs w:val="24"/>
          <w:lang w:eastAsia="lv-LV"/>
        </w:rPr>
        <w:t>,</w:t>
      </w:r>
      <w:r>
        <w:rPr>
          <w:rFonts w:ascii="Times New Roman" w:eastAsia="Times New Roman" w:hAnsi="Times New Roman" w:cs="Times New Roman"/>
          <w:color w:val="000000"/>
          <w:sz w:val="24"/>
          <w:szCs w:val="24"/>
          <w:lang w:eastAsia="lv-LV"/>
        </w:rPr>
        <w:t xml:space="preserve"> </w:t>
      </w:r>
      <w:r w:rsidRPr="00CA048B">
        <w:rPr>
          <w:rFonts w:ascii="Times New Roman" w:eastAsia="Times New Roman" w:hAnsi="Times New Roman" w:cs="Times New Roman"/>
          <w:sz w:val="24"/>
          <w:szCs w:val="28"/>
        </w:rPr>
        <w:t xml:space="preserve">357 milj. </w:t>
      </w:r>
      <w:r w:rsidRPr="00CA048B">
        <w:rPr>
          <w:rFonts w:ascii="Times New Roman" w:eastAsia="Times New Roman" w:hAnsi="Times New Roman" w:cs="Times New Roman"/>
          <w:i/>
          <w:sz w:val="24"/>
          <w:szCs w:val="28"/>
        </w:rPr>
        <w:t>euro</w:t>
      </w:r>
      <w:r w:rsidR="0003162E">
        <w:rPr>
          <w:rFonts w:ascii="Times New Roman" w:eastAsia="Times New Roman" w:hAnsi="Times New Roman" w:cs="Times New Roman"/>
          <w:i/>
          <w:sz w:val="24"/>
          <w:szCs w:val="28"/>
        </w:rPr>
        <w:t>,</w:t>
      </w:r>
      <w:r w:rsidRPr="00CA048B">
        <w:rPr>
          <w:rFonts w:ascii="Times New Roman" w:eastAsia="Times New Roman" w:hAnsi="Times New Roman" w:cs="Times New Roman"/>
          <w:i/>
          <w:sz w:val="24"/>
          <w:szCs w:val="28"/>
        </w:rPr>
        <w:t xml:space="preserve"> </w:t>
      </w:r>
      <w:r w:rsidRPr="00CA048B">
        <w:rPr>
          <w:rFonts w:ascii="Times New Roman" w:eastAsia="Times New Roman" w:hAnsi="Times New Roman" w:cs="Times New Roman"/>
          <w:sz w:val="24"/>
          <w:szCs w:val="28"/>
        </w:rPr>
        <w:t>defic</w:t>
      </w:r>
      <w:r w:rsidR="0003162E">
        <w:rPr>
          <w:rFonts w:ascii="Times New Roman" w:eastAsia="Times New Roman" w:hAnsi="Times New Roman" w:cs="Times New Roman"/>
          <w:sz w:val="24"/>
          <w:szCs w:val="28"/>
        </w:rPr>
        <w:t>ītu.</w:t>
      </w:r>
      <w:r w:rsidRPr="00CA048B">
        <w:rPr>
          <w:rFonts w:ascii="Times New Roman" w:eastAsia="Times New Roman" w:hAnsi="Times New Roman" w:cs="Times New Roman"/>
          <w:sz w:val="24"/>
          <w:szCs w:val="28"/>
        </w:rPr>
        <w:t xml:space="preserve"> Salīdzinoši</w:t>
      </w:r>
      <w:r>
        <w:rPr>
          <w:rFonts w:ascii="Times New Roman" w:eastAsia="Times New Roman" w:hAnsi="Times New Roman" w:cs="Times New Roman"/>
          <w:sz w:val="24"/>
          <w:szCs w:val="28"/>
        </w:rPr>
        <w:t>,</w:t>
      </w:r>
      <w:r w:rsidRPr="00CA048B">
        <w:rPr>
          <w:rFonts w:ascii="Times New Roman" w:eastAsia="Times New Roman" w:hAnsi="Times New Roman" w:cs="Times New Roman"/>
          <w:sz w:val="24"/>
          <w:szCs w:val="28"/>
        </w:rPr>
        <w:t xml:space="preserve"> 2016.gadā </w:t>
      </w:r>
      <w:r>
        <w:rPr>
          <w:rFonts w:ascii="Times New Roman" w:eastAsia="Times New Roman" w:hAnsi="Times New Roman" w:cs="Times New Roman"/>
          <w:sz w:val="24"/>
          <w:szCs w:val="28"/>
        </w:rPr>
        <w:t xml:space="preserve">Latvijas </w:t>
      </w:r>
      <w:r w:rsidRPr="00CA048B">
        <w:rPr>
          <w:rFonts w:ascii="Times New Roman" w:eastAsia="Times New Roman" w:hAnsi="Times New Roman" w:cs="Times New Roman"/>
          <w:sz w:val="24"/>
          <w:szCs w:val="28"/>
        </w:rPr>
        <w:t xml:space="preserve">ārējās tirdzniecības bilance bija ar 223 milj. </w:t>
      </w:r>
      <w:r w:rsidRPr="00CA048B">
        <w:rPr>
          <w:rFonts w:ascii="Times New Roman" w:eastAsia="Times New Roman" w:hAnsi="Times New Roman" w:cs="Times New Roman"/>
          <w:i/>
          <w:sz w:val="24"/>
          <w:szCs w:val="28"/>
        </w:rPr>
        <w:t>euro</w:t>
      </w:r>
      <w:r w:rsidRPr="00CA048B">
        <w:rPr>
          <w:rFonts w:ascii="Times New Roman" w:eastAsia="Times New Roman" w:hAnsi="Times New Roman" w:cs="Times New Roman"/>
          <w:sz w:val="24"/>
          <w:szCs w:val="28"/>
        </w:rPr>
        <w:t xml:space="preserve"> pārpalikumu.</w:t>
      </w:r>
    </w:p>
    <w:p w:rsidR="00B45C68" w:rsidRPr="003D08F2" w:rsidRDefault="00B45C68" w:rsidP="00B45C68">
      <w:pPr>
        <w:autoSpaceDE w:val="0"/>
        <w:autoSpaceDN w:val="0"/>
        <w:adjustRightInd w:val="0"/>
        <w:spacing w:after="0" w:line="240" w:lineRule="auto"/>
        <w:ind w:firstLine="567"/>
        <w:jc w:val="both"/>
        <w:rPr>
          <w:rFonts w:ascii="Times New Roman" w:eastAsia="Calibri" w:hAnsi="Times New Roman" w:cs="Times New Roman"/>
          <w:color w:val="000000"/>
        </w:rPr>
      </w:pPr>
      <w:r w:rsidRPr="00CA048B">
        <w:rPr>
          <w:rFonts w:ascii="Times New Roman" w:eastAsia="Times New Roman" w:hAnsi="Times New Roman" w:cs="Times New Roman"/>
          <w:sz w:val="24"/>
          <w:szCs w:val="28"/>
        </w:rPr>
        <w:t xml:space="preserve">Sākotnējo ienākumu konta bilance 2017.gadā pasliktinājās par 120 milj. </w:t>
      </w:r>
      <w:r w:rsidRPr="00CA048B">
        <w:rPr>
          <w:rFonts w:ascii="Times New Roman" w:eastAsia="Times New Roman" w:hAnsi="Times New Roman" w:cs="Times New Roman"/>
          <w:i/>
          <w:sz w:val="24"/>
          <w:szCs w:val="28"/>
        </w:rPr>
        <w:t>euro,</w:t>
      </w:r>
      <w:r w:rsidRPr="00CA048B">
        <w:rPr>
          <w:rFonts w:ascii="Times New Roman" w:eastAsia="Times New Roman" w:hAnsi="Times New Roman" w:cs="Times New Roman"/>
          <w:sz w:val="24"/>
          <w:szCs w:val="28"/>
        </w:rPr>
        <w:t xml:space="preserve"> tādējādi veidojot konta deficītu 182 milj.</w:t>
      </w:r>
      <w:r w:rsidRPr="003D08F2">
        <w:rPr>
          <w:rFonts w:ascii="Times New Roman" w:eastAsia="Times New Roman" w:hAnsi="Times New Roman" w:cs="Times New Roman"/>
          <w:sz w:val="24"/>
          <w:szCs w:val="28"/>
        </w:rPr>
        <w:t xml:space="preserve"> </w:t>
      </w:r>
      <w:r w:rsidRPr="003D08F2">
        <w:rPr>
          <w:rFonts w:ascii="Times New Roman" w:eastAsia="Times New Roman" w:hAnsi="Times New Roman" w:cs="Times New Roman"/>
          <w:i/>
          <w:sz w:val="24"/>
          <w:szCs w:val="28"/>
        </w:rPr>
        <w:t>euro</w:t>
      </w:r>
      <w:r w:rsidRPr="003D08F2">
        <w:rPr>
          <w:rFonts w:ascii="Times New Roman" w:eastAsia="Times New Roman" w:hAnsi="Times New Roman" w:cs="Times New Roman"/>
          <w:sz w:val="24"/>
          <w:szCs w:val="28"/>
        </w:rPr>
        <w:t xml:space="preserve"> apmērā. Deficīta pieaugumu galvenokārt noteica ārvalstu rezidentu gūto ienākumu pieaugums par iepriekš veiktajām investīcijām Latvi</w:t>
      </w:r>
      <w:r>
        <w:rPr>
          <w:rFonts w:ascii="Times New Roman" w:eastAsia="Times New Roman" w:hAnsi="Times New Roman" w:cs="Times New Roman"/>
          <w:sz w:val="24"/>
          <w:szCs w:val="28"/>
        </w:rPr>
        <w:t>jā. Savukārt, augstākas ienākošā</w:t>
      </w:r>
      <w:r w:rsidRPr="003D08F2">
        <w:rPr>
          <w:rFonts w:ascii="Times New Roman" w:eastAsia="Times New Roman" w:hAnsi="Times New Roman" w:cs="Times New Roman"/>
          <w:sz w:val="24"/>
          <w:szCs w:val="28"/>
        </w:rPr>
        <w:t>s ES Zivsaimniecības fonda un Eiropas Sociāla fonda investīcijas, kā arī Latvijas rezidentu gūto ienākumu ārvalst</w:t>
      </w:r>
      <w:r>
        <w:rPr>
          <w:rFonts w:ascii="Times New Roman" w:eastAsia="Times New Roman" w:hAnsi="Times New Roman" w:cs="Times New Roman"/>
          <w:sz w:val="24"/>
          <w:szCs w:val="28"/>
        </w:rPr>
        <w:t>ī</w:t>
      </w:r>
      <w:r w:rsidRPr="003D08F2">
        <w:rPr>
          <w:rFonts w:ascii="Times New Roman" w:eastAsia="Times New Roman" w:hAnsi="Times New Roman" w:cs="Times New Roman"/>
          <w:sz w:val="24"/>
          <w:szCs w:val="28"/>
        </w:rPr>
        <w:t>s pārvedum</w:t>
      </w:r>
      <w:r>
        <w:rPr>
          <w:rFonts w:ascii="Times New Roman" w:eastAsia="Times New Roman" w:hAnsi="Times New Roman" w:cs="Times New Roman"/>
          <w:sz w:val="24"/>
          <w:szCs w:val="28"/>
        </w:rPr>
        <w:t>u pieaugums veicināja otrreizējo ienākumu konta pārpalikuma pieaugumu</w:t>
      </w:r>
      <w:r w:rsidRPr="003D08F2">
        <w:rPr>
          <w:rFonts w:ascii="Times New Roman" w:eastAsia="Times New Roman" w:hAnsi="Times New Roman" w:cs="Times New Roman"/>
          <w:sz w:val="24"/>
          <w:szCs w:val="28"/>
        </w:rPr>
        <w:t xml:space="preserve"> par 154 milj. </w:t>
      </w:r>
      <w:r w:rsidRPr="003D08F2">
        <w:rPr>
          <w:rFonts w:ascii="Times New Roman" w:eastAsia="Times New Roman" w:hAnsi="Times New Roman" w:cs="Times New Roman"/>
          <w:i/>
          <w:sz w:val="24"/>
          <w:szCs w:val="28"/>
        </w:rPr>
        <w:t>euro</w:t>
      </w:r>
      <w:r w:rsidRPr="003D08F2">
        <w:rPr>
          <w:rFonts w:ascii="Times New Roman" w:eastAsia="Times New Roman" w:hAnsi="Times New Roman" w:cs="Times New Roman"/>
          <w:sz w:val="24"/>
          <w:szCs w:val="28"/>
        </w:rPr>
        <w:t xml:space="preserve"> līdz 334 milj. </w:t>
      </w:r>
      <w:r>
        <w:rPr>
          <w:rFonts w:ascii="Times New Roman" w:eastAsia="Times New Roman" w:hAnsi="Times New Roman" w:cs="Times New Roman"/>
          <w:i/>
          <w:sz w:val="24"/>
          <w:szCs w:val="28"/>
        </w:rPr>
        <w:t xml:space="preserve">euro, </w:t>
      </w:r>
      <w:r>
        <w:rPr>
          <w:rFonts w:ascii="Times New Roman" w:eastAsia="Times New Roman" w:hAnsi="Times New Roman" w:cs="Times New Roman"/>
          <w:sz w:val="24"/>
          <w:szCs w:val="28"/>
        </w:rPr>
        <w:t>t</w:t>
      </w:r>
      <w:r w:rsidRPr="003D08F2">
        <w:rPr>
          <w:rFonts w:ascii="Times New Roman" w:eastAsia="Times New Roman" w:hAnsi="Times New Roman" w:cs="Times New Roman"/>
          <w:sz w:val="24"/>
          <w:szCs w:val="28"/>
        </w:rPr>
        <w:t>ādā veidā pilnīb</w:t>
      </w:r>
      <w:r>
        <w:rPr>
          <w:rFonts w:ascii="Times New Roman" w:eastAsia="Times New Roman" w:hAnsi="Times New Roman" w:cs="Times New Roman"/>
          <w:sz w:val="24"/>
          <w:szCs w:val="28"/>
        </w:rPr>
        <w:t>ā</w:t>
      </w:r>
      <w:r w:rsidRPr="003D08F2">
        <w:rPr>
          <w:rFonts w:ascii="Times New Roman" w:eastAsia="Times New Roman" w:hAnsi="Times New Roman" w:cs="Times New Roman"/>
          <w:sz w:val="24"/>
          <w:szCs w:val="28"/>
        </w:rPr>
        <w:t xml:space="preserve"> kompensē</w:t>
      </w:r>
      <w:r>
        <w:rPr>
          <w:rFonts w:ascii="Times New Roman" w:eastAsia="Times New Roman" w:hAnsi="Times New Roman" w:cs="Times New Roman"/>
          <w:sz w:val="24"/>
          <w:szCs w:val="28"/>
        </w:rPr>
        <w:t>jot deficīta pieaugumu sākotnējo ienākumu</w:t>
      </w:r>
      <w:r w:rsidRPr="003D08F2">
        <w:rPr>
          <w:rFonts w:ascii="Times New Roman" w:eastAsia="Times New Roman" w:hAnsi="Times New Roman" w:cs="Times New Roman"/>
          <w:sz w:val="24"/>
          <w:szCs w:val="28"/>
        </w:rPr>
        <w:t xml:space="preserve"> kontā. </w:t>
      </w:r>
    </w:p>
    <w:p w:rsidR="00B45C68" w:rsidRPr="00D316B2" w:rsidRDefault="00B45C68" w:rsidP="00B45C68">
      <w:pPr>
        <w:autoSpaceDE w:val="0"/>
        <w:autoSpaceDN w:val="0"/>
        <w:adjustRightInd w:val="0"/>
        <w:spacing w:after="0" w:line="240" w:lineRule="auto"/>
        <w:ind w:firstLine="720"/>
        <w:jc w:val="both"/>
        <w:rPr>
          <w:rFonts w:ascii="Times New Roman" w:eastAsia="Calibri" w:hAnsi="Times New Roman" w:cs="Times New Roman"/>
          <w:sz w:val="24"/>
        </w:rPr>
      </w:pPr>
      <w:r w:rsidRPr="00D316B2">
        <w:rPr>
          <w:rFonts w:ascii="Times New Roman" w:eastAsia="Calibri" w:hAnsi="Times New Roman" w:cs="Times New Roman"/>
          <w:b/>
          <w:sz w:val="24"/>
        </w:rPr>
        <w:t>Nozaru griezumā lielāko pozitīvo devumu IKP pieaugumā 2017.gadā nodrošināja apstrādes rūpniecība un būvniecība</w:t>
      </w:r>
      <w:r w:rsidRPr="00D316B2">
        <w:rPr>
          <w:rFonts w:ascii="Times New Roman" w:eastAsia="Calibri" w:hAnsi="Times New Roman" w:cs="Times New Roman"/>
          <w:sz w:val="24"/>
        </w:rPr>
        <w:t>. Apstrādes rūpniecība pērn uzrādīja straujāko izaugsmi kopš 2011.gada, nozares radītajai pievienotajai vērtībai pērn salīdzinājumā ar gadu iepriekš pieaugot par 8,0%. Apstrādes rūpniecības izaugsme pērn bija vi</w:t>
      </w:r>
      <w:r w:rsidR="0003162E">
        <w:rPr>
          <w:rFonts w:ascii="Times New Roman" w:eastAsia="Calibri" w:hAnsi="Times New Roman" w:cs="Times New Roman"/>
          <w:sz w:val="24"/>
        </w:rPr>
        <w:t>saptveroša,</w:t>
      </w:r>
      <w:r w:rsidRPr="00D316B2">
        <w:rPr>
          <w:rFonts w:ascii="Times New Roman" w:eastAsia="Calibri" w:hAnsi="Times New Roman" w:cs="Times New Roman"/>
          <w:sz w:val="24"/>
        </w:rPr>
        <w:t xml:space="preserve"> bet lielāko pozitīvo devumu nodrošināja straujais izlaides apjomu kāpums mašīnbūvē un metālapstrādē, kā arī datoru, elektronisko un optisko iekārtu ražošanā. Stabila attīstība bija vērojama arī divās lielākajās apstrādes rūpniecības apakšnozarēs – kokapstrādē un pārtikas produktu ražošanā, kurās tika sasniegts attiecīgi 2% un 4% pieaugums. Atjaunojoties investīciju aktivitātei, būvniecības nozare 2017.gadā pieauga par 19,4%. Šo kāpumu nodrošināja ne tikai straujāka ES fondu </w:t>
      </w:r>
      <w:r>
        <w:rPr>
          <w:rFonts w:ascii="Times New Roman" w:eastAsia="Calibri" w:hAnsi="Times New Roman" w:cs="Times New Roman"/>
          <w:sz w:val="24"/>
        </w:rPr>
        <w:t xml:space="preserve">investīciju </w:t>
      </w:r>
      <w:r w:rsidRPr="00D316B2">
        <w:rPr>
          <w:rFonts w:ascii="Times New Roman" w:eastAsia="Calibri" w:hAnsi="Times New Roman" w:cs="Times New Roman"/>
          <w:sz w:val="24"/>
        </w:rPr>
        <w:t>ieplūde, veicinot inženierbūvju celtniecību, bet arī augošās investīcijas sektoros, kur tradicionāli dominē privātās investīcijas, tostarp biroju ēku, tirdzniecības ēku, degviel</w:t>
      </w:r>
      <w:r>
        <w:rPr>
          <w:rFonts w:ascii="Times New Roman" w:eastAsia="Calibri" w:hAnsi="Times New Roman" w:cs="Times New Roman"/>
          <w:sz w:val="24"/>
        </w:rPr>
        <w:t xml:space="preserve">as uzpildes staciju būvniecībā. </w:t>
      </w:r>
      <w:r w:rsidRPr="00D316B2">
        <w:rPr>
          <w:rFonts w:ascii="Times New Roman" w:eastAsia="Calibri" w:hAnsi="Times New Roman" w:cs="Times New Roman"/>
          <w:sz w:val="24"/>
        </w:rPr>
        <w:t>Tādējādi inženierbūvju celtniecības apjomi faktiskajās cenās pērn bija par 31,9% augstāki nekā pirms gada un nedzīvojamo ēku būvniecība gada laikā pieauga par 23,5%, tikmēr dzīvojamo māju celtniecībā pērn reģistrēts kritums par 7,9%.</w:t>
      </w:r>
    </w:p>
    <w:p w:rsidR="00B45C68" w:rsidRPr="00D316B2" w:rsidRDefault="00B45C68" w:rsidP="00B45C68">
      <w:pPr>
        <w:autoSpaceDE w:val="0"/>
        <w:autoSpaceDN w:val="0"/>
        <w:adjustRightInd w:val="0"/>
        <w:spacing w:after="0" w:line="240" w:lineRule="auto"/>
        <w:ind w:firstLine="720"/>
        <w:jc w:val="both"/>
        <w:rPr>
          <w:rFonts w:ascii="Times New Roman" w:eastAsia="Calibri" w:hAnsi="Times New Roman" w:cs="Times New Roman"/>
          <w:sz w:val="24"/>
        </w:rPr>
      </w:pPr>
      <w:r w:rsidRPr="00D316B2">
        <w:rPr>
          <w:rFonts w:ascii="Times New Roman" w:eastAsia="Calibri" w:hAnsi="Times New Roman" w:cs="Times New Roman"/>
          <w:sz w:val="24"/>
        </w:rPr>
        <w:t xml:space="preserve">Negaidīti labus rezultātus 2017.gadā uzrādīja </w:t>
      </w:r>
      <w:r w:rsidRPr="0022312D">
        <w:rPr>
          <w:rFonts w:ascii="Times New Roman" w:eastAsia="Calibri" w:hAnsi="Times New Roman" w:cs="Times New Roman"/>
          <w:b/>
          <w:sz w:val="24"/>
        </w:rPr>
        <w:t>transporta un uzglabāšanas nozare</w:t>
      </w:r>
      <w:r w:rsidR="0003162E">
        <w:rPr>
          <w:rFonts w:ascii="Times New Roman" w:eastAsia="Calibri" w:hAnsi="Times New Roman" w:cs="Times New Roman"/>
          <w:sz w:val="24"/>
        </w:rPr>
        <w:t>,</w:t>
      </w:r>
      <w:r w:rsidRPr="00D316B2">
        <w:rPr>
          <w:rFonts w:ascii="Times New Roman" w:eastAsia="Calibri" w:hAnsi="Times New Roman" w:cs="Times New Roman"/>
          <w:sz w:val="24"/>
        </w:rPr>
        <w:t xml:space="preserve"> kas, neskatoties uz krītošajiem tranzīta apjomiem, spēja sasniegt 7,3% pieaugumu</w:t>
      </w:r>
      <w:r>
        <w:rPr>
          <w:rFonts w:ascii="Times New Roman" w:eastAsia="Calibri" w:hAnsi="Times New Roman" w:cs="Times New Roman"/>
          <w:sz w:val="24"/>
        </w:rPr>
        <w:t>.</w:t>
      </w:r>
      <w:r w:rsidRPr="00D316B2">
        <w:rPr>
          <w:rFonts w:ascii="Times New Roman" w:eastAsia="Calibri" w:hAnsi="Times New Roman" w:cs="Times New Roman"/>
          <w:sz w:val="24"/>
        </w:rPr>
        <w:t xml:space="preserve"> </w:t>
      </w:r>
      <w:r>
        <w:rPr>
          <w:rFonts w:ascii="Times New Roman" w:eastAsia="Calibri" w:hAnsi="Times New Roman" w:cs="Times New Roman"/>
          <w:sz w:val="24"/>
        </w:rPr>
        <w:t>T</w:t>
      </w:r>
      <w:r w:rsidRPr="00D316B2">
        <w:rPr>
          <w:rFonts w:ascii="Times New Roman" w:eastAsia="Calibri" w:hAnsi="Times New Roman" w:cs="Times New Roman"/>
          <w:sz w:val="24"/>
        </w:rPr>
        <w:t>as tāpat kā apstrādes rūpniecībai bija straujākais kāpums pēdējo sešu gadu laikā. Transporta nozares pieaugumu pērn nodrošināja augošie autotransporta kravu pārvadājumi, kā arī lidostas un jūras pasažieru pārvadājumu straujais kāpums, kamēr kravu pārvadājumu apjoms dzelzceļā samazinājās par 7,9% un kravu apgrozījums ostās – par 2,0%. Pērn labu pieaugumu uzrādīja arī lielākā Latvijas tautsaimniecības nozare</w:t>
      </w:r>
      <w:r>
        <w:rPr>
          <w:rFonts w:ascii="Times New Roman" w:eastAsia="Times New Roman" w:hAnsi="Times New Roman" w:cs="Times New Roman"/>
          <w:color w:val="000000"/>
          <w:sz w:val="24"/>
          <w:szCs w:val="24"/>
          <w:lang w:eastAsia="lv-LV"/>
        </w:rPr>
        <w:t xml:space="preserve"> – </w:t>
      </w:r>
      <w:r w:rsidRPr="00D316B2">
        <w:rPr>
          <w:rFonts w:ascii="Times New Roman" w:eastAsia="Calibri" w:hAnsi="Times New Roman" w:cs="Times New Roman"/>
          <w:sz w:val="24"/>
        </w:rPr>
        <w:t>tirdzniecība, nozares pievienotajai vērtībai palielinoties par 5,2%, ko veicināja privātā patēriņa kāpums. 2017.gadā pievienotās vērtības pieaugumu uzrādīja arī daudzas citas ar iekšējo pieprasījumu saistītas nozares</w:t>
      </w:r>
      <w:r>
        <w:rPr>
          <w:rFonts w:ascii="Times New Roman" w:eastAsia="Times New Roman" w:hAnsi="Times New Roman" w:cs="Times New Roman"/>
          <w:color w:val="000000"/>
          <w:sz w:val="24"/>
          <w:szCs w:val="24"/>
          <w:lang w:eastAsia="lv-LV"/>
        </w:rPr>
        <w:t xml:space="preserve"> – </w:t>
      </w:r>
      <w:r w:rsidRPr="00D316B2">
        <w:rPr>
          <w:rFonts w:ascii="Times New Roman" w:eastAsia="Calibri" w:hAnsi="Times New Roman" w:cs="Times New Roman"/>
          <w:sz w:val="24"/>
        </w:rPr>
        <w:t>informācijas un komunikācijas pakalpojumi palielinājās par 6,2%, profesionālie, zinātniskie un tehniskie pakalpojumi</w:t>
      </w:r>
      <w:r>
        <w:rPr>
          <w:rFonts w:ascii="Times New Roman" w:eastAsia="Times New Roman" w:hAnsi="Times New Roman" w:cs="Times New Roman"/>
          <w:color w:val="000000"/>
          <w:sz w:val="24"/>
          <w:szCs w:val="24"/>
          <w:lang w:eastAsia="lv-LV"/>
        </w:rPr>
        <w:t xml:space="preserve"> – </w:t>
      </w:r>
      <w:r w:rsidRPr="00D316B2">
        <w:rPr>
          <w:rFonts w:ascii="Times New Roman" w:eastAsia="Calibri" w:hAnsi="Times New Roman" w:cs="Times New Roman"/>
          <w:sz w:val="24"/>
        </w:rPr>
        <w:t>par 6,0%, izglītība – par 5,5%, valsts pārvalde un aizsardzība – par 3,6%.</w:t>
      </w:r>
    </w:p>
    <w:p w:rsidR="00B45C68" w:rsidRPr="00D316B2" w:rsidRDefault="00B45C68" w:rsidP="00B45C68">
      <w:pPr>
        <w:autoSpaceDE w:val="0"/>
        <w:autoSpaceDN w:val="0"/>
        <w:adjustRightInd w:val="0"/>
        <w:spacing w:after="0" w:line="240" w:lineRule="auto"/>
        <w:ind w:firstLine="720"/>
        <w:jc w:val="both"/>
        <w:rPr>
          <w:rFonts w:ascii="Times New Roman" w:eastAsia="Calibri" w:hAnsi="Times New Roman" w:cs="Times New Roman"/>
          <w:sz w:val="24"/>
        </w:rPr>
      </w:pPr>
      <w:r w:rsidRPr="00D316B2">
        <w:rPr>
          <w:rFonts w:ascii="Times New Roman" w:eastAsia="Calibri" w:hAnsi="Times New Roman" w:cs="Times New Roman"/>
          <w:sz w:val="24"/>
        </w:rPr>
        <w:t xml:space="preserve">Vienīgā nozare, kas 2017.gadā piedzīvoja kritumu, bija </w:t>
      </w:r>
      <w:r w:rsidRPr="0022312D">
        <w:rPr>
          <w:rFonts w:ascii="Times New Roman" w:eastAsia="Calibri" w:hAnsi="Times New Roman" w:cs="Times New Roman"/>
          <w:b/>
          <w:sz w:val="24"/>
        </w:rPr>
        <w:t>finanšu un apdrošināšanas darbības</w:t>
      </w:r>
      <w:r w:rsidRPr="00D316B2">
        <w:rPr>
          <w:rFonts w:ascii="Times New Roman" w:eastAsia="Calibri" w:hAnsi="Times New Roman" w:cs="Times New Roman"/>
          <w:sz w:val="24"/>
        </w:rPr>
        <w:t xml:space="preserve">, kas salīdzinājumā ar 2016. gadu samazinājās par 16,6%. Nozares kritums saistīts galvenokārt ar nerezidentu apkalpošanas biznesa samazināšanos Latvijā. Īpaši straujš kritums finanšu pakalpojumu nozarei bija ceturtajā ceturksnī, kad tas salīdzinājumā ar iepriekšējā gada ceturto ceturksni sasniedza 26,0%. </w:t>
      </w:r>
    </w:p>
    <w:p w:rsidR="00B45C68" w:rsidRPr="00D316B2" w:rsidRDefault="00B45C68" w:rsidP="00B45C68">
      <w:pPr>
        <w:autoSpaceDE w:val="0"/>
        <w:autoSpaceDN w:val="0"/>
        <w:adjustRightInd w:val="0"/>
        <w:spacing w:after="0" w:line="240" w:lineRule="auto"/>
        <w:ind w:firstLine="720"/>
        <w:jc w:val="both"/>
        <w:rPr>
          <w:rFonts w:ascii="Times New Roman" w:eastAsia="Calibri" w:hAnsi="Times New Roman" w:cs="Times New Roman"/>
          <w:sz w:val="24"/>
        </w:rPr>
      </w:pPr>
      <w:r>
        <w:rPr>
          <w:rFonts w:ascii="Times New Roman" w:eastAsia="Times New Roman" w:hAnsi="Times New Roman" w:cs="Times New Roman"/>
          <w:color w:val="000000"/>
          <w:sz w:val="24"/>
          <w:szCs w:val="24"/>
          <w:lang w:eastAsia="lv-LV"/>
        </w:rPr>
        <w:t>Pēc uzlabojumiem 2016.gadā</w:t>
      </w:r>
      <w:r w:rsidR="009C70FA">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w:t>
      </w:r>
      <w:r w:rsidRPr="0022312D">
        <w:rPr>
          <w:rFonts w:ascii="Times New Roman" w:eastAsia="Times New Roman" w:hAnsi="Times New Roman" w:cs="Times New Roman"/>
          <w:color w:val="000000"/>
          <w:sz w:val="24"/>
          <w:szCs w:val="24"/>
          <w:lang w:eastAsia="lv-LV"/>
        </w:rPr>
        <w:t>pērn atkal pasliktinājās komercbanku kredītportfeļa stāvoklis, 2017.gada beigās, salīdzinot ar 2016.gada beigām, kopējam kre</w:t>
      </w:r>
      <w:r w:rsidRPr="00D316B2">
        <w:rPr>
          <w:rFonts w:ascii="Times New Roman" w:eastAsia="Times New Roman" w:hAnsi="Times New Roman" w:cs="Times New Roman"/>
          <w:color w:val="000000"/>
          <w:sz w:val="24"/>
          <w:szCs w:val="24"/>
          <w:lang w:eastAsia="lv-LV"/>
        </w:rPr>
        <w:t xml:space="preserve">dītportfelim samazinoties par 4,6% un veidojot 14,4 mljrd.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Rezidentu kredītportfelis pērn saruka par 2,8%</w:t>
      </w:r>
      <w:r w:rsidRPr="00D316B2">
        <w:rPr>
          <w:rFonts w:ascii="Times New Roman" w:eastAsia="Times New Roman" w:hAnsi="Times New Roman" w:cs="Times New Roman"/>
          <w:i/>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tikmēr nerezidentu kredītportfeļa kritums bija straujāks</w:t>
      </w:r>
      <w:r>
        <w:rPr>
          <w:rFonts w:ascii="Times New Roman" w:eastAsia="Times New Roman" w:hAnsi="Times New Roman" w:cs="Times New Roman"/>
          <w:color w:val="000000"/>
          <w:sz w:val="24"/>
          <w:szCs w:val="24"/>
          <w:lang w:eastAsia="lv-LV"/>
        </w:rPr>
        <w:t xml:space="preserve"> – </w:t>
      </w:r>
      <w:r w:rsidRPr="00D316B2">
        <w:rPr>
          <w:rFonts w:ascii="Times New Roman" w:eastAsia="Times New Roman" w:hAnsi="Times New Roman" w:cs="Times New Roman"/>
          <w:color w:val="000000"/>
          <w:sz w:val="24"/>
          <w:szCs w:val="24"/>
          <w:lang w:eastAsia="lv-LV"/>
        </w:rPr>
        <w:t xml:space="preserve">par 14,0%. Jāatzīmē, ka rezidentu īpatsvars kopējā kredītportfeļa struktūrā ir krietni lielāks, 2017.gada nogalē veidojot 86,1%, kas ir 12,4 milj.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kamēr nerezidentu kredītporfeļa īpatsvars gada laikā samazinājās par 1,5 procentpunktiem un veidoja 13,9% jeb 2 milj.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2017.gada laikā turpināja uzlaboties komercbanku portfeļa kvalitāte, jo ilgāk par 90 dienām kavēto kredītu īpatsvars banku kredītportfelī saruka jau līdz 4,1%. Kredītportfeļa kvalitātes uzlabošanos nodrošināja izmaiņas rezidentu kredītu portfelī, kur virs 90 dienām kavēto kredītu īpatsvars no </w:t>
      </w:r>
      <w:r w:rsidRPr="00D316B2">
        <w:rPr>
          <w:rFonts w:ascii="Times New Roman" w:eastAsia="Times New Roman" w:hAnsi="Times New Roman" w:cs="Times New Roman"/>
          <w:color w:val="000000"/>
          <w:sz w:val="24"/>
          <w:szCs w:val="24"/>
          <w:lang w:eastAsia="lv-LV"/>
        </w:rPr>
        <w:lastRenderedPageBreak/>
        <w:t xml:space="preserve">3,5% 2016.gada beigās saruka līdz 2,9% pērnā gada beigās. Tikmēr nerezidentu virs 90 dienām kavēto kredītu īpatsvars pieauga no 9,6% līdz 11,1%. </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 xml:space="preserve">2017.gadā no jauna izsniegto kredītu apjoms veidoja 2,5 mljrd.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kas ir kritums par 23,9%, </w:t>
      </w:r>
      <w:r>
        <w:rPr>
          <w:rFonts w:ascii="Times New Roman" w:eastAsia="Times New Roman" w:hAnsi="Times New Roman" w:cs="Times New Roman"/>
          <w:color w:val="000000"/>
          <w:sz w:val="24"/>
          <w:szCs w:val="24"/>
          <w:lang w:eastAsia="lv-LV"/>
        </w:rPr>
        <w:t>salīdzinot ar 2016.gadu.</w:t>
      </w:r>
      <w:r w:rsidRPr="00D316B2">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T</w:t>
      </w:r>
      <w:r w:rsidRPr="00D316B2">
        <w:rPr>
          <w:rFonts w:ascii="Times New Roman" w:eastAsia="Times New Roman" w:hAnsi="Times New Roman" w:cs="Times New Roman"/>
          <w:color w:val="000000"/>
          <w:sz w:val="24"/>
          <w:szCs w:val="24"/>
          <w:lang w:eastAsia="lv-LV"/>
        </w:rPr>
        <w:t>ai skaitā rezidentiem jaunizsniegto kredītu apjoms saruka par 24,0% un nerezidentiem</w:t>
      </w:r>
      <w:r>
        <w:rPr>
          <w:rFonts w:ascii="Times New Roman" w:eastAsia="Times New Roman" w:hAnsi="Times New Roman" w:cs="Times New Roman"/>
          <w:color w:val="000000"/>
          <w:sz w:val="24"/>
          <w:szCs w:val="24"/>
          <w:lang w:eastAsia="lv-LV"/>
        </w:rPr>
        <w:t xml:space="preserve"> – </w:t>
      </w:r>
      <w:r w:rsidRPr="00D316B2">
        <w:rPr>
          <w:rFonts w:ascii="Times New Roman" w:eastAsia="Times New Roman" w:hAnsi="Times New Roman" w:cs="Times New Roman"/>
          <w:color w:val="000000"/>
          <w:sz w:val="24"/>
          <w:szCs w:val="24"/>
          <w:lang w:eastAsia="lv-LV"/>
        </w:rPr>
        <w:t>par 23,6%. Jāatzīmē, ka rezidentu jaunizsniegto kredītu kritumu pērn noteica rezidentu uzņēmumiem no jauna izsniegto kredītu sarukums. Pēc būti</w:t>
      </w:r>
      <w:r>
        <w:rPr>
          <w:rFonts w:ascii="Times New Roman" w:eastAsia="Times New Roman" w:hAnsi="Times New Roman" w:cs="Times New Roman"/>
          <w:color w:val="000000"/>
          <w:sz w:val="24"/>
          <w:szCs w:val="24"/>
          <w:lang w:eastAsia="lv-LV"/>
        </w:rPr>
        <w:t xml:space="preserve">skā pieauguma 2016.gadā </w:t>
      </w:r>
      <w:r w:rsidRPr="00D316B2">
        <w:rPr>
          <w:rFonts w:ascii="Times New Roman" w:eastAsia="Times New Roman" w:hAnsi="Times New Roman" w:cs="Times New Roman"/>
          <w:color w:val="000000"/>
          <w:sz w:val="24"/>
          <w:szCs w:val="24"/>
          <w:lang w:eastAsia="lv-LV"/>
        </w:rPr>
        <w:t xml:space="preserve">uzņēmumiem no jauna izsniegto kredītu apjoms samazinājās par 38,0%, atgriežoties 2015.gada līmenī. Tikmēr mājsaimniecībām jaunizsniegto kredītu apjoms turpināja pieaugt – par 13,1% salīdzinājumā ar 2016.gadu, īpaši pieaugot kredītiem mājokļa iegādei un remontam. Savukārt nerezidentiem jaunizsniegto kredītu apjoms sarūk jau kopš 2015.gada 4.ceturkšņa. Uz 2017.gada beigām noguldījumi Latvijas komercbankās kopumā veidoja 20,3 mljrd. </w:t>
      </w:r>
      <w:r w:rsidRPr="00633484">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kas salīdzinājumā ar gadu iepriekš ir kritums par 5,1%. Šo samazinājumu noteica nerezidentu noguldījumu sarukums par 12,0% saistībā ar </w:t>
      </w:r>
      <w:r w:rsidR="0003162E">
        <w:rPr>
          <w:rFonts w:ascii="Times New Roman" w:eastAsia="Times New Roman" w:hAnsi="Times New Roman" w:cs="Times New Roman"/>
          <w:color w:val="000000"/>
          <w:sz w:val="24"/>
          <w:szCs w:val="24"/>
          <w:lang w:eastAsia="lv-LV"/>
        </w:rPr>
        <w:t>FKTK</w:t>
      </w:r>
      <w:r w:rsidRPr="00D316B2">
        <w:rPr>
          <w:rFonts w:ascii="Times New Roman" w:eastAsia="Times New Roman" w:hAnsi="Times New Roman" w:cs="Times New Roman"/>
          <w:color w:val="000000"/>
          <w:sz w:val="24"/>
          <w:szCs w:val="24"/>
          <w:lang w:eastAsia="lv-LV"/>
        </w:rPr>
        <w:t xml:space="preserve"> īstenoto nerezidentu segmenta stingrāku uzraudzību un cīņu ar noziedzīgi iegūtu līdzekļu legalizāciju un terorisma finansēšanu. Tajā pašā laikā rezidentu noguldījumi Latvijas komercbankās saglabājās iepriekšējā gada līmenī. Uz pagājušā gada beigām nerezidentu noguldījumu īpatsvars samazinājās līdz 39,7% no visiem noguldījumiem, šim īpatsvaram pakāpeniski sarūkot jau kopš 2015.gada, kad 2015.gada pirmā ceturkšņa beigās nerezidentu noguldījumi veidoja 54,8%. No visiem ne</w:t>
      </w:r>
      <w:r w:rsidR="009C70FA" w:rsidRPr="00F14E08">
        <w:rPr>
          <w:rFonts w:ascii="Times New Roman" w:eastAsia="Calibri" w:hAnsi="Times New Roman" w:cs="Times New Roman"/>
          <w:sz w:val="24"/>
          <w:szCs w:val="24"/>
        </w:rPr>
        <w:t>–</w:t>
      </w:r>
      <w:r w:rsidRPr="00D316B2">
        <w:rPr>
          <w:rFonts w:ascii="Times New Roman" w:eastAsia="Times New Roman" w:hAnsi="Times New Roman" w:cs="Times New Roman"/>
          <w:color w:val="000000"/>
          <w:sz w:val="24"/>
          <w:szCs w:val="24"/>
          <w:lang w:eastAsia="lv-LV"/>
        </w:rPr>
        <w:t>banku noguldījumiem 0,9% veidoja ilgtermiņa (ilgāk par 5 gadiem) noguldījumi, un to apjoms gada laikā samazinājās par 23,0%, ko noteica gan rezidentu, gan nerezidentu ilgtermiņa noguldījumu kritums.</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b/>
          <w:color w:val="000000"/>
          <w:sz w:val="24"/>
          <w:szCs w:val="24"/>
          <w:lang w:eastAsia="lv-LV"/>
        </w:rPr>
        <w:t>2017.gadā vidējā inflācija Latvijā palielinājās līdz 2,9%</w:t>
      </w:r>
      <w:r w:rsidRPr="00D316B2">
        <w:rPr>
          <w:rFonts w:ascii="Times New Roman" w:eastAsia="Times New Roman" w:hAnsi="Times New Roman" w:cs="Times New Roman"/>
          <w:color w:val="000000"/>
          <w:sz w:val="24"/>
          <w:szCs w:val="24"/>
          <w:lang w:eastAsia="lv-LV"/>
        </w:rPr>
        <w:t>, kas salīdzinājumā ar iepriekšējiem gadiem, kad inflācija svārstījās ap nulli, ir uzskatāms par samērā spēcīgu pieaugumu. Straujāks patēriņa cenu kāpums bija fiksēts gada pirmajā pusē, kad vidējā inflācija bija 3,1%. Taču, mazinoties pārtikas un degvielas cenu kāpumam, gada otrajā pusē lēnāks kļuva arī patēriņa cenu pieaugums, šajā periodā veidojot vidēji 2,7%. Lielāko devumu patēriņa cenu izmaiņās 2017.gadā kopumā noteica pārtikas cenu kāpums, īpaši palielinoties piena un eļļas produktu cenām. Augstākas naftas cenas pasaules tirgos nekā 2016.gadā tiešā veidā ietekmēja degvielas cenu kāpumu Latvijā. Kopumā pērn preču cenas bija par 2,8% augstākas nekā 2016.gadā, un to pamatā ietekmēja ārējie faktori. Savukārt pakalpojumu cenas, kas vairāk atspoguļo ekonomiskās norises Latvij</w:t>
      </w:r>
      <w:r>
        <w:rPr>
          <w:rFonts w:ascii="Times New Roman" w:eastAsia="Times New Roman" w:hAnsi="Times New Roman" w:cs="Times New Roman"/>
          <w:color w:val="000000"/>
          <w:sz w:val="24"/>
          <w:szCs w:val="24"/>
          <w:lang w:eastAsia="lv-LV"/>
        </w:rPr>
        <w:t>as</w:t>
      </w:r>
      <w:r w:rsidRPr="00D316B2">
        <w:rPr>
          <w:rFonts w:ascii="Times New Roman" w:eastAsia="Times New Roman" w:hAnsi="Times New Roman" w:cs="Times New Roman"/>
          <w:color w:val="000000"/>
          <w:sz w:val="24"/>
          <w:szCs w:val="24"/>
          <w:lang w:eastAsia="lv-LV"/>
        </w:rPr>
        <w:t xml:space="preserve"> tirgū, 2017.gadā palielinājās par 3,2%. Spēcīgāks darba samaksas un privātā patēriņa kāpums 2017. gadā palielināja pamatinflāciju līdz 1,6%, no 0,7% 2016.gadā.</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b/>
          <w:color w:val="000000"/>
          <w:sz w:val="24"/>
          <w:szCs w:val="24"/>
          <w:lang w:eastAsia="lv-LV"/>
        </w:rPr>
        <w:t>Bezdarba līmenis Latvijā</w:t>
      </w:r>
      <w:r w:rsidRPr="00D316B2">
        <w:rPr>
          <w:rFonts w:ascii="Times New Roman" w:eastAsia="Times New Roman" w:hAnsi="Times New Roman" w:cs="Times New Roman"/>
          <w:color w:val="000000"/>
          <w:sz w:val="24"/>
          <w:szCs w:val="24"/>
          <w:lang w:eastAsia="lv-LV"/>
        </w:rPr>
        <w:t xml:space="preserve"> 2017.gadā samazinājās straujāk nekā iepriekšējā gadā, pēc darbaspēka apsekojuma veidojot 8,7% no ekonomiski aktīvajiem iedzīvotājiem, kas ir par 0,9 procentpunktiem mazāk nekā 2016.gadā. Iepriekšējā gadā bezdarba līmenis bija samazinājies par 0,3 procentpunktiem. Arī reģistrētā bezdarba līmenis 2017.gadā samazinājās straujāk, ko līdzās straujākai ekonomikas izaugsmei ietekmēja arī izmaiņas likumdošanā, pagarinot periodu, ko nepieciešams nostrādāt, lai kvalificētos bezdarbnieka pabalsta saņemšanai. Reģistrētā bezdarba līmenis 2017.gada decembra beigās bija 6,8%,</w:t>
      </w:r>
      <w:r>
        <w:rPr>
          <w:rFonts w:ascii="Times New Roman" w:eastAsia="Times New Roman" w:hAnsi="Times New Roman" w:cs="Times New Roman"/>
          <w:color w:val="000000"/>
          <w:sz w:val="24"/>
          <w:szCs w:val="24"/>
          <w:lang w:eastAsia="lv-LV"/>
        </w:rPr>
        <w:t xml:space="preserve"> – </w:t>
      </w:r>
      <w:r w:rsidRPr="00D316B2">
        <w:rPr>
          <w:rFonts w:ascii="Times New Roman" w:eastAsia="Times New Roman" w:hAnsi="Times New Roman" w:cs="Times New Roman"/>
          <w:color w:val="000000"/>
          <w:sz w:val="24"/>
          <w:szCs w:val="24"/>
          <w:lang w:eastAsia="lv-LV"/>
        </w:rPr>
        <w:t>par 1,6 procentpunktiem zemāks nekā 2016.gada beigās. Savukārt reģistrēto bezdarbnieku skaits 2017.gada laikā saruka par 19,4% līdz 63,1 tūkstotim decembra beigās.</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 xml:space="preserve">2017.gadā pēc gada pārtraukuma palielinājies arī tautsaimniecībā nodarbināto iedzīvotāju skaits, kas salīdzinājumā ar 2016.gadu pieaudzis par 0,2%, sasniedzot 894,8 tūkstošus. Kā liecina statistika par aizņemtajām darba vietām, darba vietu skaits 2017.gadā visvairāk pieaudzis būvniecības nozarē – par 7,3% un informācijas un komunikācijas pakalpojumos – par 5,4%, savukārt tirdzniecībā, finanšu pakalpojumos un nekustamā īpašuma nozarē aizņemto darba vietu skaits nedaudz samazinājies – attiecīgi par 1,0%, 1,4% un 0,5%. Līdz ar straujāku ekonomikas izaugsmi ekonomikā audzis pieprasījums pēc darbiniekiem, </w:t>
      </w:r>
      <w:r w:rsidRPr="00D316B2">
        <w:rPr>
          <w:rFonts w:ascii="Times New Roman" w:eastAsia="Times New Roman" w:hAnsi="Times New Roman" w:cs="Times New Roman"/>
          <w:color w:val="000000"/>
          <w:sz w:val="24"/>
          <w:szCs w:val="24"/>
          <w:lang w:eastAsia="lv-LV"/>
        </w:rPr>
        <w:lastRenderedPageBreak/>
        <w:t>savukārt piedāvājumu ierobežo krītošais darbaspējas vecuma iedzīvotāju skaits</w:t>
      </w:r>
      <w:r>
        <w:rPr>
          <w:rFonts w:ascii="Times New Roman" w:eastAsia="Times New Roman" w:hAnsi="Times New Roman" w:cs="Times New Roman"/>
          <w:color w:val="000000"/>
          <w:sz w:val="24"/>
          <w:szCs w:val="24"/>
          <w:lang w:eastAsia="lv-LV"/>
        </w:rPr>
        <w:t>. R</w:t>
      </w:r>
      <w:r w:rsidRPr="00D316B2">
        <w:rPr>
          <w:rFonts w:ascii="Times New Roman" w:eastAsia="Times New Roman" w:hAnsi="Times New Roman" w:cs="Times New Roman"/>
          <w:color w:val="000000"/>
          <w:sz w:val="24"/>
          <w:szCs w:val="24"/>
          <w:lang w:eastAsia="lv-LV"/>
        </w:rPr>
        <w:t>ezultātā pagājušajā gadā samērā strauji pieaudzis brīvo darba vietu skaits, kas salīdzinājumā ar 2016.gadu palielinājies par 2,6 tūkstošiem jeb 17,9%. Visaugstākais brīvo darba vietu īpatsvars 2017.gadā bija valsts pārvaldes, aizsardzības un obligātās sociālās apdrošināšanas nozarē – 4,6%, kā arī apstrādes rūpniecības nozarē un būvniecības nozarē – 2,3% no visām darba vietām.</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 xml:space="preserve">Līdz ar straujāku ekonomikas izaugsmi arī </w:t>
      </w:r>
      <w:r w:rsidRPr="00D316B2">
        <w:rPr>
          <w:rFonts w:ascii="Times New Roman" w:eastAsia="Times New Roman" w:hAnsi="Times New Roman" w:cs="Times New Roman"/>
          <w:b/>
          <w:color w:val="000000"/>
          <w:sz w:val="24"/>
          <w:szCs w:val="24"/>
          <w:lang w:eastAsia="lv-LV"/>
        </w:rPr>
        <w:t>darba samaksas kāpums</w:t>
      </w:r>
      <w:r w:rsidRPr="00D316B2">
        <w:rPr>
          <w:rFonts w:ascii="Times New Roman" w:eastAsia="Times New Roman" w:hAnsi="Times New Roman" w:cs="Times New Roman"/>
          <w:color w:val="000000"/>
          <w:sz w:val="24"/>
          <w:szCs w:val="24"/>
          <w:lang w:eastAsia="lv-LV"/>
        </w:rPr>
        <w:t xml:space="preserve"> 2017.gadā kļuva straujāks. Salīdzinot ar iepriekšējo gadu, vidējā mēneša bruto darba samaksa palielinājās par 7,9%, sasniedzot 926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Straujākais darba samaksas pieaugums pērn bija privātajā sektorā, kur vidējā alga palielinājās par 8,3%, bet sabiedriskajā sektorā darba samaksa pieauga par 7,4%. Tomēr augstāks vidējās algas līmenis joprojām ir sabiedriskajā sektorā, kur vidējā alga 2017.gadā bija 951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kamēr privātajā sektorā tā veidoja 915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Reālās neto darba samaksas pieaugums 2017.gadā kļuva nedaudz lēnāks, ko noteica augstākais inflācijas līmenis, un reālā darba samaksa palielinājās par 4,0%.</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Pagājušajā gadā straujākie bruto darba samaksas pieaugumi reģistrēti profesionālo, zinātnisko un tehnisko pakalpojumu nozarē, kā arī izglītības nozarē</w:t>
      </w:r>
      <w:r w:rsidR="003155C3">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 par attiecīgi 11,8% un 10,3%. Darba algas samazinājums pērn netika fiksēts nevienā nozarē, savukārt vājākie algas pieaugumi bijuši nekustamā īpašuma nozarē un citu pakalpojumu nozarē strādājošajiem. Augstākā bruto darba samaksa pērn saglabājusies finanšu un apdrošināšanas darbību sektorā – 1</w:t>
      </w:r>
      <w:r w:rsidR="003155C3">
        <w:rPr>
          <w:rFonts w:ascii="Times New Roman" w:eastAsia="Times New Roman" w:hAnsi="Times New Roman" w:cs="Times New Roman"/>
          <w:color w:val="000000"/>
          <w:sz w:val="24"/>
          <w:szCs w:val="24"/>
          <w:lang w:eastAsia="lv-LV"/>
        </w:rPr>
        <w:t> </w:t>
      </w:r>
      <w:r w:rsidRPr="00D316B2">
        <w:rPr>
          <w:rFonts w:ascii="Times New Roman" w:eastAsia="Times New Roman" w:hAnsi="Times New Roman" w:cs="Times New Roman"/>
          <w:color w:val="000000"/>
          <w:sz w:val="24"/>
          <w:szCs w:val="24"/>
          <w:lang w:eastAsia="lv-LV"/>
        </w:rPr>
        <w:t xml:space="preserve">921 </w:t>
      </w:r>
      <w:r w:rsidRPr="00D316B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kamēr izmitināšanas un ēdināšanas pakalpojumos tā bijusi vairāk nekā trīs reizes zemāka – 634 </w:t>
      </w:r>
      <w:r w:rsidRPr="00D316B2">
        <w:rPr>
          <w:rFonts w:ascii="Times New Roman" w:eastAsia="Times New Roman" w:hAnsi="Times New Roman" w:cs="Times New Roman"/>
          <w:i/>
          <w:color w:val="000000"/>
          <w:sz w:val="24"/>
          <w:szCs w:val="24"/>
          <w:lang w:eastAsia="lv-LV"/>
        </w:rPr>
        <w:t>euro.</w:t>
      </w:r>
    </w:p>
    <w:p w:rsidR="00B45C68" w:rsidRPr="00D316B2" w:rsidRDefault="00B45C68" w:rsidP="00B45C68">
      <w:pPr>
        <w:autoSpaceDE w:val="0"/>
        <w:autoSpaceDN w:val="0"/>
        <w:adjustRightInd w:val="0"/>
        <w:spacing w:after="0" w:line="240" w:lineRule="auto"/>
        <w:ind w:firstLine="720"/>
        <w:jc w:val="both"/>
        <w:rPr>
          <w:rFonts w:ascii="Times New Roman" w:eastAsia="Calibri" w:hAnsi="Times New Roman" w:cs="Times New Roman"/>
          <w:color w:val="000000"/>
          <w:sz w:val="24"/>
        </w:rPr>
      </w:pPr>
      <w:r w:rsidRPr="00D316B2">
        <w:rPr>
          <w:rFonts w:ascii="Times New Roman" w:eastAsia="Calibri" w:hAnsi="Times New Roman" w:cs="Times New Roman"/>
          <w:i/>
          <w:color w:val="FF0000"/>
          <w:sz w:val="24"/>
        </w:rPr>
        <w:t xml:space="preserve"> </w:t>
      </w:r>
      <w:r w:rsidRPr="00D316B2">
        <w:rPr>
          <w:rFonts w:ascii="Times New Roman" w:eastAsia="Calibri" w:hAnsi="Times New Roman" w:cs="Times New Roman"/>
          <w:color w:val="000000"/>
          <w:sz w:val="24"/>
        </w:rPr>
        <w:t xml:space="preserve">Kopumā Latvijas ekonomiskā izaugsme pērn bija ļoti laba, uzrādot vienu no spēcīgākajiem IKP pieauguma tempiem ES. Izaugsmi noteica vairāku iekšējo un ārējo faktoru apvienojums, </w:t>
      </w:r>
      <w:r>
        <w:rPr>
          <w:rFonts w:ascii="Times New Roman" w:eastAsia="Calibri" w:hAnsi="Times New Roman" w:cs="Times New Roman"/>
          <w:color w:val="000000"/>
          <w:sz w:val="24"/>
        </w:rPr>
        <w:t>un</w:t>
      </w:r>
      <w:r w:rsidRPr="00D316B2">
        <w:rPr>
          <w:rFonts w:ascii="Times New Roman" w:eastAsia="Calibri" w:hAnsi="Times New Roman" w:cs="Times New Roman"/>
          <w:color w:val="000000"/>
          <w:sz w:val="24"/>
        </w:rPr>
        <w:t xml:space="preserve"> rezultātā pieaugums tika reģistrēts gandrīz visās tautsaimniecības nozarēs. Turklāt ir vērojami labi priekšnosacījumi salīdzinoši straujai ekonomikas izaugsmei šogad, saglabājoties labvēlīgai ārējai videi un turpinoties ES fondu investīciju ieplūdei.</w:t>
      </w:r>
    </w:p>
    <w:p w:rsidR="00B45C68" w:rsidRPr="00F51615" w:rsidRDefault="00B45C68" w:rsidP="00003899">
      <w:pPr>
        <w:pStyle w:val="Default"/>
        <w:jc w:val="both"/>
        <w:rPr>
          <w:rFonts w:eastAsiaTheme="majorEastAsia"/>
          <w:b/>
          <w:bCs/>
          <w:smallCaps/>
          <w:color w:val="000000" w:themeColor="text1"/>
          <w:szCs w:val="28"/>
        </w:rPr>
      </w:pPr>
    </w:p>
    <w:p w:rsidR="00B45C68" w:rsidRDefault="00B45C68" w:rsidP="00057E3E">
      <w:pPr>
        <w:pStyle w:val="Heading2"/>
        <w:numPr>
          <w:ilvl w:val="1"/>
          <w:numId w:val="20"/>
        </w:numPr>
        <w:spacing w:before="0" w:after="240" w:line="240" w:lineRule="auto"/>
        <w:ind w:left="709" w:hanging="357"/>
        <w:rPr>
          <w:rFonts w:ascii="Times New Roman" w:hAnsi="Times New Roman" w:cs="Times New Roman"/>
          <w:sz w:val="24"/>
        </w:rPr>
      </w:pPr>
      <w:bookmarkStart w:id="11" w:name="_Toc479331084"/>
      <w:bookmarkStart w:id="12" w:name="_Toc510790654"/>
      <w:bookmarkStart w:id="13" w:name="_Toc511027814"/>
      <w:r w:rsidRPr="00F51615">
        <w:rPr>
          <w:rFonts w:ascii="Times New Roman" w:hAnsi="Times New Roman" w:cs="Times New Roman"/>
          <w:sz w:val="24"/>
        </w:rPr>
        <w:t>Makroekonomiskās attīstības scenārijs</w:t>
      </w:r>
      <w:bookmarkEnd w:id="11"/>
      <w:bookmarkEnd w:id="12"/>
      <w:bookmarkEnd w:id="13"/>
    </w:p>
    <w:p w:rsidR="00B45C68" w:rsidRPr="009C058E" w:rsidRDefault="00B45C68" w:rsidP="00003899">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9C058E">
        <w:rPr>
          <w:rFonts w:ascii="Times New Roman" w:eastAsia="Times New Roman" w:hAnsi="Times New Roman" w:cs="Times New Roman"/>
          <w:sz w:val="24"/>
          <w:szCs w:val="23"/>
          <w:lang w:eastAsia="lv-LV"/>
        </w:rPr>
        <w:t>Makroekonomiskās attīstības scenārijs vidējam termiņam par 2018.</w:t>
      </w:r>
      <w:r w:rsidR="009C70FA">
        <w:rPr>
          <w:rFonts w:ascii="Times New Roman" w:eastAsia="Calibri" w:hAnsi="Times New Roman" w:cs="Times New Roman"/>
          <w:sz w:val="24"/>
          <w:szCs w:val="24"/>
        </w:rPr>
        <w:t xml:space="preserve"> </w:t>
      </w:r>
      <w:r w:rsidR="009C70FA" w:rsidRPr="00F14E08">
        <w:rPr>
          <w:rFonts w:ascii="Times New Roman" w:eastAsia="Calibri" w:hAnsi="Times New Roman" w:cs="Times New Roman"/>
          <w:sz w:val="24"/>
          <w:szCs w:val="24"/>
        </w:rPr>
        <w:t>–</w:t>
      </w:r>
      <w:r w:rsidR="009C70FA">
        <w:rPr>
          <w:rFonts w:ascii="Times New Roman" w:eastAsia="Calibri" w:hAnsi="Times New Roman" w:cs="Times New Roman"/>
          <w:sz w:val="24"/>
          <w:szCs w:val="24"/>
        </w:rPr>
        <w:t xml:space="preserve"> </w:t>
      </w:r>
      <w:r w:rsidRPr="009C058E">
        <w:rPr>
          <w:rFonts w:ascii="Times New Roman" w:eastAsia="Times New Roman" w:hAnsi="Times New Roman" w:cs="Times New Roman"/>
          <w:sz w:val="24"/>
          <w:szCs w:val="23"/>
          <w:lang w:eastAsia="lv-LV"/>
        </w:rPr>
        <w:t>2021.gad</w:t>
      </w:r>
      <w:r>
        <w:rPr>
          <w:rFonts w:ascii="Times New Roman" w:eastAsia="Times New Roman" w:hAnsi="Times New Roman" w:cs="Times New Roman"/>
          <w:sz w:val="24"/>
          <w:szCs w:val="23"/>
          <w:lang w:eastAsia="lv-LV"/>
        </w:rPr>
        <w:t>u</w:t>
      </w:r>
      <w:r w:rsidRPr="009C058E">
        <w:rPr>
          <w:rFonts w:ascii="Times New Roman" w:eastAsia="Times New Roman" w:hAnsi="Times New Roman" w:cs="Times New Roman"/>
          <w:sz w:val="24"/>
          <w:szCs w:val="23"/>
          <w:lang w:eastAsia="lv-LV"/>
        </w:rPr>
        <w:t xml:space="preserve"> tika izstrādāts 2017.gada februārī. Izstrādājot makroekonomisko rādītāju prognozes, FM organizēja diskusijas ar Latvijas Bankas un Ekonomikas ministrijas ekspertiem, kā arī ar EK un SVF ekspertiem. Atjaunotās makroekonomisko rādītāju vidējā termiņa prognozes prezentētas arī Fiskālās disciplīnas padomei, kas 2018.gada 14.februārī tās apstiprināja.</w:t>
      </w:r>
    </w:p>
    <w:p w:rsidR="00B45C68" w:rsidRPr="007829B3" w:rsidRDefault="00B45C68" w:rsidP="00B45C68">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9C058E">
        <w:rPr>
          <w:rFonts w:ascii="Times New Roman" w:eastAsia="Times New Roman" w:hAnsi="Times New Roman" w:cs="Times New Roman"/>
          <w:sz w:val="24"/>
          <w:szCs w:val="23"/>
          <w:lang w:eastAsia="lv-LV"/>
        </w:rPr>
        <w:t>Kā bāzi ārējai ekonomiskajai videi, kas ir pamatā Latvijas eksporta prognozēm, tika izmantotas EK un SVF jaunākās 2018.gada ziemas prognozes. Atbilstoši EK prognozei ES dalībvalstu IKP pieaugs 2018.gadā vidēji par 2,3% un 2019.gadā par 2%, kas ir attiecīgi par 0,2 un 0,1 procentpun</w:t>
      </w:r>
      <w:r>
        <w:rPr>
          <w:rFonts w:ascii="Times New Roman" w:eastAsia="Times New Roman" w:hAnsi="Times New Roman" w:cs="Times New Roman"/>
          <w:sz w:val="24"/>
          <w:szCs w:val="23"/>
          <w:lang w:eastAsia="lv-LV"/>
        </w:rPr>
        <w:t>ktu vairāk nekā iepriekšējās prognozēs</w:t>
      </w:r>
      <w:r w:rsidRPr="009C058E">
        <w:rPr>
          <w:rFonts w:ascii="Times New Roman" w:eastAsia="Times New Roman" w:hAnsi="Times New Roman" w:cs="Times New Roman"/>
          <w:sz w:val="24"/>
          <w:szCs w:val="23"/>
          <w:lang w:eastAsia="lv-LV"/>
        </w:rPr>
        <w:t xml:space="preserve">. Kopumā visu Latvijas tirdzniecības partnervalstu IKP prognozes šiem gadiem, salīdzinot ar iepriekšējām prognozēm, tika palielinātas, kas ir arī saskanīgas ar ES ekonomiskā sentimenta indeksa straujo pieaugumu. Tādējādi FM prognozes </w:t>
      </w:r>
      <w:r>
        <w:rPr>
          <w:rFonts w:ascii="Times New Roman" w:eastAsia="Times New Roman" w:hAnsi="Times New Roman" w:cs="Times New Roman"/>
          <w:sz w:val="24"/>
          <w:szCs w:val="23"/>
          <w:lang w:eastAsia="lv-LV"/>
        </w:rPr>
        <w:t>pamatotas</w:t>
      </w:r>
      <w:r w:rsidRPr="009C058E">
        <w:rPr>
          <w:rFonts w:ascii="Times New Roman" w:eastAsia="Times New Roman" w:hAnsi="Times New Roman" w:cs="Times New Roman"/>
          <w:sz w:val="24"/>
          <w:szCs w:val="23"/>
          <w:lang w:eastAsia="lv-LV"/>
        </w:rPr>
        <w:t xml:space="preserve"> pieņēmum</w:t>
      </w:r>
      <w:r>
        <w:rPr>
          <w:rFonts w:ascii="Times New Roman" w:eastAsia="Times New Roman" w:hAnsi="Times New Roman" w:cs="Times New Roman"/>
          <w:sz w:val="24"/>
          <w:szCs w:val="23"/>
          <w:lang w:eastAsia="lv-LV"/>
        </w:rPr>
        <w:t>ā</w:t>
      </w:r>
      <w:r w:rsidRPr="009C058E">
        <w:rPr>
          <w:rFonts w:ascii="Times New Roman" w:eastAsia="Times New Roman" w:hAnsi="Times New Roman" w:cs="Times New Roman"/>
          <w:sz w:val="24"/>
          <w:szCs w:val="23"/>
          <w:lang w:eastAsia="lv-LV"/>
        </w:rPr>
        <w:t>, ka Latvijas galveno tirdzniecības partneru, t</w:t>
      </w:r>
      <w:r>
        <w:rPr>
          <w:rFonts w:ascii="Times New Roman" w:eastAsia="Times New Roman" w:hAnsi="Times New Roman" w:cs="Times New Roman"/>
          <w:sz w:val="24"/>
          <w:szCs w:val="23"/>
          <w:lang w:eastAsia="lv-LV"/>
        </w:rPr>
        <w:t>ai skaitā</w:t>
      </w:r>
      <w:r w:rsidRPr="009C058E">
        <w:rPr>
          <w:rFonts w:ascii="Times New Roman" w:eastAsia="Times New Roman" w:hAnsi="Times New Roman" w:cs="Times New Roman"/>
          <w:sz w:val="24"/>
          <w:szCs w:val="23"/>
          <w:lang w:eastAsia="lv-LV"/>
        </w:rPr>
        <w:t xml:space="preserve"> Krievijas, ekonomiskā attīstība 2018.g</w:t>
      </w:r>
      <w:r>
        <w:rPr>
          <w:rFonts w:ascii="Times New Roman" w:eastAsia="Times New Roman" w:hAnsi="Times New Roman" w:cs="Times New Roman"/>
          <w:sz w:val="24"/>
          <w:szCs w:val="23"/>
          <w:lang w:eastAsia="lv-LV"/>
        </w:rPr>
        <w:t>adā</w:t>
      </w:r>
      <w:r w:rsidRPr="009C058E">
        <w:rPr>
          <w:rFonts w:ascii="Times New Roman" w:eastAsia="Times New Roman" w:hAnsi="Times New Roman" w:cs="Times New Roman"/>
          <w:sz w:val="24"/>
          <w:szCs w:val="23"/>
          <w:lang w:eastAsia="lv-LV"/>
        </w:rPr>
        <w:t xml:space="preserve"> būs </w:t>
      </w:r>
      <w:r w:rsidRPr="007829B3">
        <w:rPr>
          <w:rFonts w:ascii="Times New Roman" w:eastAsia="Times New Roman" w:hAnsi="Times New Roman" w:cs="Times New Roman"/>
          <w:sz w:val="24"/>
          <w:szCs w:val="23"/>
          <w:lang w:eastAsia="lv-LV"/>
        </w:rPr>
        <w:t>straujāka, nekā tika prognozēts 2017.gada jūnijā, ga</w:t>
      </w:r>
      <w:r>
        <w:rPr>
          <w:rFonts w:ascii="Times New Roman" w:eastAsia="Times New Roman" w:hAnsi="Times New Roman" w:cs="Times New Roman"/>
          <w:sz w:val="24"/>
          <w:szCs w:val="23"/>
          <w:lang w:eastAsia="lv-LV"/>
        </w:rPr>
        <w:t>tavojot ekonomiskās prognozes šā gada</w:t>
      </w:r>
      <w:r w:rsidRPr="007829B3">
        <w:rPr>
          <w:rFonts w:ascii="Times New Roman" w:eastAsia="Times New Roman" w:hAnsi="Times New Roman" w:cs="Times New Roman"/>
          <w:sz w:val="24"/>
          <w:szCs w:val="23"/>
          <w:lang w:eastAsia="lv-LV"/>
        </w:rPr>
        <w:t xml:space="preserve"> budžetam.</w:t>
      </w:r>
    </w:p>
    <w:p w:rsidR="00B45C68" w:rsidRDefault="00B45C68" w:rsidP="00B45C68">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7829B3">
        <w:rPr>
          <w:rFonts w:ascii="Times New Roman" w:eastAsia="Times New Roman" w:hAnsi="Times New Roman" w:cs="Times New Roman"/>
          <w:sz w:val="24"/>
          <w:szCs w:val="23"/>
          <w:lang w:eastAsia="lv-LV"/>
        </w:rPr>
        <w:t xml:space="preserve">Tiek prognozēts, ka preču un pakalpojumu </w:t>
      </w:r>
      <w:r w:rsidRPr="007829B3">
        <w:rPr>
          <w:rFonts w:ascii="Times New Roman" w:eastAsia="Times New Roman" w:hAnsi="Times New Roman" w:cs="Times New Roman"/>
          <w:b/>
          <w:sz w:val="24"/>
          <w:szCs w:val="23"/>
          <w:lang w:eastAsia="lv-LV"/>
        </w:rPr>
        <w:t>eksports</w:t>
      </w:r>
      <w:r w:rsidRPr="007829B3">
        <w:rPr>
          <w:rFonts w:ascii="Times New Roman" w:eastAsia="Times New Roman" w:hAnsi="Times New Roman" w:cs="Times New Roman"/>
          <w:sz w:val="24"/>
          <w:szCs w:val="23"/>
          <w:lang w:eastAsia="lv-LV"/>
        </w:rPr>
        <w:t xml:space="preserve"> pieaugs nedaudz straujāk nekā ārējais pieprasījums, prognožu periodā pieaugumam svārstoties nedaudz zem 4% gadā. Savukārt preču un pakalpojumu </w:t>
      </w:r>
      <w:r w:rsidRPr="007829B3">
        <w:rPr>
          <w:rFonts w:ascii="Times New Roman" w:eastAsia="Times New Roman" w:hAnsi="Times New Roman" w:cs="Times New Roman"/>
          <w:b/>
          <w:sz w:val="24"/>
          <w:szCs w:val="23"/>
          <w:lang w:eastAsia="lv-LV"/>
        </w:rPr>
        <w:t>imports</w:t>
      </w:r>
      <w:r w:rsidRPr="007829B3">
        <w:rPr>
          <w:rFonts w:ascii="Times New Roman" w:eastAsia="Times New Roman" w:hAnsi="Times New Roman" w:cs="Times New Roman"/>
          <w:sz w:val="24"/>
          <w:szCs w:val="23"/>
          <w:lang w:eastAsia="lv-LV"/>
        </w:rPr>
        <w:t xml:space="preserve"> šogad palielināsies par 7,6%, pārsniedzot eksporta pieaugumu, ko ietekmēs arī nacionālās aviokompānijas </w:t>
      </w:r>
      <w:r w:rsidR="00FC4AA3">
        <w:rPr>
          <w:rFonts w:ascii="Times New Roman" w:eastAsia="Times New Roman" w:hAnsi="Times New Roman" w:cs="Times New Roman"/>
          <w:i/>
          <w:sz w:val="24"/>
          <w:szCs w:val="23"/>
          <w:lang w:eastAsia="lv-LV"/>
        </w:rPr>
        <w:t>A</w:t>
      </w:r>
      <w:r w:rsidRPr="007829B3">
        <w:rPr>
          <w:rFonts w:ascii="Times New Roman" w:eastAsia="Times New Roman" w:hAnsi="Times New Roman" w:cs="Times New Roman"/>
          <w:i/>
          <w:sz w:val="24"/>
          <w:szCs w:val="23"/>
          <w:lang w:eastAsia="lv-LV"/>
        </w:rPr>
        <w:t>ir</w:t>
      </w:r>
      <w:r w:rsidR="00003899">
        <w:rPr>
          <w:rFonts w:ascii="Times New Roman" w:eastAsia="Times New Roman" w:hAnsi="Times New Roman" w:cs="Times New Roman"/>
          <w:i/>
          <w:sz w:val="24"/>
          <w:szCs w:val="23"/>
          <w:lang w:eastAsia="lv-LV"/>
        </w:rPr>
        <w:t xml:space="preserve"> </w:t>
      </w:r>
      <w:r w:rsidRPr="007829B3">
        <w:rPr>
          <w:rFonts w:ascii="Times New Roman" w:eastAsia="Times New Roman" w:hAnsi="Times New Roman" w:cs="Times New Roman"/>
          <w:i/>
          <w:sz w:val="24"/>
          <w:szCs w:val="23"/>
          <w:lang w:eastAsia="lv-LV"/>
        </w:rPr>
        <w:t xml:space="preserve">Baltic </w:t>
      </w:r>
      <w:r w:rsidRPr="007829B3">
        <w:rPr>
          <w:rFonts w:ascii="Times New Roman" w:eastAsia="Times New Roman" w:hAnsi="Times New Roman" w:cs="Times New Roman"/>
          <w:sz w:val="24"/>
          <w:szCs w:val="23"/>
          <w:lang w:eastAsia="lv-LV"/>
        </w:rPr>
        <w:t>jauno lidmašīnu imports.</w:t>
      </w:r>
      <w:r w:rsidRPr="009C058E">
        <w:rPr>
          <w:rFonts w:ascii="Times New Roman" w:eastAsia="Times New Roman" w:hAnsi="Times New Roman" w:cs="Times New Roman"/>
          <w:sz w:val="24"/>
          <w:szCs w:val="23"/>
          <w:lang w:eastAsia="lv-LV"/>
        </w:rPr>
        <w:t xml:space="preserve"> </w:t>
      </w:r>
      <w:r>
        <w:rPr>
          <w:rFonts w:ascii="Times New Roman" w:eastAsia="Times New Roman" w:hAnsi="Times New Roman" w:cs="Times New Roman"/>
          <w:sz w:val="24"/>
          <w:szCs w:val="23"/>
          <w:lang w:eastAsia="lv-LV"/>
        </w:rPr>
        <w:t>Ņ</w:t>
      </w:r>
      <w:r w:rsidRPr="009C058E">
        <w:rPr>
          <w:rFonts w:ascii="Times New Roman" w:eastAsia="Times New Roman" w:hAnsi="Times New Roman" w:cs="Times New Roman"/>
          <w:sz w:val="24"/>
          <w:szCs w:val="23"/>
          <w:lang w:eastAsia="lv-LV"/>
        </w:rPr>
        <w:t>emot vērā straujāku ekonomisko attīstību</w:t>
      </w:r>
      <w:r>
        <w:rPr>
          <w:rFonts w:ascii="Times New Roman" w:eastAsia="Times New Roman" w:hAnsi="Times New Roman" w:cs="Times New Roman"/>
          <w:sz w:val="24"/>
          <w:szCs w:val="23"/>
          <w:lang w:eastAsia="lv-LV"/>
        </w:rPr>
        <w:t xml:space="preserve"> un investīciju pieaugumu, </w:t>
      </w:r>
      <w:r w:rsidRPr="009C058E">
        <w:rPr>
          <w:rFonts w:ascii="Times New Roman" w:eastAsia="Times New Roman" w:hAnsi="Times New Roman" w:cs="Times New Roman"/>
          <w:sz w:val="24"/>
          <w:szCs w:val="23"/>
          <w:lang w:eastAsia="lv-LV"/>
        </w:rPr>
        <w:t>importa pieaugums</w:t>
      </w:r>
      <w:r>
        <w:rPr>
          <w:rFonts w:ascii="Times New Roman" w:eastAsia="Times New Roman" w:hAnsi="Times New Roman" w:cs="Times New Roman"/>
          <w:sz w:val="24"/>
          <w:szCs w:val="23"/>
          <w:lang w:eastAsia="lv-LV"/>
        </w:rPr>
        <w:t xml:space="preserve"> vidējā termiņā</w:t>
      </w:r>
      <w:r w:rsidRPr="009C058E">
        <w:rPr>
          <w:rFonts w:ascii="Times New Roman" w:eastAsia="Times New Roman" w:hAnsi="Times New Roman" w:cs="Times New Roman"/>
          <w:sz w:val="24"/>
          <w:szCs w:val="23"/>
          <w:lang w:eastAsia="lv-LV"/>
        </w:rPr>
        <w:t xml:space="preserve"> būs nedaudz straujāks nekā eksport</w:t>
      </w:r>
      <w:r>
        <w:rPr>
          <w:rFonts w:ascii="Times New Roman" w:eastAsia="Times New Roman" w:hAnsi="Times New Roman" w:cs="Times New Roman"/>
          <w:sz w:val="24"/>
          <w:szCs w:val="23"/>
          <w:lang w:eastAsia="lv-LV"/>
        </w:rPr>
        <w:t>a pieaugums.</w:t>
      </w:r>
    </w:p>
    <w:p w:rsidR="00B45C68" w:rsidRPr="009C058E" w:rsidRDefault="00B45C68" w:rsidP="00B45C68">
      <w:pPr>
        <w:autoSpaceDE w:val="0"/>
        <w:autoSpaceDN w:val="0"/>
        <w:adjustRightInd w:val="0"/>
        <w:spacing w:before="120" w:after="60" w:line="240" w:lineRule="auto"/>
        <w:jc w:val="right"/>
        <w:rPr>
          <w:rFonts w:ascii="Times New Roman" w:eastAsia="Times New Roman" w:hAnsi="Times New Roman" w:cs="Times New Roman"/>
          <w:b/>
          <w:color w:val="000000"/>
          <w:sz w:val="24"/>
          <w:szCs w:val="24"/>
          <w:lang w:eastAsia="lv-LV"/>
        </w:rPr>
      </w:pPr>
      <w:r w:rsidRPr="009C058E">
        <w:rPr>
          <w:rFonts w:ascii="Times New Roman" w:eastAsia="Times New Roman" w:hAnsi="Times New Roman" w:cs="Times New Roman"/>
          <w:b/>
          <w:color w:val="000000"/>
          <w:sz w:val="24"/>
          <w:szCs w:val="24"/>
          <w:lang w:eastAsia="lv-LV"/>
        </w:rPr>
        <w:lastRenderedPageBreak/>
        <w:t>2.2.tabula. Izaugsme un ar to saistītie faktori</w:t>
      </w:r>
    </w:p>
    <w:tbl>
      <w:tblPr>
        <w:tblStyle w:val="GridTable6Colorful-Accent15"/>
        <w:tblW w:w="9073" w:type="dxa"/>
        <w:jc w:val="center"/>
        <w:tblLayout w:type="fixed"/>
        <w:tblLook w:val="04A0" w:firstRow="1" w:lastRow="0" w:firstColumn="1" w:lastColumn="0" w:noHBand="0" w:noVBand="1"/>
      </w:tblPr>
      <w:tblGrid>
        <w:gridCol w:w="3256"/>
        <w:gridCol w:w="998"/>
        <w:gridCol w:w="803"/>
        <w:gridCol w:w="803"/>
        <w:gridCol w:w="803"/>
        <w:gridCol w:w="803"/>
        <w:gridCol w:w="803"/>
        <w:gridCol w:w="804"/>
      </w:tblGrid>
      <w:tr w:rsidR="00B45C68" w:rsidRPr="009C058E" w:rsidTr="00FB62BB">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hideMark/>
          </w:tcPr>
          <w:p w:rsidR="00B45C68" w:rsidRPr="009C058E" w:rsidRDefault="00B45C68" w:rsidP="00095171">
            <w:pPr>
              <w:autoSpaceDE w:val="0"/>
              <w:autoSpaceDN w:val="0"/>
              <w:adjustRightInd w:val="0"/>
              <w:spacing w:line="259" w:lineRule="auto"/>
              <w:jc w:val="both"/>
              <w:rPr>
                <w:rFonts w:ascii="Times New Roman" w:eastAsia="Times New Roman" w:hAnsi="Times New Roman" w:cs="Times New Roman"/>
                <w:b w:val="0"/>
                <w:bCs w:val="0"/>
                <w:color w:val="000000"/>
                <w:sz w:val="20"/>
                <w:szCs w:val="24"/>
                <w:lang w:eastAsia="lv-LV"/>
              </w:rPr>
            </w:pPr>
          </w:p>
        </w:tc>
        <w:tc>
          <w:tcPr>
            <w:tcW w:w="998" w:type="dxa"/>
            <w:vMerge w:val="restart"/>
            <w:noWrap/>
            <w:vAlign w:val="center"/>
            <w:hideMark/>
          </w:tcPr>
          <w:p w:rsidR="00B45C68" w:rsidRPr="009C058E"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EKS Kods</w:t>
            </w:r>
          </w:p>
        </w:tc>
        <w:tc>
          <w:tcPr>
            <w:tcW w:w="803" w:type="dxa"/>
            <w:noWrap/>
            <w:vAlign w:val="center"/>
          </w:tcPr>
          <w:p w:rsidR="00B45C68" w:rsidRPr="009C058E"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2017</w:t>
            </w:r>
            <w:r w:rsidR="00596F16" w:rsidRPr="00596F16">
              <w:rPr>
                <w:rStyle w:val="FootnoteReference"/>
                <w:rFonts w:ascii="Times New Roman" w:eastAsia="Times New Roman" w:hAnsi="Times New Roman" w:cs="Times New Roman"/>
                <w:b w:val="0"/>
                <w:bCs w:val="0"/>
                <w:color w:val="000000"/>
                <w:sz w:val="18"/>
                <w:szCs w:val="24"/>
                <w:lang w:eastAsia="lv-LV"/>
              </w:rPr>
              <w:footnoteReference w:id="5"/>
            </w:r>
          </w:p>
        </w:tc>
        <w:tc>
          <w:tcPr>
            <w:tcW w:w="803" w:type="dxa"/>
            <w:noWrap/>
            <w:vAlign w:val="center"/>
          </w:tcPr>
          <w:p w:rsidR="00B45C68" w:rsidRPr="009C058E"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2017</w:t>
            </w:r>
            <w:r w:rsidR="00596F16" w:rsidRPr="00596F16">
              <w:rPr>
                <w:rFonts w:ascii="Times New Roman" w:eastAsia="Times New Roman" w:hAnsi="Times New Roman" w:cs="Times New Roman"/>
                <w:b w:val="0"/>
                <w:bCs w:val="0"/>
                <w:color w:val="000000"/>
                <w:sz w:val="18"/>
                <w:szCs w:val="24"/>
                <w:vertAlign w:val="superscript"/>
                <w:lang w:eastAsia="lv-LV"/>
              </w:rPr>
              <w:t>4</w:t>
            </w:r>
          </w:p>
        </w:tc>
        <w:tc>
          <w:tcPr>
            <w:tcW w:w="803" w:type="dxa"/>
            <w:noWrap/>
            <w:vAlign w:val="center"/>
          </w:tcPr>
          <w:p w:rsidR="00B45C68" w:rsidRPr="009C058E"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2018p</w:t>
            </w:r>
          </w:p>
        </w:tc>
        <w:tc>
          <w:tcPr>
            <w:tcW w:w="803" w:type="dxa"/>
            <w:noWrap/>
            <w:vAlign w:val="center"/>
          </w:tcPr>
          <w:p w:rsidR="00B45C68" w:rsidRPr="009C058E"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2019p</w:t>
            </w:r>
          </w:p>
        </w:tc>
        <w:tc>
          <w:tcPr>
            <w:tcW w:w="803" w:type="dxa"/>
            <w:noWrap/>
            <w:vAlign w:val="center"/>
          </w:tcPr>
          <w:p w:rsidR="00B45C68" w:rsidRPr="009C058E"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2020p</w:t>
            </w:r>
          </w:p>
        </w:tc>
        <w:tc>
          <w:tcPr>
            <w:tcW w:w="804" w:type="dxa"/>
            <w:noWrap/>
            <w:vAlign w:val="center"/>
          </w:tcPr>
          <w:p w:rsidR="00B45C68" w:rsidRPr="009C058E" w:rsidRDefault="00B45C68" w:rsidP="00FB62B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2021p</w:t>
            </w:r>
          </w:p>
        </w:tc>
      </w:tr>
      <w:tr w:rsidR="00B45C68" w:rsidRPr="009C058E" w:rsidTr="00FB62B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256" w:type="dxa"/>
            <w:vMerge/>
            <w:vAlign w:val="center"/>
            <w:hideMark/>
          </w:tcPr>
          <w:p w:rsidR="00B45C68" w:rsidRPr="009C058E" w:rsidRDefault="00B45C68" w:rsidP="00095171">
            <w:pPr>
              <w:autoSpaceDE w:val="0"/>
              <w:autoSpaceDN w:val="0"/>
              <w:adjustRightInd w:val="0"/>
              <w:spacing w:line="259" w:lineRule="auto"/>
              <w:jc w:val="both"/>
              <w:rPr>
                <w:rFonts w:ascii="Times New Roman" w:eastAsia="Times New Roman" w:hAnsi="Times New Roman" w:cs="Times New Roman"/>
                <w:b w:val="0"/>
                <w:bCs w:val="0"/>
                <w:color w:val="000000"/>
                <w:sz w:val="20"/>
                <w:szCs w:val="24"/>
                <w:lang w:eastAsia="lv-LV"/>
              </w:rPr>
            </w:pPr>
          </w:p>
        </w:tc>
        <w:tc>
          <w:tcPr>
            <w:tcW w:w="998" w:type="dxa"/>
            <w:vMerge/>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 xml:space="preserve">milj. </w:t>
            </w:r>
            <w:r w:rsidRPr="009C058E">
              <w:rPr>
                <w:rFonts w:ascii="Times New Roman" w:eastAsia="Times New Roman" w:hAnsi="Times New Roman" w:cs="Times New Roman"/>
                <w:i/>
                <w:iCs/>
                <w:color w:val="000000"/>
                <w:sz w:val="20"/>
                <w:szCs w:val="24"/>
                <w:lang w:eastAsia="lv-LV"/>
              </w:rPr>
              <w:t>euro</w:t>
            </w:r>
          </w:p>
        </w:tc>
        <w:tc>
          <w:tcPr>
            <w:tcW w:w="4016" w:type="dxa"/>
            <w:gridSpan w:val="5"/>
            <w:vAlign w:val="center"/>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Pieaugums %</w:t>
            </w:r>
          </w:p>
        </w:tc>
      </w:tr>
      <w:tr w:rsidR="00B45C68" w:rsidRPr="009C058E" w:rsidTr="00FB62BB">
        <w:trPr>
          <w:trHeight w:val="16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1. IKP 2010.gada cenās</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B1*g</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22792</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4,5</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4,0</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3,4</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3,0</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2,9</w:t>
            </w:r>
          </w:p>
        </w:tc>
      </w:tr>
      <w:tr w:rsidR="00B45C68" w:rsidRPr="009C058E" w:rsidTr="00FB62BB">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2. IKP faktiskajās cenās</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B1*g</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26851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7,7</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7,2</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6,5</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5,8</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5,4</w:t>
            </w:r>
          </w:p>
        </w:tc>
      </w:tr>
      <w:tr w:rsidR="00B45C68" w:rsidRPr="009C058E" w:rsidTr="00FB62BB">
        <w:trPr>
          <w:trHeight w:val="118"/>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rsidR="00B45C68" w:rsidRPr="009C058E" w:rsidRDefault="00B45C68" w:rsidP="00FB62BB">
            <w:pPr>
              <w:autoSpaceDE w:val="0"/>
              <w:autoSpaceDN w:val="0"/>
              <w:adjustRightInd w:val="0"/>
              <w:spacing w:line="259" w:lineRule="auto"/>
              <w:jc w:val="center"/>
              <w:rPr>
                <w:rFonts w:ascii="Times New Roman" w:eastAsia="Times New Roman" w:hAnsi="Times New Roman" w:cs="Times New Roman"/>
                <w:b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IKP pēc izlietojuma 2010.gada cenās</w:t>
            </w:r>
          </w:p>
        </w:tc>
      </w:tr>
      <w:tr w:rsidR="00B45C68" w:rsidRPr="009C058E" w:rsidTr="00FB62BB">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3. Privātais patēriņš</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P3</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14395</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5,1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6,1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3,5</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2,8</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2,6</w:t>
            </w:r>
          </w:p>
        </w:tc>
      </w:tr>
      <w:tr w:rsidR="00B45C68" w:rsidRPr="009C058E" w:rsidTr="00FB62BB">
        <w:trPr>
          <w:trHeight w:val="20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4. Sabiedriskais patēriņš</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P3</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3841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2,8</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2,8</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2,6</w:t>
            </w:r>
          </w:p>
        </w:tc>
      </w:tr>
      <w:tr w:rsidR="00B45C68" w:rsidRPr="009C058E" w:rsidTr="00FB62B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5. Kopējā pamatkapitāla veidošana</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P51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4554</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16,0</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11,2</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9,0</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7,1</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7,0</w:t>
            </w:r>
          </w:p>
        </w:tc>
      </w:tr>
      <w:tr w:rsidR="00B45C68" w:rsidRPr="009C058E" w:rsidTr="00FB62BB">
        <w:trPr>
          <w:trHeight w:val="24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9C70FA"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Pr>
                <w:rFonts w:ascii="Times New Roman" w:eastAsia="Times New Roman" w:hAnsi="Times New Roman" w:cs="Times New Roman"/>
                <w:b w:val="0"/>
                <w:bCs w:val="0"/>
                <w:color w:val="000000"/>
                <w:sz w:val="20"/>
                <w:szCs w:val="24"/>
                <w:lang w:eastAsia="lv-LV"/>
              </w:rPr>
              <w:t xml:space="preserve">6. </w:t>
            </w:r>
            <w:r w:rsidR="00B45C68" w:rsidRPr="009C058E">
              <w:rPr>
                <w:rFonts w:ascii="Times New Roman" w:eastAsia="Times New Roman" w:hAnsi="Times New Roman" w:cs="Times New Roman"/>
                <w:b w:val="0"/>
                <w:bCs w:val="0"/>
                <w:color w:val="000000"/>
                <w:sz w:val="20"/>
                <w:szCs w:val="24"/>
                <w:lang w:eastAsia="lv-LV"/>
              </w:rPr>
              <w:t>Krājumu pārmaiņas un vērtslietu iegāde</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P52+P53</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862</w:t>
            </w:r>
          </w:p>
        </w:tc>
        <w:tc>
          <w:tcPr>
            <w:tcW w:w="803" w:type="dxa"/>
            <w:noWrap/>
            <w:vAlign w:val="center"/>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c>
          <w:tcPr>
            <w:tcW w:w="803" w:type="dxa"/>
            <w:noWrap/>
            <w:vAlign w:val="center"/>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c>
          <w:tcPr>
            <w:tcW w:w="803" w:type="dxa"/>
            <w:noWrap/>
            <w:vAlign w:val="center"/>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c>
          <w:tcPr>
            <w:tcW w:w="803" w:type="dxa"/>
            <w:noWrap/>
            <w:vAlign w:val="center"/>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c>
          <w:tcPr>
            <w:tcW w:w="804" w:type="dxa"/>
            <w:noWrap/>
            <w:vAlign w:val="center"/>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r>
      <w:tr w:rsidR="00B45C68" w:rsidRPr="009C058E" w:rsidTr="00FB62BB">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7. Eksports</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P6</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14189</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4,4</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4,0</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3,9</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3,8</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3,8</w:t>
            </w:r>
          </w:p>
        </w:tc>
      </w:tr>
      <w:tr w:rsidR="00B45C68" w:rsidRPr="009C058E" w:rsidTr="00FB62BB">
        <w:trPr>
          <w:trHeight w:val="201"/>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8. Imports</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P7</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15049</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9,2</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7,6</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4,7</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4,6</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4,5</w:t>
            </w:r>
          </w:p>
        </w:tc>
      </w:tr>
      <w:tr w:rsidR="00B45C68" w:rsidRPr="009C058E" w:rsidTr="00FB62B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rsidR="00B45C68" w:rsidRPr="009C058E" w:rsidRDefault="00B45C68" w:rsidP="00FB62BB">
            <w:pPr>
              <w:autoSpaceDE w:val="0"/>
              <w:autoSpaceDN w:val="0"/>
              <w:adjustRightInd w:val="0"/>
              <w:spacing w:line="259" w:lineRule="auto"/>
              <w:jc w:val="center"/>
              <w:rPr>
                <w:rFonts w:ascii="Times New Roman" w:eastAsia="Times New Roman" w:hAnsi="Times New Roman" w:cs="Times New Roman"/>
                <w:b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Ieguldījums IKP izaugsmē</w:t>
            </w:r>
          </w:p>
        </w:tc>
      </w:tr>
      <w:tr w:rsidR="00B45C68" w:rsidRPr="009C058E" w:rsidTr="00FB62BB">
        <w:trPr>
          <w:trHeight w:val="14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9. Kopējais iekšzemes pieprasījums</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6,8</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6,6</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4,6</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3,9</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3,7</w:t>
            </w:r>
          </w:p>
        </w:tc>
      </w:tr>
      <w:tr w:rsidR="00B45C68" w:rsidRPr="009C058E" w:rsidTr="00FB62BB">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9C70FA"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Pr>
                <w:rFonts w:ascii="Times New Roman" w:eastAsia="Times New Roman" w:hAnsi="Times New Roman" w:cs="Times New Roman"/>
                <w:b w:val="0"/>
                <w:bCs w:val="0"/>
                <w:color w:val="000000"/>
                <w:sz w:val="20"/>
                <w:szCs w:val="24"/>
                <w:lang w:eastAsia="lv-LV"/>
              </w:rPr>
              <w:t xml:space="preserve">10. </w:t>
            </w:r>
            <w:r w:rsidR="00B45C68" w:rsidRPr="009C058E">
              <w:rPr>
                <w:rFonts w:ascii="Times New Roman" w:eastAsia="Times New Roman" w:hAnsi="Times New Roman" w:cs="Times New Roman"/>
                <w:b w:val="0"/>
                <w:bCs w:val="0"/>
                <w:color w:val="000000"/>
                <w:sz w:val="20"/>
                <w:szCs w:val="24"/>
                <w:lang w:eastAsia="lv-LV"/>
              </w:rPr>
              <w:t xml:space="preserve">Krājumu pārmaiņas un vērtslietu iegāde </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P52+P53</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0,8</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-0,5</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0,0</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0,0</w:t>
            </w:r>
          </w:p>
        </w:tc>
      </w:tr>
      <w:tr w:rsidR="00B45C68" w:rsidRPr="009C058E" w:rsidTr="00FB62BB">
        <w:trPr>
          <w:trHeight w:val="34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B45C68" w:rsidRPr="009C058E" w:rsidRDefault="00B45C68" w:rsidP="00095171">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11. Eksporta-importa bilance</w:t>
            </w:r>
          </w:p>
        </w:tc>
        <w:tc>
          <w:tcPr>
            <w:tcW w:w="998"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B11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-3,1</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-2,5</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-0,8</w:t>
            </w:r>
          </w:p>
        </w:tc>
        <w:tc>
          <w:tcPr>
            <w:tcW w:w="803"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-0,8</w:t>
            </w:r>
          </w:p>
        </w:tc>
        <w:tc>
          <w:tcPr>
            <w:tcW w:w="804" w:type="dxa"/>
            <w:noWrap/>
            <w:vAlign w:val="center"/>
            <w:hideMark/>
          </w:tcPr>
          <w:p w:rsidR="00B45C68" w:rsidRPr="009C058E" w:rsidRDefault="00B45C68" w:rsidP="00FB62B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-0,8</w:t>
            </w:r>
          </w:p>
        </w:tc>
      </w:tr>
    </w:tbl>
    <w:p w:rsidR="00B45C68" w:rsidRPr="009C058E" w:rsidRDefault="00B45C68" w:rsidP="00637E49">
      <w:pPr>
        <w:autoSpaceDE w:val="0"/>
        <w:autoSpaceDN w:val="0"/>
        <w:adjustRightInd w:val="0"/>
        <w:spacing w:before="120" w:after="0" w:line="240" w:lineRule="auto"/>
        <w:ind w:firstLine="720"/>
        <w:jc w:val="both"/>
        <w:rPr>
          <w:rFonts w:ascii="Times New Roman" w:eastAsia="Times New Roman" w:hAnsi="Times New Roman" w:cs="Times New Roman"/>
          <w:sz w:val="24"/>
          <w:szCs w:val="23"/>
          <w:lang w:eastAsia="lv-LV"/>
        </w:rPr>
      </w:pPr>
      <w:r>
        <w:rPr>
          <w:rFonts w:ascii="Times New Roman" w:eastAsia="Times New Roman" w:hAnsi="Times New Roman" w:cs="Times New Roman"/>
          <w:sz w:val="24"/>
          <w:szCs w:val="23"/>
          <w:lang w:eastAsia="lv-LV"/>
        </w:rPr>
        <w:t>Pēc zemajiem investīciju apjomiem 2016.gadā</w:t>
      </w:r>
      <w:r w:rsidRPr="009C058E">
        <w:rPr>
          <w:rFonts w:ascii="Times New Roman" w:eastAsia="Times New Roman" w:hAnsi="Times New Roman" w:cs="Times New Roman"/>
          <w:sz w:val="24"/>
          <w:szCs w:val="23"/>
          <w:lang w:eastAsia="lv-LV"/>
        </w:rPr>
        <w:t xml:space="preserve">, </w:t>
      </w:r>
      <w:r>
        <w:rPr>
          <w:rFonts w:ascii="Times New Roman" w:eastAsia="Times New Roman" w:hAnsi="Times New Roman" w:cs="Times New Roman"/>
          <w:sz w:val="24"/>
          <w:szCs w:val="23"/>
          <w:lang w:eastAsia="lv-LV"/>
        </w:rPr>
        <w:t>pērn</w:t>
      </w:r>
      <w:r w:rsidRPr="009C058E">
        <w:rPr>
          <w:rFonts w:ascii="Times New Roman" w:eastAsia="Times New Roman" w:hAnsi="Times New Roman" w:cs="Times New Roman"/>
          <w:sz w:val="24"/>
          <w:szCs w:val="23"/>
          <w:lang w:eastAsia="lv-LV"/>
        </w:rPr>
        <w:t xml:space="preserve"> </w:t>
      </w:r>
      <w:r w:rsidRPr="009C058E">
        <w:rPr>
          <w:rFonts w:ascii="Times New Roman" w:eastAsia="Times New Roman" w:hAnsi="Times New Roman" w:cs="Times New Roman"/>
          <w:b/>
          <w:sz w:val="24"/>
          <w:szCs w:val="23"/>
          <w:lang w:eastAsia="lv-LV"/>
        </w:rPr>
        <w:t>investīciju</w:t>
      </w:r>
      <w:r w:rsidRPr="009C058E">
        <w:rPr>
          <w:rFonts w:ascii="Times New Roman" w:eastAsia="Times New Roman" w:hAnsi="Times New Roman" w:cs="Times New Roman"/>
          <w:sz w:val="24"/>
          <w:szCs w:val="23"/>
          <w:lang w:eastAsia="lv-LV"/>
        </w:rPr>
        <w:t xml:space="preserve"> (kopējā pamatkapitāla veidošanas) pieaugumu būtiski ietekmēja ES fondu </w:t>
      </w:r>
      <w:r>
        <w:rPr>
          <w:rFonts w:ascii="Times New Roman" w:eastAsia="Times New Roman" w:hAnsi="Times New Roman" w:cs="Times New Roman"/>
          <w:sz w:val="24"/>
          <w:szCs w:val="23"/>
          <w:lang w:eastAsia="lv-LV"/>
        </w:rPr>
        <w:t>ieviešanas</w:t>
      </w:r>
      <w:r w:rsidRPr="009C058E">
        <w:rPr>
          <w:rFonts w:ascii="Times New Roman" w:eastAsia="Times New Roman" w:hAnsi="Times New Roman" w:cs="Times New Roman"/>
          <w:sz w:val="24"/>
          <w:szCs w:val="23"/>
          <w:lang w:eastAsia="lv-LV"/>
        </w:rPr>
        <w:t xml:space="preserve"> atsākšanās. Strauja ES fondu </w:t>
      </w:r>
      <w:r>
        <w:rPr>
          <w:rFonts w:ascii="Times New Roman" w:eastAsia="Times New Roman" w:hAnsi="Times New Roman" w:cs="Times New Roman"/>
          <w:sz w:val="24"/>
          <w:szCs w:val="23"/>
          <w:lang w:eastAsia="lv-LV"/>
        </w:rPr>
        <w:t xml:space="preserve">investīciju </w:t>
      </w:r>
      <w:r w:rsidRPr="009C058E">
        <w:rPr>
          <w:rFonts w:ascii="Times New Roman" w:eastAsia="Times New Roman" w:hAnsi="Times New Roman" w:cs="Times New Roman"/>
          <w:sz w:val="24"/>
          <w:szCs w:val="23"/>
          <w:lang w:eastAsia="lv-LV"/>
        </w:rPr>
        <w:t xml:space="preserve">ieplūde tiek novērota arī 2018.gada sākumā, kas dod pamatu uzskatīt, ka arī 2018.gadā ES fondu </w:t>
      </w:r>
      <w:r>
        <w:rPr>
          <w:rFonts w:ascii="Times New Roman" w:eastAsia="Times New Roman" w:hAnsi="Times New Roman" w:cs="Times New Roman"/>
          <w:sz w:val="24"/>
          <w:szCs w:val="23"/>
          <w:lang w:eastAsia="lv-LV"/>
        </w:rPr>
        <w:t>ieviešana</w:t>
      </w:r>
      <w:r w:rsidRPr="009C058E">
        <w:rPr>
          <w:rFonts w:ascii="Times New Roman" w:eastAsia="Times New Roman" w:hAnsi="Times New Roman" w:cs="Times New Roman"/>
          <w:sz w:val="24"/>
          <w:szCs w:val="23"/>
          <w:lang w:eastAsia="lv-LV"/>
        </w:rPr>
        <w:t xml:space="preserve"> nozīmīgi ietekmēs investīciju apjomu, un turpinās pieaugt arī 2019. un 2020. gadā. Scenārijs paredz arī investīciju pieaugumu, balstoties un uzņēmumu pašu resursiem un uzņēmumie</w:t>
      </w:r>
      <w:r w:rsidR="009C70FA">
        <w:rPr>
          <w:rFonts w:ascii="Times New Roman" w:eastAsia="Times New Roman" w:hAnsi="Times New Roman" w:cs="Times New Roman"/>
          <w:sz w:val="24"/>
          <w:szCs w:val="23"/>
          <w:lang w:eastAsia="lv-LV"/>
        </w:rPr>
        <w:t xml:space="preserve">m izsniegto kredītu pieaugumu. </w:t>
      </w:r>
      <w:r w:rsidRPr="009C058E">
        <w:rPr>
          <w:rFonts w:ascii="Times New Roman" w:eastAsia="Times New Roman" w:hAnsi="Times New Roman" w:cs="Times New Roman"/>
          <w:sz w:val="24"/>
          <w:szCs w:val="23"/>
          <w:lang w:eastAsia="lv-LV"/>
        </w:rPr>
        <w:t>Tā kā ne</w:t>
      </w:r>
      <w:r w:rsidR="009C70FA" w:rsidRPr="00F14E08">
        <w:rPr>
          <w:rFonts w:ascii="Times New Roman" w:eastAsia="Calibri" w:hAnsi="Times New Roman" w:cs="Times New Roman"/>
          <w:sz w:val="24"/>
          <w:szCs w:val="24"/>
        </w:rPr>
        <w:t>–</w:t>
      </w:r>
      <w:r w:rsidRPr="009C058E">
        <w:rPr>
          <w:rFonts w:ascii="Times New Roman" w:eastAsia="Times New Roman" w:hAnsi="Times New Roman" w:cs="Times New Roman"/>
          <w:sz w:val="24"/>
          <w:szCs w:val="23"/>
          <w:lang w:eastAsia="lv-LV"/>
        </w:rPr>
        <w:t>bankām izsniegto kredītu apjoms jau pēdējos trīs gadus praktiski vairs ne</w:t>
      </w:r>
      <w:r>
        <w:rPr>
          <w:rFonts w:ascii="Times New Roman" w:eastAsia="Times New Roman" w:hAnsi="Times New Roman" w:cs="Times New Roman"/>
          <w:sz w:val="24"/>
          <w:szCs w:val="23"/>
          <w:lang w:eastAsia="lv-LV"/>
        </w:rPr>
        <w:t>samazinās, tad ir sagaidāms, ka</w:t>
      </w:r>
      <w:r w:rsidRPr="009C058E">
        <w:rPr>
          <w:rFonts w:ascii="Times New Roman" w:eastAsia="Times New Roman" w:hAnsi="Times New Roman" w:cs="Times New Roman"/>
          <w:sz w:val="24"/>
          <w:szCs w:val="23"/>
          <w:lang w:eastAsia="lv-LV"/>
        </w:rPr>
        <w:t xml:space="preserve"> līdz ar pozitīvu kreditēšanas pieaugumu straujāk pieaugs arī investīcijas. Tādējādi paredzams, ka investīciju pieauguma tempi pārsniegs kopējos ekonomikas attīstības tempus – 2018. gadā tie sasniegs 11,2% un 2019.gadā 9%.</w:t>
      </w:r>
    </w:p>
    <w:p w:rsidR="00B45C68" w:rsidRPr="009F1B13" w:rsidRDefault="00B45C68" w:rsidP="00B45C68">
      <w:pPr>
        <w:autoSpaceDE w:val="0"/>
        <w:autoSpaceDN w:val="0"/>
        <w:adjustRightInd w:val="0"/>
        <w:spacing w:after="0" w:line="240" w:lineRule="auto"/>
        <w:ind w:firstLine="720"/>
        <w:jc w:val="both"/>
        <w:rPr>
          <w:rFonts w:ascii="Times New Roman" w:eastAsia="Times New Roman" w:hAnsi="Times New Roman" w:cs="Times New Roman"/>
          <w:sz w:val="24"/>
          <w:szCs w:val="23"/>
          <w:highlight w:val="yellow"/>
          <w:lang w:eastAsia="lv-LV"/>
        </w:rPr>
      </w:pPr>
      <w:r w:rsidRPr="009C058E">
        <w:rPr>
          <w:rFonts w:ascii="Times New Roman" w:eastAsia="Times New Roman" w:hAnsi="Times New Roman" w:cs="Times New Roman"/>
          <w:b/>
          <w:sz w:val="24"/>
          <w:szCs w:val="23"/>
          <w:lang w:eastAsia="lv-LV"/>
        </w:rPr>
        <w:t xml:space="preserve">Privātā patēriņa </w:t>
      </w:r>
      <w:r w:rsidRPr="009C058E">
        <w:rPr>
          <w:rFonts w:ascii="Times New Roman" w:eastAsia="Times New Roman" w:hAnsi="Times New Roman" w:cs="Times New Roman"/>
          <w:sz w:val="24"/>
          <w:szCs w:val="23"/>
          <w:lang w:eastAsia="lv-LV"/>
        </w:rPr>
        <w:t>attīstība vidējā termiņā būs cieši saistīta ar norisēm darba tirgū un nodokļu reformas pozitīvo ietekmi uz iedzīvotāju ienākumiem. Tādējādi privātā patēriņa pieaugums 2018.g</w:t>
      </w:r>
      <w:r>
        <w:rPr>
          <w:rFonts w:ascii="Times New Roman" w:eastAsia="Times New Roman" w:hAnsi="Times New Roman" w:cs="Times New Roman"/>
          <w:sz w:val="24"/>
          <w:szCs w:val="23"/>
          <w:lang w:eastAsia="lv-LV"/>
        </w:rPr>
        <w:t>adā</w:t>
      </w:r>
      <w:r w:rsidRPr="009C058E">
        <w:rPr>
          <w:rFonts w:ascii="Times New Roman" w:eastAsia="Times New Roman" w:hAnsi="Times New Roman" w:cs="Times New Roman"/>
          <w:sz w:val="24"/>
          <w:szCs w:val="23"/>
          <w:lang w:eastAsia="lv-LV"/>
        </w:rPr>
        <w:t xml:space="preserve"> tiek prognozēts 6,1% apmērā. Turpmākajos gados</w:t>
      </w:r>
      <w:r>
        <w:rPr>
          <w:rFonts w:ascii="Times New Roman" w:eastAsia="Times New Roman" w:hAnsi="Times New Roman" w:cs="Times New Roman"/>
          <w:sz w:val="24"/>
          <w:szCs w:val="23"/>
          <w:lang w:eastAsia="lv-LV"/>
        </w:rPr>
        <w:t xml:space="preserve"> darba samaksas pieauguma tempiem kļūstot nedaudz lēnākiem, mazināsies arī privātā patēriņa pieauguma temps, samazinoties nedaudz zem IKP pieauguma tempa. Atbilstoši prognozēm </w:t>
      </w:r>
      <w:r w:rsidRPr="007829B3">
        <w:rPr>
          <w:rFonts w:ascii="Times New Roman" w:eastAsia="Times New Roman" w:hAnsi="Times New Roman" w:cs="Times New Roman"/>
          <w:sz w:val="24"/>
          <w:szCs w:val="23"/>
          <w:lang w:eastAsia="lv-LV"/>
        </w:rPr>
        <w:t>darba samaksas pieaugums vidējā termiņā saglabāsies tuvu produktivitātes pieaugumam, 2018.gadā to vēl nedaudz pārsniedzot.</w:t>
      </w:r>
    </w:p>
    <w:p w:rsidR="00B45C68" w:rsidRPr="009C058E"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3"/>
          <w:lang w:eastAsia="lv-LV"/>
        </w:rPr>
      </w:pPr>
      <w:r w:rsidRPr="009C058E">
        <w:rPr>
          <w:rFonts w:ascii="Times New Roman" w:eastAsia="Times New Roman" w:hAnsi="Times New Roman" w:cs="Times New Roman"/>
          <w:color w:val="000000"/>
          <w:sz w:val="24"/>
          <w:szCs w:val="23"/>
          <w:lang w:eastAsia="lv-LV"/>
        </w:rPr>
        <w:t xml:space="preserve">Saskaņā ar bāzes scenāriju Latvijas </w:t>
      </w:r>
      <w:r w:rsidRPr="009C058E">
        <w:rPr>
          <w:rFonts w:ascii="Times New Roman" w:eastAsia="Times New Roman" w:hAnsi="Times New Roman" w:cs="Times New Roman"/>
          <w:b/>
          <w:color w:val="000000"/>
          <w:sz w:val="24"/>
          <w:szCs w:val="23"/>
          <w:lang w:eastAsia="lv-LV"/>
        </w:rPr>
        <w:t>IKP</w:t>
      </w:r>
      <w:r w:rsidRPr="009C058E">
        <w:rPr>
          <w:rFonts w:ascii="Times New Roman" w:eastAsia="Times New Roman" w:hAnsi="Times New Roman" w:cs="Times New Roman"/>
          <w:color w:val="000000"/>
          <w:sz w:val="24"/>
          <w:szCs w:val="23"/>
          <w:lang w:eastAsia="lv-LV"/>
        </w:rPr>
        <w:t xml:space="preserve"> 2018. un 2019.gadā palielināsies attiecīgi par 4,0% un 3,4%, (</w:t>
      </w:r>
      <w:r w:rsidRPr="009C058E">
        <w:rPr>
          <w:rFonts w:ascii="Times New Roman" w:eastAsia="Times New Roman" w:hAnsi="Times New Roman" w:cs="Times New Roman"/>
          <w:sz w:val="24"/>
          <w:szCs w:val="23"/>
          <w:lang w:eastAsia="lv-LV"/>
        </w:rPr>
        <w:t>Stabilitātes programmā 2016.</w:t>
      </w:r>
      <w:r w:rsidR="009C70FA">
        <w:rPr>
          <w:rFonts w:ascii="Times New Roman" w:eastAsia="Times New Roman" w:hAnsi="Times New Roman" w:cs="Times New Roman"/>
          <w:sz w:val="24"/>
          <w:szCs w:val="23"/>
          <w:lang w:eastAsia="lv-LV"/>
        </w:rPr>
        <w:t xml:space="preserve"> </w:t>
      </w:r>
      <w:r w:rsidR="009C70FA" w:rsidRPr="00F14E08">
        <w:rPr>
          <w:rFonts w:ascii="Times New Roman" w:eastAsia="Calibri" w:hAnsi="Times New Roman" w:cs="Times New Roman"/>
          <w:sz w:val="24"/>
          <w:szCs w:val="24"/>
        </w:rPr>
        <w:t>–</w:t>
      </w:r>
      <w:r w:rsidR="009C70FA">
        <w:rPr>
          <w:rFonts w:ascii="Times New Roman" w:eastAsia="Calibri" w:hAnsi="Times New Roman" w:cs="Times New Roman"/>
          <w:sz w:val="24"/>
          <w:szCs w:val="24"/>
        </w:rPr>
        <w:t xml:space="preserve"> </w:t>
      </w:r>
      <w:r w:rsidRPr="009C058E">
        <w:rPr>
          <w:rFonts w:ascii="Times New Roman" w:eastAsia="Times New Roman" w:hAnsi="Times New Roman" w:cs="Times New Roman"/>
          <w:sz w:val="24"/>
          <w:szCs w:val="23"/>
          <w:lang w:eastAsia="lv-LV"/>
        </w:rPr>
        <w:t xml:space="preserve">2019.gadam prognozētais IKP pieaugums bija </w:t>
      </w:r>
      <w:r w:rsidRPr="009C058E">
        <w:rPr>
          <w:rFonts w:ascii="Times New Roman" w:eastAsia="Times New Roman" w:hAnsi="Times New Roman" w:cs="Times New Roman"/>
          <w:color w:val="000000"/>
          <w:sz w:val="24"/>
          <w:szCs w:val="23"/>
          <w:lang w:eastAsia="lv-LV"/>
        </w:rPr>
        <w:t xml:space="preserve">2017.gadā </w:t>
      </w:r>
      <w:r w:rsidRPr="009C058E">
        <w:rPr>
          <w:rFonts w:ascii="Times New Roman" w:eastAsia="Times New Roman" w:hAnsi="Times New Roman" w:cs="Times New Roman"/>
          <w:sz w:val="24"/>
          <w:szCs w:val="23"/>
          <w:lang w:eastAsia="lv-LV"/>
        </w:rPr>
        <w:t xml:space="preserve">3,3% un </w:t>
      </w:r>
      <w:r w:rsidRPr="009C058E">
        <w:rPr>
          <w:rFonts w:ascii="Times New Roman" w:eastAsia="Times New Roman" w:hAnsi="Times New Roman" w:cs="Times New Roman"/>
          <w:color w:val="000000"/>
          <w:sz w:val="24"/>
          <w:szCs w:val="23"/>
          <w:lang w:eastAsia="lv-LV"/>
        </w:rPr>
        <w:t xml:space="preserve">2018.gadā </w:t>
      </w:r>
      <w:r w:rsidRPr="009C058E">
        <w:rPr>
          <w:rFonts w:ascii="Times New Roman" w:eastAsia="Times New Roman" w:hAnsi="Times New Roman" w:cs="Times New Roman"/>
          <w:sz w:val="24"/>
          <w:szCs w:val="23"/>
          <w:lang w:eastAsia="lv-LV"/>
        </w:rPr>
        <w:t>3,4%)</w:t>
      </w:r>
      <w:r w:rsidRPr="009C058E">
        <w:rPr>
          <w:rFonts w:ascii="Times New Roman" w:eastAsia="Times New Roman" w:hAnsi="Times New Roman" w:cs="Times New Roman"/>
          <w:color w:val="000000"/>
          <w:sz w:val="24"/>
          <w:szCs w:val="23"/>
          <w:lang w:eastAsia="lv-LV"/>
        </w:rPr>
        <w:t xml:space="preserve">. </w:t>
      </w:r>
      <w:r w:rsidRPr="009C058E">
        <w:rPr>
          <w:rFonts w:ascii="Times New Roman" w:eastAsia="Times New Roman" w:hAnsi="Times New Roman" w:cs="Times New Roman"/>
          <w:color w:val="000000"/>
          <w:sz w:val="24"/>
          <w:szCs w:val="24"/>
          <w:lang w:eastAsia="lv-LV"/>
        </w:rPr>
        <w:t>Paredzams, ka iekšzemes pieprasījums būs galvenais izaugsmes veicinātāj</w:t>
      </w:r>
      <w:r>
        <w:rPr>
          <w:rFonts w:ascii="Times New Roman" w:eastAsia="Times New Roman" w:hAnsi="Times New Roman" w:cs="Times New Roman"/>
          <w:color w:val="000000"/>
          <w:sz w:val="24"/>
          <w:szCs w:val="24"/>
          <w:lang w:eastAsia="lv-LV"/>
        </w:rPr>
        <w:t>s 2018. un 2019.</w:t>
      </w:r>
      <w:r w:rsidRPr="009C058E">
        <w:rPr>
          <w:rFonts w:ascii="Times New Roman" w:eastAsia="Times New Roman" w:hAnsi="Times New Roman" w:cs="Times New Roman"/>
          <w:color w:val="000000"/>
          <w:sz w:val="24"/>
          <w:szCs w:val="24"/>
          <w:lang w:eastAsia="lv-LV"/>
        </w:rPr>
        <w:t xml:space="preserve">gadā. </w:t>
      </w:r>
      <w:r w:rsidRPr="009C058E">
        <w:rPr>
          <w:rFonts w:ascii="Times New Roman" w:eastAsia="Times New Roman" w:hAnsi="Times New Roman" w:cs="Times New Roman"/>
          <w:color w:val="000000"/>
          <w:sz w:val="24"/>
          <w:szCs w:val="23"/>
          <w:lang w:eastAsia="lv-LV"/>
        </w:rPr>
        <w:t>Tālākajos gados IKP pieauguma tempi pakāpeniski mazināsies līdz 3% 2020.gadā, tuvojoties potenciālajam izaugsmes līmenim.</w:t>
      </w:r>
    </w:p>
    <w:p w:rsidR="00B45C68" w:rsidRPr="00A62844" w:rsidRDefault="00B45C68" w:rsidP="004F5D37">
      <w:pPr>
        <w:spacing w:before="120" w:after="120" w:line="240" w:lineRule="auto"/>
        <w:ind w:firstLine="720"/>
        <w:jc w:val="both"/>
        <w:outlineLvl w:val="3"/>
        <w:rPr>
          <w:rFonts w:ascii="Times New Roman" w:eastAsia="Times New Roman" w:hAnsi="Times New Roman" w:cs="Times New Roman"/>
          <w:b/>
          <w:sz w:val="24"/>
          <w:szCs w:val="24"/>
        </w:rPr>
      </w:pPr>
      <w:r w:rsidRPr="00A62844">
        <w:rPr>
          <w:rFonts w:ascii="Times New Roman" w:eastAsia="Times New Roman" w:hAnsi="Times New Roman" w:cs="Times New Roman"/>
          <w:b/>
          <w:sz w:val="24"/>
          <w:szCs w:val="24"/>
        </w:rPr>
        <w:t>Inflācija</w:t>
      </w:r>
    </w:p>
    <w:p w:rsidR="00B45C68" w:rsidRPr="009C058E" w:rsidRDefault="00B45C68" w:rsidP="0003162E">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9C058E">
        <w:rPr>
          <w:rFonts w:ascii="Times New Roman" w:eastAsia="Times New Roman" w:hAnsi="Times New Roman" w:cs="Times New Roman"/>
          <w:sz w:val="24"/>
          <w:szCs w:val="23"/>
          <w:lang w:eastAsia="lv-LV"/>
        </w:rPr>
        <w:t>Patēriņa cenas izmaiņas 2017.gadā sasnie</w:t>
      </w:r>
      <w:r>
        <w:rPr>
          <w:rFonts w:ascii="Times New Roman" w:eastAsia="Times New Roman" w:hAnsi="Times New Roman" w:cs="Times New Roman"/>
          <w:sz w:val="24"/>
          <w:szCs w:val="23"/>
          <w:lang w:eastAsia="lv-LV"/>
        </w:rPr>
        <w:t>dza straujāko kāpumu kopš 2012.</w:t>
      </w:r>
      <w:r w:rsidRPr="009C058E">
        <w:rPr>
          <w:rFonts w:ascii="Times New Roman" w:eastAsia="Times New Roman" w:hAnsi="Times New Roman" w:cs="Times New Roman"/>
          <w:sz w:val="24"/>
          <w:szCs w:val="23"/>
          <w:lang w:eastAsia="lv-LV"/>
        </w:rPr>
        <w:t xml:space="preserve">gada, vidēji gadā palielinoties par 2,9%, salīdzinot ar 2016.gadu. Pērnā gada patēriņa cenu līmenim bija ļoti raksturīga iezīme, ka cenu svārstības pamatā ietekmēja ārējie faktori. Pārtikas un naftas </w:t>
      </w:r>
      <w:r w:rsidRPr="009C058E">
        <w:rPr>
          <w:rFonts w:ascii="Times New Roman" w:eastAsia="Times New Roman" w:hAnsi="Times New Roman" w:cs="Times New Roman"/>
          <w:sz w:val="24"/>
          <w:szCs w:val="23"/>
          <w:lang w:eastAsia="lv-LV"/>
        </w:rPr>
        <w:lastRenderedPageBreak/>
        <w:t>cenu palielinājums pasaules tirgos, ko pamatā noteica piedāvājuma un pieprasījuma līdzsvarošana, atstāja iespaidu arī uz inflāciju Latvijā. Tā, pārtikas cenu kāpums Latvijā 2017.gadā izskaidro gandrīz pusi no patēriņa cenu pieauguma kopumā. Pārtikas cenas v</w:t>
      </w:r>
      <w:r>
        <w:rPr>
          <w:rFonts w:ascii="Times New Roman" w:eastAsia="Times New Roman" w:hAnsi="Times New Roman" w:cs="Times New Roman"/>
          <w:sz w:val="24"/>
          <w:szCs w:val="23"/>
          <w:lang w:eastAsia="lv-LV"/>
        </w:rPr>
        <w:t>idēji palielinājās par 6,0%, tajā skaitā piena produktu, svaigo</w:t>
      </w:r>
      <w:r w:rsidRPr="009C058E">
        <w:rPr>
          <w:rFonts w:ascii="Times New Roman" w:eastAsia="Times New Roman" w:hAnsi="Times New Roman" w:cs="Times New Roman"/>
          <w:sz w:val="24"/>
          <w:szCs w:val="23"/>
          <w:lang w:eastAsia="lv-LV"/>
        </w:rPr>
        <w:t xml:space="preserve"> dārzeņ</w:t>
      </w:r>
      <w:r>
        <w:rPr>
          <w:rFonts w:ascii="Times New Roman" w:eastAsia="Times New Roman" w:hAnsi="Times New Roman" w:cs="Times New Roman"/>
          <w:sz w:val="24"/>
          <w:szCs w:val="23"/>
          <w:lang w:eastAsia="lv-LV"/>
        </w:rPr>
        <w:t xml:space="preserve">u un sviesta cenas </w:t>
      </w:r>
      <w:r w:rsidRPr="009C058E">
        <w:rPr>
          <w:rFonts w:ascii="Times New Roman" w:eastAsia="Times New Roman" w:hAnsi="Times New Roman" w:cs="Times New Roman"/>
          <w:sz w:val="24"/>
          <w:szCs w:val="23"/>
          <w:lang w:eastAsia="lv-LV"/>
        </w:rPr>
        <w:t xml:space="preserve">attiecīgi </w:t>
      </w:r>
      <w:r>
        <w:rPr>
          <w:rFonts w:ascii="Times New Roman" w:eastAsia="Times New Roman" w:hAnsi="Times New Roman" w:cs="Times New Roman"/>
          <w:sz w:val="24"/>
          <w:szCs w:val="23"/>
          <w:lang w:eastAsia="lv-LV"/>
        </w:rPr>
        <w:t xml:space="preserve">pieauga par </w:t>
      </w:r>
      <w:r w:rsidRPr="009C058E">
        <w:rPr>
          <w:rFonts w:ascii="Times New Roman" w:eastAsia="Times New Roman" w:hAnsi="Times New Roman" w:cs="Times New Roman"/>
          <w:sz w:val="24"/>
          <w:szCs w:val="23"/>
          <w:lang w:eastAsia="lv-LV"/>
        </w:rPr>
        <w:t>11,9%, 11,3% un 48,7%. Jāatzīmē, ka arī ES kopumā pārtikas cenas bija viens no noteicošajiem faktoriem inflācijas palielinājumam. Arī kaimiņvalstīs, Lietuvā un Igaunijā 2017.gadā pārtikas cenas palielinājās attiecīgi par 3,6% un 5,7%. Atbilstoši ANO Pārtikas un lauksaimniecības organizācijas datiem, neapstrādā</w:t>
      </w:r>
      <w:r>
        <w:rPr>
          <w:rFonts w:ascii="Times New Roman" w:eastAsia="Times New Roman" w:hAnsi="Times New Roman" w:cs="Times New Roman"/>
          <w:sz w:val="24"/>
          <w:szCs w:val="23"/>
          <w:lang w:eastAsia="lv-LV"/>
        </w:rPr>
        <w:t>tā</w:t>
      </w:r>
      <w:r w:rsidRPr="009C058E">
        <w:rPr>
          <w:rFonts w:ascii="Times New Roman" w:eastAsia="Times New Roman" w:hAnsi="Times New Roman" w:cs="Times New Roman"/>
          <w:sz w:val="24"/>
          <w:szCs w:val="23"/>
          <w:lang w:eastAsia="lv-LV"/>
        </w:rPr>
        <w:t>s pārtikas cenu indekss pasaulē 2017.gadā palielinājās par 8,1%, visstraujāk palielinoties tieši piena produktu cenām. Piena produktu piedāvājums starptautiskajos tirgos pērnajā gadā nedaudz samazinājās, piedāvājuma un pieprasījuma pusēm līdzsvarojoties, kas ietekmēj</w:t>
      </w:r>
      <w:r w:rsidR="00637E49">
        <w:rPr>
          <w:rFonts w:ascii="Times New Roman" w:eastAsia="Times New Roman" w:hAnsi="Times New Roman" w:cs="Times New Roman"/>
          <w:sz w:val="24"/>
          <w:szCs w:val="23"/>
          <w:lang w:eastAsia="lv-LV"/>
        </w:rPr>
        <w:t>a cenas paaugstinošā virzienā.</w:t>
      </w:r>
    </w:p>
    <w:p w:rsidR="00B45C68" w:rsidRPr="009C058E" w:rsidRDefault="00B45C68" w:rsidP="00003899">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9C058E">
        <w:rPr>
          <w:rFonts w:ascii="Times New Roman" w:eastAsia="Times New Roman" w:hAnsi="Times New Roman" w:cs="Times New Roman"/>
          <w:sz w:val="24"/>
          <w:szCs w:val="23"/>
          <w:lang w:eastAsia="lv-LV"/>
        </w:rPr>
        <w:t xml:space="preserve">Patēriņa cenu kāpumu pērnajā gadā ietekmēja arī būtisks degvielas cenu pieaugums par 8,3%. Izteikts degvielas cenu kāpums bija fiksēts tieši gada sākumā, kad gada pirmajā ceturksnī degviela bija par 17,3% dārgāka nekā iepriekšējā gada attiecīgajā periodā. </w:t>
      </w:r>
      <w:r>
        <w:rPr>
          <w:rFonts w:ascii="Times New Roman" w:eastAsia="Times New Roman" w:hAnsi="Times New Roman" w:cs="Times New Roman"/>
          <w:sz w:val="24"/>
          <w:szCs w:val="23"/>
          <w:lang w:eastAsia="lv-LV"/>
        </w:rPr>
        <w:t>T</w:t>
      </w:r>
      <w:r w:rsidRPr="009C058E">
        <w:rPr>
          <w:rFonts w:ascii="Times New Roman" w:eastAsia="Times New Roman" w:hAnsi="Times New Roman" w:cs="Times New Roman"/>
          <w:sz w:val="24"/>
          <w:szCs w:val="23"/>
          <w:lang w:eastAsia="lv-LV"/>
        </w:rPr>
        <w:t>urpmākajos mēnešos degvielas cenu pieaugums mazinājās</w:t>
      </w:r>
      <w:r>
        <w:rPr>
          <w:rFonts w:ascii="Times New Roman" w:eastAsia="Times New Roman" w:hAnsi="Times New Roman" w:cs="Times New Roman"/>
          <w:sz w:val="24"/>
          <w:szCs w:val="23"/>
          <w:lang w:eastAsia="lv-LV"/>
        </w:rPr>
        <w:t>,</w:t>
      </w:r>
      <w:r w:rsidRPr="009C058E">
        <w:rPr>
          <w:rFonts w:ascii="Times New Roman" w:eastAsia="Times New Roman" w:hAnsi="Times New Roman" w:cs="Times New Roman"/>
          <w:sz w:val="24"/>
          <w:szCs w:val="23"/>
          <w:lang w:eastAsia="lv-LV"/>
        </w:rPr>
        <w:t xml:space="preserve"> un decembrī gada kāpums bija jau</w:t>
      </w:r>
      <w:r>
        <w:rPr>
          <w:rFonts w:ascii="Times New Roman" w:eastAsia="Times New Roman" w:hAnsi="Times New Roman" w:cs="Times New Roman"/>
          <w:sz w:val="24"/>
          <w:szCs w:val="23"/>
          <w:lang w:eastAsia="lv-LV"/>
        </w:rPr>
        <w:t xml:space="preserve"> vairs tikai</w:t>
      </w:r>
      <w:r w:rsidRPr="009C058E">
        <w:rPr>
          <w:rFonts w:ascii="Times New Roman" w:eastAsia="Times New Roman" w:hAnsi="Times New Roman" w:cs="Times New Roman"/>
          <w:sz w:val="24"/>
          <w:szCs w:val="23"/>
          <w:lang w:eastAsia="lv-LV"/>
        </w:rPr>
        <w:t xml:space="preserve"> 4,8%. Ja 2016.gadā vidēj</w:t>
      </w:r>
      <w:r>
        <w:rPr>
          <w:rFonts w:ascii="Times New Roman" w:eastAsia="Times New Roman" w:hAnsi="Times New Roman" w:cs="Times New Roman"/>
          <w:sz w:val="24"/>
          <w:szCs w:val="23"/>
          <w:lang w:eastAsia="lv-LV"/>
        </w:rPr>
        <w:t>ā</w:t>
      </w:r>
      <w:r w:rsidRPr="009C058E">
        <w:rPr>
          <w:rFonts w:ascii="Times New Roman" w:eastAsia="Times New Roman" w:hAnsi="Times New Roman" w:cs="Times New Roman"/>
          <w:sz w:val="24"/>
          <w:szCs w:val="23"/>
          <w:lang w:eastAsia="lv-LV"/>
        </w:rPr>
        <w:t xml:space="preserve"> naftas cena par vienu barelu bija 43,5 ASV dolāri, tad 2017.gadā vidēj</w:t>
      </w:r>
      <w:r>
        <w:rPr>
          <w:rFonts w:ascii="Times New Roman" w:eastAsia="Times New Roman" w:hAnsi="Times New Roman" w:cs="Times New Roman"/>
          <w:sz w:val="24"/>
          <w:szCs w:val="23"/>
          <w:lang w:eastAsia="lv-LV"/>
        </w:rPr>
        <w:t>ā</w:t>
      </w:r>
      <w:r w:rsidRPr="009C058E">
        <w:rPr>
          <w:rFonts w:ascii="Times New Roman" w:eastAsia="Times New Roman" w:hAnsi="Times New Roman" w:cs="Times New Roman"/>
          <w:sz w:val="24"/>
          <w:szCs w:val="23"/>
          <w:lang w:eastAsia="lv-LV"/>
        </w:rPr>
        <w:t xml:space="preserve"> cena palielinā</w:t>
      </w:r>
      <w:r>
        <w:rPr>
          <w:rFonts w:ascii="Times New Roman" w:eastAsia="Times New Roman" w:hAnsi="Times New Roman" w:cs="Times New Roman"/>
          <w:sz w:val="24"/>
          <w:szCs w:val="23"/>
          <w:lang w:eastAsia="lv-LV"/>
        </w:rPr>
        <w:t>jusies</w:t>
      </w:r>
      <w:r w:rsidRPr="009C058E">
        <w:rPr>
          <w:rFonts w:ascii="Times New Roman" w:eastAsia="Times New Roman" w:hAnsi="Times New Roman" w:cs="Times New Roman"/>
          <w:sz w:val="24"/>
          <w:szCs w:val="23"/>
          <w:lang w:eastAsia="lv-LV"/>
        </w:rPr>
        <w:t xml:space="preserve"> līdz 53,3 ASV dolāriem par barelu, tādējādi tas tiešā veidā ietekmēja degvielas cenas arī Latvijā. Jāatzīmē, ka 2017.gadā degvielas cenas palielinājās pirmo reizi kopš 2013.gada, bet vēl aptuveni </w:t>
      </w:r>
      <w:r>
        <w:rPr>
          <w:rFonts w:ascii="Times New Roman" w:eastAsia="Times New Roman" w:hAnsi="Times New Roman" w:cs="Times New Roman"/>
          <w:sz w:val="24"/>
          <w:szCs w:val="23"/>
          <w:lang w:eastAsia="lv-LV"/>
        </w:rPr>
        <w:t xml:space="preserve">par </w:t>
      </w:r>
      <w:r w:rsidRPr="009C058E">
        <w:rPr>
          <w:rFonts w:ascii="Times New Roman" w:eastAsia="Times New Roman" w:hAnsi="Times New Roman" w:cs="Times New Roman"/>
          <w:sz w:val="24"/>
          <w:szCs w:val="23"/>
          <w:lang w:eastAsia="lv-LV"/>
        </w:rPr>
        <w:t xml:space="preserve">20% atpaliek no vēsturiski augstākās degvielas cenas, kura bija fiksēta 2012.gadā. </w:t>
      </w:r>
    </w:p>
    <w:p w:rsidR="00B45C68" w:rsidRPr="009C058E" w:rsidRDefault="00B45C68" w:rsidP="00003899">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9C058E">
        <w:rPr>
          <w:rFonts w:ascii="Times New Roman" w:eastAsia="Times New Roman" w:hAnsi="Times New Roman" w:cs="Times New Roman"/>
          <w:sz w:val="24"/>
          <w:szCs w:val="23"/>
          <w:lang w:eastAsia="lv-LV"/>
        </w:rPr>
        <w:t>2017.gada laikā izteiktu augšup</w:t>
      </w:r>
      <w:r w:rsidR="00FC4AA3">
        <w:rPr>
          <w:rFonts w:ascii="Times New Roman" w:eastAsia="Times New Roman" w:hAnsi="Times New Roman" w:cs="Times New Roman"/>
          <w:sz w:val="24"/>
          <w:szCs w:val="23"/>
          <w:lang w:eastAsia="lv-LV"/>
        </w:rPr>
        <w:t xml:space="preserve"> </w:t>
      </w:r>
      <w:r w:rsidRPr="009C058E">
        <w:rPr>
          <w:rFonts w:ascii="Times New Roman" w:eastAsia="Times New Roman" w:hAnsi="Times New Roman" w:cs="Times New Roman"/>
          <w:sz w:val="24"/>
          <w:szCs w:val="23"/>
          <w:lang w:eastAsia="lv-LV"/>
        </w:rPr>
        <w:t>vērstu tendenci cenu pārmaiņās radīja būtisk</w:t>
      </w:r>
      <w:r>
        <w:rPr>
          <w:rFonts w:ascii="Times New Roman" w:eastAsia="Times New Roman" w:hAnsi="Times New Roman" w:cs="Times New Roman"/>
          <w:sz w:val="24"/>
          <w:szCs w:val="23"/>
          <w:lang w:eastAsia="lv-LV"/>
        </w:rPr>
        <w:t>ai</w:t>
      </w:r>
      <w:r w:rsidRPr="009C058E">
        <w:rPr>
          <w:rFonts w:ascii="Times New Roman" w:eastAsia="Times New Roman" w:hAnsi="Times New Roman" w:cs="Times New Roman"/>
          <w:sz w:val="24"/>
          <w:szCs w:val="23"/>
          <w:lang w:eastAsia="lv-LV"/>
        </w:rPr>
        <w:t xml:space="preserve">s apdrošināšanas pakalpojumu cenu pieaugums par 28,6%, ko galvenokārt noteica transportlīdzekļu īpašnieku civiltiesiskās atbildības obligātās apdrošināšanas </w:t>
      </w:r>
      <w:r>
        <w:rPr>
          <w:rFonts w:ascii="Times New Roman" w:eastAsia="Times New Roman" w:hAnsi="Times New Roman" w:cs="Times New Roman"/>
          <w:sz w:val="24"/>
          <w:szCs w:val="23"/>
          <w:lang w:eastAsia="lv-LV"/>
        </w:rPr>
        <w:t xml:space="preserve">cenu pieaugums. Turklāt stabils cenu pieaugums visa </w:t>
      </w:r>
      <w:r w:rsidRPr="009C058E">
        <w:rPr>
          <w:rFonts w:ascii="Times New Roman" w:eastAsia="Times New Roman" w:hAnsi="Times New Roman" w:cs="Times New Roman"/>
          <w:sz w:val="24"/>
          <w:szCs w:val="23"/>
          <w:lang w:eastAsia="lv-LV"/>
        </w:rPr>
        <w:t>pērnā gada garumā bija fiksēts telekomunikāciju, veselības aprūpe</w:t>
      </w:r>
      <w:r>
        <w:rPr>
          <w:rFonts w:ascii="Times New Roman" w:eastAsia="Times New Roman" w:hAnsi="Times New Roman" w:cs="Times New Roman"/>
          <w:sz w:val="24"/>
          <w:szCs w:val="23"/>
          <w:lang w:eastAsia="lv-LV"/>
        </w:rPr>
        <w:t>s un ēdināšanas pakalpojumiem.</w:t>
      </w:r>
    </w:p>
    <w:p w:rsidR="00B45C68" w:rsidRDefault="00B45C68" w:rsidP="00003899">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9C058E">
        <w:rPr>
          <w:rFonts w:ascii="Times New Roman" w:eastAsia="Times New Roman" w:hAnsi="Times New Roman" w:cs="Times New Roman"/>
          <w:sz w:val="24"/>
          <w:szCs w:val="23"/>
          <w:lang w:eastAsia="lv-LV"/>
        </w:rPr>
        <w:t>Pērnajā gadā notikušās nodokļu izmaiņa</w:t>
      </w:r>
      <w:r>
        <w:rPr>
          <w:rFonts w:ascii="Times New Roman" w:eastAsia="Times New Roman" w:hAnsi="Times New Roman" w:cs="Times New Roman"/>
          <w:sz w:val="24"/>
          <w:szCs w:val="23"/>
          <w:lang w:eastAsia="lv-LV"/>
        </w:rPr>
        <w:t>s arī radījušas nelielu papildu</w:t>
      </w:r>
      <w:r w:rsidRPr="009C058E">
        <w:rPr>
          <w:rFonts w:ascii="Times New Roman" w:eastAsia="Times New Roman" w:hAnsi="Times New Roman" w:cs="Times New Roman"/>
          <w:sz w:val="24"/>
          <w:szCs w:val="23"/>
          <w:lang w:eastAsia="lv-LV"/>
        </w:rPr>
        <w:t xml:space="preserve"> inflācijas efektu. Pēc FM aprēķiniem, apmēram 0,3 procentpunkt</w:t>
      </w:r>
      <w:r>
        <w:rPr>
          <w:rFonts w:ascii="Times New Roman" w:eastAsia="Times New Roman" w:hAnsi="Times New Roman" w:cs="Times New Roman"/>
          <w:sz w:val="24"/>
          <w:szCs w:val="23"/>
          <w:lang w:eastAsia="lv-LV"/>
        </w:rPr>
        <w:t>us</w:t>
      </w:r>
      <w:r w:rsidRPr="009C058E">
        <w:rPr>
          <w:rFonts w:ascii="Times New Roman" w:eastAsia="Times New Roman" w:hAnsi="Times New Roman" w:cs="Times New Roman"/>
          <w:sz w:val="24"/>
          <w:szCs w:val="23"/>
          <w:lang w:eastAsia="lv-LV"/>
        </w:rPr>
        <w:t xml:space="preserve"> no patēriņa cenu kāpuma 2017. gadā </w:t>
      </w:r>
      <w:r>
        <w:rPr>
          <w:rFonts w:ascii="Times New Roman" w:eastAsia="Times New Roman" w:hAnsi="Times New Roman" w:cs="Times New Roman"/>
          <w:sz w:val="24"/>
          <w:szCs w:val="23"/>
          <w:lang w:eastAsia="lv-LV"/>
        </w:rPr>
        <w:t>deva</w:t>
      </w:r>
      <w:r w:rsidRPr="009C058E">
        <w:rPr>
          <w:rFonts w:ascii="Times New Roman" w:eastAsia="Times New Roman" w:hAnsi="Times New Roman" w:cs="Times New Roman"/>
          <w:sz w:val="24"/>
          <w:szCs w:val="23"/>
          <w:lang w:eastAsia="lv-LV"/>
        </w:rPr>
        <w:t xml:space="preserve"> </w:t>
      </w:r>
      <w:r>
        <w:rPr>
          <w:rFonts w:ascii="Times New Roman" w:eastAsia="Times New Roman" w:hAnsi="Times New Roman" w:cs="Times New Roman"/>
          <w:sz w:val="24"/>
          <w:szCs w:val="23"/>
          <w:lang w:eastAsia="lv-LV"/>
        </w:rPr>
        <w:t xml:space="preserve"> akcīzes nodokļu izmaiņas</w:t>
      </w:r>
      <w:r w:rsidRPr="009C058E">
        <w:rPr>
          <w:rFonts w:ascii="Times New Roman" w:eastAsia="Times New Roman" w:hAnsi="Times New Roman" w:cs="Times New Roman"/>
          <w:sz w:val="24"/>
          <w:szCs w:val="23"/>
          <w:lang w:eastAsia="lv-LV"/>
        </w:rPr>
        <w:t xml:space="preserve"> alkoholiskajiem </w:t>
      </w:r>
      <w:r>
        <w:rPr>
          <w:rFonts w:ascii="Times New Roman" w:eastAsia="Times New Roman" w:hAnsi="Times New Roman" w:cs="Times New Roman"/>
          <w:sz w:val="24"/>
          <w:szCs w:val="23"/>
          <w:lang w:eastAsia="lv-LV"/>
        </w:rPr>
        <w:t xml:space="preserve">dzērieniem un cigaretēm, kā arī </w:t>
      </w:r>
      <w:r w:rsidRPr="009C058E">
        <w:rPr>
          <w:rFonts w:ascii="Times New Roman" w:eastAsia="Times New Roman" w:hAnsi="Times New Roman" w:cs="Times New Roman"/>
          <w:sz w:val="24"/>
          <w:szCs w:val="23"/>
          <w:lang w:eastAsia="lv-LV"/>
        </w:rPr>
        <w:t>21% PVN likmes piemērošan</w:t>
      </w:r>
      <w:r>
        <w:rPr>
          <w:rFonts w:ascii="Times New Roman" w:eastAsia="Times New Roman" w:hAnsi="Times New Roman" w:cs="Times New Roman"/>
          <w:sz w:val="24"/>
          <w:szCs w:val="23"/>
          <w:lang w:eastAsia="lv-LV"/>
        </w:rPr>
        <w:t>a</w:t>
      </w:r>
      <w:r w:rsidRPr="009C058E">
        <w:rPr>
          <w:rFonts w:ascii="Times New Roman" w:eastAsia="Times New Roman" w:hAnsi="Times New Roman" w:cs="Times New Roman"/>
          <w:sz w:val="24"/>
          <w:szCs w:val="23"/>
          <w:lang w:eastAsia="lv-LV"/>
        </w:rPr>
        <w:t xml:space="preserve"> namu apsaimniekotā</w:t>
      </w:r>
      <w:r>
        <w:rPr>
          <w:rFonts w:ascii="Times New Roman" w:eastAsia="Times New Roman" w:hAnsi="Times New Roman" w:cs="Times New Roman"/>
          <w:sz w:val="24"/>
          <w:szCs w:val="23"/>
          <w:lang w:eastAsia="lv-LV"/>
        </w:rPr>
        <w:t>jiem. Pievienotā</w:t>
      </w:r>
      <w:r w:rsidRPr="009C058E">
        <w:rPr>
          <w:rFonts w:ascii="Times New Roman" w:eastAsia="Times New Roman" w:hAnsi="Times New Roman" w:cs="Times New Roman"/>
          <w:sz w:val="24"/>
          <w:szCs w:val="23"/>
          <w:lang w:eastAsia="lv-LV"/>
        </w:rPr>
        <w:t xml:space="preserve">s vērtības nodoklis namu apsaimniekotājiem </w:t>
      </w:r>
      <w:r>
        <w:rPr>
          <w:rFonts w:ascii="Times New Roman" w:eastAsia="Times New Roman" w:hAnsi="Times New Roman" w:cs="Times New Roman"/>
          <w:sz w:val="24"/>
          <w:szCs w:val="23"/>
          <w:lang w:eastAsia="lv-LV"/>
        </w:rPr>
        <w:t>tika ieviests no 2016.gada</w:t>
      </w:r>
      <w:r w:rsidRPr="009C058E">
        <w:rPr>
          <w:rFonts w:ascii="Times New Roman" w:eastAsia="Times New Roman" w:hAnsi="Times New Roman" w:cs="Times New Roman"/>
          <w:sz w:val="24"/>
          <w:szCs w:val="23"/>
          <w:lang w:eastAsia="lv-LV"/>
        </w:rPr>
        <w:t xml:space="preserve"> 1.jūlij</w:t>
      </w:r>
      <w:r>
        <w:rPr>
          <w:rFonts w:ascii="Times New Roman" w:eastAsia="Times New Roman" w:hAnsi="Times New Roman" w:cs="Times New Roman"/>
          <w:sz w:val="24"/>
          <w:szCs w:val="23"/>
          <w:lang w:eastAsia="lv-LV"/>
        </w:rPr>
        <w:t>a</w:t>
      </w:r>
      <w:r w:rsidRPr="009C058E">
        <w:rPr>
          <w:rFonts w:ascii="Times New Roman" w:eastAsia="Times New Roman" w:hAnsi="Times New Roman" w:cs="Times New Roman"/>
          <w:sz w:val="24"/>
          <w:szCs w:val="23"/>
          <w:lang w:eastAsia="lv-LV"/>
        </w:rPr>
        <w:t>, līdz ar to paaugstinoša ietekme uz inflāciju bija novēroja</w:t>
      </w:r>
      <w:r w:rsidR="0003162E">
        <w:rPr>
          <w:rFonts w:ascii="Times New Roman" w:eastAsia="Times New Roman" w:hAnsi="Times New Roman" w:cs="Times New Roman"/>
          <w:sz w:val="24"/>
          <w:szCs w:val="23"/>
          <w:lang w:eastAsia="lv-LV"/>
        </w:rPr>
        <w:t>ma arī pērnā gada pirmajā pusē.</w:t>
      </w:r>
    </w:p>
    <w:p w:rsidR="0003162E" w:rsidRPr="00D316B2" w:rsidRDefault="009C70FA" w:rsidP="00FB62BB">
      <w:pPr>
        <w:tabs>
          <w:tab w:val="left" w:pos="5787"/>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2018.</w:t>
      </w:r>
      <w:r w:rsidR="0003162E" w:rsidRPr="00D316B2">
        <w:rPr>
          <w:rFonts w:ascii="Times New Roman" w:eastAsia="Calibri" w:hAnsi="Times New Roman" w:cs="Times New Roman"/>
          <w:sz w:val="24"/>
          <w:szCs w:val="24"/>
        </w:rPr>
        <w:t xml:space="preserve">gada janvārī un februārī </w:t>
      </w:r>
      <w:r w:rsidR="0003162E" w:rsidRPr="00D316B2">
        <w:rPr>
          <w:rFonts w:ascii="Times New Roman" w:eastAsia="Calibri" w:hAnsi="Times New Roman" w:cs="Times New Roman"/>
          <w:color w:val="000000"/>
          <w:sz w:val="24"/>
          <w:szCs w:val="24"/>
          <w:lang w:eastAsia="lv-LV"/>
        </w:rPr>
        <w:t xml:space="preserve">patēriņa cenas pieauga attiecīgi par 2,0% un 1,8% salīdzinājumā ar 2017.gada attiecīgo periodu. </w:t>
      </w:r>
      <w:r w:rsidR="0003162E">
        <w:rPr>
          <w:rFonts w:ascii="Times New Roman" w:eastAsia="Calibri" w:hAnsi="Times New Roman" w:cs="Times New Roman"/>
          <w:sz w:val="24"/>
          <w:szCs w:val="24"/>
        </w:rPr>
        <w:t>Zīmīgi, ka atšķirībā</w:t>
      </w:r>
      <w:r w:rsidR="0003162E" w:rsidRPr="00D316B2">
        <w:rPr>
          <w:rFonts w:ascii="Times New Roman" w:eastAsia="Calibri" w:hAnsi="Times New Roman" w:cs="Times New Roman"/>
          <w:sz w:val="24"/>
          <w:szCs w:val="24"/>
        </w:rPr>
        <w:t xml:space="preserve"> no iepriekšējā gada tendencēm, kad patēriņa cenu pieaugumu noteica galvenokārt pārt</w:t>
      </w:r>
      <w:r w:rsidR="0003162E">
        <w:rPr>
          <w:rFonts w:ascii="Times New Roman" w:eastAsia="Calibri" w:hAnsi="Times New Roman" w:cs="Times New Roman"/>
          <w:sz w:val="24"/>
          <w:szCs w:val="24"/>
        </w:rPr>
        <w:t>ikas cenu kāpums, tad šā gada sā</w:t>
      </w:r>
      <w:r w:rsidR="0003162E" w:rsidRPr="00D316B2">
        <w:rPr>
          <w:rFonts w:ascii="Times New Roman" w:eastAsia="Calibri" w:hAnsi="Times New Roman" w:cs="Times New Roman"/>
          <w:sz w:val="24"/>
          <w:szCs w:val="24"/>
        </w:rPr>
        <w:t>kumā cenu izmaiņu struktūra ir sabalansētāka starp pārtik</w:t>
      </w:r>
      <w:r w:rsidR="0003162E">
        <w:rPr>
          <w:rFonts w:ascii="Times New Roman" w:eastAsia="Calibri" w:hAnsi="Times New Roman" w:cs="Times New Roman"/>
          <w:sz w:val="24"/>
          <w:szCs w:val="24"/>
        </w:rPr>
        <w:t xml:space="preserve">as, energoresursu un atsevišķu </w:t>
      </w:r>
      <w:r w:rsidR="0003162E" w:rsidRPr="00D316B2">
        <w:rPr>
          <w:rFonts w:ascii="Times New Roman" w:eastAsia="Calibri" w:hAnsi="Times New Roman" w:cs="Times New Roman"/>
          <w:sz w:val="24"/>
          <w:szCs w:val="24"/>
        </w:rPr>
        <w:t xml:space="preserve">biznesa (komerciālo) pakalpojumu </w:t>
      </w:r>
      <w:r w:rsidR="0003162E">
        <w:rPr>
          <w:rFonts w:ascii="Times New Roman" w:eastAsia="Calibri" w:hAnsi="Times New Roman" w:cs="Times New Roman"/>
          <w:sz w:val="24"/>
          <w:szCs w:val="24"/>
        </w:rPr>
        <w:t>cenu pieaugumu</w:t>
      </w:r>
      <w:r w:rsidR="0003162E" w:rsidRPr="00D316B2">
        <w:rPr>
          <w:rFonts w:ascii="Times New Roman" w:eastAsia="Calibri" w:hAnsi="Times New Roman" w:cs="Times New Roman"/>
          <w:sz w:val="24"/>
          <w:szCs w:val="24"/>
        </w:rPr>
        <w:t>.</w:t>
      </w:r>
    </w:p>
    <w:p w:rsidR="0003162E" w:rsidRPr="00D316B2" w:rsidRDefault="0003162E" w:rsidP="00FB62BB">
      <w:pPr>
        <w:tabs>
          <w:tab w:val="left" w:pos="5787"/>
        </w:tabs>
        <w:spacing w:after="0" w:line="240" w:lineRule="auto"/>
        <w:ind w:firstLine="709"/>
        <w:jc w:val="both"/>
        <w:rPr>
          <w:rFonts w:ascii="Times New Roman" w:eastAsia="Calibri" w:hAnsi="Times New Roman" w:cs="Times New Roman"/>
          <w:sz w:val="24"/>
          <w:szCs w:val="24"/>
        </w:rPr>
      </w:pPr>
      <w:r w:rsidRPr="00D316B2">
        <w:rPr>
          <w:rFonts w:ascii="Times New Roman" w:eastAsia="Calibri" w:hAnsi="Times New Roman" w:cs="Times New Roman"/>
          <w:sz w:val="24"/>
          <w:szCs w:val="24"/>
        </w:rPr>
        <w:t>Pārtikas cenas š</w:t>
      </w:r>
      <w:r>
        <w:rPr>
          <w:rFonts w:ascii="Times New Roman" w:eastAsia="Calibri" w:hAnsi="Times New Roman" w:cs="Times New Roman"/>
          <w:sz w:val="24"/>
          <w:szCs w:val="24"/>
        </w:rPr>
        <w:t>ā gada</w:t>
      </w:r>
      <w:r w:rsidRPr="00D316B2">
        <w:rPr>
          <w:rFonts w:ascii="Times New Roman" w:eastAsia="Calibri" w:hAnsi="Times New Roman" w:cs="Times New Roman"/>
          <w:sz w:val="24"/>
          <w:szCs w:val="24"/>
        </w:rPr>
        <w:t xml:space="preserve"> janvārī gada laikā palielinājās par 2,2% un par 1,3% februārī. Pārtikas preču cenu pieaugumu noteica gaļas, piena un eļļas izstrādājumu, it īpaši sviesta</w:t>
      </w:r>
      <w:r>
        <w:rPr>
          <w:rFonts w:ascii="Times New Roman" w:eastAsia="Calibri" w:hAnsi="Times New Roman" w:cs="Times New Roman"/>
          <w:sz w:val="24"/>
          <w:szCs w:val="24"/>
        </w:rPr>
        <w:t>,</w:t>
      </w:r>
      <w:r w:rsidRPr="00D316B2">
        <w:rPr>
          <w:rFonts w:ascii="Times New Roman" w:eastAsia="Calibri" w:hAnsi="Times New Roman" w:cs="Times New Roman"/>
          <w:sz w:val="24"/>
          <w:szCs w:val="24"/>
        </w:rPr>
        <w:t xml:space="preserve"> cenu kāpums. Tajā pašā laikā dārzeņu un cukura cenas samazinājās. Jāatzīmē, ka gaļas, piena un e</w:t>
      </w:r>
      <w:r>
        <w:rPr>
          <w:rFonts w:ascii="Times New Roman" w:eastAsia="Calibri" w:hAnsi="Times New Roman" w:cs="Times New Roman"/>
          <w:sz w:val="24"/>
          <w:szCs w:val="24"/>
        </w:rPr>
        <w:t>ļļas izstrādājumu cenu pieaugum</w:t>
      </w:r>
      <w:r w:rsidRPr="00D316B2">
        <w:rPr>
          <w:rFonts w:ascii="Times New Roman" w:eastAsia="Calibri" w:hAnsi="Times New Roman" w:cs="Times New Roman"/>
          <w:sz w:val="24"/>
          <w:szCs w:val="24"/>
        </w:rPr>
        <w:t>s š</w:t>
      </w:r>
      <w:r>
        <w:rPr>
          <w:rFonts w:ascii="Times New Roman" w:eastAsia="Calibri" w:hAnsi="Times New Roman" w:cs="Times New Roman"/>
          <w:sz w:val="24"/>
          <w:szCs w:val="24"/>
        </w:rPr>
        <w:t>ā gada</w:t>
      </w:r>
      <w:r w:rsidRPr="00D316B2">
        <w:rPr>
          <w:rFonts w:ascii="Times New Roman" w:eastAsia="Calibri" w:hAnsi="Times New Roman" w:cs="Times New Roman"/>
          <w:sz w:val="24"/>
          <w:szCs w:val="24"/>
        </w:rPr>
        <w:t xml:space="preserve"> sākumā ir pērnā gada augstā cenu pieauguma atskaņas. Sasniegtās augstās bāzes dēļ pērnā gadā beigās, arī š</w:t>
      </w:r>
      <w:r>
        <w:rPr>
          <w:rFonts w:ascii="Times New Roman" w:eastAsia="Calibri" w:hAnsi="Times New Roman" w:cs="Times New Roman"/>
          <w:sz w:val="24"/>
          <w:szCs w:val="24"/>
        </w:rPr>
        <w:t>ā gada</w:t>
      </w:r>
      <w:r w:rsidRPr="00D316B2">
        <w:rPr>
          <w:rFonts w:ascii="Times New Roman" w:eastAsia="Calibri" w:hAnsi="Times New Roman" w:cs="Times New Roman"/>
          <w:sz w:val="24"/>
          <w:szCs w:val="24"/>
        </w:rPr>
        <w:t xml:space="preserve"> pirmajos divos mēnešos un visticamāk arī turpmākajos mēnešos gaļas, piena un eļļas izstrādājumu cenas gada izteiksmē turpinās palielināties. Taču jāatzīmē, ka pārtikas produktu cenu spiediens uz vidējo inflāciju līdz š</w:t>
      </w:r>
      <w:r>
        <w:rPr>
          <w:rFonts w:ascii="Times New Roman" w:eastAsia="Calibri" w:hAnsi="Times New Roman" w:cs="Times New Roman"/>
          <w:sz w:val="24"/>
          <w:szCs w:val="24"/>
        </w:rPr>
        <w:t>ā</w:t>
      </w:r>
      <w:r w:rsidRPr="00D316B2">
        <w:rPr>
          <w:rFonts w:ascii="Times New Roman" w:eastAsia="Calibri" w:hAnsi="Times New Roman" w:cs="Times New Roman"/>
          <w:sz w:val="24"/>
          <w:szCs w:val="24"/>
        </w:rPr>
        <w:t xml:space="preserve"> gada vidum mazināsies. Arī šogad pārtikas cenu izmaiņas </w:t>
      </w:r>
      <w:r>
        <w:rPr>
          <w:rFonts w:ascii="Times New Roman" w:eastAsia="Calibri" w:hAnsi="Times New Roman" w:cs="Times New Roman"/>
          <w:sz w:val="24"/>
          <w:szCs w:val="24"/>
        </w:rPr>
        <w:t>nosaka</w:t>
      </w:r>
      <w:r w:rsidRPr="00D316B2">
        <w:rPr>
          <w:rFonts w:ascii="Times New Roman" w:eastAsia="Calibri" w:hAnsi="Times New Roman" w:cs="Times New Roman"/>
          <w:sz w:val="24"/>
          <w:szCs w:val="24"/>
        </w:rPr>
        <w:t xml:space="preserve"> tendences pasaules tirgos un, spriežot pēc ANO Pārtikas un lauksaimniecības organizācijas datiem par neapstrādā</w:t>
      </w:r>
      <w:r>
        <w:rPr>
          <w:rFonts w:ascii="Times New Roman" w:eastAsia="Calibri" w:hAnsi="Times New Roman" w:cs="Times New Roman"/>
          <w:sz w:val="24"/>
          <w:szCs w:val="24"/>
        </w:rPr>
        <w:t>tā</w:t>
      </w:r>
      <w:r w:rsidRPr="00D316B2">
        <w:rPr>
          <w:rFonts w:ascii="Times New Roman" w:eastAsia="Calibri" w:hAnsi="Times New Roman" w:cs="Times New Roman"/>
          <w:sz w:val="24"/>
          <w:szCs w:val="24"/>
        </w:rPr>
        <w:t>s pārtikas cenām pasaulē, pārtikas cenu indekss š</w:t>
      </w:r>
      <w:r>
        <w:rPr>
          <w:rFonts w:ascii="Times New Roman" w:eastAsia="Calibri" w:hAnsi="Times New Roman" w:cs="Times New Roman"/>
          <w:sz w:val="24"/>
          <w:szCs w:val="24"/>
        </w:rPr>
        <w:t>ā gada</w:t>
      </w:r>
      <w:r w:rsidRPr="00D316B2">
        <w:rPr>
          <w:rFonts w:ascii="Times New Roman" w:eastAsia="Calibri" w:hAnsi="Times New Roman" w:cs="Times New Roman"/>
          <w:sz w:val="24"/>
          <w:szCs w:val="24"/>
        </w:rPr>
        <w:t xml:space="preserve"> janvārī un februārī </w:t>
      </w:r>
      <w:r>
        <w:rPr>
          <w:rFonts w:ascii="Times New Roman" w:eastAsia="Calibri" w:hAnsi="Times New Roman" w:cs="Times New Roman"/>
          <w:sz w:val="24"/>
          <w:szCs w:val="24"/>
        </w:rPr>
        <w:t>samazinājās</w:t>
      </w:r>
      <w:r w:rsidRPr="00D316B2">
        <w:rPr>
          <w:rFonts w:ascii="Times New Roman" w:eastAsia="Calibri" w:hAnsi="Times New Roman" w:cs="Times New Roman"/>
          <w:sz w:val="24"/>
          <w:szCs w:val="24"/>
        </w:rPr>
        <w:t xml:space="preserve"> attiecīgi par 3,2% un 2,7%, </w:t>
      </w:r>
      <w:r>
        <w:rPr>
          <w:rFonts w:ascii="Times New Roman" w:eastAsia="Calibri" w:hAnsi="Times New Roman" w:cs="Times New Roman"/>
          <w:sz w:val="24"/>
          <w:szCs w:val="24"/>
        </w:rPr>
        <w:t>krītoties</w:t>
      </w:r>
      <w:r w:rsidRPr="00D316B2">
        <w:rPr>
          <w:rFonts w:ascii="Times New Roman" w:eastAsia="Calibri" w:hAnsi="Times New Roman" w:cs="Times New Roman"/>
          <w:sz w:val="24"/>
          <w:szCs w:val="24"/>
        </w:rPr>
        <w:t xml:space="preserve"> galvenokārt, cukura, piena un eļļas izstrādājumu cenai. Ar laik</w:t>
      </w:r>
      <w:r>
        <w:rPr>
          <w:rFonts w:ascii="Times New Roman" w:eastAsia="Calibri" w:hAnsi="Times New Roman" w:cs="Times New Roman"/>
          <w:sz w:val="24"/>
          <w:szCs w:val="24"/>
        </w:rPr>
        <w:t>a</w:t>
      </w:r>
      <w:r w:rsidRPr="00D316B2">
        <w:rPr>
          <w:rFonts w:ascii="Times New Roman" w:eastAsia="Calibri" w:hAnsi="Times New Roman" w:cs="Times New Roman"/>
          <w:sz w:val="24"/>
          <w:szCs w:val="24"/>
        </w:rPr>
        <w:t xml:space="preserve"> nobīdi līdzīgu tendenci varēs novērot arī Latvijā. Pārtikas cenu </w:t>
      </w:r>
      <w:r w:rsidRPr="00D316B2">
        <w:rPr>
          <w:rFonts w:ascii="Times New Roman" w:eastAsia="Calibri" w:hAnsi="Times New Roman" w:cs="Times New Roman"/>
          <w:sz w:val="24"/>
          <w:szCs w:val="24"/>
        </w:rPr>
        <w:lastRenderedPageBreak/>
        <w:t>stabilizāciju atspoguļo tas, ka, salīdzinot ar iepriekšējo mēnesi, decembrī un janvārī pārt</w:t>
      </w:r>
      <w:r>
        <w:rPr>
          <w:rFonts w:ascii="Times New Roman" w:eastAsia="Calibri" w:hAnsi="Times New Roman" w:cs="Times New Roman"/>
          <w:sz w:val="24"/>
          <w:szCs w:val="24"/>
        </w:rPr>
        <w:t>ikas cenas kopumā praktiski ne</w:t>
      </w:r>
      <w:r w:rsidRPr="00D316B2">
        <w:rPr>
          <w:rFonts w:ascii="Times New Roman" w:eastAsia="Calibri" w:hAnsi="Times New Roman" w:cs="Times New Roman"/>
          <w:sz w:val="24"/>
          <w:szCs w:val="24"/>
        </w:rPr>
        <w:t xml:space="preserve">mainījās. </w:t>
      </w:r>
    </w:p>
    <w:p w:rsidR="00B45C68" w:rsidRPr="00D316B2" w:rsidRDefault="00003899" w:rsidP="00B45C68">
      <w:pPr>
        <w:spacing w:after="0" w:line="240" w:lineRule="auto"/>
        <w:jc w:val="center"/>
        <w:rPr>
          <w:rFonts w:ascii="Times New Roman" w:eastAsia="Calibri" w:hAnsi="Times New Roman" w:cs="Times New Roman"/>
          <w:sz w:val="24"/>
          <w:szCs w:val="24"/>
        </w:rPr>
      </w:pPr>
      <w:r w:rsidRPr="00D316B2">
        <w:rPr>
          <w:rFonts w:ascii="Times New Roman" w:eastAsia="Calibri" w:hAnsi="Times New Roman" w:cs="Times New Roman"/>
          <w:noProof/>
          <w:sz w:val="24"/>
          <w:szCs w:val="24"/>
          <w:lang w:eastAsia="lv-LV"/>
        </w:rPr>
        <w:drawing>
          <wp:inline distT="0" distB="0" distL="0" distR="0">
            <wp:extent cx="5667555" cy="3519170"/>
            <wp:effectExtent l="0" t="0" r="0" b="50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45C68">
        <w:rPr>
          <w:rFonts w:ascii="Times New Roman" w:eastAsia="Calibri" w:hAnsi="Times New Roman" w:cs="Times New Roman"/>
          <w:b/>
          <w:color w:val="000000"/>
          <w:sz w:val="24"/>
          <w:szCs w:val="24"/>
          <w:lang w:eastAsia="lv-LV"/>
        </w:rPr>
        <w:t>2.3.a</w:t>
      </w:r>
      <w:r w:rsidR="00B45C68" w:rsidRPr="00D316B2">
        <w:rPr>
          <w:rFonts w:ascii="Times New Roman" w:eastAsia="Calibri" w:hAnsi="Times New Roman" w:cs="Times New Roman"/>
          <w:b/>
          <w:color w:val="000000"/>
          <w:sz w:val="24"/>
          <w:szCs w:val="24"/>
          <w:lang w:eastAsia="lv-LV"/>
        </w:rPr>
        <w:t>ttēls. Gada inflācija pēc izcelsmes avota</w:t>
      </w:r>
      <w:r w:rsidR="00B45C68" w:rsidRPr="00D316B2">
        <w:rPr>
          <w:rFonts w:ascii="Times New Roman" w:eastAsia="Calibri" w:hAnsi="Times New Roman" w:cs="Times New Roman"/>
          <w:b/>
          <w:color w:val="000000"/>
          <w:sz w:val="24"/>
          <w:szCs w:val="24"/>
          <w:vertAlign w:val="superscript"/>
          <w:lang w:eastAsia="lv-LV"/>
        </w:rPr>
        <w:footnoteReference w:id="6"/>
      </w:r>
    </w:p>
    <w:p w:rsidR="00B45C68" w:rsidRPr="00D316B2" w:rsidRDefault="00B45C68" w:rsidP="00637E49">
      <w:pPr>
        <w:spacing w:before="120"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2018.gada sā</w:t>
      </w:r>
      <w:r w:rsidRPr="00D316B2">
        <w:rPr>
          <w:rFonts w:ascii="Times New Roman" w:eastAsia="Calibri" w:hAnsi="Times New Roman" w:cs="Times New Roman"/>
          <w:sz w:val="24"/>
          <w:szCs w:val="24"/>
        </w:rPr>
        <w:t xml:space="preserve">kumā turpināja palielināties arī ar energoresursiem saistīto preču un pakalpojumu cenas. Tā, saistībā </w:t>
      </w:r>
      <w:r>
        <w:rPr>
          <w:rFonts w:ascii="Times New Roman" w:eastAsia="Calibri" w:hAnsi="Times New Roman" w:cs="Times New Roman"/>
          <w:sz w:val="24"/>
          <w:szCs w:val="24"/>
        </w:rPr>
        <w:t xml:space="preserve">gan </w:t>
      </w:r>
      <w:r w:rsidRPr="00D316B2">
        <w:rPr>
          <w:rFonts w:ascii="Times New Roman" w:eastAsia="Calibri" w:hAnsi="Times New Roman" w:cs="Times New Roman"/>
          <w:sz w:val="24"/>
          <w:szCs w:val="24"/>
        </w:rPr>
        <w:t>ar augstākām naftas cenām pasaules tirgos, gan ar palielināto akcīzes nodokļa likmi degvielai</w:t>
      </w:r>
      <w:r>
        <w:rPr>
          <w:rFonts w:ascii="Times New Roman" w:eastAsia="Calibri" w:hAnsi="Times New Roman" w:cs="Times New Roman"/>
          <w:sz w:val="24"/>
          <w:szCs w:val="24"/>
        </w:rPr>
        <w:t>,</w:t>
      </w:r>
      <w:r w:rsidRPr="00D316B2">
        <w:rPr>
          <w:rFonts w:ascii="Times New Roman" w:eastAsia="Calibri" w:hAnsi="Times New Roman" w:cs="Times New Roman"/>
          <w:sz w:val="24"/>
          <w:szCs w:val="24"/>
        </w:rPr>
        <w:t xml:space="preserve"> sākot no š</w:t>
      </w:r>
      <w:r>
        <w:rPr>
          <w:rFonts w:ascii="Times New Roman" w:eastAsia="Calibri" w:hAnsi="Times New Roman" w:cs="Times New Roman"/>
          <w:sz w:val="24"/>
          <w:szCs w:val="24"/>
        </w:rPr>
        <w:t xml:space="preserve">ā gada </w:t>
      </w:r>
      <w:r w:rsidRPr="00D316B2">
        <w:rPr>
          <w:rFonts w:ascii="Times New Roman" w:eastAsia="Calibri" w:hAnsi="Times New Roman" w:cs="Times New Roman"/>
          <w:sz w:val="24"/>
          <w:szCs w:val="24"/>
        </w:rPr>
        <w:t xml:space="preserve">sākuma, </w:t>
      </w:r>
      <w:r>
        <w:rPr>
          <w:rFonts w:ascii="Times New Roman" w:eastAsia="Calibri" w:hAnsi="Times New Roman" w:cs="Times New Roman"/>
          <w:sz w:val="24"/>
          <w:szCs w:val="24"/>
        </w:rPr>
        <w:t xml:space="preserve">janvārī </w:t>
      </w:r>
      <w:r w:rsidRPr="00D316B2">
        <w:rPr>
          <w:rFonts w:ascii="Times New Roman" w:eastAsia="Calibri" w:hAnsi="Times New Roman" w:cs="Times New Roman"/>
          <w:sz w:val="24"/>
          <w:szCs w:val="24"/>
        </w:rPr>
        <w:t>degv</w:t>
      </w:r>
      <w:r>
        <w:rPr>
          <w:rFonts w:ascii="Times New Roman" w:eastAsia="Calibri" w:hAnsi="Times New Roman" w:cs="Times New Roman"/>
          <w:sz w:val="24"/>
          <w:szCs w:val="24"/>
        </w:rPr>
        <w:t>ielas cenas, salīdzinot ar 2017.</w:t>
      </w:r>
      <w:r w:rsidRPr="00D316B2">
        <w:rPr>
          <w:rFonts w:ascii="Times New Roman" w:eastAsia="Calibri" w:hAnsi="Times New Roman" w:cs="Times New Roman"/>
          <w:sz w:val="24"/>
          <w:szCs w:val="24"/>
        </w:rPr>
        <w:t>gada janvār</w:t>
      </w:r>
      <w:r>
        <w:rPr>
          <w:rFonts w:ascii="Times New Roman" w:eastAsia="Calibri" w:hAnsi="Times New Roman" w:cs="Times New Roman"/>
          <w:sz w:val="24"/>
          <w:szCs w:val="24"/>
        </w:rPr>
        <w:t>i,</w:t>
      </w:r>
      <w:r w:rsidRPr="00D316B2">
        <w:rPr>
          <w:rFonts w:ascii="Times New Roman" w:eastAsia="Calibri" w:hAnsi="Times New Roman" w:cs="Times New Roman"/>
          <w:sz w:val="24"/>
          <w:szCs w:val="24"/>
        </w:rPr>
        <w:t xml:space="preserve"> palielinājās par 4,3% un </w:t>
      </w:r>
      <w:r>
        <w:rPr>
          <w:rFonts w:ascii="Times New Roman" w:eastAsia="Calibri" w:hAnsi="Times New Roman" w:cs="Times New Roman"/>
          <w:sz w:val="24"/>
          <w:szCs w:val="24"/>
        </w:rPr>
        <w:t xml:space="preserve">februārī – </w:t>
      </w:r>
      <w:r w:rsidRPr="00D316B2">
        <w:rPr>
          <w:rFonts w:ascii="Times New Roman" w:eastAsia="Calibri" w:hAnsi="Times New Roman" w:cs="Times New Roman"/>
          <w:sz w:val="24"/>
          <w:szCs w:val="24"/>
        </w:rPr>
        <w:t>par 5,2%</w:t>
      </w:r>
      <w:r>
        <w:rPr>
          <w:rFonts w:ascii="Times New Roman" w:eastAsia="Calibri" w:hAnsi="Times New Roman" w:cs="Times New Roman"/>
          <w:sz w:val="24"/>
          <w:szCs w:val="24"/>
        </w:rPr>
        <w:t>,</w:t>
      </w:r>
      <w:r w:rsidRPr="00D316B2">
        <w:rPr>
          <w:rFonts w:ascii="Times New Roman" w:eastAsia="Calibri" w:hAnsi="Times New Roman" w:cs="Times New Roman"/>
          <w:sz w:val="24"/>
          <w:szCs w:val="24"/>
        </w:rPr>
        <w:t xml:space="preserve"> salīdzinot ar </w:t>
      </w:r>
      <w:r>
        <w:rPr>
          <w:rFonts w:ascii="Times New Roman" w:eastAsia="Calibri" w:hAnsi="Times New Roman" w:cs="Times New Roman"/>
          <w:sz w:val="24"/>
          <w:szCs w:val="24"/>
        </w:rPr>
        <w:t>2017.gada februāri</w:t>
      </w:r>
      <w:r w:rsidRPr="00D316B2">
        <w:rPr>
          <w:rFonts w:ascii="Times New Roman" w:eastAsia="Calibri" w:hAnsi="Times New Roman" w:cs="Times New Roman"/>
          <w:sz w:val="24"/>
          <w:szCs w:val="24"/>
        </w:rPr>
        <w:t>. Papildus tam dārgāka kļ</w:t>
      </w:r>
      <w:r>
        <w:rPr>
          <w:rFonts w:ascii="Times New Roman" w:eastAsia="Calibri" w:hAnsi="Times New Roman" w:cs="Times New Roman"/>
          <w:sz w:val="24"/>
          <w:szCs w:val="24"/>
        </w:rPr>
        <w:t>uva arī gāze un siltumenerģija.</w:t>
      </w:r>
    </w:p>
    <w:p w:rsidR="00B45C68" w:rsidRPr="00D316B2" w:rsidRDefault="00B45C68" w:rsidP="00FB62BB">
      <w:pPr>
        <w:spacing w:after="0" w:line="240" w:lineRule="auto"/>
        <w:ind w:firstLine="709"/>
        <w:jc w:val="both"/>
        <w:rPr>
          <w:rFonts w:ascii="Times New Roman" w:eastAsia="Calibri" w:hAnsi="Times New Roman" w:cs="Times New Roman"/>
          <w:sz w:val="24"/>
          <w:szCs w:val="24"/>
        </w:rPr>
      </w:pPr>
      <w:r w:rsidRPr="00D316B2">
        <w:rPr>
          <w:rFonts w:ascii="Times New Roman" w:eastAsia="Calibri" w:hAnsi="Times New Roman" w:cs="Times New Roman"/>
          <w:sz w:val="24"/>
          <w:szCs w:val="24"/>
        </w:rPr>
        <w:t>No citiem pakalpojumiem, kuri palielināja vidējo inflāciju, jāatzīmē vēl veselības aprūpes pakalpojumu cenu kāpums par 4,0% vidēji pirmajos š.g. divos mēnešos, ko pamatā noteica ambulatoro pakalpojumu cenu izmaiņas.</w:t>
      </w:r>
      <w:r w:rsidRPr="00D316B2">
        <w:rPr>
          <w:rFonts w:ascii="Arial" w:eastAsia="Calibri" w:hAnsi="Arial" w:cs="Arial"/>
          <w:sz w:val="24"/>
          <w:szCs w:val="24"/>
        </w:rPr>
        <w:t xml:space="preserve"> </w:t>
      </w:r>
      <w:r w:rsidRPr="00D316B2">
        <w:rPr>
          <w:rFonts w:ascii="Times New Roman" w:eastAsia="Calibri" w:hAnsi="Times New Roman" w:cs="Times New Roman"/>
          <w:sz w:val="24"/>
          <w:szCs w:val="24"/>
        </w:rPr>
        <w:t>Dārgāki kļuva arī izmitināšanas un restorānu pakalpojumi, kā arī autotransportlīdzekļu apdrošin</w:t>
      </w:r>
      <w:r>
        <w:rPr>
          <w:rFonts w:ascii="Times New Roman" w:eastAsia="Calibri" w:hAnsi="Times New Roman" w:cs="Times New Roman"/>
          <w:sz w:val="24"/>
          <w:szCs w:val="24"/>
        </w:rPr>
        <w:t>āšanas pakalpojumi. Kopumā visi</w:t>
      </w:r>
      <w:r w:rsidRPr="00D316B2">
        <w:rPr>
          <w:rFonts w:ascii="Times New Roman" w:eastAsia="Calibri" w:hAnsi="Times New Roman" w:cs="Times New Roman"/>
          <w:sz w:val="24"/>
          <w:szCs w:val="24"/>
        </w:rPr>
        <w:t xml:space="preserve"> pakalpojumu veidi, kuri tiek iekļauti patēriņ</w:t>
      </w:r>
      <w:r>
        <w:rPr>
          <w:rFonts w:ascii="Times New Roman" w:eastAsia="Calibri" w:hAnsi="Times New Roman" w:cs="Times New Roman"/>
          <w:sz w:val="24"/>
          <w:szCs w:val="24"/>
        </w:rPr>
        <w:t>a</w:t>
      </w:r>
      <w:r w:rsidRPr="00D316B2">
        <w:rPr>
          <w:rFonts w:ascii="Times New Roman" w:eastAsia="Calibri" w:hAnsi="Times New Roman" w:cs="Times New Roman"/>
          <w:sz w:val="24"/>
          <w:szCs w:val="24"/>
        </w:rPr>
        <w:t xml:space="preserve"> grozā</w:t>
      </w:r>
      <w:r>
        <w:rPr>
          <w:rFonts w:ascii="Times New Roman" w:eastAsia="Calibri" w:hAnsi="Times New Roman" w:cs="Times New Roman"/>
          <w:sz w:val="24"/>
          <w:szCs w:val="24"/>
        </w:rPr>
        <w:t>, sadārdzinājās vidēji par 3,3%</w:t>
      </w:r>
      <w:r w:rsidRPr="00D316B2">
        <w:rPr>
          <w:rFonts w:ascii="Times New Roman" w:eastAsia="Calibri" w:hAnsi="Times New Roman" w:cs="Times New Roman"/>
          <w:sz w:val="24"/>
          <w:szCs w:val="24"/>
        </w:rPr>
        <w:t xml:space="preserve"> janvārī un par 3,6% februārī</w:t>
      </w:r>
      <w:r>
        <w:rPr>
          <w:rFonts w:ascii="Times New Roman" w:eastAsia="Calibri" w:hAnsi="Times New Roman" w:cs="Times New Roman"/>
          <w:sz w:val="24"/>
          <w:szCs w:val="24"/>
        </w:rPr>
        <w:t>,</w:t>
      </w:r>
      <w:r w:rsidRPr="00D316B2">
        <w:rPr>
          <w:rFonts w:ascii="Times New Roman" w:eastAsia="Calibri" w:hAnsi="Times New Roman" w:cs="Times New Roman"/>
          <w:sz w:val="24"/>
          <w:szCs w:val="24"/>
        </w:rPr>
        <w:t xml:space="preserve"> salīdzinot ar iepri</w:t>
      </w:r>
      <w:r w:rsidR="001B484A">
        <w:rPr>
          <w:rFonts w:ascii="Times New Roman" w:eastAsia="Calibri" w:hAnsi="Times New Roman" w:cs="Times New Roman"/>
          <w:sz w:val="24"/>
          <w:szCs w:val="24"/>
        </w:rPr>
        <w:t>ekšējā gada attiecīgo periodu.</w:t>
      </w:r>
    </w:p>
    <w:p w:rsidR="00B45C68" w:rsidRPr="00D316B2" w:rsidRDefault="00FB62BB" w:rsidP="00FB62BB">
      <w:pPr>
        <w:tabs>
          <w:tab w:val="left" w:pos="709"/>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45C68" w:rsidRPr="00D316B2">
        <w:rPr>
          <w:rFonts w:ascii="Times New Roman" w:eastAsia="Calibri" w:hAnsi="Times New Roman" w:cs="Times New Roman"/>
          <w:sz w:val="24"/>
          <w:szCs w:val="24"/>
        </w:rPr>
        <w:t>Atbilstoši FM prognozēm 2018.gadā patēriņa cenas vidēji palielināsies par 2,8%. Pārtikas cenu pieauguma devums kopējā inflācijā būs mazāks nekā pērnajā gadā, taču arī 2018.gadā tieši šī patēriņa produktu kategorija nodrošinās lielāko devumu patēriņa cenu kāpumā. Augstākas naftas cenas pasaules tirgos un akcīzes nodokļa likmes palielināšana degvielai arī šogad palielinās degvielas cenas. No š</w:t>
      </w:r>
      <w:r w:rsidR="00B45C68">
        <w:rPr>
          <w:rFonts w:ascii="Times New Roman" w:eastAsia="Calibri" w:hAnsi="Times New Roman" w:cs="Times New Roman"/>
          <w:sz w:val="24"/>
          <w:szCs w:val="24"/>
        </w:rPr>
        <w:t>ā gada</w:t>
      </w:r>
      <w:r w:rsidR="00B45C68" w:rsidRPr="00D316B2">
        <w:rPr>
          <w:rFonts w:ascii="Times New Roman" w:eastAsia="Calibri" w:hAnsi="Times New Roman" w:cs="Times New Roman"/>
          <w:sz w:val="24"/>
          <w:szCs w:val="24"/>
        </w:rPr>
        <w:t xml:space="preserve"> marta arī alkoholiskajiem dzērieniem un no jūlij</w:t>
      </w:r>
      <w:r w:rsidR="00B45C68">
        <w:rPr>
          <w:rFonts w:ascii="Times New Roman" w:eastAsia="Calibri" w:hAnsi="Times New Roman" w:cs="Times New Roman"/>
          <w:sz w:val="24"/>
          <w:szCs w:val="24"/>
        </w:rPr>
        <w:t>a</w:t>
      </w:r>
      <w:r w:rsidR="00B45C68" w:rsidRPr="00D316B2">
        <w:rPr>
          <w:rFonts w:ascii="Times New Roman" w:eastAsia="Calibri" w:hAnsi="Times New Roman" w:cs="Times New Roman"/>
          <w:sz w:val="24"/>
          <w:szCs w:val="24"/>
        </w:rPr>
        <w:t xml:space="preserve"> tabakas izstrādājumiem palielināsies akcīzes nodokļa likme. Atbilstoši FM novērtējumam</w:t>
      </w:r>
      <w:r w:rsidR="00B45C68">
        <w:rPr>
          <w:rFonts w:ascii="Times New Roman" w:eastAsia="Calibri" w:hAnsi="Times New Roman" w:cs="Times New Roman"/>
          <w:sz w:val="24"/>
          <w:szCs w:val="24"/>
        </w:rPr>
        <w:t>,</w:t>
      </w:r>
      <w:r w:rsidR="00B45C68" w:rsidRPr="00D316B2">
        <w:rPr>
          <w:rFonts w:ascii="Times New Roman" w:eastAsia="Calibri" w:hAnsi="Times New Roman" w:cs="Times New Roman"/>
          <w:sz w:val="24"/>
          <w:szCs w:val="24"/>
        </w:rPr>
        <w:t xml:space="preserve"> akcīzes nodokļa likmju palielināšana degvielas, alkoholiskajiem dzērieniem un tabakas </w:t>
      </w:r>
      <w:r w:rsidR="00B45C68">
        <w:rPr>
          <w:rFonts w:ascii="Times New Roman" w:eastAsia="Calibri" w:hAnsi="Times New Roman" w:cs="Times New Roman"/>
          <w:sz w:val="24"/>
          <w:szCs w:val="24"/>
        </w:rPr>
        <w:t>izstrādājumiem 2018.gadā kopumā</w:t>
      </w:r>
      <w:r w:rsidR="00B45C68" w:rsidRPr="00D316B2">
        <w:rPr>
          <w:rFonts w:ascii="Times New Roman" w:eastAsia="Calibri" w:hAnsi="Times New Roman" w:cs="Times New Roman"/>
          <w:sz w:val="24"/>
          <w:szCs w:val="24"/>
        </w:rPr>
        <w:t xml:space="preserve"> palielinās vidējo inflāciju par 0,9 procentpunktiem. Savukārt, PVN samazinājums Latvijai raksturīgiem dārzeņiem un augļiem līdz 5%, samazinās </w:t>
      </w:r>
      <w:r w:rsidR="00B45C68">
        <w:rPr>
          <w:rFonts w:ascii="Times New Roman" w:eastAsia="Calibri" w:hAnsi="Times New Roman" w:cs="Times New Roman"/>
          <w:sz w:val="24"/>
          <w:szCs w:val="24"/>
        </w:rPr>
        <w:t>2018.gada</w:t>
      </w:r>
      <w:r w:rsidR="00B45C68" w:rsidRPr="00D316B2">
        <w:rPr>
          <w:rFonts w:ascii="Times New Roman" w:eastAsia="Calibri" w:hAnsi="Times New Roman" w:cs="Times New Roman"/>
          <w:sz w:val="24"/>
          <w:szCs w:val="24"/>
        </w:rPr>
        <w:t xml:space="preserve"> vidējo inflāciju par 0,1 procentpunktu. </w:t>
      </w:r>
      <w:r w:rsidR="00B45C68">
        <w:rPr>
          <w:rFonts w:ascii="Times New Roman" w:eastAsia="Calibri" w:hAnsi="Times New Roman" w:cs="Times New Roman"/>
          <w:sz w:val="24"/>
          <w:szCs w:val="24"/>
        </w:rPr>
        <w:t>Līdz ar</w:t>
      </w:r>
      <w:r w:rsidR="00B45C68" w:rsidRPr="00D316B2">
        <w:rPr>
          <w:rFonts w:ascii="Times New Roman" w:eastAsia="Calibri" w:hAnsi="Times New Roman" w:cs="Times New Roman"/>
          <w:sz w:val="24"/>
          <w:szCs w:val="24"/>
        </w:rPr>
        <w:t xml:space="preserve"> stabili augošo darba samaksu turpinās palielināties arī komerciālo pakalpojumu cenas, it īpaši veselības pakalpojumu, restorānu un izmitināšanas, ka arī atpūtas pakalpojumu cenas. </w:t>
      </w:r>
    </w:p>
    <w:p w:rsidR="00B45C68" w:rsidRPr="00D316B2" w:rsidRDefault="00FB62BB" w:rsidP="00FB62BB">
      <w:pPr>
        <w:tabs>
          <w:tab w:val="left" w:pos="709"/>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B45C68" w:rsidRPr="00D316B2">
        <w:rPr>
          <w:rFonts w:ascii="Times New Roman" w:eastAsia="Calibri" w:hAnsi="Times New Roman" w:cs="Times New Roman"/>
          <w:sz w:val="24"/>
          <w:szCs w:val="24"/>
        </w:rPr>
        <w:t>Savukārt, vidējā termiņā inflācija mazināsies līdz 2,4% 2019.gadā un līdz 2,1</w:t>
      </w:r>
      <w:r w:rsidR="00B45C68">
        <w:rPr>
          <w:rFonts w:ascii="Times New Roman" w:eastAsia="Calibri" w:hAnsi="Times New Roman" w:cs="Times New Roman"/>
          <w:sz w:val="24"/>
          <w:szCs w:val="24"/>
        </w:rPr>
        <w:t>% 2020.–2021.gadā. Sagaidāms, ka</w:t>
      </w:r>
      <w:r w:rsidR="00B45C68" w:rsidRPr="00D316B2">
        <w:rPr>
          <w:rFonts w:ascii="Times New Roman" w:eastAsia="Calibri" w:hAnsi="Times New Roman" w:cs="Times New Roman"/>
          <w:sz w:val="24"/>
          <w:szCs w:val="24"/>
        </w:rPr>
        <w:t xml:space="preserve"> izejvielu cenu svārstības pasaules tirgos būs minimālas, līdz ar to pārtikas un energoresursu cenu spiediens uz patēriņa cenām Latvijā būs mērens. </w:t>
      </w:r>
      <w:r w:rsidR="00B45C68">
        <w:rPr>
          <w:rFonts w:ascii="Times New Roman" w:eastAsia="Calibri" w:hAnsi="Times New Roman" w:cs="Times New Roman"/>
          <w:sz w:val="24"/>
          <w:szCs w:val="24"/>
        </w:rPr>
        <w:t>D</w:t>
      </w:r>
      <w:r w:rsidR="00B45C68" w:rsidRPr="00D316B2">
        <w:rPr>
          <w:rFonts w:ascii="Times New Roman" w:eastAsia="Calibri" w:hAnsi="Times New Roman" w:cs="Times New Roman"/>
          <w:sz w:val="24"/>
          <w:szCs w:val="24"/>
        </w:rPr>
        <w:t>arbaspēka pieej</w:t>
      </w:r>
      <w:r w:rsidR="00B45C68">
        <w:rPr>
          <w:rFonts w:ascii="Times New Roman" w:eastAsia="Calibri" w:hAnsi="Times New Roman" w:cs="Times New Roman"/>
          <w:sz w:val="24"/>
          <w:szCs w:val="24"/>
        </w:rPr>
        <w:t>amības trūkums uzturēs augstu</w:t>
      </w:r>
      <w:r w:rsidR="00B45C68" w:rsidRPr="00D316B2">
        <w:rPr>
          <w:rFonts w:ascii="Times New Roman" w:eastAsia="Calibri" w:hAnsi="Times New Roman" w:cs="Times New Roman"/>
          <w:sz w:val="24"/>
          <w:szCs w:val="24"/>
        </w:rPr>
        <w:t xml:space="preserve"> darba samaksas kāpumu, kas tiešā veidā veicinās arī pakalpojumu cenu pieaugumu. Papildus tiek plānots, ka </w:t>
      </w:r>
      <w:r w:rsidR="00B45C68">
        <w:rPr>
          <w:rFonts w:ascii="Times New Roman" w:eastAsia="Calibri" w:hAnsi="Times New Roman" w:cs="Times New Roman"/>
          <w:sz w:val="24"/>
          <w:szCs w:val="24"/>
        </w:rPr>
        <w:t xml:space="preserve">arī </w:t>
      </w:r>
      <w:r w:rsidR="00B45C68" w:rsidRPr="00D316B2">
        <w:rPr>
          <w:rFonts w:ascii="Times New Roman" w:eastAsia="Calibri" w:hAnsi="Times New Roman" w:cs="Times New Roman"/>
          <w:sz w:val="24"/>
          <w:szCs w:val="24"/>
        </w:rPr>
        <w:t xml:space="preserve">2019.gadā </w:t>
      </w:r>
      <w:r w:rsidR="00B45C68">
        <w:rPr>
          <w:rFonts w:ascii="Times New Roman" w:eastAsia="Calibri" w:hAnsi="Times New Roman" w:cs="Times New Roman"/>
          <w:sz w:val="24"/>
          <w:szCs w:val="24"/>
        </w:rPr>
        <w:t>tiks</w:t>
      </w:r>
      <w:r w:rsidR="00B45C68" w:rsidRPr="00D316B2">
        <w:rPr>
          <w:rFonts w:ascii="Times New Roman" w:eastAsia="Calibri" w:hAnsi="Times New Roman" w:cs="Times New Roman"/>
          <w:sz w:val="24"/>
          <w:szCs w:val="24"/>
        </w:rPr>
        <w:t xml:space="preserve"> palielināta akcīzes nodokļa likme tabakai un alkoholam</w:t>
      </w:r>
      <w:r w:rsidR="00B45C68">
        <w:rPr>
          <w:rFonts w:ascii="Times New Roman" w:eastAsia="Calibri" w:hAnsi="Times New Roman" w:cs="Times New Roman"/>
          <w:sz w:val="24"/>
          <w:szCs w:val="24"/>
        </w:rPr>
        <w:t>,</w:t>
      </w:r>
      <w:r w:rsidR="00B45C68" w:rsidRPr="00D316B2">
        <w:rPr>
          <w:rFonts w:ascii="Times New Roman" w:eastAsia="Calibri" w:hAnsi="Times New Roman" w:cs="Times New Roman"/>
          <w:sz w:val="24"/>
          <w:szCs w:val="24"/>
        </w:rPr>
        <w:t xml:space="preserve"> un 2020.gadā vēlreiz palielinās akcīzi tabakai, alkoholam un arī degvielai. </w:t>
      </w:r>
    </w:p>
    <w:p w:rsidR="00B45C68" w:rsidRDefault="00B45C68" w:rsidP="00031110">
      <w:pPr>
        <w:spacing w:before="120" w:after="120" w:line="240" w:lineRule="auto"/>
        <w:ind w:left="567" w:firstLine="153"/>
        <w:jc w:val="both"/>
        <w:outlineLvl w:val="3"/>
        <w:rPr>
          <w:rFonts w:ascii="Times New Roman" w:eastAsia="Times New Roman" w:hAnsi="Times New Roman" w:cs="Times New Roman"/>
          <w:b/>
          <w:sz w:val="24"/>
          <w:szCs w:val="24"/>
        </w:rPr>
      </w:pPr>
      <w:r w:rsidRPr="00A62844">
        <w:rPr>
          <w:rFonts w:ascii="Times New Roman" w:eastAsia="Times New Roman" w:hAnsi="Times New Roman" w:cs="Times New Roman"/>
          <w:b/>
          <w:sz w:val="24"/>
          <w:szCs w:val="24"/>
        </w:rPr>
        <w:t>Darba tirgus</w:t>
      </w:r>
    </w:p>
    <w:p w:rsidR="00B45C68" w:rsidRPr="00D316B2" w:rsidRDefault="00B45C68" w:rsidP="0003162E">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Līdz ar straujāku ekonomikas izaugsmi 2017.gadā atkal sāka palielināties tautsaimniecībā nodarbināto iedzīvotāju skaits, tam pieaugot par 0,2% līdz 894,8 tūkstošiem. Straujāka kļuva arī bezdarba samazināšanās, bezdarba līmenim pēc darbaspēka apsekojuma krītoties par 0,9 procentpunktiem līdz 8,7% no ekonomiski aktīvajiem iedzīvotājiem. Lai gan pieprasījums pēc darbiniekiem ir pieaugošs, nodarbinātības straujāku kāpumu ierobežo krītošais darbspējas vecuma iedzīvotāju skaits, un 2017.gadā</w:t>
      </w:r>
      <w:r w:rsidR="001B484A">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līdztekus strādājošo skaita pieaugumam</w:t>
      </w:r>
      <w:r w:rsidR="001B484A">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visai būtiski palielinājies arī brīvo darba vietu skaits.</w:t>
      </w:r>
    </w:p>
    <w:p w:rsidR="00B45C68"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Arī vidējā termiņā darba tirgus attīstību vienlaikus turpinās noteikt gan straujāka ekonomikas izaugsme, gan krītošais darbaspējas vecuma iedzīvotāju skaits, kad pēdējo gadu laikā 15</w:t>
      </w:r>
      <w:r>
        <w:rPr>
          <w:rFonts w:ascii="Times New Roman" w:eastAsia="Calibri" w:hAnsi="Times New Roman" w:cs="Times New Roman"/>
          <w:sz w:val="24"/>
          <w:szCs w:val="24"/>
        </w:rPr>
        <w:t xml:space="preserve"> – </w:t>
      </w:r>
      <w:r w:rsidRPr="00D316B2">
        <w:rPr>
          <w:rFonts w:ascii="Times New Roman" w:eastAsia="Times New Roman" w:hAnsi="Times New Roman" w:cs="Times New Roman"/>
          <w:color w:val="000000"/>
          <w:sz w:val="24"/>
          <w:szCs w:val="24"/>
          <w:lang w:eastAsia="lv-LV"/>
        </w:rPr>
        <w:t>74 gadu</w:t>
      </w:r>
      <w:r>
        <w:rPr>
          <w:rFonts w:ascii="Times New Roman" w:eastAsia="Times New Roman" w:hAnsi="Times New Roman" w:cs="Times New Roman"/>
          <w:color w:val="000000"/>
          <w:sz w:val="24"/>
          <w:szCs w:val="24"/>
          <w:lang w:eastAsia="lv-LV"/>
        </w:rPr>
        <w:t>s</w:t>
      </w:r>
      <w:r w:rsidRPr="00D316B2">
        <w:rPr>
          <w:rFonts w:ascii="Times New Roman" w:eastAsia="Times New Roman" w:hAnsi="Times New Roman" w:cs="Times New Roman"/>
          <w:color w:val="000000"/>
          <w:sz w:val="24"/>
          <w:szCs w:val="24"/>
          <w:lang w:eastAsia="lv-LV"/>
        </w:rPr>
        <w:t xml:space="preserve"> veco iedzīvotāju skaits Latvijā ir samazinājies vidēji par 1,8% gadā. Attiecīgi turpinās palielināties iedzīvotāju ekonomiskā aktivitāte, kas jau 2017.gadā sasniedza vēsturiski augstāko līmeni, kad darba tirgū aktīvi iesaistīti kā nodarbinātie vai darba meklētāji bija jau 68,9% no visiem 15</w:t>
      </w:r>
      <w:r>
        <w:rPr>
          <w:rFonts w:ascii="Times New Roman" w:eastAsia="Calibri" w:hAnsi="Times New Roman" w:cs="Times New Roman"/>
          <w:sz w:val="24"/>
          <w:szCs w:val="24"/>
        </w:rPr>
        <w:t xml:space="preserve"> – </w:t>
      </w:r>
      <w:r w:rsidRPr="00D316B2">
        <w:rPr>
          <w:rFonts w:ascii="Times New Roman" w:eastAsia="Times New Roman" w:hAnsi="Times New Roman" w:cs="Times New Roman"/>
          <w:color w:val="000000"/>
          <w:sz w:val="24"/>
          <w:szCs w:val="24"/>
          <w:lang w:eastAsia="lv-LV"/>
        </w:rPr>
        <w:t>74 gadus vecajiem iedzīvotājiem. Salīdzinājumā ar iepriekšējo gadu ekonomiskās aktivitātes līmenis 2017.gadā bija pieaudzis par 0,7 procentpunktiem. Arvien augstāko iedzīvotāju līdzdalību darba tirgū veicina gan augošais pieprasījums pēc darbiniekiem un algu līmenis, kad vidējā darba samaksa pērn pieauga straujākajā tempā kopš 2008.gada, gan pensionēšanās vecuma pakāpeniskā paaugstināšana, gan iedzīvotāju vecuma struktūras izmaiņas, kad samazinās ekonomiski mazāk aktīvo jauniešu īpatsvars starp visiem darbaspējas vecuma iedzīvotājiem. Vienlaikus kopējais tautsaimniecībā nodarbināto iedzīvotāju skaits vairs būtiski nepalielināsies</w:t>
      </w:r>
      <w:r>
        <w:rPr>
          <w:rFonts w:ascii="Times New Roman" w:eastAsia="Times New Roman" w:hAnsi="Times New Roman" w:cs="Times New Roman"/>
          <w:color w:val="000000"/>
          <w:sz w:val="24"/>
          <w:szCs w:val="24"/>
          <w:lang w:eastAsia="lv-LV"/>
        </w:rPr>
        <w:t>.</w:t>
      </w:r>
      <w:r w:rsidRPr="00D316B2">
        <w:rPr>
          <w:rFonts w:ascii="Times New Roman" w:eastAsia="Times New Roman" w:hAnsi="Times New Roman" w:cs="Times New Roman"/>
          <w:color w:val="000000"/>
          <w:sz w:val="24"/>
          <w:szCs w:val="24"/>
          <w:lang w:eastAsia="lv-LV"/>
        </w:rPr>
        <w:t xml:space="preserve"> 2018.gadā, pēc </w:t>
      </w:r>
      <w:r>
        <w:rPr>
          <w:rFonts w:ascii="Times New Roman" w:eastAsia="Times New Roman" w:hAnsi="Times New Roman" w:cs="Times New Roman"/>
          <w:color w:val="000000"/>
          <w:sz w:val="24"/>
          <w:szCs w:val="24"/>
          <w:lang w:eastAsia="lv-LV"/>
        </w:rPr>
        <w:t>FM</w:t>
      </w:r>
      <w:r w:rsidRPr="00D316B2">
        <w:rPr>
          <w:rFonts w:ascii="Times New Roman" w:eastAsia="Times New Roman" w:hAnsi="Times New Roman" w:cs="Times New Roman"/>
          <w:color w:val="000000"/>
          <w:sz w:val="24"/>
          <w:szCs w:val="24"/>
          <w:lang w:eastAsia="lv-LV"/>
        </w:rPr>
        <w:t xml:space="preserve"> prognozēm, tas pieaugs tikai par 0,1% līdz 896 tūkstošiem un šādā līmenī saglabāsies arī nākamajos divos gados.</w:t>
      </w:r>
    </w:p>
    <w:p w:rsidR="00B45C68" w:rsidRDefault="00B45C68" w:rsidP="004E73E1">
      <w:pPr>
        <w:autoSpaceDE w:val="0"/>
        <w:autoSpaceDN w:val="0"/>
        <w:adjustRightInd w:val="0"/>
        <w:spacing w:after="0" w:line="240" w:lineRule="auto"/>
        <w:ind w:firstLine="720"/>
        <w:jc w:val="center"/>
        <w:rPr>
          <w:rFonts w:ascii="Times New Roman" w:eastAsia="Times New Roman" w:hAnsi="Times New Roman" w:cs="Times New Roman"/>
          <w:b/>
          <w:color w:val="000000"/>
          <w:sz w:val="24"/>
          <w:szCs w:val="24"/>
          <w:lang w:eastAsia="lv-LV"/>
        </w:rPr>
      </w:pPr>
      <w:r w:rsidRPr="00D316B2">
        <w:rPr>
          <w:rFonts w:ascii="Times New Roman" w:eastAsia="Times New Roman" w:hAnsi="Times New Roman" w:cs="Times New Roman"/>
          <w:i/>
          <w:noProof/>
          <w:color w:val="000000"/>
          <w:sz w:val="24"/>
          <w:szCs w:val="24"/>
          <w:lang w:eastAsia="lv-LV"/>
        </w:rPr>
        <w:drawing>
          <wp:inline distT="0" distB="0" distL="0" distR="0">
            <wp:extent cx="5274310" cy="2933700"/>
            <wp:effectExtent l="0" t="0" r="254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316B2">
        <w:rPr>
          <w:rFonts w:ascii="Times New Roman" w:eastAsia="Times New Roman" w:hAnsi="Times New Roman" w:cs="Times New Roman"/>
          <w:b/>
          <w:color w:val="000000"/>
          <w:sz w:val="24"/>
          <w:szCs w:val="24"/>
          <w:lang w:eastAsia="lv-LV"/>
        </w:rPr>
        <w:t>2.4.attēls. Nodarbinātība un bezdarbs 2008.</w:t>
      </w:r>
      <w:r w:rsidR="009C70FA">
        <w:rPr>
          <w:rFonts w:ascii="Times New Roman" w:eastAsia="Times New Roman" w:hAnsi="Times New Roman" w:cs="Times New Roman"/>
          <w:b/>
          <w:color w:val="000000"/>
          <w:sz w:val="24"/>
          <w:szCs w:val="24"/>
          <w:lang w:eastAsia="lv-LV"/>
        </w:rPr>
        <w:t xml:space="preserve"> </w:t>
      </w:r>
      <w:r w:rsidRPr="00D316B2">
        <w:rPr>
          <w:rFonts w:ascii="Times New Roman" w:eastAsia="Times New Roman" w:hAnsi="Times New Roman" w:cs="Times New Roman"/>
          <w:b/>
          <w:color w:val="000000"/>
          <w:sz w:val="24"/>
          <w:szCs w:val="24"/>
          <w:lang w:eastAsia="lv-LV"/>
        </w:rPr>
        <w:t>–</w:t>
      </w:r>
      <w:r w:rsidR="009C70FA">
        <w:rPr>
          <w:rFonts w:ascii="Times New Roman" w:eastAsia="Times New Roman" w:hAnsi="Times New Roman" w:cs="Times New Roman"/>
          <w:b/>
          <w:color w:val="000000"/>
          <w:sz w:val="24"/>
          <w:szCs w:val="24"/>
          <w:lang w:eastAsia="lv-LV"/>
        </w:rPr>
        <w:t xml:space="preserve"> </w:t>
      </w:r>
      <w:r w:rsidRPr="00D316B2">
        <w:rPr>
          <w:rFonts w:ascii="Times New Roman" w:eastAsia="Times New Roman" w:hAnsi="Times New Roman" w:cs="Times New Roman"/>
          <w:b/>
          <w:color w:val="000000"/>
          <w:sz w:val="24"/>
          <w:szCs w:val="24"/>
          <w:lang w:eastAsia="lv-LV"/>
        </w:rPr>
        <w:t>2021.gadā</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b/>
          <w:color w:val="000000"/>
          <w:sz w:val="24"/>
          <w:szCs w:val="24"/>
          <w:lang w:eastAsia="lv-LV"/>
        </w:rPr>
      </w:pP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lastRenderedPageBreak/>
        <w:t>Kopumā laikā kopš ekonomiskās krīzes augstākā punkta 2010.gadā tautsaimniecībā nodarbināto iedzīvotāju skaits ir palielinājies par 45,3 tūkstošiem jeb 5,2%, bet joprojām ir būtiski – par 161,4 tūkstošiem jeb 15,3%</w:t>
      </w:r>
      <w:r>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zemāks par 2007.gadā sasniegto līmeni, kam par pamatu ir gan negatīvais dabiskais pieaugums, gan augstā emigrācija pēc</w:t>
      </w:r>
      <w:r w:rsidR="00FC4AA3">
        <w:rPr>
          <w:rFonts w:ascii="Times New Roman" w:eastAsia="Times New Roman" w:hAnsi="Times New Roman" w:cs="Times New Roman"/>
          <w:color w:val="000000"/>
          <w:sz w:val="24"/>
          <w:szCs w:val="24"/>
          <w:lang w:eastAsia="lv-LV"/>
        </w:rPr>
        <w:t xml:space="preserve"> </w:t>
      </w:r>
      <w:r w:rsidRPr="00D316B2">
        <w:rPr>
          <w:rFonts w:ascii="Times New Roman" w:eastAsia="Times New Roman" w:hAnsi="Times New Roman" w:cs="Times New Roman"/>
          <w:color w:val="000000"/>
          <w:sz w:val="24"/>
          <w:szCs w:val="24"/>
          <w:lang w:eastAsia="lv-LV"/>
        </w:rPr>
        <w:t>krīzes laikā. Pēdējos gados no Latvijas gadā izbrauc ap 20 tūkstošiem cilvēku, bet kopējais 15</w:t>
      </w:r>
      <w:r>
        <w:rPr>
          <w:rFonts w:ascii="Times New Roman" w:eastAsia="Calibri" w:hAnsi="Times New Roman" w:cs="Times New Roman"/>
          <w:sz w:val="24"/>
          <w:szCs w:val="24"/>
        </w:rPr>
        <w:t xml:space="preserve"> – </w:t>
      </w:r>
      <w:r w:rsidRPr="00D316B2">
        <w:rPr>
          <w:rFonts w:ascii="Times New Roman" w:eastAsia="Times New Roman" w:hAnsi="Times New Roman" w:cs="Times New Roman"/>
          <w:color w:val="000000"/>
          <w:sz w:val="24"/>
          <w:szCs w:val="24"/>
          <w:lang w:eastAsia="lv-LV"/>
        </w:rPr>
        <w:t>74 gadus veco iedzīvotāju skaits gadā samazinās aptuveni par 25 tūkstošiem. Straujāks sagaidāmais iedzīvotāju ienākumu pieaugums tuvākajos gados var ierobežot emigrācijas procesus, bet nodarbināto skaitu joprojām turpinās ietekmēt demogrāfiskie procesi, kad no darba tirgus izejošo cilvēku skaits pārsniegs tajā ienākošo jauniešu skaitu.</w:t>
      </w:r>
    </w:p>
    <w:p w:rsidR="00B45C68" w:rsidRDefault="00B45C68" w:rsidP="00637E49">
      <w:pPr>
        <w:autoSpaceDE w:val="0"/>
        <w:autoSpaceDN w:val="0"/>
        <w:adjustRightInd w:val="0"/>
        <w:spacing w:after="12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Bezdarba līmenis vidējā termiņā turpinās arvien samazināties, ko tāpat noteiks straujāka ekonomikas izaugsme un ietekmēs iedzīvotāju skaita samazināšanās 15</w:t>
      </w:r>
      <w:r>
        <w:rPr>
          <w:rFonts w:ascii="Times New Roman" w:eastAsia="Calibri" w:hAnsi="Times New Roman" w:cs="Times New Roman"/>
          <w:sz w:val="24"/>
          <w:szCs w:val="24"/>
        </w:rPr>
        <w:t xml:space="preserve"> – </w:t>
      </w:r>
      <w:r w:rsidRPr="00D316B2">
        <w:rPr>
          <w:rFonts w:ascii="Times New Roman" w:eastAsia="Times New Roman" w:hAnsi="Times New Roman" w:cs="Times New Roman"/>
          <w:color w:val="000000"/>
          <w:sz w:val="24"/>
          <w:szCs w:val="24"/>
          <w:lang w:eastAsia="lv-LV"/>
        </w:rPr>
        <w:t xml:space="preserve">74 gadu vecuma grupā. Pēc </w:t>
      </w:r>
      <w:r>
        <w:rPr>
          <w:rFonts w:ascii="Times New Roman" w:eastAsia="Times New Roman" w:hAnsi="Times New Roman" w:cs="Times New Roman"/>
          <w:color w:val="000000"/>
          <w:sz w:val="24"/>
          <w:szCs w:val="24"/>
          <w:lang w:eastAsia="lv-LV"/>
        </w:rPr>
        <w:t>FM</w:t>
      </w:r>
      <w:r w:rsidRPr="00D316B2">
        <w:rPr>
          <w:rFonts w:ascii="Times New Roman" w:eastAsia="Times New Roman" w:hAnsi="Times New Roman" w:cs="Times New Roman"/>
          <w:color w:val="000000"/>
          <w:sz w:val="24"/>
          <w:szCs w:val="24"/>
          <w:lang w:eastAsia="lv-LV"/>
        </w:rPr>
        <w:t xml:space="preserve"> prognozēm, 2018.gadā bezdarba līmenis samazināsies līdz 8,0%, bet laikā līdz 2021.gadam pakāpeniski noslīdēs līdz 7,0% no ekonomiski aktīvajiem iedzīvotājiem.</w:t>
      </w:r>
    </w:p>
    <w:p w:rsidR="00B45C68" w:rsidRDefault="00B45C68" w:rsidP="00FB62BB">
      <w:pPr>
        <w:autoSpaceDE w:val="0"/>
        <w:autoSpaceDN w:val="0"/>
        <w:adjustRightInd w:val="0"/>
        <w:spacing w:after="0" w:line="240" w:lineRule="auto"/>
        <w:ind w:firstLine="720"/>
        <w:jc w:val="center"/>
        <w:rPr>
          <w:rFonts w:ascii="Times New Roman" w:eastAsia="Times New Roman" w:hAnsi="Times New Roman" w:cs="Times New Roman"/>
          <w:b/>
          <w:color w:val="000000"/>
          <w:sz w:val="24"/>
          <w:szCs w:val="24"/>
          <w:lang w:eastAsia="lv-LV"/>
        </w:rPr>
      </w:pPr>
      <w:r w:rsidRPr="00D316B2">
        <w:rPr>
          <w:rFonts w:ascii="Times New Roman" w:eastAsia="Times New Roman" w:hAnsi="Times New Roman" w:cs="Times New Roman"/>
          <w:i/>
          <w:noProof/>
          <w:color w:val="000000"/>
          <w:sz w:val="24"/>
          <w:szCs w:val="24"/>
          <w:lang w:eastAsia="lv-LV"/>
        </w:rPr>
        <w:drawing>
          <wp:inline distT="0" distB="0" distL="0" distR="0">
            <wp:extent cx="5274310" cy="2571750"/>
            <wp:effectExtent l="0" t="0" r="2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eastAsia="Times New Roman" w:hAnsi="Times New Roman" w:cs="Times New Roman"/>
          <w:b/>
          <w:color w:val="000000"/>
          <w:sz w:val="24"/>
          <w:szCs w:val="24"/>
          <w:lang w:eastAsia="lv-LV"/>
        </w:rPr>
        <w:t>2.5.</w:t>
      </w:r>
      <w:r w:rsidRPr="00D316B2">
        <w:rPr>
          <w:rFonts w:ascii="Times New Roman" w:eastAsia="Times New Roman" w:hAnsi="Times New Roman" w:cs="Times New Roman"/>
          <w:b/>
          <w:color w:val="000000"/>
          <w:sz w:val="24"/>
          <w:szCs w:val="24"/>
          <w:lang w:eastAsia="lv-LV"/>
        </w:rPr>
        <w:t>attēls. Produktivitātes un reālās darba samaksas izmaiņas, % pret iepriekšējo periodu</w:t>
      </w:r>
    </w:p>
    <w:p w:rsidR="00B45C68" w:rsidRPr="00D316B2" w:rsidRDefault="00B45C68" w:rsidP="00637E49">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Sagaidāms, ka m</w:t>
      </w:r>
      <w:r w:rsidRPr="00D316B2">
        <w:rPr>
          <w:rFonts w:ascii="Times New Roman" w:eastAsia="Times New Roman" w:hAnsi="Times New Roman" w:cs="Times New Roman"/>
          <w:color w:val="000000"/>
          <w:sz w:val="24"/>
          <w:szCs w:val="24"/>
          <w:lang w:eastAsia="lv-LV"/>
        </w:rPr>
        <w:t xml:space="preserve">ēneša vidējā bruto darba samaksa, kas 2017.gadā bija palielinājusies par 7,9%, 2018.gadā </w:t>
      </w:r>
      <w:r>
        <w:rPr>
          <w:rFonts w:ascii="Times New Roman" w:eastAsia="Times New Roman" w:hAnsi="Times New Roman" w:cs="Times New Roman"/>
          <w:color w:val="000000"/>
          <w:sz w:val="24"/>
          <w:szCs w:val="24"/>
          <w:lang w:eastAsia="lv-LV"/>
        </w:rPr>
        <w:t>palielināsies</w:t>
      </w:r>
      <w:r w:rsidRPr="00D316B2">
        <w:rPr>
          <w:rFonts w:ascii="Times New Roman" w:eastAsia="Times New Roman" w:hAnsi="Times New Roman" w:cs="Times New Roman"/>
          <w:color w:val="000000"/>
          <w:sz w:val="24"/>
          <w:szCs w:val="24"/>
          <w:lang w:eastAsia="lv-LV"/>
        </w:rPr>
        <w:t xml:space="preserve"> tikpat strauji</w:t>
      </w:r>
      <w:r>
        <w:rPr>
          <w:rFonts w:ascii="Times New Roman" w:eastAsia="Calibri" w:hAnsi="Times New Roman" w:cs="Times New Roman"/>
          <w:sz w:val="24"/>
          <w:szCs w:val="24"/>
        </w:rPr>
        <w:t xml:space="preserve"> – </w:t>
      </w:r>
      <w:r w:rsidRPr="00D316B2">
        <w:rPr>
          <w:rFonts w:ascii="Times New Roman" w:eastAsia="Times New Roman" w:hAnsi="Times New Roman" w:cs="Times New Roman"/>
          <w:color w:val="000000"/>
          <w:sz w:val="24"/>
          <w:szCs w:val="24"/>
          <w:lang w:eastAsia="lv-LV"/>
        </w:rPr>
        <w:t>par 8,0%</w:t>
      </w:r>
      <w:r>
        <w:rPr>
          <w:rFonts w:ascii="Times New Roman" w:eastAsia="Times New Roman" w:hAnsi="Times New Roman" w:cs="Times New Roman"/>
          <w:color w:val="000000"/>
          <w:sz w:val="24"/>
          <w:szCs w:val="24"/>
          <w:lang w:eastAsia="lv-LV"/>
        </w:rPr>
        <w:t>, gadā kopumā sasniedzot 1</w:t>
      </w:r>
      <w:r w:rsidR="004E73E1">
        <w:rPr>
          <w:rFonts w:ascii="Times New Roman" w:eastAsia="Times New Roman" w:hAnsi="Times New Roman" w:cs="Times New Roman"/>
          <w:color w:val="000000"/>
          <w:sz w:val="24"/>
          <w:szCs w:val="24"/>
          <w:lang w:eastAsia="lv-LV"/>
        </w:rPr>
        <w:t> </w:t>
      </w:r>
      <w:r>
        <w:rPr>
          <w:rFonts w:ascii="Times New Roman" w:eastAsia="Times New Roman" w:hAnsi="Times New Roman" w:cs="Times New Roman"/>
          <w:color w:val="000000"/>
          <w:sz w:val="24"/>
          <w:szCs w:val="24"/>
          <w:lang w:eastAsia="lv-LV"/>
        </w:rPr>
        <w:t xml:space="preserve">000 </w:t>
      </w:r>
      <w:r w:rsidRPr="00090C92">
        <w:rPr>
          <w:rFonts w:ascii="Times New Roman" w:eastAsia="Times New Roman" w:hAnsi="Times New Roman" w:cs="Times New Roman"/>
          <w:i/>
          <w:color w:val="000000"/>
          <w:sz w:val="24"/>
          <w:szCs w:val="24"/>
          <w:lang w:eastAsia="lv-LV"/>
        </w:rPr>
        <w:t>euro</w:t>
      </w:r>
      <w:r w:rsidRPr="00D316B2">
        <w:rPr>
          <w:rFonts w:ascii="Times New Roman" w:eastAsia="Times New Roman" w:hAnsi="Times New Roman" w:cs="Times New Roman"/>
          <w:color w:val="000000"/>
          <w:sz w:val="24"/>
          <w:szCs w:val="24"/>
          <w:lang w:eastAsia="lv-LV"/>
        </w:rPr>
        <w:t xml:space="preserve">. Straujo algas pieaugumu noteiks augošais pieprasījums pēc darbiniekiem, būtiskais minimālās darba samaksas </w:t>
      </w:r>
      <w:r w:rsidR="004E73E1">
        <w:rPr>
          <w:rFonts w:ascii="Times New Roman" w:eastAsia="Times New Roman" w:hAnsi="Times New Roman" w:cs="Times New Roman"/>
          <w:color w:val="000000"/>
          <w:sz w:val="24"/>
          <w:szCs w:val="24"/>
          <w:lang w:eastAsia="lv-LV"/>
        </w:rPr>
        <w:t>paaugstinājums no 2018.gada 1.</w:t>
      </w:r>
      <w:r w:rsidRPr="00D316B2">
        <w:rPr>
          <w:rFonts w:ascii="Times New Roman" w:eastAsia="Times New Roman" w:hAnsi="Times New Roman" w:cs="Times New Roman"/>
          <w:color w:val="000000"/>
          <w:sz w:val="24"/>
          <w:szCs w:val="24"/>
          <w:lang w:eastAsia="lv-LV"/>
        </w:rPr>
        <w:t xml:space="preserve">janvāra, kā arī valsts budžetā paredzētais izdevumu palielinājums atalgojumam, tajā skaitā veselības aprūpes nozares darbiniekiem. 2019.gadā pēc </w:t>
      </w:r>
      <w:r>
        <w:rPr>
          <w:rFonts w:ascii="Times New Roman" w:eastAsia="Times New Roman" w:hAnsi="Times New Roman" w:cs="Times New Roman"/>
          <w:color w:val="000000"/>
          <w:sz w:val="24"/>
          <w:szCs w:val="24"/>
          <w:lang w:eastAsia="lv-LV"/>
        </w:rPr>
        <w:t>FM</w:t>
      </w:r>
      <w:r w:rsidRPr="00D316B2">
        <w:rPr>
          <w:rFonts w:ascii="Times New Roman" w:eastAsia="Times New Roman" w:hAnsi="Times New Roman" w:cs="Times New Roman"/>
          <w:color w:val="000000"/>
          <w:sz w:val="24"/>
          <w:szCs w:val="24"/>
          <w:lang w:eastAsia="lv-LV"/>
        </w:rPr>
        <w:t xml:space="preserve"> prognozēm darba samaksas pieauguma temps kļūs nedaudz lēnāks, veidojot 6,0%, bet pēc tam pakāpeniski p</w:t>
      </w:r>
      <w:r w:rsidR="00003899">
        <w:rPr>
          <w:rFonts w:ascii="Times New Roman" w:eastAsia="Times New Roman" w:hAnsi="Times New Roman" w:cs="Times New Roman"/>
          <w:color w:val="000000"/>
          <w:sz w:val="24"/>
          <w:szCs w:val="24"/>
          <w:lang w:eastAsia="lv-LV"/>
        </w:rPr>
        <w:t>azemināsies līdz 5% 2021.gadā.</w:t>
      </w:r>
    </w:p>
    <w:p w:rsidR="00B45C68" w:rsidRPr="00D316B2"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D316B2">
        <w:rPr>
          <w:rFonts w:ascii="Times New Roman" w:eastAsia="Times New Roman" w:hAnsi="Times New Roman" w:cs="Times New Roman"/>
          <w:color w:val="000000"/>
          <w:sz w:val="24"/>
          <w:szCs w:val="24"/>
          <w:lang w:eastAsia="lv-LV"/>
        </w:rPr>
        <w:t>Neskatoties uz straujāku darba samaksas pieaugumu 2017.gadā, pagājušajā gadā pirmo reizi pēdējo piecu gadu laikā darba samaksas pieaugums vairs nav būtiski pārsniedzis produktivitātes kāpumu, kas ir būtiski, lai Latvija nezaudētu savu starptautisko konkurētspēju. To ir nodrošinājusi spēcīgāk</w:t>
      </w:r>
      <w:r>
        <w:rPr>
          <w:rFonts w:ascii="Times New Roman" w:eastAsia="Times New Roman" w:hAnsi="Times New Roman" w:cs="Times New Roman"/>
          <w:color w:val="000000"/>
          <w:sz w:val="24"/>
          <w:szCs w:val="24"/>
          <w:lang w:eastAsia="lv-LV"/>
        </w:rPr>
        <w:t>a</w:t>
      </w:r>
      <w:r w:rsidRPr="00D316B2">
        <w:rPr>
          <w:rFonts w:ascii="Times New Roman" w:eastAsia="Times New Roman" w:hAnsi="Times New Roman" w:cs="Times New Roman"/>
          <w:color w:val="000000"/>
          <w:sz w:val="24"/>
          <w:szCs w:val="24"/>
          <w:lang w:eastAsia="lv-LV"/>
        </w:rPr>
        <w:t xml:space="preserve"> e</w:t>
      </w:r>
      <w:r>
        <w:rPr>
          <w:rFonts w:ascii="Times New Roman" w:eastAsia="Times New Roman" w:hAnsi="Times New Roman" w:cs="Times New Roman"/>
          <w:color w:val="000000"/>
          <w:sz w:val="24"/>
          <w:szCs w:val="24"/>
          <w:lang w:eastAsia="lv-LV"/>
        </w:rPr>
        <w:t>konomikas izaugsme un straujāk</w:t>
      </w:r>
      <w:r w:rsidRPr="00D316B2">
        <w:rPr>
          <w:rFonts w:ascii="Times New Roman" w:eastAsia="Times New Roman" w:hAnsi="Times New Roman" w:cs="Times New Roman"/>
          <w:color w:val="000000"/>
          <w:sz w:val="24"/>
          <w:szCs w:val="24"/>
          <w:lang w:eastAsia="lv-LV"/>
        </w:rPr>
        <w:t xml:space="preserve">s produktivitātes pieaugums, un arī turpmākajos gados </w:t>
      </w:r>
      <w:r>
        <w:rPr>
          <w:rFonts w:ascii="Times New Roman" w:eastAsia="Times New Roman" w:hAnsi="Times New Roman" w:cs="Times New Roman"/>
          <w:color w:val="000000"/>
          <w:sz w:val="24"/>
          <w:szCs w:val="24"/>
          <w:lang w:eastAsia="lv-LV"/>
        </w:rPr>
        <w:t>FM</w:t>
      </w:r>
      <w:r w:rsidRPr="00D316B2">
        <w:rPr>
          <w:rFonts w:ascii="Times New Roman" w:eastAsia="Times New Roman" w:hAnsi="Times New Roman" w:cs="Times New Roman"/>
          <w:color w:val="000000"/>
          <w:sz w:val="24"/>
          <w:szCs w:val="24"/>
          <w:lang w:eastAsia="lv-LV"/>
        </w:rPr>
        <w:t xml:space="preserve"> sagaida, ka darba samaksas kāpums kopumā būs atbilstošs produktivitātes pieaugumam, 2018.gadā vienreizēju faktoru ietekmē gan to vēl nedaudz pārsniedzot.</w:t>
      </w:r>
    </w:p>
    <w:p w:rsidR="00FB62BB" w:rsidRDefault="00FB62BB" w:rsidP="00B45C68">
      <w:pPr>
        <w:spacing w:after="60" w:line="240" w:lineRule="auto"/>
        <w:ind w:left="567" w:firstLine="153"/>
        <w:jc w:val="both"/>
        <w:outlineLvl w:val="3"/>
        <w:rPr>
          <w:rFonts w:ascii="Times New Roman" w:eastAsia="Times New Roman" w:hAnsi="Times New Roman" w:cs="Times New Roman"/>
          <w:b/>
          <w:sz w:val="24"/>
          <w:szCs w:val="24"/>
        </w:rPr>
      </w:pPr>
    </w:p>
    <w:p w:rsidR="00637E49" w:rsidRDefault="00637E49" w:rsidP="004F5D37">
      <w:pPr>
        <w:spacing w:after="120" w:line="240" w:lineRule="auto"/>
        <w:ind w:left="567" w:firstLine="153"/>
        <w:jc w:val="both"/>
        <w:outlineLvl w:val="3"/>
        <w:rPr>
          <w:rFonts w:ascii="Times New Roman" w:eastAsia="Times New Roman" w:hAnsi="Times New Roman" w:cs="Times New Roman"/>
          <w:b/>
          <w:sz w:val="24"/>
          <w:szCs w:val="24"/>
        </w:rPr>
      </w:pPr>
    </w:p>
    <w:p w:rsidR="00637E49" w:rsidRDefault="00637E49" w:rsidP="004F5D37">
      <w:pPr>
        <w:spacing w:after="120" w:line="240" w:lineRule="auto"/>
        <w:ind w:left="567" w:firstLine="153"/>
        <w:jc w:val="both"/>
        <w:outlineLvl w:val="3"/>
        <w:rPr>
          <w:rFonts w:ascii="Times New Roman" w:eastAsia="Times New Roman" w:hAnsi="Times New Roman" w:cs="Times New Roman"/>
          <w:b/>
          <w:sz w:val="24"/>
          <w:szCs w:val="24"/>
        </w:rPr>
      </w:pPr>
    </w:p>
    <w:p w:rsidR="00B45C68" w:rsidRPr="00A62844" w:rsidRDefault="00B45C68" w:rsidP="004F5D37">
      <w:pPr>
        <w:spacing w:after="120" w:line="240" w:lineRule="auto"/>
        <w:ind w:left="567" w:firstLine="153"/>
        <w:jc w:val="both"/>
        <w:outlineLvl w:val="3"/>
        <w:rPr>
          <w:rFonts w:ascii="Times New Roman" w:eastAsia="Times New Roman" w:hAnsi="Times New Roman" w:cs="Times New Roman"/>
          <w:b/>
          <w:sz w:val="24"/>
          <w:szCs w:val="24"/>
        </w:rPr>
      </w:pPr>
      <w:r w:rsidRPr="00A62844">
        <w:rPr>
          <w:rFonts w:ascii="Times New Roman" w:eastAsia="Times New Roman" w:hAnsi="Times New Roman" w:cs="Times New Roman"/>
          <w:b/>
          <w:sz w:val="24"/>
          <w:szCs w:val="24"/>
        </w:rPr>
        <w:lastRenderedPageBreak/>
        <w:t>Ekonomikas cikliskā attīstība</w:t>
      </w:r>
    </w:p>
    <w:p w:rsidR="00B45C68" w:rsidRDefault="00B45C68" w:rsidP="004F5D3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Līdzīgi kā ES arī Latvijas ekonomikas attīstība ir augšupejošā cikla daļā, par ko liecina straujāka nekā gaidīts ekonomiskā izaugsme 2017.gadā un krītošs bezdarba līmenis. </w:t>
      </w:r>
      <w:r w:rsidRPr="00A62844">
        <w:rPr>
          <w:rFonts w:ascii="Times New Roman" w:eastAsia="Times New Roman" w:hAnsi="Times New Roman" w:cs="Times New Roman"/>
          <w:color w:val="000000"/>
          <w:sz w:val="24"/>
          <w:szCs w:val="24"/>
          <w:lang w:eastAsia="lv-LV"/>
        </w:rPr>
        <w:t xml:space="preserve">Saskaņā ar FM aprēķiniem potenciālā IKP izaugsme vidējā termiņā </w:t>
      </w:r>
      <w:r>
        <w:rPr>
          <w:rFonts w:ascii="Times New Roman" w:eastAsia="Times New Roman" w:hAnsi="Times New Roman" w:cs="Times New Roman"/>
          <w:color w:val="000000"/>
          <w:sz w:val="24"/>
          <w:szCs w:val="24"/>
          <w:lang w:eastAsia="lv-LV"/>
        </w:rPr>
        <w:t>būs 3,2</w:t>
      </w:r>
      <w:r>
        <w:rPr>
          <w:rFonts w:ascii="Times New Roman" w:eastAsia="Calibri" w:hAnsi="Times New Roman" w:cs="Times New Roman"/>
          <w:sz w:val="24"/>
          <w:szCs w:val="24"/>
        </w:rPr>
        <w:t xml:space="preserve"> – </w:t>
      </w:r>
      <w:r>
        <w:rPr>
          <w:rFonts w:ascii="Times New Roman" w:eastAsia="Times New Roman" w:hAnsi="Times New Roman" w:cs="Times New Roman"/>
          <w:color w:val="000000"/>
          <w:sz w:val="24"/>
          <w:szCs w:val="24"/>
          <w:lang w:eastAsia="lv-LV"/>
        </w:rPr>
        <w:t>3,4% apmērā.</w:t>
      </w:r>
    </w:p>
    <w:p w:rsidR="00B45C68" w:rsidRDefault="00B45C68" w:rsidP="004F5D3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IKP potenciālo izaugsmi ierobežo darbaspēka trūkums un zemais investīciju līmenis. Demogrāfiskās situācijas dēļ nodarbinātībai prognožu periodā būs neitrāla ietekme. Tāpēc potenciālo izaugsmi </w:t>
      </w:r>
      <w:r w:rsidRPr="00A62844">
        <w:rPr>
          <w:rFonts w:ascii="Times New Roman" w:eastAsia="Times New Roman" w:hAnsi="Times New Roman" w:cs="Times New Roman"/>
          <w:color w:val="000000"/>
          <w:sz w:val="24"/>
          <w:szCs w:val="24"/>
          <w:lang w:eastAsia="lv-LV"/>
        </w:rPr>
        <w:t>pamatā noteiks kapitāla un kopējās faktoru produktivitātes pieaugums</w:t>
      </w:r>
      <w:r>
        <w:rPr>
          <w:rFonts w:ascii="Times New Roman" w:eastAsia="Times New Roman" w:hAnsi="Times New Roman" w:cs="Times New Roman"/>
          <w:color w:val="000000"/>
          <w:sz w:val="24"/>
          <w:szCs w:val="24"/>
          <w:lang w:eastAsia="lv-LV"/>
        </w:rPr>
        <w:t>.</w:t>
      </w:r>
    </w:p>
    <w:p w:rsidR="00B45C68" w:rsidRDefault="00B45C68" w:rsidP="004F5D37">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Jau līdz 2016.gadam potenciālo izaugsmi bremzēja arī zemais investīciju līmenis, bet 2016.gadā bruto pamatkapitāla veidošana samazinājās par 15,7% salīdzināmajās cenās, ko ietekmēja </w:t>
      </w:r>
      <w:r w:rsidRPr="00A62844">
        <w:rPr>
          <w:rFonts w:ascii="Times New Roman" w:eastAsia="Times New Roman" w:hAnsi="Times New Roman" w:cs="Times New Roman"/>
          <w:color w:val="000000"/>
          <w:sz w:val="24"/>
          <w:szCs w:val="24"/>
          <w:lang w:eastAsia="lv-LV"/>
        </w:rPr>
        <w:t xml:space="preserve">ES fondu </w:t>
      </w:r>
      <w:r>
        <w:rPr>
          <w:rFonts w:ascii="Times New Roman" w:eastAsia="Times New Roman" w:hAnsi="Times New Roman" w:cs="Times New Roman"/>
          <w:color w:val="000000"/>
          <w:sz w:val="24"/>
          <w:szCs w:val="24"/>
          <w:lang w:eastAsia="lv-LV"/>
        </w:rPr>
        <w:t>ieviešanas</w:t>
      </w:r>
      <w:r w:rsidRPr="00A62844">
        <w:rPr>
          <w:rFonts w:ascii="Times New Roman" w:eastAsia="Times New Roman" w:hAnsi="Times New Roman" w:cs="Times New Roman"/>
          <w:color w:val="000000"/>
          <w:sz w:val="24"/>
          <w:szCs w:val="24"/>
          <w:lang w:eastAsia="lv-LV"/>
        </w:rPr>
        <w:t xml:space="preserve"> kavēšanās</w:t>
      </w:r>
      <w:r>
        <w:rPr>
          <w:rFonts w:ascii="Times New Roman" w:eastAsia="Times New Roman" w:hAnsi="Times New Roman" w:cs="Times New Roman"/>
          <w:color w:val="000000"/>
          <w:sz w:val="24"/>
          <w:szCs w:val="24"/>
          <w:lang w:eastAsia="lv-LV"/>
        </w:rPr>
        <w:t>.</w:t>
      </w:r>
      <w:r w:rsidRPr="00A62844">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Sākot ar 2017.gadu, ir pieaugusi kapitāla ietekme uz potenciālo izaugsmi, jo ir vērojams straujš investīciju pieaugums, kas arī tiek prognozēts diezgan straujš (aptuveni 10%) visā prognožu periodā.</w:t>
      </w:r>
      <w:r w:rsidRPr="00E00084">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Tādējādi tas veicinās arī potenciālā IKP izaugsmi un prognožu periodā kapitāla devums potenciālajā izaugsmē būs nedaudz virs 2</w:t>
      </w:r>
      <w:r w:rsidR="00FB62BB">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procentpunktiem.</w:t>
      </w:r>
    </w:p>
    <w:p w:rsidR="00B45C68"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Savukārt kopējās faktoru produktivitātes pieaugums kopš pēdējās ekonomiskās recesijas (2008.</w:t>
      </w:r>
      <w:r>
        <w:rPr>
          <w:rFonts w:ascii="Times New Roman" w:eastAsia="Calibri" w:hAnsi="Times New Roman" w:cs="Times New Roman"/>
          <w:sz w:val="24"/>
          <w:szCs w:val="24"/>
        </w:rPr>
        <w:t xml:space="preserve"> – </w:t>
      </w:r>
      <w:r>
        <w:rPr>
          <w:rFonts w:ascii="Times New Roman" w:eastAsia="Times New Roman" w:hAnsi="Times New Roman" w:cs="Times New Roman"/>
          <w:color w:val="000000"/>
          <w:sz w:val="24"/>
          <w:szCs w:val="24"/>
          <w:lang w:eastAsia="lv-LV"/>
        </w:rPr>
        <w:t>2010.gadā) ir sasniedzis lielāko devumu potenciālā IKP izaugsmē, dodot aptuveni trešdaļu no potenciālā IKP pieauguma kopš 2016.gada un aptuveni tikpat daudz veidos arī prognožu periodā.</w:t>
      </w:r>
    </w:p>
    <w:p w:rsidR="00B45C68" w:rsidRDefault="00B45C68" w:rsidP="00B45C6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lv-LV"/>
        </w:rPr>
      </w:pPr>
    </w:p>
    <w:p w:rsidR="00B45C68" w:rsidRPr="00A62844" w:rsidRDefault="00003899" w:rsidP="00003899">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lv-LV"/>
        </w:rPr>
      </w:pPr>
      <w:r>
        <w:rPr>
          <w:noProof/>
          <w:lang w:eastAsia="lv-LV"/>
        </w:rPr>
        <w:drawing>
          <wp:inline distT="0" distB="0" distL="0" distR="0">
            <wp:extent cx="4572931"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Times New Roman" w:hAnsi="Times New Roman" w:cs="Times New Roman"/>
          <w:b/>
          <w:color w:val="000000"/>
          <w:sz w:val="24"/>
          <w:szCs w:val="24"/>
          <w:lang w:eastAsia="lv-LV"/>
        </w:rPr>
        <w:br/>
      </w:r>
      <w:r w:rsidR="00B45C68" w:rsidRPr="00A62844">
        <w:rPr>
          <w:rFonts w:ascii="Times New Roman" w:eastAsia="Times New Roman" w:hAnsi="Times New Roman" w:cs="Times New Roman"/>
          <w:b/>
          <w:color w:val="000000"/>
          <w:sz w:val="24"/>
          <w:szCs w:val="24"/>
          <w:lang w:eastAsia="lv-LV"/>
        </w:rPr>
        <w:t>2.</w:t>
      </w:r>
      <w:r w:rsidR="00B45C68">
        <w:rPr>
          <w:rFonts w:ascii="Times New Roman" w:eastAsia="Times New Roman" w:hAnsi="Times New Roman" w:cs="Times New Roman"/>
          <w:b/>
          <w:color w:val="000000"/>
          <w:sz w:val="24"/>
          <w:szCs w:val="24"/>
          <w:lang w:eastAsia="lv-LV"/>
        </w:rPr>
        <w:t>6</w:t>
      </w:r>
      <w:r w:rsidR="00B45C68" w:rsidRPr="00A62844">
        <w:rPr>
          <w:rFonts w:ascii="Times New Roman" w:eastAsia="Times New Roman" w:hAnsi="Times New Roman" w:cs="Times New Roman"/>
          <w:b/>
          <w:color w:val="000000"/>
          <w:sz w:val="24"/>
          <w:szCs w:val="24"/>
          <w:lang w:eastAsia="lv-LV"/>
        </w:rPr>
        <w:t>.attēls. Potenciāl</w:t>
      </w:r>
      <w:r w:rsidR="00B45C68">
        <w:rPr>
          <w:rFonts w:ascii="Times New Roman" w:eastAsia="Times New Roman" w:hAnsi="Times New Roman" w:cs="Times New Roman"/>
          <w:b/>
          <w:color w:val="000000"/>
          <w:sz w:val="24"/>
          <w:szCs w:val="24"/>
          <w:lang w:eastAsia="lv-LV"/>
        </w:rPr>
        <w:t>ā</w:t>
      </w:r>
      <w:r w:rsidR="00B45C68" w:rsidRPr="00A62844">
        <w:rPr>
          <w:rFonts w:ascii="Times New Roman" w:eastAsia="Times New Roman" w:hAnsi="Times New Roman" w:cs="Times New Roman"/>
          <w:b/>
          <w:color w:val="000000"/>
          <w:sz w:val="24"/>
          <w:szCs w:val="24"/>
          <w:lang w:eastAsia="lv-LV"/>
        </w:rPr>
        <w:t xml:space="preserve"> IKP</w:t>
      </w:r>
      <w:r w:rsidR="00B45C68">
        <w:rPr>
          <w:rFonts w:ascii="Times New Roman" w:eastAsia="Times New Roman" w:hAnsi="Times New Roman" w:cs="Times New Roman"/>
          <w:b/>
          <w:color w:val="000000"/>
          <w:sz w:val="24"/>
          <w:szCs w:val="24"/>
          <w:lang w:eastAsia="lv-LV"/>
        </w:rPr>
        <w:t xml:space="preserve"> izaugsme un komponenšu devums, %</w:t>
      </w:r>
    </w:p>
    <w:p w:rsidR="00B45C68" w:rsidRDefault="00B45C68" w:rsidP="00637E49">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r w:rsidRPr="00A62844">
        <w:rPr>
          <w:rFonts w:ascii="Times New Roman" w:eastAsia="Times New Roman" w:hAnsi="Times New Roman" w:cs="Times New Roman"/>
          <w:color w:val="000000"/>
          <w:sz w:val="24"/>
          <w:szCs w:val="24"/>
          <w:lang w:eastAsia="lv-LV"/>
        </w:rPr>
        <w:t xml:space="preserve">Atbilstoši FM novērtējumam Latvijas ekonomika </w:t>
      </w:r>
      <w:r w:rsidR="009C70FA">
        <w:rPr>
          <w:rFonts w:ascii="Times New Roman" w:eastAsia="Times New Roman" w:hAnsi="Times New Roman" w:cs="Times New Roman"/>
          <w:color w:val="000000"/>
          <w:sz w:val="24"/>
          <w:szCs w:val="24"/>
          <w:lang w:eastAsia="lv-LV"/>
        </w:rPr>
        <w:t>līdz 2016.</w:t>
      </w:r>
      <w:r>
        <w:rPr>
          <w:rFonts w:ascii="Times New Roman" w:eastAsia="Times New Roman" w:hAnsi="Times New Roman" w:cs="Times New Roman"/>
          <w:color w:val="000000"/>
          <w:sz w:val="24"/>
          <w:szCs w:val="24"/>
          <w:lang w:eastAsia="lv-LV"/>
        </w:rPr>
        <w:t>gadam</w:t>
      </w:r>
      <w:r w:rsidRPr="00A62844">
        <w:rPr>
          <w:rFonts w:ascii="Times New Roman" w:eastAsia="Times New Roman" w:hAnsi="Times New Roman" w:cs="Times New Roman"/>
          <w:color w:val="000000"/>
          <w:sz w:val="24"/>
          <w:szCs w:val="24"/>
          <w:lang w:eastAsia="lv-LV"/>
        </w:rPr>
        <w:t xml:space="preserve"> attīs</w:t>
      </w:r>
      <w:r>
        <w:rPr>
          <w:rFonts w:ascii="Times New Roman" w:eastAsia="Times New Roman" w:hAnsi="Times New Roman" w:cs="Times New Roman"/>
          <w:color w:val="000000"/>
          <w:sz w:val="24"/>
          <w:szCs w:val="24"/>
          <w:lang w:eastAsia="lv-LV"/>
        </w:rPr>
        <w:t xml:space="preserve">tījās nedaudz zem potenciālā </w:t>
      </w:r>
      <w:r w:rsidRPr="00744844">
        <w:rPr>
          <w:rFonts w:ascii="Times New Roman" w:eastAsia="Times New Roman" w:hAnsi="Times New Roman" w:cs="Times New Roman"/>
          <w:color w:val="000000"/>
          <w:sz w:val="24"/>
          <w:szCs w:val="24"/>
          <w:lang w:eastAsia="lv-LV"/>
        </w:rPr>
        <w:t>līmeņa.</w:t>
      </w:r>
      <w:r>
        <w:rPr>
          <w:rFonts w:ascii="Times New Roman" w:eastAsia="Times New Roman" w:hAnsi="Times New Roman" w:cs="Times New Roman"/>
          <w:color w:val="000000"/>
          <w:sz w:val="24"/>
          <w:szCs w:val="24"/>
          <w:lang w:eastAsia="lv-LV"/>
        </w:rPr>
        <w:t xml:space="preserve"> Tikai sākot ar 2017.gadu, pateicoties straujākai, t.i. virs 4%, IKP izaugsmei, izlaižu starpība Latvijā ir kļuvusi pozitīva. Tomēr vidējā termiņā tiek prognozēts, ka izlaižu starpība samazināsies, jo IKP pieaugums pamazām bremzēsies līdz savam potenciālajam pieaugumam. </w:t>
      </w:r>
      <w:r w:rsidRPr="00A62844">
        <w:rPr>
          <w:rFonts w:ascii="Times New Roman" w:eastAsia="Times New Roman" w:hAnsi="Times New Roman" w:cs="Times New Roman"/>
          <w:sz w:val="24"/>
          <w:szCs w:val="23"/>
          <w:lang w:eastAsia="lv-LV"/>
        </w:rPr>
        <w:t>Turklāt tiek prognozēts, ka reālās algas pieaugums vidējā termiņā nepārsniegs darba</w:t>
      </w:r>
      <w:r>
        <w:rPr>
          <w:rFonts w:ascii="Times New Roman" w:eastAsia="Times New Roman" w:hAnsi="Times New Roman" w:cs="Times New Roman"/>
          <w:sz w:val="24"/>
          <w:szCs w:val="23"/>
          <w:lang w:eastAsia="lv-LV"/>
        </w:rPr>
        <w:t>spēka produktivitātes pieaugumu, t.i.,</w:t>
      </w:r>
      <w:r>
        <w:rPr>
          <w:rFonts w:ascii="Times New Roman" w:eastAsia="Times New Roman" w:hAnsi="Times New Roman" w:cs="Times New Roman"/>
          <w:color w:val="000000"/>
          <w:sz w:val="24"/>
          <w:szCs w:val="24"/>
          <w:lang w:eastAsia="lv-LV"/>
        </w:rPr>
        <w:t xml:space="preserve"> netiek prognozēta reālās algas pieaugums virs produktivitātes, kas varētu norādīt uz augstu pozitīvu izlaižu starpību.</w:t>
      </w:r>
    </w:p>
    <w:p w:rsidR="00B45C68" w:rsidRPr="00A62844" w:rsidRDefault="00B45C68" w:rsidP="00B45C68">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FB62BB">
        <w:rPr>
          <w:rFonts w:ascii="Times New Roman" w:eastAsia="Times New Roman" w:hAnsi="Times New Roman" w:cs="Times New Roman"/>
          <w:color w:val="000000"/>
          <w:sz w:val="24"/>
          <w:szCs w:val="24"/>
          <w:lang w:eastAsia="lv-LV"/>
        </w:rPr>
        <w:t xml:space="preserve">Līdzīgs vidēja termiņa izlaižu starpības novērtējums ir arī EK. Lai gan pēc EK vērtējuma, </w:t>
      </w:r>
      <w:r w:rsidR="00003899" w:rsidRPr="00FB62BB">
        <w:rPr>
          <w:rFonts w:ascii="Times New Roman" w:eastAsia="Times New Roman" w:hAnsi="Times New Roman" w:cs="Times New Roman"/>
          <w:color w:val="000000"/>
          <w:sz w:val="24"/>
          <w:szCs w:val="24"/>
          <w:lang w:eastAsia="lv-LV"/>
        </w:rPr>
        <w:t>sākot no 2015.</w:t>
      </w:r>
      <w:r w:rsidRPr="00FB62BB">
        <w:rPr>
          <w:rFonts w:ascii="Times New Roman" w:eastAsia="Times New Roman" w:hAnsi="Times New Roman" w:cs="Times New Roman"/>
          <w:color w:val="000000"/>
          <w:sz w:val="24"/>
          <w:szCs w:val="24"/>
          <w:lang w:eastAsia="lv-LV"/>
        </w:rPr>
        <w:t>gada, Latvijas izlaižu starpība ir diezgan pozitīva, pamatojot to ar algu pieaugumu un strauju bezdarba līmeņa samazinājumu, tomēr t</w:t>
      </w:r>
      <w:r w:rsidRPr="00FB62BB">
        <w:rPr>
          <w:rFonts w:ascii="Times New Roman" w:eastAsia="Times New Roman" w:hAnsi="Times New Roman" w:cs="Times New Roman"/>
          <w:sz w:val="24"/>
          <w:szCs w:val="23"/>
          <w:lang w:eastAsia="lv-LV"/>
        </w:rPr>
        <w:t xml:space="preserve">as ir pretrunā ar pašas EK </w:t>
      </w:r>
      <w:r w:rsidRPr="00FB62BB">
        <w:rPr>
          <w:rFonts w:ascii="Times New Roman" w:eastAsia="Times New Roman" w:hAnsi="Times New Roman" w:cs="Times New Roman"/>
          <w:sz w:val="24"/>
          <w:szCs w:val="23"/>
          <w:lang w:eastAsia="lv-LV"/>
        </w:rPr>
        <w:lastRenderedPageBreak/>
        <w:t>izstrādātā alternatīvā izlaižu starpības “ticamības rīka</w:t>
      </w:r>
      <w:r w:rsidR="001B484A" w:rsidRPr="00FB62BB">
        <w:rPr>
          <w:rStyle w:val="FootnoteReference"/>
          <w:rFonts w:eastAsia="Times New Roman" w:cs="Times New Roman"/>
          <w:szCs w:val="23"/>
          <w:lang w:eastAsia="lv-LV"/>
        </w:rPr>
        <w:footnoteReference w:id="7"/>
      </w:r>
      <w:r w:rsidRPr="00FB62BB">
        <w:rPr>
          <w:rFonts w:ascii="Times New Roman" w:eastAsia="Times New Roman" w:hAnsi="Times New Roman" w:cs="Times New Roman"/>
          <w:sz w:val="24"/>
          <w:szCs w:val="23"/>
          <w:lang w:eastAsia="lv-LV"/>
        </w:rPr>
        <w:t>”</w:t>
      </w:r>
      <w:r w:rsidR="00FF2C11">
        <w:rPr>
          <w:rFonts w:ascii="Times New Roman" w:eastAsia="Times New Roman" w:hAnsi="Times New Roman" w:cs="Times New Roman"/>
          <w:sz w:val="24"/>
          <w:szCs w:val="23"/>
          <w:lang w:eastAsia="lv-LV"/>
        </w:rPr>
        <w:t>,</w:t>
      </w:r>
      <w:r w:rsidRPr="00FB62BB">
        <w:rPr>
          <w:rFonts w:ascii="Times New Roman" w:eastAsia="Times New Roman" w:hAnsi="Times New Roman" w:cs="Times New Roman"/>
          <w:sz w:val="24"/>
          <w:szCs w:val="23"/>
          <w:lang w:eastAsia="lv-LV"/>
        </w:rPr>
        <w:t xml:space="preserve"> ņemot vērā vairākus cikliskos mainīgos, rezultātiem, kas norāda uz sabalansētu izlaižu starpību Latvijā 2017.gadā.</w:t>
      </w:r>
      <w:r>
        <w:rPr>
          <w:rFonts w:ascii="Times New Roman" w:eastAsia="Times New Roman" w:hAnsi="Times New Roman" w:cs="Times New Roman"/>
          <w:sz w:val="24"/>
          <w:szCs w:val="23"/>
          <w:lang w:eastAsia="lv-LV"/>
        </w:rPr>
        <w:t xml:space="preserve"> Piemēram, par sabalansētu izlaižu starpību liecina </w:t>
      </w:r>
      <w:r w:rsidRPr="00A62844">
        <w:rPr>
          <w:rFonts w:ascii="Times New Roman" w:eastAsia="Times New Roman" w:hAnsi="Times New Roman" w:cs="Times New Roman"/>
          <w:sz w:val="24"/>
          <w:szCs w:val="23"/>
          <w:lang w:eastAsia="lv-LV"/>
        </w:rPr>
        <w:t>zem</w:t>
      </w:r>
      <w:r>
        <w:rPr>
          <w:rFonts w:ascii="Times New Roman" w:eastAsia="Times New Roman" w:hAnsi="Times New Roman" w:cs="Times New Roman"/>
          <w:sz w:val="24"/>
          <w:szCs w:val="23"/>
          <w:lang w:eastAsia="lv-LV"/>
        </w:rPr>
        <w:t>a inflācija, tekošā</w:t>
      </w:r>
      <w:r w:rsidRPr="00A62844">
        <w:rPr>
          <w:rFonts w:ascii="Times New Roman" w:eastAsia="Times New Roman" w:hAnsi="Times New Roman" w:cs="Times New Roman"/>
          <w:sz w:val="24"/>
          <w:szCs w:val="23"/>
          <w:lang w:eastAsia="lv-LV"/>
        </w:rPr>
        <w:t xml:space="preserve"> un kapitāla konta bilances pārpalikums, </w:t>
      </w:r>
      <w:r>
        <w:rPr>
          <w:rFonts w:ascii="Times New Roman" w:eastAsia="Times New Roman" w:hAnsi="Times New Roman" w:cs="Times New Roman"/>
          <w:sz w:val="24"/>
          <w:szCs w:val="23"/>
          <w:lang w:eastAsia="lv-LV"/>
        </w:rPr>
        <w:t>kā arī neto parāda samazinājums attiecībā pret IKP. Turklāt uz pretrunu EK aprēķinos norāda arī fakts, ka 201</w:t>
      </w:r>
      <w:r w:rsidR="00003899">
        <w:rPr>
          <w:rFonts w:ascii="Times New Roman" w:eastAsia="Times New Roman" w:hAnsi="Times New Roman" w:cs="Times New Roman"/>
          <w:sz w:val="24"/>
          <w:szCs w:val="23"/>
          <w:lang w:eastAsia="lv-LV"/>
        </w:rPr>
        <w:t>6.</w:t>
      </w:r>
      <w:r>
        <w:rPr>
          <w:rFonts w:ascii="Times New Roman" w:eastAsia="Times New Roman" w:hAnsi="Times New Roman" w:cs="Times New Roman"/>
          <w:sz w:val="24"/>
          <w:szCs w:val="23"/>
          <w:lang w:eastAsia="lv-LV"/>
        </w:rPr>
        <w:t>gadā par spīti tam, ka Latvijas IKP pieaugums sabremzējās, pēc EK aprēķiniem izlaižu starpība tik un tā palielinājās. Taču kopumā, sākot no 2020.gada, FM un EK prognozes par izlaižu starpības lielumu ir ļoti tuvas.</w:t>
      </w:r>
    </w:p>
    <w:p w:rsidR="00B45C68" w:rsidRPr="00A62844" w:rsidRDefault="00B45C68" w:rsidP="00B45C68">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rsidR="00B45C68" w:rsidRPr="00A62844" w:rsidRDefault="00003899" w:rsidP="00B45C6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lv-LV"/>
        </w:rPr>
      </w:pPr>
      <w:r>
        <w:rPr>
          <w:noProof/>
          <w:lang w:eastAsia="lv-LV"/>
        </w:rPr>
        <w:drawing>
          <wp:inline distT="0" distB="0" distL="0" distR="0">
            <wp:extent cx="4569619" cy="2743200"/>
            <wp:effectExtent l="0" t="0" r="254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45C68">
        <w:rPr>
          <w:noProof/>
          <w:color w:val="000000"/>
        </w:rPr>
        <w:br/>
      </w:r>
      <w:r w:rsidR="00B45C68">
        <w:rPr>
          <w:rFonts w:ascii="Times New Roman" w:eastAsia="Times New Roman" w:hAnsi="Times New Roman" w:cs="Times New Roman"/>
          <w:b/>
          <w:color w:val="000000"/>
          <w:sz w:val="24"/>
          <w:szCs w:val="24"/>
          <w:lang w:eastAsia="lv-LV"/>
        </w:rPr>
        <w:t>2.7</w:t>
      </w:r>
      <w:r w:rsidR="00B45C68" w:rsidRPr="00A62844">
        <w:rPr>
          <w:rFonts w:ascii="Times New Roman" w:eastAsia="Times New Roman" w:hAnsi="Times New Roman" w:cs="Times New Roman"/>
          <w:b/>
          <w:color w:val="000000"/>
          <w:sz w:val="24"/>
          <w:szCs w:val="24"/>
          <w:lang w:eastAsia="lv-LV"/>
        </w:rPr>
        <w:t xml:space="preserve">.attēls. </w:t>
      </w:r>
      <w:r w:rsidR="00B45C68">
        <w:rPr>
          <w:rFonts w:ascii="Times New Roman" w:eastAsia="Times New Roman" w:hAnsi="Times New Roman" w:cs="Times New Roman"/>
          <w:b/>
          <w:color w:val="000000"/>
          <w:sz w:val="24"/>
          <w:szCs w:val="24"/>
          <w:lang w:eastAsia="lv-LV"/>
        </w:rPr>
        <w:t>Izlaižu starpība, %</w:t>
      </w:r>
    </w:p>
    <w:p w:rsidR="00A62844" w:rsidRPr="00595C54" w:rsidRDefault="00A62844" w:rsidP="00B45C68">
      <w:pPr>
        <w:rPr>
          <w:rFonts w:ascii="Times New Roman" w:eastAsia="Times New Roman" w:hAnsi="Times New Roman" w:cs="Times New Roman"/>
          <w:b/>
          <w:color w:val="000000"/>
          <w:sz w:val="24"/>
          <w:szCs w:val="24"/>
          <w:lang w:eastAsia="lv-LV"/>
        </w:rPr>
      </w:pPr>
    </w:p>
    <w:p w:rsidR="00B51617" w:rsidRDefault="00B51617">
      <w:pPr>
        <w:rPr>
          <w:rFonts w:ascii="Times New Roman" w:eastAsia="Times New Roman" w:hAnsi="Times New Roman" w:cs="Times New Roman"/>
          <w:b/>
          <w:sz w:val="24"/>
          <w:szCs w:val="24"/>
          <w:highlight w:val="yellow"/>
        </w:rPr>
      </w:pPr>
      <w:r>
        <w:rPr>
          <w:rFonts w:ascii="Times New Roman" w:eastAsia="Times New Roman" w:hAnsi="Times New Roman" w:cs="Times New Roman"/>
          <w:bCs/>
          <w:smallCaps/>
          <w:sz w:val="24"/>
          <w:szCs w:val="24"/>
          <w:highlight w:val="yellow"/>
        </w:rPr>
        <w:br w:type="page"/>
      </w:r>
    </w:p>
    <w:p w:rsidR="005536A9" w:rsidRPr="00F51615" w:rsidRDefault="005536A9" w:rsidP="00F512CA">
      <w:pPr>
        <w:pStyle w:val="Heading1"/>
        <w:numPr>
          <w:ilvl w:val="0"/>
          <w:numId w:val="1"/>
        </w:numPr>
        <w:ind w:left="284" w:hanging="283"/>
        <w:jc w:val="center"/>
        <w:rPr>
          <w:rFonts w:ascii="Times New Roman" w:hAnsi="Times New Roman" w:cs="Times New Roman"/>
          <w:sz w:val="32"/>
        </w:rPr>
      </w:pPr>
      <w:bookmarkStart w:id="14" w:name="_Toc510790655"/>
      <w:bookmarkStart w:id="15" w:name="_Toc511027815"/>
      <w:r w:rsidRPr="00F51615">
        <w:rPr>
          <w:rFonts w:ascii="Times New Roman" w:hAnsi="Times New Roman" w:cs="Times New Roman"/>
          <w:sz w:val="32"/>
        </w:rPr>
        <w:lastRenderedPageBreak/>
        <w:t>Vispārējās valdības budžeta bilance un parāds</w:t>
      </w:r>
      <w:bookmarkEnd w:id="14"/>
      <w:bookmarkEnd w:id="15"/>
    </w:p>
    <w:p w:rsidR="00C6773B" w:rsidRDefault="00A34463" w:rsidP="00FB62BB">
      <w:pPr>
        <w:pStyle w:val="Heading2"/>
        <w:numPr>
          <w:ilvl w:val="1"/>
          <w:numId w:val="1"/>
        </w:numPr>
        <w:spacing w:before="240" w:after="120"/>
        <w:ind w:left="1134" w:hanging="425"/>
        <w:rPr>
          <w:rFonts w:ascii="Times New Roman" w:hAnsi="Times New Roman" w:cs="Times New Roman"/>
          <w:sz w:val="24"/>
        </w:rPr>
      </w:pPr>
      <w:bookmarkStart w:id="16" w:name="_Toc510790656"/>
      <w:bookmarkStart w:id="17" w:name="_Toc511027816"/>
      <w:r w:rsidRPr="00F51615">
        <w:rPr>
          <w:rFonts w:ascii="Times New Roman" w:hAnsi="Times New Roman" w:cs="Times New Roman"/>
          <w:sz w:val="24"/>
        </w:rPr>
        <w:t>Pašreizējā fiskālā situācija</w:t>
      </w:r>
      <w:bookmarkEnd w:id="16"/>
      <w:bookmarkEnd w:id="17"/>
    </w:p>
    <w:p w:rsidR="00125819" w:rsidRPr="00483774" w:rsidRDefault="001B484A" w:rsidP="00483774">
      <w:pPr>
        <w:pStyle w:val="teksts"/>
        <w:spacing w:after="0"/>
        <w:ind w:firstLine="720"/>
        <w:rPr>
          <w:rFonts w:ascii="Times New Roman" w:eastAsia="Calibri" w:hAnsi="Times New Roman"/>
          <w:szCs w:val="24"/>
          <w:highlight w:val="yellow"/>
        </w:rPr>
      </w:pPr>
      <w:r>
        <w:rPr>
          <w:rFonts w:ascii="Times New Roman" w:eastAsia="Calibri" w:hAnsi="Times New Roman"/>
          <w:szCs w:val="24"/>
        </w:rPr>
        <w:t>2017.</w:t>
      </w:r>
      <w:r w:rsidR="00125819" w:rsidRPr="00483774">
        <w:rPr>
          <w:rFonts w:ascii="Times New Roman" w:eastAsia="Calibri" w:hAnsi="Times New Roman"/>
          <w:szCs w:val="24"/>
        </w:rPr>
        <w:t>gadā vispārējās valdības budžeta nominālais deficīts</w:t>
      </w:r>
      <w:r w:rsidR="00125819" w:rsidRPr="00483774">
        <w:rPr>
          <w:rStyle w:val="FootnoteReference"/>
          <w:rFonts w:ascii="Times New Roman" w:eastAsia="Calibri" w:hAnsi="Times New Roman"/>
          <w:sz w:val="24"/>
          <w:szCs w:val="24"/>
        </w:rPr>
        <w:footnoteReference w:id="8"/>
      </w:r>
      <w:r w:rsidR="00125819" w:rsidRPr="00483774">
        <w:rPr>
          <w:rFonts w:ascii="Times New Roman" w:eastAsia="Calibri" w:hAnsi="Times New Roman"/>
          <w:szCs w:val="24"/>
        </w:rPr>
        <w:t xml:space="preserve"> bija </w:t>
      </w:r>
      <w:r w:rsidR="00125819" w:rsidRPr="00483774">
        <w:rPr>
          <w:rFonts w:ascii="Times New Roman" w:eastAsia="Calibri" w:hAnsi="Times New Roman"/>
          <w:color w:val="000000"/>
          <w:szCs w:val="24"/>
        </w:rPr>
        <w:t>125,2</w:t>
      </w:r>
      <w:r>
        <w:rPr>
          <w:rFonts w:ascii="Times New Roman" w:eastAsia="Calibri" w:hAnsi="Times New Roman"/>
          <w:color w:val="000000"/>
          <w:szCs w:val="24"/>
        </w:rPr>
        <w:t xml:space="preserve"> </w:t>
      </w:r>
      <w:r w:rsidR="00125819" w:rsidRPr="00483774">
        <w:rPr>
          <w:rFonts w:ascii="Times New Roman" w:eastAsia="Calibri" w:hAnsi="Times New Roman"/>
          <w:color w:val="000000"/>
          <w:szCs w:val="24"/>
        </w:rPr>
        <w:t xml:space="preserve">milj. </w:t>
      </w:r>
      <w:r w:rsidR="009F2A3D" w:rsidRPr="00633484">
        <w:rPr>
          <w:rFonts w:ascii="Times New Roman" w:eastAsia="Calibri" w:hAnsi="Times New Roman"/>
          <w:i/>
          <w:color w:val="000000"/>
          <w:szCs w:val="24"/>
        </w:rPr>
        <w:t>euro</w:t>
      </w:r>
      <w:r w:rsidR="00125819" w:rsidRPr="00483774">
        <w:rPr>
          <w:rFonts w:ascii="Times New Roman" w:eastAsia="Calibri" w:hAnsi="Times New Roman"/>
          <w:color w:val="000000"/>
          <w:szCs w:val="24"/>
        </w:rPr>
        <w:t xml:space="preserve"> jeb 0,5% no IKP. Deficīta apmērs bija par 0,3</w:t>
      </w:r>
      <w:r>
        <w:rPr>
          <w:rFonts w:ascii="Times New Roman" w:eastAsia="Calibri" w:hAnsi="Times New Roman"/>
          <w:color w:val="000000"/>
          <w:szCs w:val="24"/>
        </w:rPr>
        <w:t xml:space="preserve"> </w:t>
      </w:r>
      <w:r w:rsidR="00125819" w:rsidRPr="00483774">
        <w:rPr>
          <w:rFonts w:ascii="Times New Roman" w:eastAsia="Calibri" w:hAnsi="Times New Roman"/>
          <w:color w:val="000000"/>
          <w:szCs w:val="24"/>
        </w:rPr>
        <w:t>procentpunktiem jeb 84,3</w:t>
      </w:r>
      <w:r>
        <w:rPr>
          <w:rFonts w:ascii="Times New Roman" w:eastAsia="Calibri" w:hAnsi="Times New Roman"/>
          <w:color w:val="000000"/>
          <w:szCs w:val="24"/>
        </w:rPr>
        <w:t xml:space="preserve"> </w:t>
      </w:r>
      <w:r w:rsidR="00125819" w:rsidRPr="00483774">
        <w:rPr>
          <w:rFonts w:ascii="Times New Roman" w:eastAsia="Calibri" w:hAnsi="Times New Roman"/>
          <w:color w:val="000000"/>
          <w:szCs w:val="24"/>
        </w:rPr>
        <w:t xml:space="preserve">milj. </w:t>
      </w:r>
      <w:r w:rsidR="009F2A3D" w:rsidRPr="00633484">
        <w:rPr>
          <w:rFonts w:ascii="Times New Roman" w:eastAsia="Calibri" w:hAnsi="Times New Roman"/>
          <w:i/>
          <w:color w:val="000000"/>
          <w:szCs w:val="24"/>
        </w:rPr>
        <w:t>euro</w:t>
      </w:r>
      <w:r w:rsidR="00125819" w:rsidRPr="00483774">
        <w:rPr>
          <w:rFonts w:ascii="Times New Roman" w:eastAsia="Calibri" w:hAnsi="Times New Roman"/>
          <w:color w:val="000000"/>
          <w:szCs w:val="24"/>
        </w:rPr>
        <w:t xml:space="preserve"> mazāks nekā 2017.gadam tika norādīts iepriekšējā Latvijas Stabilitātes programmā 2017.</w:t>
      </w:r>
      <w:r w:rsidR="00DD350B" w:rsidRPr="00DD350B">
        <w:rPr>
          <w:rFonts w:ascii="Times New Roman" w:eastAsia="Calibri" w:hAnsi="Times New Roman"/>
          <w:szCs w:val="24"/>
        </w:rPr>
        <w:t xml:space="preserve"> </w:t>
      </w:r>
      <w:r w:rsidR="00DD350B" w:rsidRPr="00F14E08">
        <w:rPr>
          <w:rFonts w:ascii="Times New Roman" w:eastAsia="Calibri" w:hAnsi="Times New Roman"/>
          <w:szCs w:val="24"/>
        </w:rPr>
        <w:t>–</w:t>
      </w:r>
      <w:r w:rsidR="00DD350B">
        <w:rPr>
          <w:rFonts w:ascii="Times New Roman" w:eastAsia="Calibri" w:hAnsi="Times New Roman"/>
          <w:szCs w:val="24"/>
        </w:rPr>
        <w:t xml:space="preserve"> </w:t>
      </w:r>
      <w:r w:rsidR="00125819" w:rsidRPr="00483774">
        <w:rPr>
          <w:rFonts w:ascii="Times New Roman" w:eastAsia="Calibri" w:hAnsi="Times New Roman"/>
          <w:color w:val="000000"/>
          <w:szCs w:val="24"/>
        </w:rPr>
        <w:t xml:space="preserve">2020.gadam. </w:t>
      </w:r>
      <w:r w:rsidR="00125819" w:rsidRPr="00483774">
        <w:rPr>
          <w:rFonts w:ascii="Times New Roman" w:hAnsi="Times New Roman"/>
          <w:szCs w:val="24"/>
        </w:rPr>
        <w:t xml:space="preserve">Zemāks deficīta līmenis skaidrojams ar labākiem nodokļu ieņēmumiem, mazākām iemaksām ES budžetā, kā arī zemākiem kā plānots izdevumiem sociālajiem pabalstiem. Minēto faktoru ietekmē deficīta apmērs bijis mazāks nekā prognozēts </w:t>
      </w:r>
      <w:r w:rsidR="00125819" w:rsidRPr="00C77A46">
        <w:rPr>
          <w:rFonts w:ascii="Times New Roman" w:hAnsi="Times New Roman"/>
          <w:szCs w:val="24"/>
        </w:rPr>
        <w:t>arī budžeta likumā par 2017.gadu,</w:t>
      </w:r>
      <w:r w:rsidR="00125819" w:rsidRPr="00483774">
        <w:rPr>
          <w:rFonts w:ascii="Times New Roman" w:hAnsi="Times New Roman"/>
          <w:szCs w:val="24"/>
        </w:rPr>
        <w:t xml:space="preserve"> kur tas tika noteikts 1,1% apmērā no IKP. </w:t>
      </w:r>
      <w:r w:rsidR="00125819" w:rsidRPr="00483774">
        <w:rPr>
          <w:rFonts w:ascii="Times New Roman" w:eastAsia="Calibri" w:hAnsi="Times New Roman"/>
          <w:szCs w:val="24"/>
        </w:rPr>
        <w:t>Labus nosacījumus darba spēka nodokļu ieņēmumu straujākam pieaugumam veicināja spēcīgā ekonomikas izaugsme, kā rezultātā pieauga ar nodokli apliekamu ienākumu saņēmušo darba ņēmēju skaits</w:t>
      </w:r>
      <w:r w:rsidR="00483774">
        <w:rPr>
          <w:rFonts w:ascii="Times New Roman" w:eastAsia="Calibri" w:hAnsi="Times New Roman"/>
          <w:szCs w:val="24"/>
        </w:rPr>
        <w:t>,</w:t>
      </w:r>
      <w:r w:rsidR="00125819" w:rsidRPr="00483774">
        <w:rPr>
          <w:rFonts w:ascii="Times New Roman" w:eastAsia="Calibri" w:hAnsi="Times New Roman"/>
          <w:szCs w:val="24"/>
        </w:rPr>
        <w:t xml:space="preserve"> un valstī bija vērojams nozīmīgs darba samaksas kāpums </w:t>
      </w:r>
      <w:r w:rsidR="00DD350B" w:rsidRPr="00F14E08">
        <w:rPr>
          <w:rFonts w:ascii="Times New Roman" w:eastAsia="Calibri" w:hAnsi="Times New Roman"/>
          <w:szCs w:val="24"/>
        </w:rPr>
        <w:t>–</w:t>
      </w:r>
      <w:r w:rsidR="00125819" w:rsidRPr="00483774">
        <w:rPr>
          <w:rFonts w:ascii="Times New Roman" w:eastAsia="Calibri" w:hAnsi="Times New Roman"/>
          <w:szCs w:val="24"/>
        </w:rPr>
        <w:t xml:space="preserve"> 2017.gadā par 7,5%. </w:t>
      </w:r>
      <w:r w:rsidR="00125819" w:rsidRPr="00483774">
        <w:rPr>
          <w:rFonts w:ascii="Times New Roman" w:eastAsia="Calibri" w:hAnsi="Times New Roman"/>
          <w:color w:val="000000"/>
          <w:szCs w:val="24"/>
        </w:rPr>
        <w:t>Vispārējās valdības budžeta bilance 2017.gadā salīdzinājumā ar 2016.gadu, kad bilancē pirmo reizi kopš 1998.gada bija neliels pārpalikums, ir pasliktinājusies par 0,5 procentpunkt</w:t>
      </w:r>
      <w:r w:rsidR="00483774">
        <w:rPr>
          <w:rFonts w:ascii="Times New Roman" w:eastAsia="Calibri" w:hAnsi="Times New Roman"/>
          <w:color w:val="000000"/>
          <w:szCs w:val="24"/>
        </w:rPr>
        <w:t>iem</w:t>
      </w:r>
      <w:r w:rsidR="00125819" w:rsidRPr="00483774">
        <w:rPr>
          <w:rFonts w:ascii="Times New Roman" w:eastAsia="Calibri" w:hAnsi="Times New Roman"/>
          <w:color w:val="000000"/>
          <w:szCs w:val="24"/>
        </w:rPr>
        <w:t xml:space="preserve"> no IKP. Jāatzīmē, ka 2016.gadā bija vērojams zems ES fondu izdevumu līmenis, būtiski zem plānotā apmēra, kas savukārt ietekmēja bilances uzlabojumus valsts un pašvaldību līmenī. </w:t>
      </w:r>
      <w:r w:rsidR="00DD350B">
        <w:rPr>
          <w:rFonts w:ascii="Times New Roman" w:eastAsia="Calibri" w:hAnsi="Times New Roman"/>
          <w:color w:val="000000"/>
          <w:szCs w:val="24"/>
        </w:rPr>
        <w:t>Tāpat jāatzīmē, ka 2017.</w:t>
      </w:r>
      <w:r w:rsidR="00871941" w:rsidRPr="00666EDE">
        <w:rPr>
          <w:rFonts w:ascii="Times New Roman" w:eastAsia="Calibri" w:hAnsi="Times New Roman"/>
          <w:color w:val="000000"/>
          <w:szCs w:val="24"/>
        </w:rPr>
        <w:t>gadā bilanci par 0,5% no IKP pasliktināja darījums</w:t>
      </w:r>
      <w:r w:rsidR="001240B6" w:rsidRPr="00666EDE">
        <w:rPr>
          <w:rFonts w:ascii="Times New Roman" w:eastAsia="Calibri" w:hAnsi="Times New Roman"/>
          <w:color w:val="000000"/>
          <w:szCs w:val="24"/>
        </w:rPr>
        <w:t xml:space="preserve">, kurā tika samazināts </w:t>
      </w:r>
      <w:r w:rsidR="00207D71">
        <w:rPr>
          <w:rFonts w:ascii="Times New Roman" w:eastAsia="Calibri" w:hAnsi="Times New Roman"/>
          <w:color w:val="000000"/>
          <w:szCs w:val="24"/>
        </w:rPr>
        <w:t>L</w:t>
      </w:r>
      <w:r w:rsidR="00FE460E">
        <w:rPr>
          <w:rFonts w:ascii="Times New Roman" w:eastAsia="Calibri" w:hAnsi="Times New Roman"/>
          <w:color w:val="000000"/>
          <w:szCs w:val="24"/>
        </w:rPr>
        <w:t>atvenergo</w:t>
      </w:r>
      <w:r w:rsidR="001240B6" w:rsidRPr="00666EDE">
        <w:rPr>
          <w:rFonts w:ascii="Times New Roman" w:eastAsia="Calibri" w:hAnsi="Times New Roman"/>
          <w:color w:val="000000"/>
          <w:szCs w:val="24"/>
        </w:rPr>
        <w:t xml:space="preserve"> kapitāls un šis finansējums tika izmantots vienreizējas kompensācijas izmaksai </w:t>
      </w:r>
      <w:r w:rsidR="00207D71">
        <w:rPr>
          <w:rFonts w:ascii="Times New Roman" w:eastAsia="Calibri" w:hAnsi="Times New Roman"/>
          <w:color w:val="000000"/>
          <w:szCs w:val="24"/>
        </w:rPr>
        <w:t>L</w:t>
      </w:r>
      <w:r w:rsidR="00FE460E">
        <w:rPr>
          <w:rFonts w:ascii="Times New Roman" w:eastAsia="Calibri" w:hAnsi="Times New Roman"/>
          <w:color w:val="000000"/>
          <w:szCs w:val="24"/>
        </w:rPr>
        <w:t>atvenergo</w:t>
      </w:r>
      <w:r w:rsidR="001240B6" w:rsidRPr="00666EDE">
        <w:rPr>
          <w:rFonts w:ascii="Times New Roman" w:eastAsia="Calibri" w:hAnsi="Times New Roman"/>
          <w:color w:val="000000"/>
          <w:szCs w:val="24"/>
        </w:rPr>
        <w:t xml:space="preserve"> pretī saņemot iespēju samazināt valsts saistību apjomu dotēt subsidētās elektroenerģijas ražošanu un attiecīgi samazinot OIK komponenti elektroenerģijas lietotājiem. Ja izslēgtu šo darījumu, kas pēc būtības ir uzskatāms </w:t>
      </w:r>
      <w:r w:rsidR="00DD350B">
        <w:rPr>
          <w:rFonts w:ascii="Times New Roman" w:eastAsia="Calibri" w:hAnsi="Times New Roman"/>
          <w:color w:val="000000"/>
          <w:szCs w:val="24"/>
        </w:rPr>
        <w:t>par vienreizēju pasākum</w:t>
      </w:r>
      <w:r w:rsidR="00FF2C11">
        <w:rPr>
          <w:rFonts w:ascii="Times New Roman" w:eastAsia="Calibri" w:hAnsi="Times New Roman"/>
          <w:color w:val="000000"/>
          <w:szCs w:val="24"/>
        </w:rPr>
        <w:t>u</w:t>
      </w:r>
      <w:r w:rsidR="00DD350B">
        <w:rPr>
          <w:rFonts w:ascii="Times New Roman" w:eastAsia="Calibri" w:hAnsi="Times New Roman"/>
          <w:color w:val="000000"/>
          <w:szCs w:val="24"/>
        </w:rPr>
        <w:t>, 2017.</w:t>
      </w:r>
      <w:r w:rsidR="001240B6" w:rsidRPr="00666EDE">
        <w:rPr>
          <w:rFonts w:ascii="Times New Roman" w:eastAsia="Calibri" w:hAnsi="Times New Roman"/>
          <w:color w:val="000000"/>
          <w:szCs w:val="24"/>
        </w:rPr>
        <w:t>gada vispārējās valdības budžets būtu sabalansēts.</w:t>
      </w:r>
    </w:p>
    <w:p w:rsidR="00125819" w:rsidRPr="00483774" w:rsidRDefault="00125819" w:rsidP="00483774">
      <w:pPr>
        <w:spacing w:after="0" w:line="240" w:lineRule="auto"/>
        <w:ind w:firstLine="720"/>
        <w:jc w:val="both"/>
        <w:rPr>
          <w:rFonts w:ascii="Times New Roman" w:hAnsi="Times New Roman" w:cs="Times New Roman"/>
          <w:sz w:val="24"/>
          <w:szCs w:val="24"/>
        </w:rPr>
      </w:pPr>
      <w:r w:rsidRPr="00483774">
        <w:rPr>
          <w:rFonts w:ascii="Times New Roman" w:hAnsi="Times New Roman" w:cs="Times New Roman"/>
          <w:sz w:val="24"/>
          <w:szCs w:val="24"/>
        </w:rPr>
        <w:t xml:space="preserve">2017.gadā, salīdzinot ar iepriekšējo gadu, nomināli pieauga gan </w:t>
      </w:r>
      <w:r w:rsidRPr="00483774">
        <w:rPr>
          <w:rFonts w:ascii="Times New Roman" w:eastAsia="Calibri" w:hAnsi="Times New Roman" w:cs="Times New Roman"/>
          <w:color w:val="000000"/>
          <w:sz w:val="24"/>
          <w:szCs w:val="24"/>
        </w:rPr>
        <w:t xml:space="preserve">vispārējās valdības </w:t>
      </w:r>
      <w:r w:rsidRPr="00483774">
        <w:rPr>
          <w:rFonts w:ascii="Times New Roman" w:hAnsi="Times New Roman" w:cs="Times New Roman"/>
          <w:sz w:val="24"/>
          <w:szCs w:val="24"/>
        </w:rPr>
        <w:t xml:space="preserve">ieņēmumi, gan izdevumi. Ieņēmumi pieauguši par 7,1%, kas ir mazliet zemāks pieauguma temps nekā ekonomikas izaugsmei pērn </w:t>
      </w:r>
      <w:r w:rsidR="00DD350B" w:rsidRPr="00F14E08">
        <w:rPr>
          <w:rFonts w:ascii="Times New Roman" w:eastAsia="Calibri" w:hAnsi="Times New Roman" w:cs="Times New Roman"/>
          <w:sz w:val="24"/>
          <w:szCs w:val="24"/>
        </w:rPr>
        <w:t>–</w:t>
      </w:r>
      <w:r w:rsidR="00057716">
        <w:rPr>
          <w:rFonts w:ascii="Times New Roman" w:hAnsi="Times New Roman" w:cs="Times New Roman"/>
          <w:sz w:val="24"/>
          <w:szCs w:val="24"/>
        </w:rPr>
        <w:t xml:space="preserve"> </w:t>
      </w:r>
      <w:r w:rsidRPr="00483774">
        <w:rPr>
          <w:rFonts w:ascii="Times New Roman" w:hAnsi="Times New Roman" w:cs="Times New Roman"/>
          <w:sz w:val="24"/>
          <w:szCs w:val="24"/>
        </w:rPr>
        <w:t>faktiskajās cenās</w:t>
      </w:r>
      <w:r w:rsidR="00FF2C11">
        <w:rPr>
          <w:rFonts w:ascii="Times New Roman" w:hAnsi="Times New Roman" w:cs="Times New Roman"/>
          <w:sz w:val="24"/>
          <w:szCs w:val="24"/>
        </w:rPr>
        <w:t xml:space="preserve"> </w:t>
      </w:r>
      <w:r w:rsidR="00057716" w:rsidRPr="00483774">
        <w:rPr>
          <w:rFonts w:ascii="Times New Roman" w:hAnsi="Times New Roman" w:cs="Times New Roman"/>
          <w:sz w:val="24"/>
          <w:szCs w:val="24"/>
        </w:rPr>
        <w:t>7,7%</w:t>
      </w:r>
      <w:r w:rsidRPr="00483774">
        <w:rPr>
          <w:rFonts w:ascii="Times New Roman" w:hAnsi="Times New Roman" w:cs="Times New Roman"/>
          <w:sz w:val="24"/>
          <w:szCs w:val="24"/>
        </w:rPr>
        <w:t xml:space="preserve">. Tas skaidrojams ar zemākiem ārvalstu finanšu palīdzības ieņēmumiem, ņemot vērā ES fondu projektu īstenošanas stadiju, kas vēl nerada tūlītēju naudas plūsmas pieaugumu. Savukārt vispārējās valdības izdevumi palielinājās par 8,6%. Būtiskākais pieaugums vērojams kapitālajos izdevumos līdz ar aktīvu ES fondu projektu īstenošanu, nozīmīgs izdevumu kāpums vērojams arī pašvaldībās. </w:t>
      </w:r>
    </w:p>
    <w:p w:rsidR="00125819" w:rsidRPr="00483774" w:rsidRDefault="00125819" w:rsidP="00483774">
      <w:pPr>
        <w:spacing w:line="240" w:lineRule="auto"/>
        <w:ind w:firstLine="720"/>
        <w:jc w:val="both"/>
        <w:rPr>
          <w:rFonts w:ascii="Times New Roman" w:hAnsi="Times New Roman" w:cs="Times New Roman"/>
          <w:sz w:val="24"/>
          <w:szCs w:val="24"/>
        </w:rPr>
      </w:pPr>
      <w:r w:rsidRPr="00483774">
        <w:rPr>
          <w:rFonts w:ascii="Times New Roman" w:hAnsi="Times New Roman" w:cs="Times New Roman"/>
          <w:sz w:val="24"/>
          <w:szCs w:val="24"/>
        </w:rPr>
        <w:t>Vispārējās valdības ieņēmumi attiecībā pret IKP 2017.gadā, salīdzinot ar 2016.gadu, samazinājušies par 0,2</w:t>
      </w:r>
      <w:r w:rsidR="00234A68">
        <w:rPr>
          <w:rFonts w:ascii="Times New Roman" w:eastAsia="Calibri" w:hAnsi="Times New Roman" w:cs="Times New Roman"/>
          <w:color w:val="000000"/>
          <w:sz w:val="24"/>
          <w:szCs w:val="24"/>
        </w:rPr>
        <w:t xml:space="preserve"> </w:t>
      </w:r>
      <w:r w:rsidRPr="00483774">
        <w:rPr>
          <w:rFonts w:ascii="Times New Roman" w:hAnsi="Times New Roman" w:cs="Times New Roman"/>
          <w:sz w:val="24"/>
          <w:szCs w:val="24"/>
        </w:rPr>
        <w:t xml:space="preserve">procentpunktiem, sasniedzot 37,1% no IKP, savukārt </w:t>
      </w:r>
      <w:r w:rsidRPr="00031110">
        <w:rPr>
          <w:rFonts w:ascii="Times New Roman" w:hAnsi="Times New Roman" w:cs="Times New Roman"/>
          <w:sz w:val="24"/>
          <w:szCs w:val="24"/>
        </w:rPr>
        <w:t>pārdalītie resursi</w:t>
      </w:r>
      <w:r w:rsidRPr="00483774">
        <w:rPr>
          <w:rFonts w:ascii="Times New Roman" w:hAnsi="Times New Roman" w:cs="Times New Roman"/>
          <w:sz w:val="24"/>
          <w:szCs w:val="24"/>
        </w:rPr>
        <w:t xml:space="preserve"> vispārējās valdības budžeta izdevumos palielinājās par 0,3</w:t>
      </w:r>
      <w:r w:rsidR="00234A68">
        <w:rPr>
          <w:rFonts w:ascii="Times New Roman" w:eastAsia="Calibri" w:hAnsi="Times New Roman" w:cs="Times New Roman"/>
          <w:color w:val="000000"/>
          <w:sz w:val="24"/>
          <w:szCs w:val="24"/>
        </w:rPr>
        <w:t xml:space="preserve"> </w:t>
      </w:r>
      <w:r w:rsidRPr="00483774">
        <w:rPr>
          <w:rFonts w:ascii="Times New Roman" w:hAnsi="Times New Roman" w:cs="Times New Roman"/>
          <w:sz w:val="24"/>
          <w:szCs w:val="24"/>
        </w:rPr>
        <w:t>procentpunktiem un veidoja 37,6% no IKP. Kopš 2012.gada vērojams, ka vispārējās valdības ieņēmumu apjoms no IKP bijis stabilā līmenī, kamēr izdevumu attiecība pret IKP mazliet svārstījusies, ko ietekmē zemāka ES fondu investīciju izp</w:t>
      </w:r>
      <w:r w:rsidR="001423A2">
        <w:rPr>
          <w:rFonts w:ascii="Times New Roman" w:hAnsi="Times New Roman" w:cs="Times New Roman"/>
          <w:sz w:val="24"/>
          <w:szCs w:val="24"/>
        </w:rPr>
        <w:t>il</w:t>
      </w:r>
      <w:r w:rsidRPr="00483774">
        <w:rPr>
          <w:rFonts w:ascii="Times New Roman" w:hAnsi="Times New Roman" w:cs="Times New Roman"/>
          <w:sz w:val="24"/>
          <w:szCs w:val="24"/>
        </w:rPr>
        <w:t>de. Piemēram, 2016.gadā vispārējās valdības izdevumi bija par 1,2 procentpunktiem no IKP zemāki nekā 2015.gadā, kas saistāms ar ES fondu 2007.</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483774">
        <w:rPr>
          <w:rFonts w:ascii="Times New Roman" w:hAnsi="Times New Roman" w:cs="Times New Roman"/>
          <w:sz w:val="24"/>
          <w:szCs w:val="24"/>
        </w:rPr>
        <w:t xml:space="preserve">2013.gada cikla noslēgšanos. </w:t>
      </w:r>
    </w:p>
    <w:p w:rsidR="00125819" w:rsidRPr="00483774" w:rsidRDefault="00125819" w:rsidP="00483774">
      <w:pPr>
        <w:jc w:val="center"/>
        <w:rPr>
          <w:rFonts w:ascii="Times New Roman" w:hAnsi="Times New Roman" w:cs="Times New Roman"/>
          <w:sz w:val="24"/>
          <w:szCs w:val="24"/>
          <w:highlight w:val="yellow"/>
        </w:rPr>
      </w:pPr>
      <w:r w:rsidRPr="00483774">
        <w:rPr>
          <w:rFonts w:ascii="Times New Roman" w:hAnsi="Times New Roman" w:cs="Times New Roman"/>
          <w:noProof/>
          <w:sz w:val="24"/>
          <w:szCs w:val="24"/>
          <w:lang w:eastAsia="lv-LV"/>
        </w:rPr>
        <w:lastRenderedPageBreak/>
        <w:drawing>
          <wp:inline distT="0" distB="0" distL="0" distR="0">
            <wp:extent cx="5368855" cy="2686050"/>
            <wp:effectExtent l="0" t="0" r="381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25819" w:rsidRPr="00483774" w:rsidRDefault="00125819" w:rsidP="00FB62BB">
      <w:pPr>
        <w:pStyle w:val="teksts"/>
        <w:ind w:firstLine="720"/>
        <w:jc w:val="center"/>
        <w:rPr>
          <w:rFonts w:ascii="Times New Roman" w:eastAsia="Calibri" w:hAnsi="Times New Roman"/>
          <w:b/>
          <w:szCs w:val="24"/>
        </w:rPr>
      </w:pPr>
      <w:r w:rsidRPr="00483774">
        <w:rPr>
          <w:rFonts w:ascii="Times New Roman" w:eastAsia="Calibri" w:hAnsi="Times New Roman"/>
          <w:b/>
          <w:szCs w:val="24"/>
        </w:rPr>
        <w:t>3.1.</w:t>
      </w:r>
      <w:r w:rsidR="00234A68">
        <w:rPr>
          <w:rFonts w:ascii="Times New Roman" w:eastAsia="Calibri" w:hAnsi="Times New Roman"/>
          <w:b/>
          <w:szCs w:val="24"/>
        </w:rPr>
        <w:t xml:space="preserve"> </w:t>
      </w:r>
      <w:r w:rsidRPr="00483774">
        <w:rPr>
          <w:rFonts w:ascii="Times New Roman" w:eastAsia="Calibri" w:hAnsi="Times New Roman"/>
          <w:b/>
          <w:szCs w:val="24"/>
        </w:rPr>
        <w:t>att. Vispārējās valdības ieņēmumi, izdevumi un budžeta bilance</w:t>
      </w:r>
      <w:r w:rsidRPr="00483774">
        <w:rPr>
          <w:rStyle w:val="FootnoteReference"/>
          <w:rFonts w:ascii="Times New Roman" w:eastAsia="Calibri" w:hAnsi="Times New Roman"/>
          <w:b/>
          <w:sz w:val="24"/>
          <w:szCs w:val="24"/>
        </w:rPr>
        <w:footnoteReference w:id="9"/>
      </w:r>
      <w:r w:rsidRPr="00483774">
        <w:rPr>
          <w:rFonts w:ascii="Times New Roman" w:eastAsia="Calibri" w:hAnsi="Times New Roman"/>
          <w:b/>
          <w:szCs w:val="24"/>
        </w:rPr>
        <w:t>, % no IKP</w:t>
      </w:r>
    </w:p>
    <w:p w:rsidR="00125819" w:rsidRDefault="00125819" w:rsidP="00483774">
      <w:pPr>
        <w:ind w:firstLine="720"/>
        <w:jc w:val="both"/>
        <w:rPr>
          <w:rFonts w:ascii="Times New Roman" w:hAnsi="Times New Roman" w:cs="Times New Roman"/>
          <w:sz w:val="24"/>
          <w:szCs w:val="24"/>
        </w:rPr>
      </w:pPr>
      <w:r w:rsidRPr="00483774">
        <w:rPr>
          <w:rFonts w:ascii="Times New Roman" w:hAnsi="Times New Roman" w:cs="Times New Roman"/>
          <w:sz w:val="24"/>
          <w:szCs w:val="24"/>
        </w:rPr>
        <w:t>Ņemot vērā labvēlīgo situāciju ārējā vidē un investīciju kāpumu, Latvijas ekonomikas izaugsme 2017.gadā pārsniedza sākotnējās prognozes un</w:t>
      </w:r>
      <w:r w:rsidR="00EC2148">
        <w:rPr>
          <w:rFonts w:ascii="Times New Roman" w:hAnsi="Times New Roman" w:cs="Times New Roman"/>
          <w:sz w:val="24"/>
          <w:szCs w:val="24"/>
        </w:rPr>
        <w:t>,</w:t>
      </w:r>
      <w:r w:rsidRPr="00483774">
        <w:rPr>
          <w:rFonts w:ascii="Times New Roman" w:hAnsi="Times New Roman" w:cs="Times New Roman"/>
          <w:sz w:val="24"/>
          <w:szCs w:val="24"/>
        </w:rPr>
        <w:t xml:space="preserve"> kopā ar sekmīgiem nodokļu administrēšanas pasākumiem</w:t>
      </w:r>
      <w:r w:rsidR="00EC2148">
        <w:rPr>
          <w:rFonts w:ascii="Times New Roman" w:hAnsi="Times New Roman" w:cs="Times New Roman"/>
          <w:sz w:val="24"/>
          <w:szCs w:val="24"/>
        </w:rPr>
        <w:t>,</w:t>
      </w:r>
      <w:r w:rsidRPr="00483774">
        <w:rPr>
          <w:rFonts w:ascii="Times New Roman" w:hAnsi="Times New Roman" w:cs="Times New Roman"/>
          <w:sz w:val="24"/>
          <w:szCs w:val="24"/>
        </w:rPr>
        <w:t xml:space="preserve"> veicināja augstākus nodokļu ieņēmumus nekā plānots. Nodokļu slogs pērn palielinājās, lai gan vispārējās valdības ieņēmumi attiecībā pret IKP saruka, kas skaidrojams ar zemākiem ārvalstu finanšu palīdzības ieņēmumiem kā iepriekš. Nodokļu slogs 2017.gadā sasniedza 31,3% no IKP, kas ir augstākais nodokļu ieņēmumu līmenis kopš finanšu krīzes. Līdzīgi kā iepriekšējos gados, arī 2017.gadā viens no galvenajiem ekonomiskās izaugsmes veicinātājiem bija iekšzemes pieprasījuma kāpums. Vidējās darba samaksas un nodarbinātības pieaugums sekmēja privātā patēriņa kāpumu. Nodokļu ieņēmumu pieaugums kopumā bija vērojams visiem nodokļu veidiem, bet visstraujāk pieauga ieņēmumi no pievienotās vērtības nodokļa, iedzīvotāju ienākuma nodokļa un sociālās apdrošināšanas iemaksām.</w:t>
      </w:r>
    </w:p>
    <w:p w:rsidR="00DD350B" w:rsidRPr="00483774" w:rsidRDefault="00DD350B" w:rsidP="00483774">
      <w:pPr>
        <w:ind w:firstLine="720"/>
        <w:jc w:val="both"/>
        <w:rPr>
          <w:rFonts w:ascii="Times New Roman" w:hAnsi="Times New Roman" w:cs="Times New Roman"/>
          <w:sz w:val="24"/>
          <w:szCs w:val="24"/>
          <w:highlight w:val="yellow"/>
        </w:rPr>
      </w:pPr>
    </w:p>
    <w:p w:rsidR="00125819" w:rsidRPr="00483774" w:rsidRDefault="00125819" w:rsidP="00EC2148">
      <w:pPr>
        <w:spacing w:before="240"/>
        <w:jc w:val="center"/>
        <w:rPr>
          <w:rFonts w:ascii="Times New Roman" w:hAnsi="Times New Roman" w:cs="Times New Roman"/>
          <w:sz w:val="24"/>
          <w:szCs w:val="24"/>
          <w:highlight w:val="yellow"/>
        </w:rPr>
      </w:pPr>
      <w:r w:rsidRPr="00483774">
        <w:rPr>
          <w:rFonts w:ascii="Times New Roman" w:hAnsi="Times New Roman" w:cs="Times New Roman"/>
          <w:noProof/>
          <w:sz w:val="24"/>
          <w:szCs w:val="24"/>
          <w:lang w:eastAsia="lv-LV"/>
        </w:rPr>
        <w:lastRenderedPageBreak/>
        <w:drawing>
          <wp:inline distT="0" distB="0" distL="0" distR="0">
            <wp:extent cx="4832059" cy="255453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25819" w:rsidRPr="00EC2148" w:rsidRDefault="00234A68" w:rsidP="00234A68">
      <w:pPr>
        <w:pStyle w:val="teksts"/>
        <w:spacing w:after="0"/>
        <w:ind w:firstLine="720"/>
        <w:jc w:val="center"/>
        <w:rPr>
          <w:rFonts w:ascii="Times New Roman" w:eastAsia="Calibri" w:hAnsi="Times New Roman"/>
          <w:b/>
          <w:noProof/>
          <w:szCs w:val="24"/>
        </w:rPr>
      </w:pPr>
      <w:r>
        <w:rPr>
          <w:rFonts w:ascii="Times New Roman" w:eastAsia="Calibri" w:hAnsi="Times New Roman"/>
          <w:b/>
          <w:szCs w:val="24"/>
        </w:rPr>
        <w:t>3.2.</w:t>
      </w:r>
      <w:r w:rsidR="00125819" w:rsidRPr="00EC2148">
        <w:rPr>
          <w:rFonts w:ascii="Times New Roman" w:eastAsia="Calibri" w:hAnsi="Times New Roman"/>
          <w:b/>
          <w:szCs w:val="24"/>
        </w:rPr>
        <w:t xml:space="preserve">att. Vispārējās valdības budžeta bilance sadalījumā pa </w:t>
      </w:r>
      <w:r w:rsidR="00125819" w:rsidRPr="00EC2148">
        <w:rPr>
          <w:rFonts w:ascii="Times New Roman" w:eastAsia="Calibri" w:hAnsi="Times New Roman"/>
          <w:b/>
          <w:noProof/>
          <w:szCs w:val="24"/>
        </w:rPr>
        <w:t>apakšsektoriem</w:t>
      </w:r>
      <w:r w:rsidR="00125819" w:rsidRPr="00EC2148">
        <w:rPr>
          <w:rStyle w:val="FootnoteReference"/>
          <w:rFonts w:ascii="Times New Roman" w:eastAsia="Calibri" w:hAnsi="Times New Roman"/>
          <w:b/>
          <w:sz w:val="24"/>
          <w:szCs w:val="24"/>
        </w:rPr>
        <w:footnoteReference w:id="10"/>
      </w:r>
      <w:r w:rsidR="00125819" w:rsidRPr="00EC2148">
        <w:rPr>
          <w:rFonts w:ascii="Times New Roman" w:eastAsia="Calibri" w:hAnsi="Times New Roman"/>
          <w:b/>
          <w:noProof/>
          <w:szCs w:val="24"/>
        </w:rPr>
        <w:t>,</w:t>
      </w:r>
      <w:r w:rsidR="00125819" w:rsidRPr="00EC2148">
        <w:rPr>
          <w:rFonts w:ascii="Times New Roman" w:eastAsia="Calibri" w:hAnsi="Times New Roman"/>
          <w:b/>
          <w:noProof/>
          <w:szCs w:val="24"/>
        </w:rPr>
        <w:br/>
        <w:t>% no IKP</w:t>
      </w:r>
    </w:p>
    <w:p w:rsidR="00125819" w:rsidRPr="00483774" w:rsidRDefault="00125819" w:rsidP="00637E49">
      <w:pPr>
        <w:spacing w:before="120" w:after="0"/>
        <w:ind w:firstLine="720"/>
        <w:jc w:val="both"/>
        <w:rPr>
          <w:rFonts w:ascii="Times New Roman" w:hAnsi="Times New Roman" w:cs="Times New Roman"/>
          <w:noProof/>
          <w:sz w:val="24"/>
          <w:szCs w:val="24"/>
        </w:rPr>
      </w:pPr>
      <w:r w:rsidRPr="00483774">
        <w:rPr>
          <w:rFonts w:ascii="Times New Roman" w:hAnsi="Times New Roman" w:cs="Times New Roman"/>
          <w:noProof/>
          <w:sz w:val="24"/>
          <w:szCs w:val="24"/>
        </w:rPr>
        <w:t>Analizējot vispārējās valdības apakšsektoru</w:t>
      </w:r>
      <w:r w:rsidRPr="00483774">
        <w:rPr>
          <w:rStyle w:val="FootnoteReference"/>
          <w:rFonts w:ascii="Times New Roman" w:hAnsi="Times New Roman" w:cs="Times New Roman"/>
          <w:noProof/>
          <w:sz w:val="24"/>
          <w:szCs w:val="24"/>
        </w:rPr>
        <w:footnoteReference w:id="11"/>
      </w:r>
      <w:r w:rsidRPr="00483774">
        <w:rPr>
          <w:rFonts w:ascii="Times New Roman" w:hAnsi="Times New Roman" w:cs="Times New Roman"/>
          <w:sz w:val="24"/>
          <w:szCs w:val="24"/>
        </w:rPr>
        <w:t xml:space="preserve"> ieguldījumu kopējā fiskālajā bilancē, jāsecina, ka negatīvo bilanci galvenokārt veidoja centrālās valdības deficīts, kas 2017.gadā bija 0,6% no IKP. Jāatzīmē, ka 2016.gadā centrālās valdības bilance bija tuvu sabalansētam līmenim. Vietējās valdības deficīta līmenis 2017.gadā bija 0,2% no IKP, kamēr 2015. un 2016.gadā pašvaldību budžets bija ar pārpalikumu. Tomēr vēsturiski vietējās valdības līmenī bijis deficīts, bet 2015.</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483774">
        <w:rPr>
          <w:rFonts w:ascii="Times New Roman" w:hAnsi="Times New Roman" w:cs="Times New Roman"/>
          <w:sz w:val="24"/>
          <w:szCs w:val="24"/>
        </w:rPr>
        <w:t xml:space="preserve">2016.gads iezīmējas ar zemākiem ES fondu izdevumiem, kas rezultējās kopumā zemākā izdevumu līmenī un attiecīgi budžetā pārpalikumā vietējās valdības līmenī. Turpmākajos gados vietējās valdības līmenī tiek plānots deficīts, </w:t>
      </w:r>
      <w:r w:rsidRPr="00483774">
        <w:rPr>
          <w:rFonts w:ascii="Times New Roman" w:hAnsi="Times New Roman" w:cs="Times New Roman"/>
          <w:noProof/>
          <w:sz w:val="24"/>
          <w:szCs w:val="24"/>
        </w:rPr>
        <w:t>ko ietekmēs</w:t>
      </w:r>
      <w:r w:rsidRPr="00483774">
        <w:rPr>
          <w:rFonts w:ascii="Times New Roman" w:hAnsi="Times New Roman" w:cs="Times New Roman"/>
          <w:sz w:val="24"/>
          <w:szCs w:val="24"/>
        </w:rPr>
        <w:t xml:space="preserve"> izdevumu pieaugums bruto pamatkapitāla veidošanai vairāk līdzfinansējot ES fondu projektus. </w:t>
      </w:r>
    </w:p>
    <w:p w:rsidR="00125819" w:rsidRPr="00FF2C11" w:rsidRDefault="00125819" w:rsidP="00EC2148">
      <w:pPr>
        <w:spacing w:after="0"/>
        <w:ind w:firstLine="709"/>
        <w:jc w:val="both"/>
        <w:rPr>
          <w:rFonts w:ascii="Times New Roman" w:hAnsi="Times New Roman" w:cs="Times New Roman"/>
          <w:noProof/>
          <w:sz w:val="24"/>
          <w:szCs w:val="24"/>
          <w:highlight w:val="yellow"/>
        </w:rPr>
      </w:pPr>
      <w:r w:rsidRPr="00483774">
        <w:rPr>
          <w:rFonts w:ascii="Times New Roman" w:hAnsi="Times New Roman" w:cs="Times New Roman"/>
          <w:sz w:val="24"/>
          <w:szCs w:val="24"/>
        </w:rPr>
        <w:t xml:space="preserve">Straujāka ekonomiskā </w:t>
      </w:r>
      <w:r w:rsidRPr="00FF2C11">
        <w:rPr>
          <w:rFonts w:ascii="Times New Roman" w:hAnsi="Times New Roman" w:cs="Times New Roman"/>
          <w:sz w:val="24"/>
          <w:szCs w:val="24"/>
        </w:rPr>
        <w:t>izaugsme sekmēja sociālās apdrošināšanas iemaksu plāna pārsniegšanu par 0,6%. Savukārt</w:t>
      </w:r>
      <w:r w:rsidRPr="00FF2C11">
        <w:rPr>
          <w:rFonts w:ascii="Times New Roman" w:eastAsia="Calibri" w:hAnsi="Times New Roman" w:cs="Times New Roman"/>
          <w:sz w:val="24"/>
          <w:szCs w:val="24"/>
        </w:rPr>
        <w:t xml:space="preserve"> vēsturiski augstākais iedzīvotāju ekonomiskās aktivitātes līmenis</w:t>
      </w:r>
      <w:r w:rsidRPr="00FF2C11">
        <w:rPr>
          <w:rFonts w:ascii="Times New Roman" w:hAnsi="Times New Roman" w:cs="Times New Roman"/>
          <w:sz w:val="24"/>
          <w:szCs w:val="24"/>
        </w:rPr>
        <w:t xml:space="preserve"> veicināja atsevišķu īstermiņa sociālo pabalstu izdevumu samazināju</w:t>
      </w:r>
      <w:r w:rsidR="00263BB5" w:rsidRPr="00FF2C11">
        <w:rPr>
          <w:rFonts w:ascii="Times New Roman" w:hAnsi="Times New Roman" w:cs="Times New Roman"/>
          <w:sz w:val="24"/>
          <w:szCs w:val="24"/>
        </w:rPr>
        <w:t>mu</w:t>
      </w:r>
      <w:r w:rsidRPr="00FF2C11">
        <w:rPr>
          <w:rFonts w:ascii="Times New Roman" w:hAnsi="Times New Roman" w:cs="Times New Roman"/>
          <w:sz w:val="24"/>
          <w:szCs w:val="24"/>
        </w:rPr>
        <w:t xml:space="preserve"> vai mērenu kāpumu, kā rezultātā s</w:t>
      </w:r>
      <w:r w:rsidRPr="00FF2C11">
        <w:rPr>
          <w:rFonts w:ascii="Times New Roman" w:hAnsi="Times New Roman" w:cs="Times New Roman"/>
          <w:noProof/>
          <w:sz w:val="24"/>
          <w:szCs w:val="24"/>
        </w:rPr>
        <w:t>ociālās nodrošināšanas fondā pērn bija izveidojies pārpalikums</w:t>
      </w:r>
      <w:r w:rsidRPr="00FF2C11">
        <w:rPr>
          <w:rFonts w:ascii="Times New Roman" w:hAnsi="Times New Roman" w:cs="Times New Roman"/>
          <w:sz w:val="24"/>
          <w:szCs w:val="24"/>
        </w:rPr>
        <w:t xml:space="preserve"> 0,3% no IKP, kas bija par 0,2% no IKP</w:t>
      </w:r>
      <w:r w:rsidR="009751C9" w:rsidRPr="00FF2C11">
        <w:rPr>
          <w:rFonts w:ascii="Times New Roman" w:hAnsi="Times New Roman" w:cs="Times New Roman"/>
          <w:sz w:val="24"/>
          <w:szCs w:val="24"/>
        </w:rPr>
        <w:t>,</w:t>
      </w:r>
      <w:r w:rsidRPr="00FF2C11">
        <w:rPr>
          <w:rFonts w:ascii="Times New Roman" w:hAnsi="Times New Roman" w:cs="Times New Roman"/>
          <w:sz w:val="24"/>
          <w:szCs w:val="24"/>
        </w:rPr>
        <w:t xml:space="preserve"> augstāks </w:t>
      </w:r>
      <w:r w:rsidRPr="00FF2C11">
        <w:rPr>
          <w:rFonts w:ascii="Times New Roman" w:eastAsia="Calibri" w:hAnsi="Times New Roman" w:cs="Times New Roman"/>
          <w:color w:val="000000"/>
          <w:sz w:val="24"/>
          <w:szCs w:val="24"/>
        </w:rPr>
        <w:t xml:space="preserve">kā </w:t>
      </w:r>
      <w:r w:rsidR="00C77A46" w:rsidRPr="00FF2C11">
        <w:rPr>
          <w:rFonts w:ascii="Times New Roman" w:hAnsi="Times New Roman"/>
          <w:sz w:val="24"/>
          <w:szCs w:val="24"/>
        </w:rPr>
        <w:t>budžeta likumā par 2017.gadu</w:t>
      </w:r>
      <w:r w:rsidR="00C77A46" w:rsidRPr="00FF2C11">
        <w:rPr>
          <w:rFonts w:ascii="Times New Roman" w:eastAsia="Calibri" w:hAnsi="Times New Roman" w:cs="Times New Roman"/>
          <w:color w:val="000000"/>
          <w:sz w:val="24"/>
          <w:szCs w:val="24"/>
        </w:rPr>
        <w:t xml:space="preserve"> </w:t>
      </w:r>
      <w:r w:rsidRPr="00FF2C11">
        <w:rPr>
          <w:rFonts w:ascii="Times New Roman" w:eastAsia="Calibri" w:hAnsi="Times New Roman" w:cs="Times New Roman"/>
          <w:color w:val="000000"/>
          <w:sz w:val="24"/>
          <w:szCs w:val="24"/>
        </w:rPr>
        <w:t>plānotais pārpalikuma apmērs.</w:t>
      </w:r>
      <w:r w:rsidRPr="00FF2C11">
        <w:rPr>
          <w:rFonts w:ascii="Times New Roman" w:hAnsi="Times New Roman" w:cs="Times New Roman"/>
          <w:sz w:val="24"/>
          <w:szCs w:val="24"/>
        </w:rPr>
        <w:t xml:space="preserve"> Pēdējos gados strauji augošais darba samaksas līmenis pamatā nosaka to, kādēļ sociālās nodrošināšanas fondā veidojas pārpalikums. S</w:t>
      </w:r>
      <w:r w:rsidRPr="00FF2C11">
        <w:rPr>
          <w:rFonts w:ascii="Times New Roman" w:hAnsi="Times New Roman" w:cs="Times New Roman"/>
          <w:noProof/>
          <w:sz w:val="24"/>
          <w:szCs w:val="24"/>
        </w:rPr>
        <w:t>ituāciju sociālās apdrošināšanas fondos uzlabo arī valdības lēmums, ar kuru kopš 2014.gada centrālā valdība transfertu veidā finansē pensiju piemaksas, kas tiek maksātas no sociālās nodrošināšanas fonda.</w:t>
      </w:r>
    </w:p>
    <w:p w:rsidR="00125819" w:rsidRPr="00125819" w:rsidRDefault="00125819" w:rsidP="00125819"/>
    <w:p w:rsidR="00313EDD" w:rsidRPr="00966E08" w:rsidRDefault="00A34463" w:rsidP="00234A68">
      <w:pPr>
        <w:pStyle w:val="Heading2"/>
        <w:numPr>
          <w:ilvl w:val="1"/>
          <w:numId w:val="1"/>
        </w:numPr>
        <w:spacing w:before="240" w:after="120"/>
        <w:ind w:left="0" w:firstLine="709"/>
        <w:rPr>
          <w:rFonts w:ascii="Times New Roman" w:hAnsi="Times New Roman" w:cs="Times New Roman"/>
          <w:sz w:val="24"/>
        </w:rPr>
      </w:pPr>
      <w:bookmarkStart w:id="18" w:name="_Toc510790657"/>
      <w:bookmarkStart w:id="19" w:name="_Toc511027817"/>
      <w:r w:rsidRPr="00F51615">
        <w:rPr>
          <w:rFonts w:ascii="Times New Roman" w:hAnsi="Times New Roman" w:cs="Times New Roman"/>
          <w:sz w:val="24"/>
        </w:rPr>
        <w:lastRenderedPageBreak/>
        <w:t>Fiskālās politikas stratēģija un vidēja termiņa mērķis</w:t>
      </w:r>
      <w:bookmarkEnd w:id="18"/>
      <w:bookmarkEnd w:id="19"/>
    </w:p>
    <w:p w:rsidR="0077183B" w:rsidRDefault="00B77AD2" w:rsidP="0077183B">
      <w:pPr>
        <w:pStyle w:val="Heading2"/>
        <w:numPr>
          <w:ilvl w:val="2"/>
          <w:numId w:val="1"/>
        </w:numPr>
        <w:spacing w:before="240" w:after="120"/>
        <w:ind w:left="1418"/>
        <w:rPr>
          <w:rFonts w:ascii="Times New Roman" w:eastAsia="Calibri" w:hAnsi="Times New Roman" w:cs="Times New Roman"/>
          <w:color w:val="000000"/>
          <w:sz w:val="24"/>
          <w:szCs w:val="24"/>
        </w:rPr>
      </w:pPr>
      <w:bookmarkStart w:id="20" w:name="_Toc510790658"/>
      <w:bookmarkStart w:id="21" w:name="_Toc511027818"/>
      <w:r>
        <w:rPr>
          <w:rFonts w:ascii="Times New Roman" w:eastAsia="Calibri" w:hAnsi="Times New Roman" w:cs="Times New Roman"/>
          <w:color w:val="000000"/>
          <w:sz w:val="24"/>
          <w:szCs w:val="24"/>
        </w:rPr>
        <w:t>S</w:t>
      </w:r>
      <w:r w:rsidR="0077183B">
        <w:rPr>
          <w:rFonts w:ascii="Times New Roman" w:eastAsia="Calibri" w:hAnsi="Times New Roman" w:cs="Times New Roman"/>
          <w:color w:val="000000"/>
          <w:sz w:val="24"/>
          <w:szCs w:val="24"/>
        </w:rPr>
        <w:t>trukturālās bilances mērķa noteikšana</w:t>
      </w:r>
      <w:bookmarkEnd w:id="20"/>
      <w:bookmarkEnd w:id="21"/>
    </w:p>
    <w:p w:rsidR="00143321" w:rsidRPr="00143321" w:rsidRDefault="00143321" w:rsidP="00143321">
      <w:pPr>
        <w:spacing w:after="0" w:line="240" w:lineRule="auto"/>
        <w:ind w:firstLine="720"/>
        <w:jc w:val="both"/>
        <w:rPr>
          <w:rFonts w:ascii="Times New Roman" w:eastAsia="Calibri" w:hAnsi="Times New Roman" w:cs="Times New Roman"/>
          <w:b/>
          <w:color w:val="000000"/>
          <w:sz w:val="24"/>
          <w:szCs w:val="24"/>
        </w:rPr>
      </w:pPr>
      <w:r w:rsidRPr="00143321">
        <w:rPr>
          <w:rFonts w:ascii="Times New Roman" w:eastAsia="Calibri" w:hAnsi="Times New Roman" w:cs="Times New Roman"/>
          <w:b/>
          <w:color w:val="000000"/>
          <w:sz w:val="24"/>
          <w:szCs w:val="24"/>
        </w:rPr>
        <w:t xml:space="preserve">Latvijas fiskālās politikas stratēģija ir vērsta uz divu mērķu sasniegšanu: </w:t>
      </w:r>
    </w:p>
    <w:p w:rsidR="00143321" w:rsidRPr="00143321" w:rsidRDefault="00143321" w:rsidP="00143321">
      <w:pPr>
        <w:spacing w:after="0" w:line="240" w:lineRule="auto"/>
        <w:ind w:firstLine="720"/>
        <w:jc w:val="both"/>
        <w:rPr>
          <w:rFonts w:ascii="Times New Roman" w:eastAsia="Calibri" w:hAnsi="Times New Roman" w:cs="Times New Roman"/>
          <w:b/>
          <w:color w:val="000000"/>
          <w:sz w:val="24"/>
          <w:szCs w:val="24"/>
        </w:rPr>
      </w:pPr>
      <w:r w:rsidRPr="00143321">
        <w:rPr>
          <w:rFonts w:ascii="Times New Roman" w:eastAsia="Calibri" w:hAnsi="Times New Roman" w:cs="Times New Roman"/>
          <w:b/>
          <w:color w:val="000000"/>
          <w:sz w:val="24"/>
          <w:szCs w:val="24"/>
        </w:rPr>
        <w:t xml:space="preserve">(1) Latvijas fiskālās politikas stratēģijas pamatā, tāpat, kā iepriekšējos gados, ir ekonomiskajā ciklā sabalansēta budžeta nosacījums jeb nosacījums, ka </w:t>
      </w:r>
      <w:r w:rsidR="00DD350B">
        <w:rPr>
          <w:rFonts w:ascii="Times New Roman" w:eastAsia="Calibri" w:hAnsi="Times New Roman" w:cs="Times New Roman"/>
          <w:b/>
          <w:color w:val="000000"/>
          <w:sz w:val="24"/>
          <w:szCs w:val="24"/>
        </w:rPr>
        <w:t>VTM</w:t>
      </w:r>
      <w:r w:rsidRPr="00143321">
        <w:rPr>
          <w:rFonts w:ascii="Times New Roman" w:eastAsia="Calibri" w:hAnsi="Times New Roman" w:cs="Times New Roman"/>
          <w:b/>
          <w:color w:val="000000"/>
          <w:sz w:val="24"/>
          <w:szCs w:val="24"/>
        </w:rPr>
        <w:t xml:space="preserve"> nedrīkst pārsniegt 0,5% no IKP. </w:t>
      </w:r>
    </w:p>
    <w:p w:rsidR="00143321" w:rsidRPr="00143321" w:rsidRDefault="00143321" w:rsidP="00143321">
      <w:pPr>
        <w:spacing w:after="0" w:line="240" w:lineRule="auto"/>
        <w:ind w:firstLine="720"/>
        <w:jc w:val="both"/>
        <w:rPr>
          <w:rFonts w:ascii="Times New Roman" w:eastAsia="Calibri" w:hAnsi="Times New Roman" w:cs="Times New Roman"/>
          <w:b/>
          <w:color w:val="000000"/>
          <w:sz w:val="24"/>
          <w:szCs w:val="24"/>
        </w:rPr>
      </w:pPr>
      <w:r w:rsidRPr="00143321">
        <w:rPr>
          <w:rFonts w:ascii="Times New Roman" w:eastAsia="Calibri" w:hAnsi="Times New Roman" w:cs="Times New Roman"/>
          <w:b/>
          <w:color w:val="000000"/>
          <w:sz w:val="24"/>
          <w:szCs w:val="24"/>
        </w:rPr>
        <w:t xml:space="preserve">(2) Līdzās budžeta sabalansētības nosacījumam, Latvijas fiskālās politikas stratēģija ietver mērķi ar fiskālās politikas pasākumiem nodrošināt (i)nosacījumus valsts ilgtspējīgai ekonomiskai izaugsmei un (ii)budžeta nodokļu ieņēmumu pakāpenisku konverģenci uz 1/3 pret IKP. </w:t>
      </w:r>
    </w:p>
    <w:p w:rsidR="00143321" w:rsidRPr="00143321" w:rsidRDefault="00143321" w:rsidP="00227E3E">
      <w:pPr>
        <w:pStyle w:val="Heading2"/>
        <w:numPr>
          <w:ilvl w:val="2"/>
          <w:numId w:val="1"/>
        </w:numPr>
        <w:spacing w:before="180" w:after="120" w:line="240" w:lineRule="auto"/>
        <w:ind w:left="1417"/>
        <w:rPr>
          <w:rFonts w:ascii="Times New Roman" w:eastAsia="Calibri" w:hAnsi="Times New Roman" w:cs="Times New Roman"/>
          <w:color w:val="000000"/>
          <w:sz w:val="24"/>
          <w:szCs w:val="24"/>
        </w:rPr>
      </w:pPr>
      <w:bookmarkStart w:id="22" w:name="_Toc479331088"/>
      <w:bookmarkStart w:id="23" w:name="_Toc511027819"/>
      <w:r w:rsidRPr="00143321">
        <w:rPr>
          <w:rFonts w:ascii="Times New Roman" w:eastAsia="Calibri" w:hAnsi="Times New Roman" w:cs="Times New Roman"/>
          <w:color w:val="000000"/>
          <w:sz w:val="24"/>
          <w:szCs w:val="24"/>
        </w:rPr>
        <w:t>Strukturālās bilances mērķa noteikšana</w:t>
      </w:r>
      <w:bookmarkEnd w:id="22"/>
      <w:bookmarkEnd w:id="23"/>
    </w:p>
    <w:p w:rsidR="00143321" w:rsidRPr="002514C7" w:rsidRDefault="00143321" w:rsidP="00143321">
      <w:pPr>
        <w:spacing w:after="0" w:line="240" w:lineRule="auto"/>
        <w:ind w:firstLine="720"/>
        <w:jc w:val="both"/>
        <w:rPr>
          <w:rFonts w:ascii="Times New Roman" w:eastAsia="Calibri" w:hAnsi="Times New Roman" w:cs="Times New Roman"/>
          <w:color w:val="000000"/>
          <w:sz w:val="24"/>
          <w:szCs w:val="24"/>
        </w:rPr>
      </w:pPr>
      <w:r w:rsidRPr="00143321">
        <w:rPr>
          <w:rFonts w:ascii="Times New Roman" w:eastAsia="Calibri" w:hAnsi="Times New Roman" w:cs="Times New Roman"/>
          <w:color w:val="000000"/>
          <w:sz w:val="24"/>
          <w:szCs w:val="24"/>
        </w:rPr>
        <w:t xml:space="preserve">Šajā sadaļā tiek aprakstīta fiskālās politikas pirmā mērķa nodrošināšana un vidēja termiņa mērķis, bet informācija par fiskālās politikas otro mērķi </w:t>
      </w:r>
      <w:r w:rsidRPr="00617CEA">
        <w:rPr>
          <w:rFonts w:ascii="Times New Roman" w:eastAsia="Calibri" w:hAnsi="Times New Roman" w:cs="Times New Roman"/>
          <w:color w:val="000000"/>
          <w:sz w:val="24"/>
          <w:szCs w:val="24"/>
        </w:rPr>
        <w:t xml:space="preserve">ir sniegta </w:t>
      </w:r>
      <w:r w:rsidR="00617CEA" w:rsidRPr="00617CEA">
        <w:rPr>
          <w:rFonts w:ascii="Times New Roman" w:eastAsia="Calibri" w:hAnsi="Times New Roman" w:cs="Times New Roman"/>
          <w:color w:val="000000"/>
          <w:sz w:val="24"/>
          <w:szCs w:val="24"/>
        </w:rPr>
        <w:t>3.2.3</w:t>
      </w:r>
      <w:r w:rsidRPr="00617CEA">
        <w:rPr>
          <w:rFonts w:ascii="Times New Roman" w:eastAsia="Calibri" w:hAnsi="Times New Roman" w:cs="Times New Roman"/>
          <w:color w:val="000000"/>
          <w:sz w:val="24"/>
          <w:szCs w:val="24"/>
        </w:rPr>
        <w:t>.sadaļā</w:t>
      </w:r>
      <w:r w:rsidR="00617CEA" w:rsidRPr="00617CEA">
        <w:rPr>
          <w:rFonts w:ascii="Times New Roman" w:eastAsia="Calibri" w:hAnsi="Times New Roman" w:cs="Times New Roman"/>
          <w:color w:val="000000"/>
          <w:sz w:val="24"/>
          <w:szCs w:val="24"/>
        </w:rPr>
        <w:t>.</w:t>
      </w:r>
    </w:p>
    <w:p w:rsidR="00143321" w:rsidRPr="002514C7" w:rsidRDefault="00143321" w:rsidP="00234A68">
      <w:pPr>
        <w:spacing w:after="0" w:line="240" w:lineRule="auto"/>
        <w:ind w:firstLine="720"/>
        <w:jc w:val="both"/>
        <w:rPr>
          <w:rFonts w:ascii="Times New Roman" w:eastAsia="Calibri" w:hAnsi="Times New Roman" w:cs="Times New Roman"/>
          <w:color w:val="000000"/>
          <w:sz w:val="24"/>
          <w:szCs w:val="24"/>
        </w:rPr>
      </w:pPr>
      <w:r w:rsidRPr="002514C7">
        <w:rPr>
          <w:rFonts w:ascii="Times New Roman" w:eastAsia="Calibri" w:hAnsi="Times New Roman" w:cs="Times New Roman"/>
          <w:color w:val="000000"/>
          <w:sz w:val="24"/>
          <w:szCs w:val="24"/>
          <w:u w:val="single"/>
        </w:rPr>
        <w:t>Pirmā fiskālās politikas stratēģiskā mērķa</w:t>
      </w:r>
      <w:r w:rsidRPr="002514C7">
        <w:rPr>
          <w:rFonts w:ascii="Times New Roman" w:eastAsia="Calibri" w:hAnsi="Times New Roman" w:cs="Times New Roman"/>
          <w:color w:val="000000"/>
          <w:sz w:val="24"/>
          <w:szCs w:val="24"/>
        </w:rPr>
        <w:t xml:space="preserve"> sasniegšana tiek nodrošināta ar FDL un SIP. 2013.gadā pieņemtais FDL izveidoja sistēmu vispārējās valdības budžeta bilances mērķu noteikšanai saskaņā ar </w:t>
      </w:r>
      <w:r w:rsidRPr="002514C7">
        <w:rPr>
          <w:rFonts w:ascii="Times New Roman" w:eastAsia="Calibri" w:hAnsi="Times New Roman" w:cs="Times New Roman"/>
          <w:i/>
          <w:color w:val="000000"/>
          <w:sz w:val="24"/>
          <w:szCs w:val="24"/>
        </w:rPr>
        <w:t>lejupvērsto budžeta bilances plānošanas metodi.</w:t>
      </w:r>
      <w:r w:rsidR="00234A68">
        <w:rPr>
          <w:rFonts w:ascii="Times New Roman" w:eastAsia="Calibri" w:hAnsi="Times New Roman" w:cs="Times New Roman"/>
          <w:color w:val="000000"/>
          <w:sz w:val="24"/>
          <w:szCs w:val="24"/>
        </w:rPr>
        <w:t xml:space="preserve"> </w:t>
      </w:r>
      <w:r w:rsidRPr="002514C7">
        <w:rPr>
          <w:rFonts w:ascii="Times New Roman" w:eastAsia="Calibri" w:hAnsi="Times New Roman" w:cs="Times New Roman"/>
          <w:color w:val="000000"/>
          <w:sz w:val="24"/>
          <w:szCs w:val="24"/>
        </w:rPr>
        <w:t>Šī metode ļauj izvirzīt vispārējās valdības budžeta strukturālās bilances mērķus katram gadam tā, lai tie atbilstu SIP nosacījumiem un attiecīgi ļauj aprēķināt minimālās nominālās bilances (maksimāli pieļaujamo vispārējās valdības deficītu vai minimālo pieļaujamo vispārējās valdības budžeta pārpalikumu).</w:t>
      </w:r>
      <w:r w:rsidR="00234A68">
        <w:rPr>
          <w:rFonts w:ascii="Times New Roman" w:eastAsia="Calibri" w:hAnsi="Times New Roman" w:cs="Times New Roman"/>
          <w:color w:val="000000"/>
          <w:sz w:val="24"/>
          <w:szCs w:val="24"/>
        </w:rPr>
        <w:t xml:space="preserve"> </w:t>
      </w:r>
      <w:r w:rsidRPr="002514C7">
        <w:rPr>
          <w:rFonts w:ascii="Times New Roman" w:eastAsia="Calibri" w:hAnsi="Times New Roman" w:cs="Times New Roman"/>
          <w:color w:val="000000"/>
          <w:sz w:val="24"/>
          <w:szCs w:val="24"/>
        </w:rPr>
        <w:t xml:space="preserve">Vienlaicīgi tiek piemērota arī </w:t>
      </w:r>
      <w:r w:rsidRPr="002514C7">
        <w:rPr>
          <w:rFonts w:ascii="Times New Roman" w:eastAsia="Calibri" w:hAnsi="Times New Roman" w:cs="Times New Roman"/>
          <w:i/>
          <w:color w:val="000000"/>
          <w:sz w:val="24"/>
          <w:szCs w:val="24"/>
        </w:rPr>
        <w:t>augšupvērstā budžeta bilances plānošanas metode</w:t>
      </w:r>
      <w:r w:rsidRPr="002514C7">
        <w:rPr>
          <w:rFonts w:ascii="Times New Roman" w:eastAsia="Calibri" w:hAnsi="Times New Roman" w:cs="Times New Roman"/>
          <w:color w:val="000000"/>
          <w:sz w:val="24"/>
          <w:szCs w:val="24"/>
        </w:rPr>
        <w:t xml:space="preserve">, saskaņā ar kuru tiek prognozēta vispārējās valdības budžeta bilance </w:t>
      </w:r>
      <w:r w:rsidRPr="002514C7">
        <w:rPr>
          <w:rFonts w:ascii="Times New Roman" w:eastAsia="Calibri" w:hAnsi="Times New Roman" w:cs="Times New Roman"/>
          <w:b/>
          <w:color w:val="000000"/>
          <w:sz w:val="24"/>
          <w:szCs w:val="24"/>
        </w:rPr>
        <w:t>nemainīgas politikas gadījumā</w:t>
      </w:r>
      <w:r w:rsidRPr="002514C7">
        <w:rPr>
          <w:rFonts w:ascii="Times New Roman" w:eastAsia="Calibri" w:hAnsi="Times New Roman" w:cs="Times New Roman"/>
          <w:color w:val="000000"/>
          <w:sz w:val="24"/>
          <w:szCs w:val="24"/>
        </w:rPr>
        <w:t>. Arī saskaņā ar šo metodi tiek prognozēta vispārējās valdības budžeta bilance.</w:t>
      </w:r>
    </w:p>
    <w:p w:rsidR="00143321" w:rsidRPr="002514C7" w:rsidRDefault="00143321" w:rsidP="00143321">
      <w:pPr>
        <w:spacing w:after="0" w:line="240" w:lineRule="auto"/>
        <w:ind w:firstLine="720"/>
        <w:jc w:val="both"/>
        <w:rPr>
          <w:rFonts w:ascii="Times New Roman" w:eastAsia="Calibri" w:hAnsi="Times New Roman" w:cs="Times New Roman"/>
          <w:color w:val="000000"/>
          <w:sz w:val="24"/>
          <w:szCs w:val="24"/>
        </w:rPr>
      </w:pPr>
      <w:r w:rsidRPr="002514C7">
        <w:rPr>
          <w:rFonts w:ascii="Times New Roman" w:eastAsia="Calibri" w:hAnsi="Times New Roman" w:cs="Times New Roman"/>
          <w:color w:val="000000"/>
          <w:sz w:val="24"/>
          <w:szCs w:val="24"/>
        </w:rPr>
        <w:t xml:space="preserve">Vispārīgā gadījumā vispārējās valdības budžeta bilances pēc abām metodēm atšķiras. Ja vispārējās valdības budžeta bilance pēc pirmās metodes ir lielāka kā pēc otrās metodes, valdības rīcībā ir tā saucamā fiskālā telpa jeb iespējas palielināt izdevumus jaunām izdevumu politikas </w:t>
      </w:r>
      <w:r w:rsidR="008C58A9">
        <w:rPr>
          <w:rFonts w:ascii="Times New Roman" w:eastAsia="Calibri" w:hAnsi="Times New Roman" w:cs="Times New Roman"/>
          <w:color w:val="000000"/>
          <w:sz w:val="24"/>
          <w:szCs w:val="24"/>
        </w:rPr>
        <w:t>prioritātēm</w:t>
      </w:r>
      <w:r w:rsidR="008C58A9" w:rsidRPr="002514C7">
        <w:rPr>
          <w:rFonts w:ascii="Times New Roman" w:eastAsia="Calibri" w:hAnsi="Times New Roman" w:cs="Times New Roman"/>
          <w:color w:val="000000"/>
          <w:sz w:val="24"/>
          <w:szCs w:val="24"/>
        </w:rPr>
        <w:t xml:space="preserve"> </w:t>
      </w:r>
      <w:r w:rsidRPr="002514C7">
        <w:rPr>
          <w:rFonts w:ascii="Times New Roman" w:eastAsia="Calibri" w:hAnsi="Times New Roman" w:cs="Times New Roman"/>
          <w:color w:val="000000"/>
          <w:sz w:val="24"/>
          <w:szCs w:val="24"/>
        </w:rPr>
        <w:t xml:space="preserve">vai samazināt ieņēmumus jaunām nodokļu politikas iniciatīvām. Ja vispārējās valdības budžeta bilance pēc pirmās metodes ir mazāka kā pēc otrās metodes, valdībai ir jāveic konsolidācijas pasākumi, pieņemot diskrecionāros pasākumus izdevumu samazināšanai vai ieņēmumu palielināšanai. </w:t>
      </w:r>
    </w:p>
    <w:p w:rsidR="00143321" w:rsidRPr="002514C7" w:rsidRDefault="00143321" w:rsidP="00143321">
      <w:pPr>
        <w:spacing w:after="0" w:line="240" w:lineRule="auto"/>
        <w:ind w:firstLine="720"/>
        <w:jc w:val="both"/>
        <w:rPr>
          <w:rFonts w:ascii="Times New Roman" w:eastAsia="Calibri" w:hAnsi="Times New Roman" w:cs="Times New Roman"/>
          <w:color w:val="000000"/>
          <w:sz w:val="24"/>
          <w:szCs w:val="24"/>
        </w:rPr>
      </w:pPr>
      <w:r w:rsidRPr="002514C7">
        <w:rPr>
          <w:rFonts w:ascii="Times New Roman" w:eastAsia="Calibri" w:hAnsi="Times New Roman" w:cs="Times New Roman"/>
          <w:color w:val="000000"/>
          <w:sz w:val="24"/>
          <w:szCs w:val="24"/>
        </w:rPr>
        <w:t>Latvijā galvenie budžeta politikas lēmumi, kas skar vidēja termiņa izdevumu un ieņēmumu politiku, tiek pieņemti nevis pavasarī, bet rudenī kopā ar gadskārtējo valsts budžeta likumu. Šajā laikā tiek izstrādāts ne tikai gadskārtējais valsts budžeta likums, bet arī Ietvara likums turpmākajiem 3 gadiem. Līdz ar to starplaikā starp Stabilitātes programmas 2017.</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2514C7">
        <w:rPr>
          <w:rFonts w:ascii="Times New Roman" w:eastAsia="Calibri" w:hAnsi="Times New Roman" w:cs="Times New Roman"/>
          <w:color w:val="000000"/>
          <w:sz w:val="24"/>
          <w:szCs w:val="24"/>
        </w:rPr>
        <w:t>2020.gadam un Stabilitātes programmas 2018.</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2514C7">
        <w:rPr>
          <w:rFonts w:ascii="Times New Roman" w:eastAsia="Calibri" w:hAnsi="Times New Roman" w:cs="Times New Roman"/>
          <w:color w:val="000000"/>
          <w:sz w:val="24"/>
          <w:szCs w:val="24"/>
        </w:rPr>
        <w:t>2021.gadam izstrādes brīdi ir pieņemti būtiski fiskālās politikas lēmumi, kas ir aizpildījuši visu 2018.gada fiskālo telpu un veido pamatu Stabilitātes programmas 2018.</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2514C7">
        <w:rPr>
          <w:rFonts w:ascii="Times New Roman" w:eastAsia="Calibri" w:hAnsi="Times New Roman" w:cs="Times New Roman"/>
          <w:color w:val="000000"/>
          <w:sz w:val="24"/>
          <w:szCs w:val="24"/>
        </w:rPr>
        <w:t xml:space="preserve">2021.gadam stratēģijas īstenošanai. Šo lēmumu fiskāla ietekme ir iekļauta šīs Stabilitātes programmas </w:t>
      </w:r>
      <w:r w:rsidRPr="002514C7">
        <w:rPr>
          <w:rFonts w:ascii="Times New Roman" w:eastAsia="Calibri" w:hAnsi="Times New Roman" w:cs="Times New Roman"/>
          <w:b/>
          <w:color w:val="000000"/>
          <w:sz w:val="24"/>
          <w:szCs w:val="24"/>
        </w:rPr>
        <w:t>nemainīgas politikas scenārijā.</w:t>
      </w:r>
      <w:r w:rsidRPr="002514C7">
        <w:rPr>
          <w:rFonts w:ascii="Times New Roman" w:eastAsia="Calibri" w:hAnsi="Times New Roman" w:cs="Times New Roman"/>
          <w:color w:val="000000"/>
          <w:sz w:val="24"/>
          <w:szCs w:val="24"/>
        </w:rPr>
        <w:t xml:space="preserve"> </w:t>
      </w:r>
    </w:p>
    <w:p w:rsidR="00143321" w:rsidRDefault="00143321" w:rsidP="00143321">
      <w:pPr>
        <w:spacing w:after="0" w:line="240" w:lineRule="auto"/>
        <w:ind w:firstLine="720"/>
        <w:jc w:val="both"/>
        <w:rPr>
          <w:rFonts w:ascii="Times New Roman" w:eastAsia="Calibri" w:hAnsi="Times New Roman" w:cs="Times New Roman"/>
          <w:color w:val="000000"/>
          <w:sz w:val="24"/>
          <w:szCs w:val="24"/>
        </w:rPr>
      </w:pPr>
      <w:r w:rsidRPr="002514C7">
        <w:rPr>
          <w:rFonts w:ascii="Times New Roman" w:eastAsia="Calibri" w:hAnsi="Times New Roman" w:cs="Times New Roman"/>
          <w:color w:val="000000"/>
          <w:sz w:val="24"/>
          <w:szCs w:val="24"/>
        </w:rPr>
        <w:t xml:space="preserve">Tajā pašā laikā 2017.gadā vidēja termiņa fiskālās politikas lēmumu pieņemšanas process bija atšķirīgs no ierastā, jo 2017.gada 28.jūlijā Saeima apstiprināja nodokļu reformas likumprojektu paketi, kurā ietvertās likumdošanas izmaiņas radīja būtisku fiskālo ietekmi uz publiskajām finansēm vidējā termiņā, savukārt atbilstoši ierastajai praksei rudens ciklā, izstrādājot valsts budžeta likumu un Ietvara likumu, valdība un Saeima pieņēma papildu budžeta lēmumus, saskaņā ar definētajām vidēja termiņa budžeta politikas prioritātēm. Valsts budžeta likuma un Ietvara likuma izstrādē pieņemtie lēmumi ir detalizētāk </w:t>
      </w:r>
      <w:r w:rsidR="008C58A9">
        <w:rPr>
          <w:rFonts w:ascii="Times New Roman" w:eastAsia="Calibri" w:hAnsi="Times New Roman" w:cs="Times New Roman"/>
          <w:color w:val="000000"/>
          <w:sz w:val="24"/>
          <w:szCs w:val="24"/>
        </w:rPr>
        <w:t>aprakstīti</w:t>
      </w:r>
      <w:r w:rsidR="008C58A9" w:rsidRPr="00617CEA">
        <w:rPr>
          <w:rFonts w:ascii="Times New Roman" w:eastAsia="Calibri" w:hAnsi="Times New Roman" w:cs="Times New Roman"/>
          <w:color w:val="000000"/>
          <w:sz w:val="24"/>
          <w:szCs w:val="24"/>
        </w:rPr>
        <w:t xml:space="preserve"> </w:t>
      </w:r>
      <w:r w:rsidR="00617CEA" w:rsidRPr="00617CEA">
        <w:rPr>
          <w:rFonts w:ascii="Times New Roman" w:eastAsia="Calibri" w:hAnsi="Times New Roman" w:cs="Times New Roman"/>
          <w:color w:val="000000"/>
          <w:sz w:val="24"/>
          <w:szCs w:val="24"/>
        </w:rPr>
        <w:t>3.2</w:t>
      </w:r>
      <w:r w:rsidRPr="00617CEA">
        <w:rPr>
          <w:rFonts w:ascii="Times New Roman" w:eastAsia="Calibri" w:hAnsi="Times New Roman" w:cs="Times New Roman"/>
          <w:color w:val="000000"/>
          <w:sz w:val="24"/>
          <w:szCs w:val="24"/>
        </w:rPr>
        <w:t>.</w:t>
      </w:r>
      <w:r w:rsidR="00617CEA" w:rsidRPr="00617CEA">
        <w:rPr>
          <w:rFonts w:ascii="Times New Roman" w:eastAsia="Calibri" w:hAnsi="Times New Roman" w:cs="Times New Roman"/>
          <w:color w:val="000000"/>
          <w:sz w:val="24"/>
          <w:szCs w:val="24"/>
        </w:rPr>
        <w:t>3.</w:t>
      </w:r>
      <w:r w:rsidRPr="00617CEA">
        <w:rPr>
          <w:rFonts w:ascii="Times New Roman" w:eastAsia="Calibri" w:hAnsi="Times New Roman" w:cs="Times New Roman"/>
          <w:color w:val="000000"/>
          <w:sz w:val="24"/>
          <w:szCs w:val="24"/>
        </w:rPr>
        <w:t xml:space="preserve"> </w:t>
      </w:r>
      <w:r w:rsidRPr="00617CEA">
        <w:rPr>
          <w:rFonts w:ascii="Times New Roman" w:eastAsia="Calibri" w:hAnsi="Times New Roman" w:cs="Times New Roman"/>
          <w:color w:val="000000"/>
          <w:sz w:val="24"/>
          <w:szCs w:val="24"/>
        </w:rPr>
        <w:lastRenderedPageBreak/>
        <w:t>sadaļā</w:t>
      </w:r>
      <w:r w:rsidRPr="002514C7">
        <w:rPr>
          <w:rFonts w:ascii="Times New Roman" w:eastAsia="Calibri" w:hAnsi="Times New Roman" w:cs="Times New Roman"/>
          <w:color w:val="000000"/>
          <w:sz w:val="24"/>
          <w:szCs w:val="24"/>
        </w:rPr>
        <w:t xml:space="preserve">. </w:t>
      </w:r>
      <w:r w:rsidR="00617CEA">
        <w:rPr>
          <w:rFonts w:ascii="Times New Roman" w:eastAsia="Calibri" w:hAnsi="Times New Roman" w:cs="Times New Roman"/>
          <w:color w:val="000000"/>
          <w:sz w:val="24"/>
          <w:szCs w:val="24"/>
        </w:rPr>
        <w:t>Savukārt informācija par ap</w:t>
      </w:r>
      <w:r w:rsidRPr="002514C7">
        <w:rPr>
          <w:rFonts w:ascii="Times New Roman" w:eastAsia="Calibri" w:hAnsi="Times New Roman" w:cs="Times New Roman"/>
          <w:color w:val="000000"/>
          <w:sz w:val="24"/>
          <w:szCs w:val="24"/>
        </w:rPr>
        <w:t>stiprinātā</w:t>
      </w:r>
      <w:r w:rsidR="00617CEA">
        <w:rPr>
          <w:rFonts w:ascii="Times New Roman" w:eastAsia="Calibri" w:hAnsi="Times New Roman" w:cs="Times New Roman"/>
          <w:color w:val="000000"/>
          <w:sz w:val="24"/>
          <w:szCs w:val="24"/>
        </w:rPr>
        <w:t>s</w:t>
      </w:r>
      <w:r w:rsidRPr="002514C7">
        <w:rPr>
          <w:rFonts w:ascii="Times New Roman" w:eastAsia="Calibri" w:hAnsi="Times New Roman" w:cs="Times New Roman"/>
          <w:color w:val="000000"/>
          <w:sz w:val="24"/>
          <w:szCs w:val="24"/>
        </w:rPr>
        <w:t xml:space="preserve"> nodokļu reforma</w:t>
      </w:r>
      <w:r w:rsidR="00617CEA">
        <w:rPr>
          <w:rFonts w:ascii="Times New Roman" w:eastAsia="Calibri" w:hAnsi="Times New Roman" w:cs="Times New Roman"/>
          <w:color w:val="000000"/>
          <w:sz w:val="24"/>
          <w:szCs w:val="24"/>
        </w:rPr>
        <w:t>s</w:t>
      </w:r>
      <w:r w:rsidRPr="002514C7">
        <w:rPr>
          <w:rFonts w:ascii="Times New Roman" w:eastAsia="Calibri" w:hAnsi="Times New Roman" w:cs="Times New Roman"/>
          <w:color w:val="000000"/>
          <w:sz w:val="24"/>
          <w:szCs w:val="24"/>
        </w:rPr>
        <w:t xml:space="preserve"> </w:t>
      </w:r>
      <w:r w:rsidR="00617CEA">
        <w:rPr>
          <w:rFonts w:ascii="Times New Roman" w:eastAsia="Calibri" w:hAnsi="Times New Roman" w:cs="Times New Roman"/>
          <w:color w:val="000000"/>
          <w:sz w:val="24"/>
          <w:szCs w:val="24"/>
        </w:rPr>
        <w:t>pasākumiem ir iekļauta 6.2. sadaļā.</w:t>
      </w:r>
    </w:p>
    <w:p w:rsidR="00143321" w:rsidRPr="00862B56" w:rsidRDefault="00143321" w:rsidP="006B5CC5">
      <w:pPr>
        <w:spacing w:after="100" w:line="240" w:lineRule="auto"/>
        <w:ind w:firstLine="720"/>
        <w:jc w:val="both"/>
        <w:rPr>
          <w:rFonts w:ascii="Times New Roman" w:eastAsia="Calibri" w:hAnsi="Times New Roman" w:cs="Times New Roman"/>
          <w:b/>
          <w:color w:val="000000"/>
          <w:sz w:val="24"/>
          <w:szCs w:val="24"/>
        </w:rPr>
      </w:pPr>
      <w:r w:rsidRPr="00862B56">
        <w:rPr>
          <w:rFonts w:ascii="Times New Roman" w:eastAsia="Calibri" w:hAnsi="Times New Roman" w:cs="Times New Roman"/>
          <w:b/>
          <w:color w:val="000000"/>
          <w:sz w:val="24"/>
          <w:szCs w:val="24"/>
        </w:rPr>
        <w:t>Vidēja termiņa mērķis</w:t>
      </w:r>
    </w:p>
    <w:p w:rsidR="00143321" w:rsidRPr="00862B56" w:rsidRDefault="00143321" w:rsidP="00BE3E5B">
      <w:pPr>
        <w:spacing w:after="0" w:line="240" w:lineRule="auto"/>
        <w:ind w:firstLine="720"/>
        <w:jc w:val="both"/>
        <w:rPr>
          <w:rFonts w:ascii="Times New Roman" w:eastAsia="Calibri" w:hAnsi="Times New Roman" w:cs="Times New Roman"/>
          <w:color w:val="000000"/>
          <w:sz w:val="24"/>
          <w:szCs w:val="24"/>
        </w:rPr>
      </w:pPr>
      <w:r w:rsidRPr="00862B56">
        <w:rPr>
          <w:rFonts w:ascii="Times New Roman" w:eastAsia="Calibri" w:hAnsi="Times New Roman" w:cs="Times New Roman"/>
          <w:color w:val="000000"/>
          <w:sz w:val="24"/>
          <w:szCs w:val="24"/>
        </w:rPr>
        <w:t xml:space="preserve">Attiecībā uz VTM tiek saglabāta iepriekšējā Stabilitātes programmā definētā pieeja nosakot divus atšķirīgus VTM </w:t>
      </w:r>
      <w:r w:rsidR="00DD350B" w:rsidRPr="00F14E08">
        <w:rPr>
          <w:rFonts w:ascii="Times New Roman" w:eastAsia="Calibri" w:hAnsi="Times New Roman" w:cs="Times New Roman"/>
          <w:sz w:val="24"/>
          <w:szCs w:val="24"/>
        </w:rPr>
        <w:t>–</w:t>
      </w:r>
      <w:r w:rsidRPr="00862B56">
        <w:rPr>
          <w:rFonts w:ascii="Times New Roman" w:eastAsia="Calibri" w:hAnsi="Times New Roman" w:cs="Times New Roman"/>
          <w:color w:val="000000"/>
          <w:sz w:val="24"/>
          <w:szCs w:val="24"/>
        </w:rPr>
        <w:t xml:space="preserve"> nacionālo VTM, kas saglabājas -0,5% no IKP un VTM SIP izpratnē jeb VTM SIP, kas tiek noteikts -1,0% no IKP līmenī.</w:t>
      </w:r>
    </w:p>
    <w:p w:rsidR="00143321" w:rsidRPr="00862B56" w:rsidRDefault="00143321" w:rsidP="006B5CC5">
      <w:pPr>
        <w:spacing w:before="100" w:after="100" w:line="240" w:lineRule="auto"/>
        <w:ind w:firstLine="720"/>
        <w:jc w:val="both"/>
        <w:rPr>
          <w:rFonts w:ascii="Times New Roman" w:eastAsia="Calibri" w:hAnsi="Times New Roman" w:cs="Times New Roman"/>
          <w:b/>
          <w:color w:val="000000"/>
          <w:sz w:val="24"/>
          <w:szCs w:val="24"/>
        </w:rPr>
      </w:pPr>
      <w:r w:rsidRPr="00862B56">
        <w:rPr>
          <w:rFonts w:ascii="Times New Roman" w:eastAsia="Calibri" w:hAnsi="Times New Roman" w:cs="Times New Roman"/>
          <w:b/>
          <w:color w:val="000000"/>
          <w:sz w:val="24"/>
          <w:szCs w:val="24"/>
        </w:rPr>
        <w:t>2019., 2020. un 2021.gadu strukturālās bilances mērķi</w:t>
      </w:r>
    </w:p>
    <w:p w:rsidR="00143321" w:rsidRPr="00862B56" w:rsidRDefault="00143321" w:rsidP="00143321">
      <w:pPr>
        <w:spacing w:after="0" w:line="240" w:lineRule="auto"/>
        <w:ind w:firstLine="720"/>
        <w:jc w:val="both"/>
        <w:rPr>
          <w:rFonts w:ascii="Times New Roman" w:eastAsia="Calibri" w:hAnsi="Times New Roman" w:cs="Times New Roman"/>
          <w:color w:val="000000"/>
          <w:sz w:val="24"/>
          <w:szCs w:val="24"/>
        </w:rPr>
      </w:pPr>
      <w:r w:rsidRPr="00862B56">
        <w:rPr>
          <w:rFonts w:ascii="Times New Roman" w:eastAsia="Calibri" w:hAnsi="Times New Roman" w:cs="Times New Roman"/>
          <w:color w:val="000000"/>
          <w:sz w:val="24"/>
          <w:szCs w:val="24"/>
        </w:rPr>
        <w:t>Vispārīgā pieeja paredz, ka vispārējās valdības budžeta strukturālās bilances mērķu noteikšanā tiek piemērota vairāku pakāpju metode un tiem ir vienlaicīgi jānodrošina atbilstība gan nacionālā līmeņa fiskālajiem nosacījumiem (bilances nosacījums, izdevumu pieauguma nosacījums un izdevumu pārmantojamības nosacījums), kas definēti FDL, gan arī EK pielietotajai metodoloģijai.</w:t>
      </w:r>
    </w:p>
    <w:p w:rsidR="00143321" w:rsidRPr="00862B56" w:rsidRDefault="00143321" w:rsidP="00143321">
      <w:pPr>
        <w:spacing w:after="0" w:line="240" w:lineRule="auto"/>
        <w:ind w:firstLine="720"/>
        <w:jc w:val="both"/>
        <w:rPr>
          <w:rFonts w:ascii="Times New Roman" w:eastAsia="Calibri" w:hAnsi="Times New Roman" w:cs="Times New Roman"/>
          <w:color w:val="000000"/>
          <w:sz w:val="24"/>
          <w:szCs w:val="24"/>
        </w:rPr>
      </w:pPr>
      <w:r w:rsidRPr="00862B56">
        <w:rPr>
          <w:rFonts w:ascii="Times New Roman" w:eastAsia="Calibri" w:hAnsi="Times New Roman" w:cs="Times New Roman"/>
          <w:color w:val="000000"/>
          <w:sz w:val="24"/>
          <w:szCs w:val="24"/>
        </w:rPr>
        <w:t xml:space="preserve">Vispirms strukturālās bilances mērķi tiek aprēķināti, pielietojot </w:t>
      </w:r>
      <w:r w:rsidRPr="00862B56">
        <w:rPr>
          <w:rFonts w:ascii="Times New Roman" w:eastAsia="Calibri" w:hAnsi="Times New Roman" w:cs="Times New Roman"/>
          <w:b/>
          <w:color w:val="000000"/>
          <w:sz w:val="24"/>
          <w:szCs w:val="24"/>
        </w:rPr>
        <w:t>bilances nosacījumu</w:t>
      </w:r>
      <w:r w:rsidRPr="00862B56">
        <w:rPr>
          <w:rFonts w:ascii="Times New Roman" w:eastAsia="Calibri" w:hAnsi="Times New Roman" w:cs="Times New Roman"/>
          <w:color w:val="000000"/>
          <w:sz w:val="24"/>
          <w:szCs w:val="24"/>
        </w:rPr>
        <w:t>. Bilances nosacījuma pārbaudei tiek veidoti divi scenāriji – viens ar nacionālo VTM un otrs ar VTM SIP, kas ir nosacīts atskaites punkts, kam tiek piemērotas atkāpes, kuras izriet no veselības reformu īstenošanas. Divu atšķirīgu VTM ieviešana Latvijas fiskālajā politikā joprojām balstās piesardzīgā pieejā, lai noteiktie vispārējās valdības budžeta strukturālās bilances mērķi ir saskaņā ne tikai ar nacionālo pieeju, bet arī tiktu nodrošināta atbilstība SIP nosacījumiem.</w:t>
      </w:r>
    </w:p>
    <w:p w:rsidR="00143321" w:rsidRPr="00862B56" w:rsidRDefault="00143321" w:rsidP="00143321">
      <w:pPr>
        <w:spacing w:after="0" w:line="240" w:lineRule="auto"/>
        <w:ind w:firstLine="720"/>
        <w:jc w:val="both"/>
        <w:rPr>
          <w:rFonts w:ascii="Times New Roman" w:eastAsia="Calibri" w:hAnsi="Times New Roman" w:cs="Times New Roman"/>
          <w:color w:val="000000"/>
          <w:sz w:val="24"/>
          <w:szCs w:val="24"/>
        </w:rPr>
      </w:pPr>
      <w:r w:rsidRPr="00862B56">
        <w:rPr>
          <w:rFonts w:ascii="Times New Roman" w:eastAsia="Calibri" w:hAnsi="Times New Roman" w:cs="Times New Roman"/>
          <w:color w:val="000000"/>
          <w:sz w:val="24"/>
          <w:szCs w:val="24"/>
        </w:rPr>
        <w:t xml:space="preserve">FDL paredz, ka bilances nosacījuma ievērošana nav vienīgais fiskālais nosacījums. Strukturālās bilances mērķu noteikšanā ir jāievēro arī </w:t>
      </w:r>
      <w:r w:rsidRPr="00862B56">
        <w:rPr>
          <w:rFonts w:ascii="Times New Roman" w:eastAsia="Calibri" w:hAnsi="Times New Roman" w:cs="Times New Roman"/>
          <w:b/>
          <w:color w:val="000000"/>
          <w:sz w:val="24"/>
          <w:szCs w:val="24"/>
        </w:rPr>
        <w:t>izdevumu pieauguma</w:t>
      </w:r>
      <w:r w:rsidRPr="00862B56">
        <w:rPr>
          <w:rFonts w:ascii="Times New Roman" w:eastAsia="Calibri" w:hAnsi="Times New Roman" w:cs="Times New Roman"/>
          <w:color w:val="000000"/>
          <w:sz w:val="24"/>
          <w:szCs w:val="24"/>
        </w:rPr>
        <w:t xml:space="preserve"> </w:t>
      </w:r>
      <w:r w:rsidRPr="00862B56">
        <w:rPr>
          <w:rFonts w:ascii="Times New Roman" w:eastAsia="Calibri" w:hAnsi="Times New Roman" w:cs="Times New Roman"/>
          <w:b/>
          <w:color w:val="000000"/>
          <w:sz w:val="24"/>
          <w:szCs w:val="24"/>
        </w:rPr>
        <w:t>nosacījums</w:t>
      </w:r>
      <w:r w:rsidRPr="00862B56">
        <w:rPr>
          <w:rFonts w:ascii="Times New Roman" w:eastAsia="Calibri" w:hAnsi="Times New Roman" w:cs="Times New Roman"/>
          <w:color w:val="000000"/>
          <w:sz w:val="24"/>
          <w:szCs w:val="24"/>
        </w:rPr>
        <w:t>, ko nosaka Regula Nr. 1175/2011. Šis nosacījums vispārīgajā gadījumā var noteikt ambiciozākus vispārējās valdības budžeta strukturālās bilances mērķus. FDL arī paredz, ka centrālās valdības izdevumi tiek noteikti Ietvara likumā turpmākajiem trim gadiem un tie ir juridiski saistoši (</w:t>
      </w:r>
      <w:r w:rsidRPr="00862B56">
        <w:rPr>
          <w:rFonts w:ascii="Times New Roman" w:eastAsia="Calibri" w:hAnsi="Times New Roman" w:cs="Times New Roman"/>
          <w:b/>
          <w:color w:val="000000"/>
          <w:sz w:val="24"/>
          <w:szCs w:val="24"/>
        </w:rPr>
        <w:t>izdevumu pārmantojamības nosacījums</w:t>
      </w:r>
      <w:r w:rsidRPr="00862B56">
        <w:rPr>
          <w:rFonts w:ascii="Times New Roman" w:eastAsia="Calibri" w:hAnsi="Times New Roman" w:cs="Times New Roman"/>
          <w:color w:val="000000"/>
          <w:sz w:val="24"/>
          <w:szCs w:val="24"/>
        </w:rPr>
        <w:t>). Līdz ar to var izveidoties situācija, ka centrālās valdības izdevumu paturēšana iepriekšējā Ietvara likumā noteiktajā līmenī var mainīt vispārējās valdības budžeta strukturālās bilances mērķi. Tomēr izmaiņas ierobežo FDL noteikums, ka, ja izdevumu novirzes ir lielākas par 0,1% no IKP, izdevumi netiek saglabāti, bet tiek aprēķināti no jauna saskaņā ar vispārējās valdības budžeta strukturālās bilances un izdevumu pieauguma nosacījumiem.</w:t>
      </w:r>
    </w:p>
    <w:p w:rsidR="00143321" w:rsidRPr="00D13547" w:rsidRDefault="00143321" w:rsidP="006B5CC5">
      <w:pPr>
        <w:spacing w:before="100" w:after="100" w:line="240" w:lineRule="auto"/>
        <w:ind w:firstLine="720"/>
        <w:jc w:val="both"/>
        <w:rPr>
          <w:rFonts w:ascii="Times New Roman" w:eastAsia="Calibri" w:hAnsi="Times New Roman" w:cs="Times New Roman"/>
          <w:b/>
          <w:color w:val="000000"/>
          <w:sz w:val="24"/>
          <w:szCs w:val="24"/>
        </w:rPr>
      </w:pPr>
      <w:r w:rsidRPr="00D13547">
        <w:rPr>
          <w:rFonts w:ascii="Times New Roman" w:eastAsia="Calibri" w:hAnsi="Times New Roman" w:cs="Times New Roman"/>
          <w:b/>
          <w:color w:val="000000"/>
          <w:sz w:val="24"/>
          <w:szCs w:val="24"/>
        </w:rPr>
        <w:t>Bilances mērķi, atbilstoši bilances nosacījumam (SIP metodoloģija)</w:t>
      </w:r>
    </w:p>
    <w:p w:rsidR="00143321" w:rsidRPr="00D13547" w:rsidRDefault="00143321" w:rsidP="00637E49">
      <w:pPr>
        <w:spacing w:after="120" w:line="240" w:lineRule="auto"/>
        <w:ind w:firstLine="720"/>
        <w:jc w:val="both"/>
        <w:rPr>
          <w:rFonts w:ascii="Times New Roman" w:eastAsia="Calibri" w:hAnsi="Times New Roman" w:cs="Times New Roman"/>
          <w:color w:val="000000"/>
          <w:sz w:val="24"/>
          <w:szCs w:val="24"/>
        </w:rPr>
      </w:pPr>
      <w:r w:rsidRPr="00D13547">
        <w:rPr>
          <w:rFonts w:ascii="Times New Roman" w:eastAsia="Calibri" w:hAnsi="Times New Roman" w:cs="Times New Roman"/>
          <w:color w:val="000000"/>
          <w:sz w:val="24"/>
          <w:szCs w:val="24"/>
        </w:rPr>
        <w:t>Šajā sadaļā tiek noskaidrots, kāds var būt maksimāli pieļaujamais vispārējās valdības budžeta strukturālās bilances mērķis atbilstoši iepriekš minētajai SIP izpratnei. Kā jau iepriekš tika minēts, izejas pozīcija vispārējās valdības budžeta strukturālās bilances mērķa noteikšanai atbilstoši SIP izpratnei ir VTM -1,0% no IKP. Zemāk esošajā tabulā ir atspoguļotas turpmākās korekcijas.</w:t>
      </w:r>
    </w:p>
    <w:p w:rsidR="00143321" w:rsidRPr="00D13547" w:rsidRDefault="00143321" w:rsidP="00227E3E">
      <w:pPr>
        <w:spacing w:after="0" w:line="240" w:lineRule="auto"/>
        <w:jc w:val="right"/>
        <w:rPr>
          <w:rFonts w:ascii="Times New Roman" w:eastAsia="Calibri" w:hAnsi="Times New Roman" w:cs="Times New Roman"/>
          <w:b/>
          <w:color w:val="000000"/>
          <w:sz w:val="24"/>
          <w:szCs w:val="24"/>
        </w:rPr>
      </w:pPr>
      <w:r w:rsidRPr="00D13547">
        <w:rPr>
          <w:rFonts w:ascii="Times New Roman" w:eastAsia="Calibri" w:hAnsi="Times New Roman" w:cs="Times New Roman"/>
          <w:b/>
          <w:color w:val="000000"/>
          <w:sz w:val="24"/>
          <w:szCs w:val="24"/>
        </w:rPr>
        <w:t>3.1.tabula. Strukturālās bilances mērķis atbilstoši SIP metodoloģijai</w:t>
      </w:r>
      <w:r w:rsidR="006C007F" w:rsidRPr="00D13547">
        <w:rPr>
          <w:rFonts w:ascii="Times New Roman" w:eastAsia="Calibri" w:hAnsi="Times New Roman" w:cs="Times New Roman"/>
          <w:color w:val="000000"/>
          <w:sz w:val="24"/>
          <w:szCs w:val="24"/>
        </w:rPr>
        <w:fldChar w:fldCharType="begin"/>
      </w:r>
      <w:r w:rsidRPr="00D13547">
        <w:rPr>
          <w:rFonts w:ascii="Times New Roman" w:eastAsia="Calibri" w:hAnsi="Times New Roman" w:cs="Times New Roman"/>
          <w:color w:val="000000"/>
          <w:sz w:val="24"/>
          <w:szCs w:val="24"/>
        </w:rPr>
        <w:instrText xml:space="preserve"> LINK </w:instrText>
      </w:r>
      <w:r w:rsidR="003A4BF5">
        <w:rPr>
          <w:rFonts w:ascii="Times New Roman" w:eastAsia="Calibri" w:hAnsi="Times New Roman" w:cs="Times New Roman"/>
          <w:color w:val="000000"/>
          <w:sz w:val="24"/>
          <w:szCs w:val="24"/>
        </w:rPr>
        <w:instrText xml:space="preserve">Excel.Sheet.12 \\\\fs\\fpd\\FPD\\Tautsaimniecibas_un_fiskalas_parvaldibas_nodala\\Gints\\_Eiropas_semestris\\_SP_2017_2020\\merki_29032017\\izdevumu_griesti_SP2017\\bilances_nosac\\SBmerkis_29032017.xlsx Sheet1!R4C2:R14C12 </w:instrText>
      </w:r>
      <w:r w:rsidRPr="00D13547">
        <w:rPr>
          <w:rFonts w:ascii="Times New Roman" w:eastAsia="Calibri" w:hAnsi="Times New Roman" w:cs="Times New Roman"/>
          <w:color w:val="000000"/>
          <w:sz w:val="24"/>
          <w:szCs w:val="24"/>
        </w:rPr>
        <w:instrText xml:space="preserve">\f 4 \h \* MERGEFORMAT </w:instrText>
      </w:r>
      <w:r w:rsidR="006C007F" w:rsidRPr="00D13547">
        <w:rPr>
          <w:rFonts w:ascii="Times New Roman" w:eastAsia="Calibri" w:hAnsi="Times New Roman" w:cs="Times New Roman"/>
          <w:color w:val="000000"/>
          <w:sz w:val="24"/>
          <w:szCs w:val="24"/>
        </w:rPr>
        <w:fldChar w:fldCharType="separate"/>
      </w:r>
    </w:p>
    <w:tbl>
      <w:tblPr>
        <w:tblStyle w:val="GridTable6Colorful-Accent110"/>
        <w:tblW w:w="9531" w:type="dxa"/>
        <w:jc w:val="center"/>
        <w:tblLook w:val="04A0" w:firstRow="1" w:lastRow="0" w:firstColumn="1" w:lastColumn="0" w:noHBand="0" w:noVBand="1"/>
      </w:tblPr>
      <w:tblGrid>
        <w:gridCol w:w="1139"/>
        <w:gridCol w:w="1106"/>
        <w:gridCol w:w="727"/>
        <w:gridCol w:w="709"/>
        <w:gridCol w:w="709"/>
        <w:gridCol w:w="708"/>
        <w:gridCol w:w="709"/>
        <w:gridCol w:w="709"/>
        <w:gridCol w:w="709"/>
        <w:gridCol w:w="738"/>
        <w:gridCol w:w="751"/>
        <w:gridCol w:w="817"/>
      </w:tblGrid>
      <w:tr w:rsidR="00143321" w:rsidRPr="006B5CC5" w:rsidTr="001968F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hideMark/>
          </w:tcPr>
          <w:p w:rsidR="00143321" w:rsidRPr="006B5CC5" w:rsidRDefault="00143321" w:rsidP="006B5CC5">
            <w:pPr>
              <w:rPr>
                <w:rFonts w:ascii="Times New Roman" w:eastAsia="Times New Roman" w:hAnsi="Times New Roman" w:cs="Times New Roman"/>
                <w:b w:val="0"/>
                <w:color w:val="auto"/>
                <w:sz w:val="16"/>
                <w:szCs w:val="18"/>
                <w:lang w:eastAsia="lv-LV"/>
              </w:rPr>
            </w:pPr>
          </w:p>
        </w:tc>
        <w:tc>
          <w:tcPr>
            <w:tcW w:w="1833" w:type="dxa"/>
            <w:gridSpan w:val="2"/>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6"/>
                <w:szCs w:val="18"/>
                <w:lang w:eastAsia="lv-LV"/>
              </w:rPr>
            </w:pPr>
          </w:p>
        </w:tc>
        <w:tc>
          <w:tcPr>
            <w:tcW w:w="709"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2013</w:t>
            </w:r>
          </w:p>
        </w:tc>
        <w:tc>
          <w:tcPr>
            <w:tcW w:w="709"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2014</w:t>
            </w:r>
          </w:p>
        </w:tc>
        <w:tc>
          <w:tcPr>
            <w:tcW w:w="708"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2015</w:t>
            </w:r>
          </w:p>
        </w:tc>
        <w:tc>
          <w:tcPr>
            <w:tcW w:w="709"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2016</w:t>
            </w:r>
          </w:p>
        </w:tc>
        <w:tc>
          <w:tcPr>
            <w:tcW w:w="709"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2017</w:t>
            </w:r>
          </w:p>
        </w:tc>
        <w:tc>
          <w:tcPr>
            <w:tcW w:w="709"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2018</w:t>
            </w:r>
          </w:p>
        </w:tc>
        <w:tc>
          <w:tcPr>
            <w:tcW w:w="738"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2019</w:t>
            </w:r>
          </w:p>
        </w:tc>
        <w:tc>
          <w:tcPr>
            <w:tcW w:w="751"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2020</w:t>
            </w:r>
          </w:p>
        </w:tc>
        <w:tc>
          <w:tcPr>
            <w:tcW w:w="817" w:type="dxa"/>
            <w:noWrap/>
            <w:vAlign w:val="center"/>
            <w:hideMark/>
          </w:tcPr>
          <w:p w:rsidR="00143321" w:rsidRPr="006B5CC5" w:rsidRDefault="00143321" w:rsidP="006B5CC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2021</w:t>
            </w:r>
          </w:p>
        </w:tc>
      </w:tr>
      <w:tr w:rsidR="00143321" w:rsidRPr="006B5CC5" w:rsidTr="00196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6B5CC5">
            <w:pPr>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(1)</w:t>
            </w:r>
          </w:p>
        </w:tc>
        <w:tc>
          <w:tcPr>
            <w:tcW w:w="1833" w:type="dxa"/>
            <w:gridSpan w:val="2"/>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VTM</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c>
          <w:tcPr>
            <w:tcW w:w="708"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c>
          <w:tcPr>
            <w:tcW w:w="738"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c>
          <w:tcPr>
            <w:tcW w:w="751"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c>
          <w:tcPr>
            <w:tcW w:w="817"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-1,0%</w:t>
            </w:r>
          </w:p>
        </w:tc>
      </w:tr>
      <w:tr w:rsidR="00143321" w:rsidRPr="006B5CC5" w:rsidTr="001968FB">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6B5CC5">
            <w:pPr>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(2)</w:t>
            </w:r>
          </w:p>
        </w:tc>
        <w:tc>
          <w:tcPr>
            <w:tcW w:w="1106" w:type="dxa"/>
            <w:noWrap/>
            <w:vAlign w:val="center"/>
            <w:hideMark/>
          </w:tcPr>
          <w:p w:rsidR="00143321" w:rsidRPr="006B5CC5" w:rsidRDefault="00143321" w:rsidP="006B5CC5">
            <w:pPr>
              <w:ind w:left="-57" w:right="-13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pensiju reforma</w:t>
            </w:r>
          </w:p>
        </w:tc>
        <w:tc>
          <w:tcPr>
            <w:tcW w:w="727"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no 2% uz 4%</w:t>
            </w: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highlight w:val="lightGray"/>
                <w:lang w:eastAsia="lv-LV"/>
              </w:rPr>
              <w:t>-0,5%</w:t>
            </w: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-0,5%</w:t>
            </w:r>
          </w:p>
        </w:tc>
        <w:tc>
          <w:tcPr>
            <w:tcW w:w="708"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-0,5%</w:t>
            </w: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highlight w:val="lightGray"/>
                <w:lang w:eastAsia="lv-LV"/>
              </w:rPr>
              <w:t>0,0%</w:t>
            </w: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38"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51"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817"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p>
        </w:tc>
      </w:tr>
      <w:tr w:rsidR="00143321" w:rsidRPr="006B5CC5" w:rsidTr="00196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6B5CC5">
            <w:pPr>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(3)</w:t>
            </w:r>
          </w:p>
        </w:tc>
        <w:tc>
          <w:tcPr>
            <w:tcW w:w="1106"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8"/>
                <w:lang w:eastAsia="lv-LV"/>
              </w:rPr>
            </w:pPr>
          </w:p>
        </w:tc>
        <w:tc>
          <w:tcPr>
            <w:tcW w:w="727"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no 4% uz 5%</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8"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-0,3%</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-0,3%</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-0,3%</w:t>
            </w:r>
          </w:p>
        </w:tc>
        <w:tc>
          <w:tcPr>
            <w:tcW w:w="709"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0,0%</w:t>
            </w:r>
          </w:p>
        </w:tc>
        <w:tc>
          <w:tcPr>
            <w:tcW w:w="738"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51"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817" w:type="dxa"/>
            <w:noWrap/>
            <w:vAlign w:val="center"/>
            <w:hideMark/>
          </w:tcPr>
          <w:p w:rsidR="00143321" w:rsidRPr="006B5CC5" w:rsidRDefault="00143321"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8"/>
                <w:lang w:eastAsia="lv-LV"/>
              </w:rPr>
            </w:pPr>
          </w:p>
        </w:tc>
      </w:tr>
      <w:tr w:rsidR="00143321" w:rsidRPr="006B5CC5" w:rsidTr="001968FB">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6B5CC5">
            <w:pPr>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(4)</w:t>
            </w:r>
          </w:p>
        </w:tc>
        <w:tc>
          <w:tcPr>
            <w:tcW w:w="1106"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p>
        </w:tc>
        <w:tc>
          <w:tcPr>
            <w:tcW w:w="727"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no 5% uz 6%</w:t>
            </w: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8"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highlight w:val="lightGray"/>
                <w:lang w:eastAsia="lv-LV"/>
              </w:rPr>
              <w:t>-0,3%</w:t>
            </w: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-0,3%</w:t>
            </w:r>
          </w:p>
        </w:tc>
        <w:tc>
          <w:tcPr>
            <w:tcW w:w="709"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-0,3%</w:t>
            </w:r>
          </w:p>
        </w:tc>
        <w:tc>
          <w:tcPr>
            <w:tcW w:w="738"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0,0%</w:t>
            </w:r>
          </w:p>
        </w:tc>
        <w:tc>
          <w:tcPr>
            <w:tcW w:w="751"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817" w:type="dxa"/>
            <w:noWrap/>
            <w:vAlign w:val="center"/>
            <w:hideMark/>
          </w:tcPr>
          <w:p w:rsidR="00143321" w:rsidRPr="006B5CC5" w:rsidRDefault="00143321"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p>
        </w:tc>
      </w:tr>
      <w:tr w:rsidR="006B5CC5" w:rsidRPr="006B5CC5" w:rsidTr="00CB43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6B5CC5">
            <w:pPr>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(5)</w:t>
            </w:r>
          </w:p>
        </w:tc>
        <w:tc>
          <w:tcPr>
            <w:tcW w:w="1833" w:type="dxa"/>
            <w:gridSpan w:val="2"/>
            <w:noWrap/>
            <w:vAlign w:val="center"/>
          </w:tcPr>
          <w:p w:rsidR="006B5CC5" w:rsidRPr="006B5CC5" w:rsidRDefault="006B5CC5" w:rsidP="006B5CC5">
            <w:pPr>
              <w:ind w:lef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veselības reformas</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bCs/>
                <w:color w:val="auto"/>
                <w:sz w:val="16"/>
                <w:szCs w:val="18"/>
                <w:highlight w:val="lightGray"/>
                <w:lang w:eastAsia="lv-LV"/>
              </w:rPr>
              <w:t>-0,1%</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bCs/>
                <w:color w:val="auto"/>
                <w:sz w:val="16"/>
                <w:szCs w:val="18"/>
                <w:lang w:eastAsia="lv-LV"/>
              </w:rPr>
              <w:t>-0,4%</w:t>
            </w:r>
          </w:p>
        </w:tc>
        <w:tc>
          <w:tcPr>
            <w:tcW w:w="73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r w:rsidRPr="006B5CC5">
              <w:rPr>
                <w:rFonts w:ascii="Times New Roman" w:eastAsia="Times New Roman" w:hAnsi="Times New Roman" w:cs="Times New Roman"/>
                <w:bCs/>
                <w:color w:val="auto"/>
                <w:sz w:val="16"/>
                <w:szCs w:val="18"/>
                <w:lang w:eastAsia="lv-LV"/>
              </w:rPr>
              <w:t>-0,5%</w:t>
            </w:r>
          </w:p>
        </w:tc>
        <w:tc>
          <w:tcPr>
            <w:tcW w:w="751"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bCs/>
                <w:color w:val="auto"/>
                <w:sz w:val="16"/>
                <w:szCs w:val="18"/>
                <w:highlight w:val="lightGray"/>
                <w:lang w:eastAsia="lv-LV"/>
              </w:rPr>
              <w:t>0,0%</w:t>
            </w:r>
          </w:p>
        </w:tc>
        <w:tc>
          <w:tcPr>
            <w:tcW w:w="817"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p>
        </w:tc>
      </w:tr>
      <w:tr w:rsidR="006B5CC5" w:rsidRPr="006B5CC5" w:rsidTr="00CB4393">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6B5CC5">
            <w:pPr>
              <w:ind w:left="-110" w:right="-94"/>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(6)=sum (1;2;3;4;5)</w:t>
            </w:r>
          </w:p>
        </w:tc>
        <w:tc>
          <w:tcPr>
            <w:tcW w:w="1833" w:type="dxa"/>
            <w:gridSpan w:val="2"/>
            <w:noWrap/>
            <w:vAlign w:val="center"/>
          </w:tcPr>
          <w:p w:rsidR="006B5CC5" w:rsidRPr="006B5CC5" w:rsidRDefault="006B5CC5" w:rsidP="006B5CC5">
            <w:pPr>
              <w:ind w:left="-57" w:right="-10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maksimālā strukturālā bilance</w:t>
            </w: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38"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color w:val="auto"/>
                <w:sz w:val="16"/>
                <w:szCs w:val="18"/>
                <w:lang w:eastAsia="lv-LV"/>
              </w:rPr>
              <w:t>-1,5%</w:t>
            </w:r>
          </w:p>
        </w:tc>
        <w:tc>
          <w:tcPr>
            <w:tcW w:w="751"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r w:rsidRPr="006B5CC5">
              <w:rPr>
                <w:rFonts w:ascii="Times New Roman" w:eastAsia="Times New Roman" w:hAnsi="Times New Roman" w:cs="Times New Roman"/>
                <w:color w:val="auto"/>
                <w:sz w:val="16"/>
                <w:szCs w:val="18"/>
                <w:lang w:eastAsia="lv-LV"/>
              </w:rPr>
              <w:t>-1,0%</w:t>
            </w:r>
          </w:p>
        </w:tc>
        <w:tc>
          <w:tcPr>
            <w:tcW w:w="817"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-1,0%</w:t>
            </w:r>
          </w:p>
        </w:tc>
      </w:tr>
      <w:tr w:rsidR="006B5CC5" w:rsidRPr="006B5CC5" w:rsidTr="00CB43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6B5CC5">
            <w:pPr>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(7)</w:t>
            </w:r>
          </w:p>
        </w:tc>
        <w:tc>
          <w:tcPr>
            <w:tcW w:w="1833" w:type="dxa"/>
            <w:gridSpan w:val="2"/>
            <w:noWrap/>
            <w:vAlign w:val="center"/>
          </w:tcPr>
          <w:p w:rsidR="006B5CC5" w:rsidRPr="006B5CC5" w:rsidRDefault="006B5CC5" w:rsidP="006B5CC5">
            <w:pPr>
              <w:ind w:left="-57" w:right="-10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cikliskā komponente</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3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0,5%</w:t>
            </w:r>
          </w:p>
        </w:tc>
        <w:tc>
          <w:tcPr>
            <w:tcW w:w="751"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0,5%</w:t>
            </w:r>
          </w:p>
        </w:tc>
        <w:tc>
          <w:tcPr>
            <w:tcW w:w="817"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0,5%</w:t>
            </w:r>
          </w:p>
        </w:tc>
      </w:tr>
      <w:tr w:rsidR="006B5CC5" w:rsidRPr="006B5CC5" w:rsidTr="00CB4393">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6B5CC5">
            <w:pPr>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lastRenderedPageBreak/>
              <w:t>(8)=(6)+(7)</w:t>
            </w:r>
          </w:p>
        </w:tc>
        <w:tc>
          <w:tcPr>
            <w:tcW w:w="1833" w:type="dxa"/>
            <w:gridSpan w:val="2"/>
            <w:noWrap/>
            <w:vAlign w:val="center"/>
          </w:tcPr>
          <w:p w:rsidR="006B5CC5" w:rsidRPr="006B5CC5" w:rsidRDefault="006B5CC5" w:rsidP="006B5CC5">
            <w:pPr>
              <w:ind w:left="-57" w:right="-10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sz w:val="16"/>
                <w:szCs w:val="18"/>
                <w:lang w:eastAsia="lv-LV"/>
              </w:rPr>
              <w:t xml:space="preserve"> </w:t>
            </w:r>
            <w:r w:rsidRPr="006B5CC5">
              <w:rPr>
                <w:rFonts w:ascii="Times New Roman" w:eastAsia="Times New Roman" w:hAnsi="Times New Roman" w:cs="Times New Roman"/>
                <w:color w:val="auto"/>
                <w:sz w:val="16"/>
                <w:szCs w:val="18"/>
                <w:lang w:eastAsia="lv-LV"/>
              </w:rPr>
              <w:t>cikliski koriģētā bilance</w:t>
            </w: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38"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-1,0%</w:t>
            </w:r>
          </w:p>
        </w:tc>
        <w:tc>
          <w:tcPr>
            <w:tcW w:w="751"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-0,5%</w:t>
            </w:r>
          </w:p>
        </w:tc>
        <w:tc>
          <w:tcPr>
            <w:tcW w:w="817"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-0,5%</w:t>
            </w:r>
          </w:p>
        </w:tc>
      </w:tr>
      <w:tr w:rsidR="006B5CC5" w:rsidRPr="006B5CC5" w:rsidTr="00CB43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6B5CC5">
            <w:pPr>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(9)</w:t>
            </w:r>
          </w:p>
        </w:tc>
        <w:tc>
          <w:tcPr>
            <w:tcW w:w="1833" w:type="dxa"/>
            <w:gridSpan w:val="2"/>
            <w:noWrap/>
            <w:vAlign w:val="center"/>
          </w:tcPr>
          <w:p w:rsidR="006B5CC5" w:rsidRPr="006B5CC5" w:rsidRDefault="006B5CC5" w:rsidP="006B5CC5">
            <w:pPr>
              <w:ind w:left="-57" w:right="-10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vienreizējie pasākumi</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color w:val="auto"/>
                <w:sz w:val="16"/>
                <w:szCs w:val="18"/>
                <w:lang w:eastAsia="lv-LV"/>
              </w:rPr>
              <w:t>-0,3%</w:t>
            </w: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3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p>
        </w:tc>
        <w:tc>
          <w:tcPr>
            <w:tcW w:w="751"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p>
        </w:tc>
        <w:tc>
          <w:tcPr>
            <w:tcW w:w="817"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p>
        </w:tc>
      </w:tr>
      <w:tr w:rsidR="006B5CC5" w:rsidRPr="006B5CC5" w:rsidTr="006F6CA1">
        <w:trPr>
          <w:trHeight w:val="270"/>
          <w:jc w:val="center"/>
        </w:trPr>
        <w:tc>
          <w:tcPr>
            <w:cnfStyle w:val="001000000000" w:firstRow="0" w:lastRow="0" w:firstColumn="1" w:lastColumn="0" w:oddVBand="0" w:evenVBand="0" w:oddHBand="0" w:evenHBand="0" w:firstRowFirstColumn="0" w:firstRowLastColumn="0" w:lastRowFirstColumn="0" w:lastRowLastColumn="0"/>
            <w:tcW w:w="1139" w:type="dxa"/>
            <w:noWrap/>
            <w:hideMark/>
          </w:tcPr>
          <w:p w:rsidR="006B5CC5" w:rsidRPr="006B5CC5" w:rsidRDefault="006B5CC5" w:rsidP="006B5CC5">
            <w:pPr>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(10)=(8)+(9)</w:t>
            </w:r>
          </w:p>
        </w:tc>
        <w:tc>
          <w:tcPr>
            <w:tcW w:w="1833" w:type="dxa"/>
            <w:gridSpan w:val="2"/>
            <w:noWrap/>
            <w:hideMark/>
          </w:tcPr>
          <w:p w:rsidR="006B5CC5" w:rsidRPr="006B5CC5" w:rsidRDefault="006B5CC5" w:rsidP="006B5CC5">
            <w:pPr>
              <w:ind w:lef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nominālā bilance</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-1,0%</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-1,2%</w:t>
            </w:r>
          </w:p>
        </w:tc>
        <w:tc>
          <w:tcPr>
            <w:tcW w:w="708"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-1,2%</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0,0%</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-0,9%</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-1,0%</w:t>
            </w:r>
          </w:p>
        </w:tc>
        <w:tc>
          <w:tcPr>
            <w:tcW w:w="738"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6"/>
                <w:szCs w:val="18"/>
                <w:lang w:eastAsia="lv-LV"/>
              </w:rPr>
            </w:pPr>
            <w:r w:rsidRPr="006B5CC5">
              <w:rPr>
                <w:rFonts w:ascii="Times New Roman" w:eastAsia="Times New Roman" w:hAnsi="Times New Roman" w:cs="Times New Roman"/>
                <w:b/>
                <w:color w:val="auto"/>
                <w:sz w:val="16"/>
                <w:szCs w:val="18"/>
                <w:lang w:eastAsia="lv-LV"/>
              </w:rPr>
              <w:t>-1,0%</w:t>
            </w:r>
          </w:p>
        </w:tc>
        <w:tc>
          <w:tcPr>
            <w:tcW w:w="751"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6"/>
                <w:szCs w:val="18"/>
                <w:lang w:eastAsia="lv-LV"/>
              </w:rPr>
            </w:pPr>
            <w:r w:rsidRPr="006B5CC5">
              <w:rPr>
                <w:rFonts w:ascii="Times New Roman" w:eastAsia="Times New Roman" w:hAnsi="Times New Roman" w:cs="Times New Roman"/>
                <w:b/>
                <w:color w:val="auto"/>
                <w:sz w:val="16"/>
                <w:szCs w:val="18"/>
                <w:lang w:eastAsia="lv-LV"/>
              </w:rPr>
              <w:t>-0,5%</w:t>
            </w:r>
          </w:p>
        </w:tc>
        <w:tc>
          <w:tcPr>
            <w:tcW w:w="817"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6"/>
                <w:szCs w:val="18"/>
                <w:lang w:eastAsia="lv-LV"/>
              </w:rPr>
            </w:pPr>
            <w:r w:rsidRPr="006B5CC5">
              <w:rPr>
                <w:rFonts w:ascii="Times New Roman" w:eastAsia="Times New Roman" w:hAnsi="Times New Roman" w:cs="Times New Roman"/>
                <w:b/>
                <w:color w:val="auto"/>
                <w:sz w:val="16"/>
                <w:szCs w:val="18"/>
                <w:lang w:eastAsia="lv-LV"/>
              </w:rPr>
              <w:t>-0,5%</w:t>
            </w:r>
          </w:p>
        </w:tc>
      </w:tr>
    </w:tbl>
    <w:p w:rsidR="00143321" w:rsidRPr="00D13547" w:rsidRDefault="006C007F" w:rsidP="00143321">
      <w:pPr>
        <w:spacing w:before="200" w:after="0" w:line="240" w:lineRule="auto"/>
        <w:ind w:firstLine="720"/>
        <w:jc w:val="both"/>
        <w:rPr>
          <w:rFonts w:ascii="Times New Roman" w:eastAsia="Calibri" w:hAnsi="Times New Roman" w:cs="Times New Roman"/>
          <w:color w:val="000000"/>
          <w:sz w:val="24"/>
          <w:szCs w:val="24"/>
        </w:rPr>
      </w:pPr>
      <w:r w:rsidRPr="00D13547">
        <w:rPr>
          <w:rFonts w:ascii="Times New Roman" w:eastAsia="Calibri" w:hAnsi="Times New Roman" w:cs="Times New Roman"/>
          <w:color w:val="000000"/>
          <w:sz w:val="24"/>
          <w:szCs w:val="24"/>
        </w:rPr>
        <w:fldChar w:fldCharType="end"/>
      </w:r>
      <w:r w:rsidR="00143321" w:rsidRPr="00D13547">
        <w:rPr>
          <w:rFonts w:ascii="Times New Roman" w:eastAsia="Calibri" w:hAnsi="Times New Roman" w:cs="Times New Roman"/>
          <w:color w:val="000000"/>
          <w:sz w:val="24"/>
          <w:szCs w:val="24"/>
        </w:rPr>
        <w:t xml:space="preserve">Attiecībā uz atkāpju modeli, kas izriet no iemaksu palielināšanas 2.pensiju līmenī, Latvija saglabā tādu pašu pieeju kā iepriekšējā Stabilitātes programmā. </w:t>
      </w:r>
      <w:r w:rsidR="000662BF">
        <w:rPr>
          <w:rFonts w:ascii="Times New Roman" w:eastAsia="Calibri" w:hAnsi="Times New Roman" w:cs="Times New Roman"/>
          <w:color w:val="000000"/>
          <w:sz w:val="24"/>
          <w:szCs w:val="24"/>
        </w:rPr>
        <w:t xml:space="preserve">Tomēr jāatzīmē, ka šīs Stabilitātes programmas bilances mērķu formulēšanā pensiju reformas atkāpes vairs netiek pielietotas, ņemot vērā, ka tiesības to piemērošanai saskaņā ar SIP nosacījumiem ar 2019.gadu vairs nav spēkā. </w:t>
      </w:r>
    </w:p>
    <w:p w:rsidR="00143321" w:rsidRPr="00D13547" w:rsidRDefault="00143321" w:rsidP="00143321">
      <w:pPr>
        <w:spacing w:after="0" w:line="240" w:lineRule="auto"/>
        <w:ind w:firstLine="720"/>
        <w:jc w:val="both"/>
        <w:rPr>
          <w:rFonts w:ascii="Times New Roman" w:eastAsia="Calibri" w:hAnsi="Times New Roman" w:cs="Times New Roman"/>
          <w:color w:val="000000"/>
          <w:sz w:val="24"/>
          <w:szCs w:val="24"/>
        </w:rPr>
      </w:pPr>
      <w:r w:rsidRPr="00D13547">
        <w:rPr>
          <w:rFonts w:ascii="Times New Roman" w:eastAsia="Calibri" w:hAnsi="Times New Roman" w:cs="Times New Roman"/>
          <w:color w:val="000000"/>
          <w:sz w:val="24"/>
          <w:szCs w:val="24"/>
        </w:rPr>
        <w:t xml:space="preserve">Piešķirtās atkāpes no VTM saistībā ar veselības reformas īstenošanu tiek saglabātas līdzšinējā apmērā, proti, 2017.gadā 0,1% no IKP, 2018.gadā 0,4% no IKP un 2019.gadā 0,5% no IKP. </w:t>
      </w:r>
    </w:p>
    <w:p w:rsidR="00143321" w:rsidRPr="00D13547" w:rsidRDefault="00143321" w:rsidP="00143321">
      <w:pPr>
        <w:spacing w:after="0" w:line="240" w:lineRule="auto"/>
        <w:ind w:firstLine="720"/>
        <w:jc w:val="both"/>
        <w:rPr>
          <w:rFonts w:ascii="Times New Roman" w:eastAsia="Calibri" w:hAnsi="Times New Roman" w:cs="Times New Roman"/>
          <w:color w:val="000000"/>
          <w:sz w:val="24"/>
          <w:szCs w:val="24"/>
        </w:rPr>
      </w:pPr>
      <w:r w:rsidRPr="00D13547">
        <w:rPr>
          <w:rFonts w:ascii="Times New Roman" w:eastAsia="Calibri" w:hAnsi="Times New Roman" w:cs="Times New Roman"/>
          <w:color w:val="000000"/>
          <w:sz w:val="24"/>
          <w:szCs w:val="24"/>
        </w:rPr>
        <w:t>Summējot VTM ar attiecīgajām atkāpēm, turpmāko aprēķinu vajadzībām iegūst maksimālo strukturālo bilanci, kas ir -1,5% no IKP 2019.ga</w:t>
      </w:r>
      <w:r w:rsidR="00DD350B">
        <w:rPr>
          <w:rFonts w:ascii="Times New Roman" w:eastAsia="Calibri" w:hAnsi="Times New Roman" w:cs="Times New Roman"/>
          <w:color w:val="000000"/>
          <w:sz w:val="24"/>
          <w:szCs w:val="24"/>
        </w:rPr>
        <w:t xml:space="preserve">dā, -1,0% no IKP 2020.gadā un </w:t>
      </w:r>
      <w:r w:rsidR="00DD350B">
        <w:rPr>
          <w:rFonts w:ascii="Times New Roman" w:eastAsia="Calibri" w:hAnsi="Times New Roman" w:cs="Times New Roman"/>
          <w:color w:val="000000"/>
          <w:sz w:val="24"/>
          <w:szCs w:val="24"/>
        </w:rPr>
        <w:br/>
        <w:t>-</w:t>
      </w:r>
      <w:r w:rsidRPr="00D13547">
        <w:rPr>
          <w:rFonts w:ascii="Times New Roman" w:eastAsia="Calibri" w:hAnsi="Times New Roman" w:cs="Times New Roman"/>
          <w:color w:val="000000"/>
          <w:sz w:val="24"/>
          <w:szCs w:val="24"/>
        </w:rPr>
        <w:t xml:space="preserve">1,0% no IKP 2021.gadā. </w:t>
      </w:r>
    </w:p>
    <w:p w:rsidR="00143321" w:rsidRPr="00274E15" w:rsidRDefault="00143321" w:rsidP="00143321">
      <w:pPr>
        <w:spacing w:after="0" w:line="240" w:lineRule="auto"/>
        <w:ind w:firstLine="720"/>
        <w:jc w:val="both"/>
        <w:rPr>
          <w:rFonts w:ascii="Times New Roman" w:eastAsia="Calibri" w:hAnsi="Times New Roman" w:cs="Times New Roman"/>
          <w:color w:val="000000"/>
          <w:sz w:val="24"/>
          <w:szCs w:val="24"/>
        </w:rPr>
      </w:pPr>
      <w:r w:rsidRPr="00274E15">
        <w:rPr>
          <w:rFonts w:ascii="Times New Roman" w:eastAsia="Calibri" w:hAnsi="Times New Roman" w:cs="Times New Roman"/>
          <w:color w:val="000000"/>
          <w:sz w:val="24"/>
          <w:szCs w:val="24"/>
        </w:rPr>
        <w:t>Pēc tam, kad ir noskaidrota vispārējās valdības budžeta maksimāli pieļaujamā strukturālā bilance, tiek aprēķināts vispārējās valdības budžeta nominālās bilances apmērs, pieskaitot bilances ciklisko komponenti, atbilstoši EK izlaižu starpības prognozēm. Jāatzīmē, ka EK izlaižu starpības prognoze 2019. gadam tiek ņemta no EK 2017.gada rudens prognozēm, savukārt turpmākajiem gadiem, proti, 2020. gadam un 2021. gadam, aprēķinu vajadzībām tiek pieņemts, ka šis rādītājs saglabāsies 2019.gada līmenī, kas ir 1,4% no potenciālā IKP, jo EK prognožu horizonts nesniedzas tālāk par 2019.</w:t>
      </w:r>
      <w:r w:rsidRPr="00946603">
        <w:rPr>
          <w:rFonts w:ascii="Times New Roman" w:hAnsi="Times New Roman"/>
          <w:color w:val="000000"/>
          <w:sz w:val="24"/>
        </w:rPr>
        <w:t xml:space="preserve"> gadu </w:t>
      </w:r>
    </w:p>
    <w:p w:rsidR="00143321" w:rsidRPr="00274E15" w:rsidRDefault="00143321" w:rsidP="00143321">
      <w:pPr>
        <w:spacing w:after="0" w:line="240" w:lineRule="auto"/>
        <w:ind w:firstLine="720"/>
        <w:jc w:val="both"/>
        <w:rPr>
          <w:rFonts w:ascii="Times New Roman" w:eastAsia="Calibri" w:hAnsi="Times New Roman" w:cs="Times New Roman"/>
          <w:color w:val="000000"/>
          <w:sz w:val="24"/>
          <w:szCs w:val="24"/>
        </w:rPr>
      </w:pPr>
      <w:r w:rsidRPr="00274E15">
        <w:rPr>
          <w:rFonts w:ascii="Times New Roman" w:eastAsia="Calibri" w:hAnsi="Times New Roman" w:cs="Times New Roman"/>
          <w:color w:val="000000"/>
          <w:sz w:val="24"/>
          <w:szCs w:val="24"/>
        </w:rPr>
        <w:t>Ņemot vērā izlaižu starpības prognozes un piemērojot elastības koeficientu 0,38 tiek iegūta cikliskā komponente, kas visiem prognožu gadiem ir 0,5.</w:t>
      </w:r>
    </w:p>
    <w:p w:rsidR="00143321" w:rsidRPr="00274E15" w:rsidRDefault="00143321" w:rsidP="00143321">
      <w:pPr>
        <w:spacing w:after="0" w:line="240" w:lineRule="auto"/>
        <w:ind w:firstLine="720"/>
        <w:jc w:val="both"/>
        <w:rPr>
          <w:rFonts w:ascii="Times New Roman" w:eastAsia="Calibri" w:hAnsi="Times New Roman" w:cs="Times New Roman"/>
          <w:color w:val="000000"/>
          <w:sz w:val="24"/>
          <w:szCs w:val="24"/>
        </w:rPr>
      </w:pPr>
      <w:r w:rsidRPr="00274E15">
        <w:rPr>
          <w:rFonts w:ascii="Times New Roman" w:eastAsia="Calibri" w:hAnsi="Times New Roman" w:cs="Times New Roman"/>
          <w:color w:val="000000"/>
          <w:sz w:val="24"/>
          <w:szCs w:val="24"/>
        </w:rPr>
        <w:t>Summējot iepriekš noteikto strukturālās bilances līmeni un novērtēto izlaižu starpību, tiek iegūta vispārējās valdības budžeta nominālā bilance, kas 2019.gadā ir -1,0% no IKP, 2020.gadā ir</w:t>
      </w:r>
      <w:r w:rsidRPr="00274E15">
        <w:rPr>
          <w:rFonts w:ascii="Helvetica" w:hAnsi="Helvetica" w:cs="Helvetica"/>
          <w:color w:val="000000"/>
          <w:sz w:val="18"/>
          <w:szCs w:val="18"/>
        </w:rPr>
        <w:t xml:space="preserve"> </w:t>
      </w:r>
      <w:r w:rsidRPr="00274E15">
        <w:rPr>
          <w:rFonts w:ascii="Times New Roman" w:eastAsia="Calibri" w:hAnsi="Times New Roman" w:cs="Times New Roman"/>
          <w:color w:val="000000"/>
          <w:sz w:val="24"/>
          <w:szCs w:val="24"/>
        </w:rPr>
        <w:t>-0,5% no IKP un 2021.gadā ir -0,5% no IKP.</w:t>
      </w:r>
    </w:p>
    <w:p w:rsidR="001968FB" w:rsidRDefault="001968FB" w:rsidP="001968FB">
      <w:pPr>
        <w:spacing w:after="0" w:line="240" w:lineRule="auto"/>
        <w:ind w:firstLine="720"/>
        <w:jc w:val="both"/>
        <w:rPr>
          <w:rFonts w:ascii="Times New Roman" w:eastAsia="Calibri" w:hAnsi="Times New Roman" w:cs="Times New Roman"/>
          <w:b/>
          <w:color w:val="000000"/>
          <w:sz w:val="24"/>
          <w:szCs w:val="24"/>
        </w:rPr>
      </w:pPr>
    </w:p>
    <w:p w:rsidR="00143321" w:rsidRPr="001919C7" w:rsidRDefault="00143321" w:rsidP="00F4636D">
      <w:pPr>
        <w:spacing w:after="120" w:line="240" w:lineRule="auto"/>
        <w:ind w:firstLine="720"/>
        <w:jc w:val="both"/>
        <w:rPr>
          <w:rFonts w:ascii="Times New Roman" w:eastAsia="Calibri" w:hAnsi="Times New Roman" w:cs="Times New Roman"/>
          <w:b/>
          <w:color w:val="000000"/>
          <w:sz w:val="24"/>
          <w:szCs w:val="24"/>
        </w:rPr>
      </w:pPr>
      <w:r w:rsidRPr="001919C7">
        <w:rPr>
          <w:rFonts w:ascii="Times New Roman" w:eastAsia="Calibri" w:hAnsi="Times New Roman" w:cs="Times New Roman"/>
          <w:b/>
          <w:color w:val="000000"/>
          <w:sz w:val="24"/>
          <w:szCs w:val="24"/>
        </w:rPr>
        <w:t>Bilances mērķi, atbilstoši bilances nosacījumam (nacionālā metodoloģija)</w:t>
      </w:r>
    </w:p>
    <w:p w:rsidR="00143321" w:rsidRPr="001919C7" w:rsidRDefault="00143321" w:rsidP="00143321">
      <w:pPr>
        <w:spacing w:after="0" w:line="240" w:lineRule="auto"/>
        <w:ind w:firstLine="720"/>
        <w:jc w:val="both"/>
        <w:rPr>
          <w:rFonts w:ascii="Times New Roman" w:eastAsia="Calibri" w:hAnsi="Times New Roman" w:cs="Times New Roman"/>
          <w:color w:val="000000"/>
          <w:sz w:val="24"/>
          <w:szCs w:val="24"/>
        </w:rPr>
      </w:pPr>
      <w:r w:rsidRPr="001919C7">
        <w:rPr>
          <w:rFonts w:ascii="Times New Roman" w:eastAsia="Calibri" w:hAnsi="Times New Roman" w:cs="Times New Roman"/>
          <w:color w:val="000000"/>
          <w:sz w:val="24"/>
          <w:szCs w:val="24"/>
        </w:rPr>
        <w:t>Šajā sadaļā tiek noskaidrots, kāds var būt maksimāli pieļaujamais vispārējās valdības budžeta strukturālās bilances mērķis atbilstoši nacionālajai metodoloģijai. Kā jau iepriekš tika minēts, izejas pozīcija vispārējās valdības budžeta strukturālās bilances mērķa noteikšanai, atbilstoši nacionālajai metodoloģijai ir VTM -0,5% no IKP. Zemāk esošajā tabulā ir atspoguļotas turpmākās korekcijas.</w:t>
      </w:r>
    </w:p>
    <w:p w:rsidR="00143321" w:rsidRPr="009A5639" w:rsidRDefault="00143321" w:rsidP="00143321">
      <w:pPr>
        <w:rPr>
          <w:rFonts w:ascii="Times New Roman" w:eastAsia="Calibri" w:hAnsi="Times New Roman" w:cs="Times New Roman"/>
          <w:b/>
          <w:color w:val="000000"/>
          <w:sz w:val="24"/>
          <w:szCs w:val="24"/>
          <w:highlight w:val="green"/>
        </w:rPr>
      </w:pPr>
      <w:r w:rsidRPr="009A5639">
        <w:rPr>
          <w:rFonts w:ascii="Times New Roman" w:eastAsia="Calibri" w:hAnsi="Times New Roman" w:cs="Times New Roman"/>
          <w:b/>
          <w:color w:val="000000"/>
          <w:sz w:val="24"/>
          <w:szCs w:val="24"/>
          <w:highlight w:val="green"/>
        </w:rPr>
        <w:br w:type="page"/>
      </w:r>
    </w:p>
    <w:p w:rsidR="00143321" w:rsidRPr="009A5639" w:rsidRDefault="00143321" w:rsidP="00143321">
      <w:pPr>
        <w:spacing w:before="120" w:after="60" w:line="240" w:lineRule="auto"/>
        <w:ind w:firstLine="720"/>
        <w:jc w:val="right"/>
        <w:rPr>
          <w:rFonts w:ascii="Times New Roman" w:eastAsia="Calibri" w:hAnsi="Times New Roman" w:cs="Times New Roman"/>
          <w:b/>
          <w:color w:val="000000"/>
          <w:sz w:val="24"/>
          <w:szCs w:val="24"/>
          <w:highlight w:val="green"/>
        </w:rPr>
      </w:pPr>
      <w:r w:rsidRPr="00340AB7">
        <w:rPr>
          <w:rFonts w:ascii="Times New Roman" w:eastAsia="Calibri" w:hAnsi="Times New Roman" w:cs="Times New Roman"/>
          <w:b/>
          <w:color w:val="000000"/>
          <w:sz w:val="24"/>
          <w:szCs w:val="24"/>
        </w:rPr>
        <w:lastRenderedPageBreak/>
        <w:t xml:space="preserve">3.2.tabula. Strukturālās bilances mērķis atbilstoši nacionālajai metodoloģijai </w:t>
      </w:r>
      <w:r w:rsidR="006C007F" w:rsidRPr="009A5639">
        <w:rPr>
          <w:rFonts w:ascii="Times New Roman" w:eastAsia="Calibri" w:hAnsi="Times New Roman" w:cs="Times New Roman"/>
          <w:color w:val="000000"/>
          <w:sz w:val="24"/>
          <w:szCs w:val="24"/>
          <w:highlight w:val="green"/>
        </w:rPr>
        <w:fldChar w:fldCharType="begin"/>
      </w:r>
      <w:r w:rsidRPr="009A5639">
        <w:rPr>
          <w:rFonts w:ascii="Times New Roman" w:eastAsia="Calibri" w:hAnsi="Times New Roman" w:cs="Times New Roman"/>
          <w:color w:val="000000"/>
          <w:sz w:val="24"/>
          <w:szCs w:val="24"/>
          <w:highlight w:val="green"/>
        </w:rPr>
        <w:instrText xml:space="preserve"> LINK </w:instrText>
      </w:r>
      <w:r w:rsidR="003A4BF5">
        <w:rPr>
          <w:rFonts w:ascii="Times New Roman" w:eastAsia="Calibri" w:hAnsi="Times New Roman" w:cs="Times New Roman"/>
          <w:color w:val="000000"/>
          <w:sz w:val="24"/>
          <w:szCs w:val="24"/>
          <w:highlight w:val="green"/>
        </w:rPr>
        <w:instrText xml:space="preserve">Excel.Sheet.12 \\\\fs\\fpd\\FPD\\Tautsaimniecibas_un_fiskalas_parvaldibas_nodala\\Gints\\_Eiropas_semestris\\_SP_2017_2020\\merki_29032017\\izdevumu_griesti_SP2017\\bilances_nosac\\SBmerkis_29032017.xlsx Sheet1!R20C2:R30C12 </w:instrText>
      </w:r>
      <w:r w:rsidRPr="009A5639">
        <w:rPr>
          <w:rFonts w:ascii="Times New Roman" w:eastAsia="Calibri" w:hAnsi="Times New Roman" w:cs="Times New Roman"/>
          <w:color w:val="000000"/>
          <w:sz w:val="24"/>
          <w:szCs w:val="24"/>
          <w:highlight w:val="green"/>
        </w:rPr>
        <w:instrText xml:space="preserve">\f 4 \h \* MERGEFORMAT </w:instrText>
      </w:r>
      <w:r w:rsidR="006C007F" w:rsidRPr="009A5639">
        <w:rPr>
          <w:rFonts w:ascii="Times New Roman" w:eastAsia="Calibri" w:hAnsi="Times New Roman" w:cs="Times New Roman"/>
          <w:color w:val="000000"/>
          <w:sz w:val="24"/>
          <w:szCs w:val="24"/>
          <w:highlight w:val="green"/>
        </w:rPr>
        <w:fldChar w:fldCharType="separate"/>
      </w:r>
    </w:p>
    <w:tbl>
      <w:tblPr>
        <w:tblStyle w:val="GridTable6Colorful-Accent110"/>
        <w:tblW w:w="9351" w:type="dxa"/>
        <w:jc w:val="center"/>
        <w:tblLook w:val="04A0" w:firstRow="1" w:lastRow="0" w:firstColumn="1" w:lastColumn="0" w:noHBand="0" w:noVBand="1"/>
      </w:tblPr>
      <w:tblGrid>
        <w:gridCol w:w="1139"/>
        <w:gridCol w:w="1106"/>
        <w:gridCol w:w="727"/>
        <w:gridCol w:w="709"/>
        <w:gridCol w:w="709"/>
        <w:gridCol w:w="708"/>
        <w:gridCol w:w="709"/>
        <w:gridCol w:w="709"/>
        <w:gridCol w:w="709"/>
        <w:gridCol w:w="708"/>
        <w:gridCol w:w="709"/>
        <w:gridCol w:w="709"/>
      </w:tblGrid>
      <w:tr w:rsidR="00143321" w:rsidRPr="006B5CC5" w:rsidTr="00C7764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1968FB">
            <w:pPr>
              <w:jc w:val="center"/>
              <w:rPr>
                <w:rFonts w:ascii="Times New Roman" w:eastAsia="Times New Roman" w:hAnsi="Times New Roman" w:cs="Times New Roman"/>
                <w:b w:val="0"/>
                <w:color w:val="auto"/>
                <w:sz w:val="16"/>
                <w:szCs w:val="18"/>
                <w:lang w:eastAsia="lv-LV"/>
              </w:rPr>
            </w:pPr>
          </w:p>
        </w:tc>
        <w:tc>
          <w:tcPr>
            <w:tcW w:w="1833" w:type="dxa"/>
            <w:gridSpan w:val="2"/>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16"/>
                <w:szCs w:val="18"/>
                <w:lang w:eastAsia="lv-LV"/>
              </w:rPr>
            </w:pPr>
          </w:p>
        </w:tc>
        <w:tc>
          <w:tcPr>
            <w:tcW w:w="709"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2013</w:t>
            </w:r>
          </w:p>
        </w:tc>
        <w:tc>
          <w:tcPr>
            <w:tcW w:w="709"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2014</w:t>
            </w:r>
          </w:p>
        </w:tc>
        <w:tc>
          <w:tcPr>
            <w:tcW w:w="708"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2015</w:t>
            </w:r>
          </w:p>
        </w:tc>
        <w:tc>
          <w:tcPr>
            <w:tcW w:w="709"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2016</w:t>
            </w:r>
          </w:p>
        </w:tc>
        <w:tc>
          <w:tcPr>
            <w:tcW w:w="709"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2017</w:t>
            </w:r>
          </w:p>
        </w:tc>
        <w:tc>
          <w:tcPr>
            <w:tcW w:w="709"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2018</w:t>
            </w:r>
          </w:p>
        </w:tc>
        <w:tc>
          <w:tcPr>
            <w:tcW w:w="708"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2019</w:t>
            </w:r>
          </w:p>
        </w:tc>
        <w:tc>
          <w:tcPr>
            <w:tcW w:w="709"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2020</w:t>
            </w:r>
          </w:p>
        </w:tc>
        <w:tc>
          <w:tcPr>
            <w:tcW w:w="709" w:type="dxa"/>
            <w:noWrap/>
            <w:vAlign w:val="center"/>
            <w:hideMark/>
          </w:tcPr>
          <w:p w:rsidR="00143321" w:rsidRPr="006B5CC5"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2021</w:t>
            </w:r>
          </w:p>
        </w:tc>
      </w:tr>
      <w:tr w:rsidR="00143321" w:rsidRPr="006B5CC5" w:rsidTr="00C7764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C77649">
            <w:pPr>
              <w:ind w:left="-113" w:right="-95"/>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(1)</w:t>
            </w:r>
          </w:p>
        </w:tc>
        <w:tc>
          <w:tcPr>
            <w:tcW w:w="1833" w:type="dxa"/>
            <w:gridSpan w:val="2"/>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VTM</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c>
          <w:tcPr>
            <w:tcW w:w="708"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c>
          <w:tcPr>
            <w:tcW w:w="708"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16"/>
                <w:szCs w:val="18"/>
                <w:lang w:eastAsia="lv-LV"/>
              </w:rPr>
            </w:pPr>
            <w:r w:rsidRPr="006B5CC5">
              <w:rPr>
                <w:rFonts w:ascii="Times New Roman" w:eastAsia="Times New Roman" w:hAnsi="Times New Roman" w:cs="Times New Roman"/>
                <w:b/>
                <w:bCs/>
                <w:color w:val="auto"/>
                <w:sz w:val="16"/>
                <w:szCs w:val="18"/>
                <w:lang w:eastAsia="lv-LV"/>
              </w:rPr>
              <w:t>-0,5%</w:t>
            </w:r>
          </w:p>
        </w:tc>
      </w:tr>
      <w:tr w:rsidR="00143321" w:rsidRPr="006B5CC5" w:rsidTr="00C77649">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C77649">
            <w:pPr>
              <w:ind w:left="-113" w:right="-95"/>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(2)</w:t>
            </w:r>
          </w:p>
        </w:tc>
        <w:tc>
          <w:tcPr>
            <w:tcW w:w="1106" w:type="dxa"/>
            <w:noWrap/>
            <w:vAlign w:val="center"/>
            <w:hideMark/>
          </w:tcPr>
          <w:p w:rsidR="00143321" w:rsidRPr="006B5CC5" w:rsidRDefault="00143321" w:rsidP="00C77649">
            <w:pPr>
              <w:ind w:left="-57"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Pensiju reforma</w:t>
            </w:r>
          </w:p>
        </w:tc>
        <w:tc>
          <w:tcPr>
            <w:tcW w:w="727"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no 2%</w:t>
            </w:r>
          </w:p>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uz 4%</w:t>
            </w: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-0,5%</w:t>
            </w: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-0,5%</w:t>
            </w:r>
          </w:p>
        </w:tc>
        <w:tc>
          <w:tcPr>
            <w:tcW w:w="708"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-0,5%</w:t>
            </w: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0,0%</w:t>
            </w: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8"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r>
      <w:tr w:rsidR="00143321" w:rsidRPr="006B5CC5" w:rsidTr="00C7764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C77649">
            <w:pPr>
              <w:ind w:left="-113" w:right="-95"/>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(3)</w:t>
            </w:r>
          </w:p>
        </w:tc>
        <w:tc>
          <w:tcPr>
            <w:tcW w:w="1106"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8"/>
                <w:lang w:eastAsia="lv-LV"/>
              </w:rPr>
            </w:pPr>
          </w:p>
        </w:tc>
        <w:tc>
          <w:tcPr>
            <w:tcW w:w="727"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no 4%</w:t>
            </w:r>
          </w:p>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uz 5%</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8"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-0,3%</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-0,3%</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-0,3%</w:t>
            </w: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0,0%</w:t>
            </w:r>
          </w:p>
        </w:tc>
        <w:tc>
          <w:tcPr>
            <w:tcW w:w="708"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r>
      <w:tr w:rsidR="00143321" w:rsidRPr="006B5CC5" w:rsidTr="00C77649">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143321" w:rsidRPr="006B5CC5" w:rsidRDefault="00143321" w:rsidP="00C77649">
            <w:pPr>
              <w:ind w:left="-113" w:right="-95"/>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(4)</w:t>
            </w:r>
          </w:p>
        </w:tc>
        <w:tc>
          <w:tcPr>
            <w:tcW w:w="1106"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p>
        </w:tc>
        <w:tc>
          <w:tcPr>
            <w:tcW w:w="727"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no 5%</w:t>
            </w:r>
          </w:p>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uz 6%</w:t>
            </w: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8"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-0,3%</w:t>
            </w: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-0,3%</w:t>
            </w: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r w:rsidRPr="006B5CC5">
              <w:rPr>
                <w:rFonts w:ascii="Times New Roman" w:eastAsia="Times New Roman" w:hAnsi="Times New Roman" w:cs="Times New Roman"/>
                <w:bCs/>
                <w:color w:val="auto"/>
                <w:sz w:val="16"/>
                <w:szCs w:val="18"/>
                <w:lang w:eastAsia="lv-LV"/>
              </w:rPr>
              <w:t>-0,3%</w:t>
            </w:r>
          </w:p>
        </w:tc>
        <w:tc>
          <w:tcPr>
            <w:tcW w:w="708"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highlight w:val="lightGray"/>
                <w:lang w:eastAsia="lv-LV"/>
              </w:rPr>
            </w:pPr>
            <w:r w:rsidRPr="006B5CC5">
              <w:rPr>
                <w:rFonts w:ascii="Times New Roman" w:eastAsia="Times New Roman" w:hAnsi="Times New Roman" w:cs="Times New Roman"/>
                <w:bCs/>
                <w:color w:val="auto"/>
                <w:sz w:val="16"/>
                <w:szCs w:val="18"/>
                <w:highlight w:val="lightGray"/>
                <w:lang w:eastAsia="lv-LV"/>
              </w:rPr>
              <w:t>0,0%</w:t>
            </w: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c>
          <w:tcPr>
            <w:tcW w:w="709" w:type="dxa"/>
            <w:noWrap/>
            <w:vAlign w:val="center"/>
            <w:hideMark/>
          </w:tcPr>
          <w:p w:rsidR="00143321" w:rsidRPr="006B5CC5"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16"/>
                <w:szCs w:val="18"/>
                <w:lang w:eastAsia="lv-LV"/>
              </w:rPr>
            </w:pPr>
          </w:p>
        </w:tc>
      </w:tr>
      <w:tr w:rsidR="006B5CC5" w:rsidRPr="006B5CC5" w:rsidTr="00C7764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C77649">
            <w:pPr>
              <w:ind w:left="-113" w:right="-95"/>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(5)</w:t>
            </w:r>
          </w:p>
        </w:tc>
        <w:tc>
          <w:tcPr>
            <w:tcW w:w="1833" w:type="dxa"/>
            <w:gridSpan w:val="2"/>
            <w:noWrap/>
            <w:vAlign w:val="center"/>
          </w:tcPr>
          <w:p w:rsidR="006B5CC5" w:rsidRPr="006B5CC5" w:rsidRDefault="006B5CC5" w:rsidP="00C77649">
            <w:pPr>
              <w:ind w:lef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veselības reformas</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bCs/>
                <w:color w:val="auto"/>
                <w:sz w:val="16"/>
                <w:szCs w:val="18"/>
                <w:highlight w:val="lightGray"/>
                <w:lang w:eastAsia="lv-LV"/>
              </w:rPr>
              <w:t>-0,1%</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bCs/>
                <w:color w:val="auto"/>
                <w:sz w:val="16"/>
                <w:szCs w:val="18"/>
                <w:lang w:eastAsia="lv-LV"/>
              </w:rPr>
              <w:t>-0,4%</w:t>
            </w: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r w:rsidRPr="006B5CC5">
              <w:rPr>
                <w:rFonts w:ascii="Times New Roman" w:eastAsia="Times New Roman" w:hAnsi="Times New Roman" w:cs="Times New Roman"/>
                <w:bCs/>
                <w:color w:val="auto"/>
                <w:sz w:val="16"/>
                <w:szCs w:val="18"/>
                <w:lang w:eastAsia="lv-LV"/>
              </w:rPr>
              <w:t>-0,5%</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bCs/>
                <w:color w:val="auto"/>
                <w:sz w:val="16"/>
                <w:szCs w:val="18"/>
                <w:highlight w:val="lightGray"/>
                <w:lang w:eastAsia="lv-LV"/>
              </w:rPr>
              <w:t>0,0%</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r>
      <w:tr w:rsidR="006B5CC5" w:rsidRPr="006B5CC5" w:rsidTr="00C77649">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C77649">
            <w:pPr>
              <w:ind w:left="-113" w:right="-95"/>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(6)=sum</w:t>
            </w:r>
          </w:p>
          <w:p w:rsidR="006B5CC5" w:rsidRPr="006B5CC5" w:rsidRDefault="006B5CC5" w:rsidP="00C77649">
            <w:pPr>
              <w:ind w:left="-113" w:right="-95"/>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(1;2;3;4;5)</w:t>
            </w:r>
          </w:p>
        </w:tc>
        <w:tc>
          <w:tcPr>
            <w:tcW w:w="1833" w:type="dxa"/>
            <w:gridSpan w:val="2"/>
            <w:noWrap/>
            <w:vAlign w:val="center"/>
          </w:tcPr>
          <w:p w:rsidR="006B5CC5" w:rsidRPr="006B5CC5" w:rsidRDefault="006B5CC5" w:rsidP="00C77649">
            <w:pPr>
              <w:ind w:lef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maksimālā strukturālā bilance</w:t>
            </w: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color w:val="auto"/>
                <w:sz w:val="16"/>
                <w:szCs w:val="18"/>
                <w:lang w:eastAsia="lv-LV"/>
              </w:rPr>
              <w:t>-1,0%</w:t>
            </w: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r w:rsidRPr="006B5CC5">
              <w:rPr>
                <w:rFonts w:ascii="Times New Roman" w:eastAsia="Times New Roman" w:hAnsi="Times New Roman" w:cs="Times New Roman"/>
                <w:color w:val="auto"/>
                <w:sz w:val="16"/>
                <w:szCs w:val="18"/>
                <w:lang w:eastAsia="lv-LV"/>
              </w:rPr>
              <w:t>-0,5%</w:t>
            </w: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color w:val="auto"/>
                <w:sz w:val="16"/>
                <w:szCs w:val="18"/>
                <w:lang w:eastAsia="lv-LV"/>
              </w:rPr>
              <w:t>-0,5%</w:t>
            </w:r>
          </w:p>
        </w:tc>
      </w:tr>
      <w:tr w:rsidR="006B5CC5" w:rsidRPr="006B5CC5" w:rsidTr="00C7764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C77649">
            <w:pPr>
              <w:ind w:left="-113" w:right="-95"/>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(7)</w:t>
            </w:r>
          </w:p>
        </w:tc>
        <w:tc>
          <w:tcPr>
            <w:tcW w:w="1833" w:type="dxa"/>
            <w:gridSpan w:val="2"/>
            <w:noWrap/>
            <w:vAlign w:val="center"/>
          </w:tcPr>
          <w:p w:rsidR="006B5CC5" w:rsidRPr="006B5CC5" w:rsidRDefault="006B5CC5" w:rsidP="00C77649">
            <w:pPr>
              <w:ind w:lef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cikliskā komponente</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0,4%</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0,3%</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0,1%</w:t>
            </w:r>
          </w:p>
        </w:tc>
      </w:tr>
      <w:tr w:rsidR="006B5CC5" w:rsidRPr="006B5CC5" w:rsidTr="00C77649">
        <w:trPr>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C77649">
            <w:pPr>
              <w:ind w:left="-113" w:right="-95"/>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(8)=(6)+(7)</w:t>
            </w:r>
          </w:p>
        </w:tc>
        <w:tc>
          <w:tcPr>
            <w:tcW w:w="1833" w:type="dxa"/>
            <w:gridSpan w:val="2"/>
            <w:noWrap/>
            <w:vAlign w:val="center"/>
          </w:tcPr>
          <w:p w:rsidR="006B5CC5" w:rsidRPr="006B5CC5" w:rsidRDefault="006B5CC5" w:rsidP="00C77649">
            <w:pPr>
              <w:ind w:lef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cikliski koriģētā bilance</w:t>
            </w: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8"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-0,6%</w:t>
            </w: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-0,2%</w:t>
            </w:r>
          </w:p>
        </w:tc>
        <w:tc>
          <w:tcPr>
            <w:tcW w:w="709" w:type="dxa"/>
            <w:noWrap/>
            <w:vAlign w:val="center"/>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-0,4%</w:t>
            </w:r>
          </w:p>
        </w:tc>
      </w:tr>
      <w:tr w:rsidR="006B5CC5" w:rsidRPr="006B5CC5" w:rsidTr="00C7764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tcPr>
          <w:p w:rsidR="006B5CC5" w:rsidRPr="006B5CC5" w:rsidRDefault="006B5CC5" w:rsidP="00C77649">
            <w:pPr>
              <w:ind w:left="-113" w:right="-95"/>
              <w:jc w:val="center"/>
              <w:rPr>
                <w:rFonts w:ascii="Times New Roman" w:eastAsia="Times New Roman" w:hAnsi="Times New Roman" w:cs="Times New Roman"/>
                <w:b w:val="0"/>
                <w:sz w:val="14"/>
                <w:szCs w:val="18"/>
                <w:lang w:eastAsia="lv-LV"/>
              </w:rPr>
            </w:pPr>
            <w:r w:rsidRPr="006B5CC5">
              <w:rPr>
                <w:rFonts w:ascii="Times New Roman" w:eastAsia="Times New Roman" w:hAnsi="Times New Roman" w:cs="Times New Roman"/>
                <w:b w:val="0"/>
                <w:color w:val="auto"/>
                <w:sz w:val="14"/>
                <w:szCs w:val="18"/>
                <w:lang w:eastAsia="lv-LV"/>
              </w:rPr>
              <w:t>(9)</w:t>
            </w:r>
          </w:p>
        </w:tc>
        <w:tc>
          <w:tcPr>
            <w:tcW w:w="1833" w:type="dxa"/>
            <w:gridSpan w:val="2"/>
            <w:noWrap/>
            <w:vAlign w:val="center"/>
          </w:tcPr>
          <w:p w:rsidR="006B5CC5" w:rsidRPr="006B5CC5" w:rsidRDefault="006B5CC5" w:rsidP="00C77649">
            <w:pPr>
              <w:ind w:lef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vienreizējie pasākumi</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color w:val="auto"/>
                <w:sz w:val="16"/>
                <w:szCs w:val="18"/>
                <w:lang w:eastAsia="lv-LV"/>
              </w:rPr>
              <w:t>-0,3%</w:t>
            </w: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highlight w:val="lightGray"/>
                <w:lang w:eastAsia="lv-LV"/>
              </w:rPr>
            </w:pP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8"/>
                <w:lang w:eastAsia="lv-LV"/>
              </w:rPr>
            </w:pPr>
            <w:r w:rsidRPr="006B5CC5">
              <w:rPr>
                <w:rFonts w:ascii="Times New Roman" w:eastAsia="Times New Roman" w:hAnsi="Times New Roman" w:cs="Times New Roman"/>
                <w:color w:val="auto"/>
                <w:sz w:val="16"/>
                <w:szCs w:val="18"/>
                <w:lang w:eastAsia="lv-LV"/>
              </w:rPr>
              <w:t>0,0%</w:t>
            </w:r>
          </w:p>
        </w:tc>
        <w:tc>
          <w:tcPr>
            <w:tcW w:w="708"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-0,5%</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-0,3%</w:t>
            </w:r>
          </w:p>
        </w:tc>
        <w:tc>
          <w:tcPr>
            <w:tcW w:w="709" w:type="dxa"/>
            <w:noWrap/>
            <w:vAlign w:val="center"/>
          </w:tcPr>
          <w:p w:rsidR="006B5CC5" w:rsidRPr="006B5CC5" w:rsidRDefault="006B5CC5" w:rsidP="006B5C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8"/>
                <w:lang w:eastAsia="lv-LV"/>
              </w:rPr>
            </w:pPr>
            <w:r w:rsidRPr="006B5CC5">
              <w:rPr>
                <w:rFonts w:ascii="Times New Roman" w:eastAsia="Times New Roman" w:hAnsi="Times New Roman" w:cs="Times New Roman"/>
                <w:color w:val="auto"/>
                <w:sz w:val="16"/>
                <w:szCs w:val="18"/>
                <w:lang w:eastAsia="lv-LV"/>
              </w:rPr>
              <w:t>0,0%</w:t>
            </w:r>
          </w:p>
        </w:tc>
      </w:tr>
      <w:tr w:rsidR="006B5CC5" w:rsidRPr="006B5CC5" w:rsidTr="00C77649">
        <w:trPr>
          <w:trHeight w:val="270"/>
          <w:jc w:val="center"/>
        </w:trPr>
        <w:tc>
          <w:tcPr>
            <w:cnfStyle w:val="001000000000" w:firstRow="0" w:lastRow="0" w:firstColumn="1" w:lastColumn="0" w:oddVBand="0" w:evenVBand="0" w:oddHBand="0" w:evenHBand="0" w:firstRowFirstColumn="0" w:firstRowLastColumn="0" w:lastRowFirstColumn="0" w:lastRowLastColumn="0"/>
            <w:tcW w:w="1139" w:type="dxa"/>
            <w:noWrap/>
            <w:vAlign w:val="center"/>
            <w:hideMark/>
          </w:tcPr>
          <w:p w:rsidR="006B5CC5" w:rsidRPr="006B5CC5" w:rsidRDefault="006B5CC5" w:rsidP="00C77649">
            <w:pPr>
              <w:ind w:left="-113" w:right="-95"/>
              <w:jc w:val="center"/>
              <w:rPr>
                <w:rFonts w:ascii="Times New Roman" w:eastAsia="Times New Roman" w:hAnsi="Times New Roman" w:cs="Times New Roman"/>
                <w:b w:val="0"/>
                <w:color w:val="auto"/>
                <w:sz w:val="14"/>
                <w:szCs w:val="18"/>
                <w:lang w:eastAsia="lv-LV"/>
              </w:rPr>
            </w:pPr>
            <w:r w:rsidRPr="006B5CC5">
              <w:rPr>
                <w:rFonts w:ascii="Times New Roman" w:eastAsia="Times New Roman" w:hAnsi="Times New Roman" w:cs="Times New Roman"/>
                <w:b w:val="0"/>
                <w:color w:val="auto"/>
                <w:sz w:val="14"/>
                <w:szCs w:val="18"/>
                <w:lang w:eastAsia="lv-LV"/>
              </w:rPr>
              <w:t>(10)=(8)+(9)</w:t>
            </w:r>
          </w:p>
        </w:tc>
        <w:tc>
          <w:tcPr>
            <w:tcW w:w="1833" w:type="dxa"/>
            <w:gridSpan w:val="2"/>
            <w:noWrap/>
            <w:vAlign w:val="center"/>
            <w:hideMark/>
          </w:tcPr>
          <w:p w:rsidR="006B5CC5" w:rsidRPr="006B5CC5" w:rsidRDefault="006B5CC5" w:rsidP="00C77649">
            <w:pPr>
              <w:ind w:lef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nominālā bilance</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-1,0%</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-1,2%</w:t>
            </w:r>
          </w:p>
        </w:tc>
        <w:tc>
          <w:tcPr>
            <w:tcW w:w="708"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-1,2%</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0,0%</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-0,5%</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8"/>
                <w:lang w:eastAsia="lv-LV"/>
              </w:rPr>
            </w:pPr>
            <w:r w:rsidRPr="006B5CC5">
              <w:rPr>
                <w:rFonts w:ascii="Times New Roman" w:eastAsia="Times New Roman" w:hAnsi="Times New Roman" w:cs="Times New Roman"/>
                <w:color w:val="auto"/>
                <w:sz w:val="16"/>
                <w:szCs w:val="18"/>
                <w:lang w:eastAsia="lv-LV"/>
              </w:rPr>
              <w:t>-1,0%</w:t>
            </w:r>
          </w:p>
        </w:tc>
        <w:tc>
          <w:tcPr>
            <w:tcW w:w="708"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6"/>
                <w:szCs w:val="18"/>
                <w:lang w:eastAsia="lv-LV"/>
              </w:rPr>
            </w:pPr>
            <w:r w:rsidRPr="006B5CC5">
              <w:rPr>
                <w:rFonts w:ascii="Times New Roman" w:eastAsia="Times New Roman" w:hAnsi="Times New Roman" w:cs="Times New Roman"/>
                <w:b/>
                <w:color w:val="auto"/>
                <w:sz w:val="16"/>
                <w:szCs w:val="18"/>
                <w:lang w:eastAsia="lv-LV"/>
              </w:rPr>
              <w:t>-1,1%</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6"/>
                <w:szCs w:val="18"/>
                <w:lang w:eastAsia="lv-LV"/>
              </w:rPr>
            </w:pPr>
            <w:r w:rsidRPr="006B5CC5">
              <w:rPr>
                <w:rFonts w:ascii="Times New Roman" w:eastAsia="Times New Roman" w:hAnsi="Times New Roman" w:cs="Times New Roman"/>
                <w:b/>
                <w:color w:val="auto"/>
                <w:sz w:val="16"/>
                <w:szCs w:val="18"/>
                <w:lang w:eastAsia="lv-LV"/>
              </w:rPr>
              <w:t>-0,5%</w:t>
            </w:r>
          </w:p>
        </w:tc>
        <w:tc>
          <w:tcPr>
            <w:tcW w:w="709" w:type="dxa"/>
            <w:noWrap/>
            <w:vAlign w:val="center"/>
            <w:hideMark/>
          </w:tcPr>
          <w:p w:rsidR="006B5CC5" w:rsidRPr="006B5CC5" w:rsidRDefault="006B5CC5" w:rsidP="006B5C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16"/>
                <w:szCs w:val="18"/>
                <w:lang w:eastAsia="lv-LV"/>
              </w:rPr>
            </w:pPr>
            <w:r w:rsidRPr="006B5CC5">
              <w:rPr>
                <w:rFonts w:ascii="Times New Roman" w:eastAsia="Times New Roman" w:hAnsi="Times New Roman" w:cs="Times New Roman"/>
                <w:b/>
                <w:color w:val="auto"/>
                <w:sz w:val="16"/>
                <w:szCs w:val="18"/>
                <w:lang w:eastAsia="lv-LV"/>
              </w:rPr>
              <w:t>-0,4%</w:t>
            </w:r>
          </w:p>
        </w:tc>
      </w:tr>
    </w:tbl>
    <w:p w:rsidR="00143321" w:rsidRPr="00A311A1" w:rsidRDefault="006C007F" w:rsidP="00637E49">
      <w:pPr>
        <w:spacing w:before="120" w:after="0" w:line="240" w:lineRule="auto"/>
        <w:ind w:firstLine="720"/>
        <w:jc w:val="both"/>
        <w:rPr>
          <w:rFonts w:ascii="Times New Roman" w:eastAsia="Calibri" w:hAnsi="Times New Roman" w:cs="Times New Roman"/>
          <w:color w:val="000000"/>
          <w:sz w:val="24"/>
          <w:szCs w:val="24"/>
        </w:rPr>
      </w:pPr>
      <w:r w:rsidRPr="009A5639">
        <w:rPr>
          <w:rFonts w:ascii="Times New Roman" w:eastAsia="Calibri" w:hAnsi="Times New Roman" w:cs="Times New Roman"/>
          <w:color w:val="000000"/>
          <w:sz w:val="24"/>
          <w:szCs w:val="24"/>
          <w:highlight w:val="green"/>
        </w:rPr>
        <w:fldChar w:fldCharType="end"/>
      </w:r>
      <w:r w:rsidR="00143321" w:rsidRPr="00A311A1">
        <w:rPr>
          <w:rFonts w:ascii="Times New Roman" w:eastAsia="Calibri" w:hAnsi="Times New Roman" w:cs="Times New Roman"/>
          <w:color w:val="000000"/>
          <w:sz w:val="24"/>
          <w:szCs w:val="24"/>
        </w:rPr>
        <w:t>Atkāpju modelis, kas izriet no iemaksu palielināšanas 2.pensiju līmenī un veselības reformas īstenošanas, ir tāds pats, kā veicot vispārējās valdības budžeta strukturālās bilances mērķa noteikšanu atbilstoši SIP metodoloģijai.</w:t>
      </w:r>
    </w:p>
    <w:p w:rsidR="00143321" w:rsidRPr="00A311A1" w:rsidRDefault="00143321" w:rsidP="001968FB">
      <w:pPr>
        <w:spacing w:after="0" w:line="240" w:lineRule="auto"/>
        <w:ind w:firstLine="720"/>
        <w:jc w:val="both"/>
        <w:rPr>
          <w:rFonts w:ascii="Times New Roman" w:eastAsia="Calibri" w:hAnsi="Times New Roman" w:cs="Times New Roman"/>
          <w:color w:val="000000"/>
          <w:sz w:val="24"/>
          <w:szCs w:val="24"/>
        </w:rPr>
      </w:pPr>
      <w:r w:rsidRPr="00A311A1">
        <w:rPr>
          <w:rFonts w:ascii="Times New Roman" w:eastAsia="Calibri" w:hAnsi="Times New Roman" w:cs="Times New Roman"/>
          <w:color w:val="000000"/>
          <w:sz w:val="24"/>
          <w:szCs w:val="24"/>
        </w:rPr>
        <w:t xml:space="preserve">Summējot VTM ar attiecīgajām atkāpēm turpmāko aprēķinu vajadzībām iegūst maksimālo strukturālo bilanci, kas ir -1,0% no IKP 2019.gadā, -0,5% no IKP 2020.gadā un </w:t>
      </w:r>
      <w:r w:rsidR="004F5D37">
        <w:rPr>
          <w:rFonts w:ascii="Times New Roman" w:eastAsia="Calibri" w:hAnsi="Times New Roman" w:cs="Times New Roman"/>
          <w:color w:val="000000"/>
          <w:sz w:val="24"/>
          <w:szCs w:val="24"/>
        </w:rPr>
        <w:br/>
      </w:r>
      <w:r w:rsidRPr="00A311A1">
        <w:rPr>
          <w:rFonts w:ascii="Times New Roman" w:eastAsia="Calibri" w:hAnsi="Times New Roman" w:cs="Times New Roman"/>
          <w:color w:val="000000"/>
          <w:sz w:val="24"/>
          <w:szCs w:val="24"/>
        </w:rPr>
        <w:t>-0,5% no IKP 2021.gadā.</w:t>
      </w:r>
    </w:p>
    <w:p w:rsidR="00143321" w:rsidRPr="00A311A1" w:rsidRDefault="00143321" w:rsidP="001968FB">
      <w:pPr>
        <w:spacing w:after="0" w:line="240" w:lineRule="auto"/>
        <w:ind w:firstLine="720"/>
        <w:jc w:val="both"/>
        <w:rPr>
          <w:rFonts w:ascii="Times New Roman" w:eastAsia="Calibri" w:hAnsi="Times New Roman" w:cs="Times New Roman"/>
          <w:color w:val="000000"/>
          <w:sz w:val="24"/>
          <w:szCs w:val="24"/>
        </w:rPr>
      </w:pPr>
      <w:r w:rsidRPr="00A311A1">
        <w:rPr>
          <w:rFonts w:ascii="Times New Roman" w:eastAsia="Calibri" w:hAnsi="Times New Roman" w:cs="Times New Roman"/>
          <w:color w:val="000000"/>
          <w:sz w:val="24"/>
          <w:szCs w:val="24"/>
        </w:rPr>
        <w:t>Pēc tam, kad ir noskaidrots vispārējās valdības budžeta maksimāli pieļaujamās strukturālās bilances apmērs, kas izmantojams turpmākajos aprēķinos, tiek aprēķināts vispārējās valdības budžeta nominālās bilances apmērs, vispārējās valdības budžeta strukturālajai bilancei pieskaitot bilances ciklisko komponenti. Tāpat kā iepriekšējā scenārijā bilances cikliskā komponente tiek aprēķināta reizinot izlaižu starpības novērtējumu ar elastības koeficientu 0,38, tikai šajā scenārijā tiek izmantota FM prognozētā izlaižu starpība. Bilances cikliskā komponente ir 0,4%, 0,3% un 0,1% attiecīgi 2019., 2020. un 2021.gadā.</w:t>
      </w:r>
    </w:p>
    <w:p w:rsidR="00143321" w:rsidRPr="00A311A1" w:rsidRDefault="00143321" w:rsidP="001968FB">
      <w:pPr>
        <w:spacing w:after="0" w:line="240" w:lineRule="auto"/>
        <w:ind w:firstLine="720"/>
        <w:jc w:val="both"/>
        <w:rPr>
          <w:rFonts w:ascii="Times New Roman" w:eastAsia="Calibri" w:hAnsi="Times New Roman" w:cs="Times New Roman"/>
          <w:color w:val="000000"/>
          <w:sz w:val="24"/>
          <w:szCs w:val="24"/>
        </w:rPr>
      </w:pPr>
      <w:r w:rsidRPr="00A311A1">
        <w:rPr>
          <w:rFonts w:ascii="Times New Roman" w:eastAsia="Calibri" w:hAnsi="Times New Roman" w:cs="Times New Roman"/>
          <w:color w:val="000000"/>
          <w:sz w:val="24"/>
          <w:szCs w:val="24"/>
        </w:rPr>
        <w:t xml:space="preserve">Šajā scenārijā nodokļu reformas izsauktais īstermiņa ieņēmumu kritums: 2019.gadā </w:t>
      </w:r>
      <w:r w:rsidR="004F5D37">
        <w:rPr>
          <w:rFonts w:ascii="Times New Roman" w:eastAsia="Calibri" w:hAnsi="Times New Roman" w:cs="Times New Roman"/>
          <w:color w:val="000000"/>
          <w:sz w:val="24"/>
          <w:szCs w:val="24"/>
        </w:rPr>
        <w:br/>
      </w:r>
      <w:r w:rsidRPr="00A311A1">
        <w:rPr>
          <w:rFonts w:ascii="Times New Roman" w:eastAsia="Calibri" w:hAnsi="Times New Roman" w:cs="Times New Roman"/>
          <w:color w:val="000000"/>
          <w:sz w:val="24"/>
          <w:szCs w:val="24"/>
        </w:rPr>
        <w:t>-0,5% no IKP un 2020.gadā -0,3% no IKP tiek uzskatīts par vienreizējo pasākumu (</w:t>
      </w:r>
      <w:r w:rsidRPr="00A311A1">
        <w:rPr>
          <w:rFonts w:ascii="Times New Roman" w:eastAsia="Calibri" w:hAnsi="Times New Roman" w:cs="Times New Roman"/>
          <w:i/>
          <w:color w:val="000000"/>
          <w:sz w:val="24"/>
          <w:szCs w:val="24"/>
        </w:rPr>
        <w:t>one –off measure</w:t>
      </w:r>
      <w:r w:rsidRPr="00A311A1">
        <w:rPr>
          <w:rFonts w:ascii="Times New Roman" w:eastAsia="Calibri" w:hAnsi="Times New Roman" w:cs="Times New Roman"/>
          <w:color w:val="000000"/>
          <w:sz w:val="24"/>
          <w:szCs w:val="24"/>
        </w:rPr>
        <w:t xml:space="preserve">). </w:t>
      </w:r>
    </w:p>
    <w:p w:rsidR="00143321" w:rsidRPr="00A311A1" w:rsidRDefault="00143321" w:rsidP="001968FB">
      <w:pPr>
        <w:spacing w:after="0" w:line="240" w:lineRule="auto"/>
        <w:ind w:firstLine="720"/>
        <w:jc w:val="both"/>
        <w:rPr>
          <w:rFonts w:ascii="Times New Roman" w:eastAsia="Calibri" w:hAnsi="Times New Roman" w:cs="Times New Roman"/>
          <w:color w:val="000000"/>
          <w:sz w:val="24"/>
          <w:szCs w:val="24"/>
        </w:rPr>
      </w:pPr>
      <w:r w:rsidRPr="00A311A1">
        <w:rPr>
          <w:rFonts w:ascii="Times New Roman" w:eastAsia="Calibri" w:hAnsi="Times New Roman" w:cs="Times New Roman"/>
          <w:color w:val="000000"/>
          <w:sz w:val="24"/>
          <w:szCs w:val="24"/>
        </w:rPr>
        <w:t xml:space="preserve">Tādējādi izmantojot iepriekš noteikto strukturālo bilanci, FM prognozes par izlaižu starpību un vienreizējos pasākumus tiek iegūta nominālā bilance, kas 2019.gadā ir -1,1% no IKP, 2020.gadā ir -0,5% no IKP un 2021.gadā ir -0,4% no IKP. </w:t>
      </w:r>
    </w:p>
    <w:p w:rsidR="0087329C" w:rsidRPr="00C77649" w:rsidRDefault="00143321" w:rsidP="00C77649">
      <w:pPr>
        <w:spacing w:after="0" w:line="240" w:lineRule="auto"/>
        <w:ind w:firstLine="720"/>
        <w:jc w:val="both"/>
        <w:rPr>
          <w:rFonts w:ascii="Times New Roman" w:eastAsia="Calibri" w:hAnsi="Times New Roman" w:cs="Times New Roman"/>
          <w:color w:val="000000"/>
          <w:sz w:val="24"/>
          <w:szCs w:val="24"/>
        </w:rPr>
      </w:pPr>
      <w:r w:rsidRPr="00A03501">
        <w:rPr>
          <w:rFonts w:ascii="Times New Roman" w:eastAsia="Calibri" w:hAnsi="Times New Roman" w:cs="Times New Roman"/>
          <w:color w:val="000000"/>
          <w:sz w:val="24"/>
          <w:szCs w:val="24"/>
        </w:rPr>
        <w:t>Jāatzīmē, ka FDL normu piemērošana un tulkošana ir FM kompetencē, un FM uztur viedokli, ka īstermiņa ieņēmumu kritums, ko izsauc nodokļu reforma pēc būtības ir vienreizējs pasākums – ieņēmumu kritumam nav paliekoša efekta, un tāpēc tas nav jāiekļauj strukturālajā bilancē. EK attiecībā uz vienreizējiem pasākumiem ietur daudz konservatīvāku politiku un ne visus pasākumus ar īstermiņa fiskālo efektu izslēdz no strukturālās bilances (skat.</w:t>
      </w:r>
      <w:r w:rsidR="0087329C" w:rsidRPr="0087329C">
        <w:t xml:space="preserve"> </w:t>
      </w:r>
      <w:r w:rsidR="0087329C" w:rsidRPr="0087329C">
        <w:rPr>
          <w:rFonts w:ascii="Times New Roman" w:eastAsia="Calibri" w:hAnsi="Times New Roman" w:cs="Times New Roman"/>
          <w:color w:val="000000"/>
          <w:sz w:val="24"/>
          <w:szCs w:val="24"/>
        </w:rPr>
        <w:t>EK tehnisko rokasgrāmatu</w:t>
      </w:r>
      <w:r w:rsidRPr="00A03501">
        <w:rPr>
          <w:rFonts w:ascii="Times New Roman" w:eastAsia="Calibri" w:hAnsi="Times New Roman" w:cs="Times New Roman"/>
          <w:color w:val="000000"/>
          <w:sz w:val="24"/>
          <w:szCs w:val="24"/>
        </w:rPr>
        <w:t xml:space="preserve"> </w:t>
      </w:r>
      <w:r w:rsidRPr="00A03501">
        <w:rPr>
          <w:rFonts w:ascii="Times New Roman" w:eastAsia="Calibri" w:hAnsi="Times New Roman" w:cs="Times New Roman"/>
          <w:i/>
          <w:color w:val="000000"/>
          <w:sz w:val="24"/>
          <w:szCs w:val="24"/>
          <w:lang w:val="en-GB"/>
        </w:rPr>
        <w:t>Vade Mecum on the Stability and Growth Pact, Box 1.4: Calculating the structural balance</w:t>
      </w:r>
      <w:r w:rsidRPr="00A03501">
        <w:rPr>
          <w:rFonts w:ascii="Times New Roman" w:eastAsia="Calibri" w:hAnsi="Times New Roman" w:cs="Times New Roman"/>
          <w:color w:val="000000"/>
          <w:sz w:val="24"/>
          <w:szCs w:val="24"/>
        </w:rPr>
        <w:t>). Līdz ar to SIP kontekstā nodokļu reformas izsauktais ieņēmumu kritums netiks atzīts no EK puses par vienreizējo pasākumu un tāpēc 3.1.tabulā tas netiek iekļauts.</w:t>
      </w:r>
    </w:p>
    <w:p w:rsidR="00143321" w:rsidRPr="00AD05D3" w:rsidRDefault="00143321" w:rsidP="00C77649">
      <w:pPr>
        <w:spacing w:before="120" w:after="120" w:line="240" w:lineRule="auto"/>
        <w:ind w:firstLine="720"/>
        <w:jc w:val="both"/>
        <w:rPr>
          <w:rFonts w:ascii="Times New Roman" w:eastAsia="Calibri" w:hAnsi="Times New Roman" w:cs="Times New Roman"/>
          <w:b/>
          <w:color w:val="000000"/>
          <w:sz w:val="24"/>
          <w:szCs w:val="24"/>
        </w:rPr>
      </w:pPr>
      <w:r w:rsidRPr="00AD05D3">
        <w:rPr>
          <w:rFonts w:ascii="Times New Roman" w:eastAsia="Calibri" w:hAnsi="Times New Roman" w:cs="Times New Roman"/>
          <w:b/>
          <w:color w:val="000000"/>
          <w:sz w:val="24"/>
          <w:szCs w:val="24"/>
        </w:rPr>
        <w:t xml:space="preserve">Bilances mērķi atbilstoši bilances nosacījumam </w:t>
      </w:r>
      <w:r w:rsidR="00DD350B" w:rsidRPr="00F14E08">
        <w:rPr>
          <w:rFonts w:ascii="Times New Roman" w:eastAsia="Calibri" w:hAnsi="Times New Roman" w:cs="Times New Roman"/>
          <w:sz w:val="24"/>
          <w:szCs w:val="24"/>
        </w:rPr>
        <w:t>–</w:t>
      </w:r>
      <w:r w:rsidRPr="00AD05D3">
        <w:rPr>
          <w:rFonts w:ascii="Times New Roman" w:eastAsia="Calibri" w:hAnsi="Times New Roman" w:cs="Times New Roman"/>
          <w:b/>
          <w:color w:val="000000"/>
          <w:sz w:val="24"/>
          <w:szCs w:val="24"/>
        </w:rPr>
        <w:t xml:space="preserve"> strukturālo mērķu izvēle </w:t>
      </w:r>
    </w:p>
    <w:p w:rsidR="00143321" w:rsidRDefault="00143321" w:rsidP="001968FB">
      <w:pPr>
        <w:spacing w:after="0" w:line="240" w:lineRule="auto"/>
        <w:ind w:firstLine="720"/>
        <w:jc w:val="both"/>
        <w:rPr>
          <w:rFonts w:ascii="Times New Roman" w:eastAsia="Calibri" w:hAnsi="Times New Roman" w:cs="Times New Roman"/>
          <w:color w:val="000000"/>
          <w:sz w:val="24"/>
          <w:szCs w:val="24"/>
        </w:rPr>
      </w:pPr>
      <w:r w:rsidRPr="00AD05D3">
        <w:rPr>
          <w:rFonts w:ascii="Times New Roman" w:eastAsia="Calibri" w:hAnsi="Times New Roman" w:cs="Times New Roman"/>
          <w:color w:val="000000"/>
          <w:sz w:val="24"/>
          <w:szCs w:val="24"/>
        </w:rPr>
        <w:t>Kad pēc abām bilances nosacījuma metodēm ir noteikti vispārējās valdības budžeta strukturālās bilances mērķi un aprēķināta vispārējās valdības budžeta nominālā bilance, iegūtie rezultāti nominālā izteiksmē tiek salīdzināti un tiek izvēlēta lielākā vispārējās valdības budžeta nominālās bilances vērtība, ar mērķi nodrošināt fiskālo nosacījumu atbilstību gan pēc nacionālās metodoloģijas, gan saskaņā ar SIP izpratni.</w:t>
      </w:r>
    </w:p>
    <w:p w:rsidR="00143321" w:rsidRPr="00AD05D3" w:rsidRDefault="00143321" w:rsidP="00C77649">
      <w:pPr>
        <w:spacing w:after="0" w:line="240" w:lineRule="auto"/>
        <w:jc w:val="right"/>
        <w:rPr>
          <w:rFonts w:ascii="Times New Roman" w:eastAsia="Calibri" w:hAnsi="Times New Roman" w:cs="Times New Roman"/>
          <w:b/>
          <w:color w:val="000000"/>
          <w:sz w:val="24"/>
          <w:szCs w:val="24"/>
        </w:rPr>
      </w:pPr>
      <w:r w:rsidRPr="00AD05D3">
        <w:rPr>
          <w:rFonts w:ascii="Times New Roman" w:eastAsia="Calibri" w:hAnsi="Times New Roman" w:cs="Times New Roman"/>
          <w:b/>
          <w:color w:val="000000"/>
          <w:sz w:val="24"/>
          <w:szCs w:val="24"/>
        </w:rPr>
        <w:lastRenderedPageBreak/>
        <w:t>3.3.tabula. Strukturālā mērķa izvēle</w:t>
      </w:r>
    </w:p>
    <w:tbl>
      <w:tblPr>
        <w:tblStyle w:val="GridTable6Colorful-Accent11"/>
        <w:tblW w:w="8777" w:type="dxa"/>
        <w:jc w:val="center"/>
        <w:tblLook w:val="04A0" w:firstRow="1" w:lastRow="0" w:firstColumn="1" w:lastColumn="0" w:noHBand="0" w:noVBand="1"/>
      </w:tblPr>
      <w:tblGrid>
        <w:gridCol w:w="1271"/>
        <w:gridCol w:w="4626"/>
        <w:gridCol w:w="960"/>
        <w:gridCol w:w="960"/>
        <w:gridCol w:w="960"/>
      </w:tblGrid>
      <w:tr w:rsidR="00143321" w:rsidRPr="00AD05D3" w:rsidTr="00C7764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tcPr>
          <w:p w:rsidR="00143321" w:rsidRPr="00C77649" w:rsidRDefault="00143321" w:rsidP="00924BAD">
            <w:pPr>
              <w:rPr>
                <w:rFonts w:ascii="Times New Roman" w:eastAsia="Times New Roman" w:hAnsi="Times New Roman" w:cs="Times New Roman"/>
                <w:sz w:val="18"/>
                <w:szCs w:val="18"/>
                <w:lang w:eastAsia="lv-LV"/>
              </w:rPr>
            </w:pPr>
          </w:p>
        </w:tc>
        <w:tc>
          <w:tcPr>
            <w:tcW w:w="4626" w:type="dxa"/>
            <w:noWrap/>
            <w:hideMark/>
          </w:tcPr>
          <w:p w:rsidR="00143321" w:rsidRPr="00AD05D3" w:rsidRDefault="00143321" w:rsidP="00924B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 </w:t>
            </w:r>
          </w:p>
        </w:tc>
        <w:tc>
          <w:tcPr>
            <w:tcW w:w="960" w:type="dxa"/>
            <w:noWrap/>
            <w:vAlign w:val="center"/>
            <w:hideMark/>
          </w:tcPr>
          <w:p w:rsidR="00143321" w:rsidRPr="00AD05D3"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2019</w:t>
            </w:r>
          </w:p>
        </w:tc>
        <w:tc>
          <w:tcPr>
            <w:tcW w:w="960" w:type="dxa"/>
            <w:noWrap/>
            <w:vAlign w:val="center"/>
            <w:hideMark/>
          </w:tcPr>
          <w:p w:rsidR="00143321" w:rsidRPr="00AD05D3"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2020</w:t>
            </w:r>
          </w:p>
        </w:tc>
        <w:tc>
          <w:tcPr>
            <w:tcW w:w="960" w:type="dxa"/>
            <w:noWrap/>
            <w:vAlign w:val="center"/>
            <w:hideMark/>
          </w:tcPr>
          <w:p w:rsidR="00143321" w:rsidRPr="00AD05D3" w:rsidRDefault="00143321" w:rsidP="001968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2021</w:t>
            </w:r>
          </w:p>
        </w:tc>
      </w:tr>
      <w:tr w:rsidR="00143321" w:rsidRPr="00AD05D3" w:rsidTr="00C7764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1" w:type="dxa"/>
          </w:tcPr>
          <w:p w:rsidR="00143321" w:rsidRPr="00C77649" w:rsidRDefault="00143321" w:rsidP="00C77649">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(1)</w:t>
            </w:r>
          </w:p>
        </w:tc>
        <w:tc>
          <w:tcPr>
            <w:tcW w:w="4626" w:type="dxa"/>
            <w:noWrap/>
            <w:hideMark/>
          </w:tcPr>
          <w:p w:rsidR="00143321" w:rsidRPr="00AD05D3" w:rsidRDefault="00143321" w:rsidP="00924B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color w:val="auto"/>
                <w:sz w:val="20"/>
                <w:szCs w:val="20"/>
                <w:lang w:eastAsia="lv-LV"/>
              </w:rPr>
              <w:t>Nominālā bilance (saskaņā ar SIP izpratni)</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-1,0%</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-0,5%</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-0,5%</w:t>
            </w:r>
          </w:p>
        </w:tc>
      </w:tr>
      <w:tr w:rsidR="00143321" w:rsidRPr="00AD05D3" w:rsidTr="00C77649">
        <w:trPr>
          <w:trHeight w:val="340"/>
          <w:jc w:val="center"/>
        </w:trPr>
        <w:tc>
          <w:tcPr>
            <w:cnfStyle w:val="001000000000" w:firstRow="0" w:lastRow="0" w:firstColumn="1" w:lastColumn="0" w:oddVBand="0" w:evenVBand="0" w:oddHBand="0" w:evenHBand="0" w:firstRowFirstColumn="0" w:firstRowLastColumn="0" w:lastRowFirstColumn="0" w:lastRowLastColumn="0"/>
            <w:tcW w:w="1271" w:type="dxa"/>
          </w:tcPr>
          <w:p w:rsidR="00143321" w:rsidRPr="00C77649" w:rsidRDefault="00143321" w:rsidP="00C77649">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(2)</w:t>
            </w:r>
          </w:p>
        </w:tc>
        <w:tc>
          <w:tcPr>
            <w:tcW w:w="4626" w:type="dxa"/>
            <w:noWrap/>
            <w:hideMark/>
          </w:tcPr>
          <w:p w:rsidR="00143321" w:rsidRPr="00AD05D3" w:rsidRDefault="00143321" w:rsidP="00924B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color w:val="auto"/>
                <w:sz w:val="20"/>
                <w:szCs w:val="20"/>
                <w:lang w:eastAsia="lv-LV"/>
              </w:rPr>
              <w:t>Nominālā bilance (saskaņā ar nacionālo metodoloģiju)</w:t>
            </w:r>
          </w:p>
        </w:tc>
        <w:tc>
          <w:tcPr>
            <w:tcW w:w="960" w:type="dxa"/>
            <w:noWrap/>
            <w:vAlign w:val="center"/>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-1,1%</w:t>
            </w:r>
          </w:p>
        </w:tc>
        <w:tc>
          <w:tcPr>
            <w:tcW w:w="960" w:type="dxa"/>
            <w:noWrap/>
            <w:vAlign w:val="center"/>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-0,5%</w:t>
            </w:r>
          </w:p>
        </w:tc>
        <w:tc>
          <w:tcPr>
            <w:tcW w:w="960" w:type="dxa"/>
            <w:noWrap/>
            <w:vAlign w:val="center"/>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-0,4%</w:t>
            </w:r>
          </w:p>
        </w:tc>
      </w:tr>
      <w:tr w:rsidR="00143321" w:rsidRPr="00AD05D3" w:rsidTr="00C7764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1" w:type="dxa"/>
          </w:tcPr>
          <w:p w:rsidR="00143321" w:rsidRPr="00C77649" w:rsidRDefault="00143321" w:rsidP="00C77649">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(3) = MAX (1;2)</w:t>
            </w:r>
          </w:p>
        </w:tc>
        <w:tc>
          <w:tcPr>
            <w:tcW w:w="4626" w:type="dxa"/>
            <w:noWrap/>
            <w:hideMark/>
          </w:tcPr>
          <w:p w:rsidR="00143321" w:rsidRPr="00AD05D3" w:rsidRDefault="00143321" w:rsidP="00924B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color w:val="auto"/>
                <w:sz w:val="20"/>
                <w:szCs w:val="20"/>
                <w:lang w:eastAsia="lv-LV"/>
              </w:rPr>
              <w:t xml:space="preserve">Lielākā nominālās bilances vērtība </w:t>
            </w:r>
            <w:r w:rsidR="00C77649">
              <w:rPr>
                <w:rFonts w:ascii="Times New Roman" w:eastAsia="Times New Roman" w:hAnsi="Times New Roman" w:cs="Times New Roman"/>
                <w:color w:val="auto"/>
                <w:sz w:val="20"/>
                <w:szCs w:val="20"/>
                <w:lang w:eastAsia="lv-LV"/>
              </w:rPr>
              <w:t>(</w:t>
            </w:r>
            <w:r w:rsidRPr="00AD05D3">
              <w:rPr>
                <w:rFonts w:ascii="Times New Roman" w:eastAsia="Times New Roman" w:hAnsi="Times New Roman" w:cs="Times New Roman"/>
                <w:color w:val="auto"/>
                <w:sz w:val="20"/>
                <w:szCs w:val="20"/>
                <w:lang w:eastAsia="lv-LV"/>
              </w:rPr>
              <w:t>MAX(1;2)</w:t>
            </w:r>
            <w:r w:rsidR="00C77649">
              <w:rPr>
                <w:rFonts w:ascii="Times New Roman" w:eastAsia="Times New Roman" w:hAnsi="Times New Roman" w:cs="Times New Roman"/>
                <w:color w:val="auto"/>
                <w:sz w:val="20"/>
                <w:szCs w:val="20"/>
                <w:lang w:eastAsia="lv-LV"/>
              </w:rPr>
              <w:t>)</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-1,0%</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-0,5%</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-0,4%</w:t>
            </w:r>
          </w:p>
        </w:tc>
      </w:tr>
      <w:tr w:rsidR="00143321" w:rsidRPr="00AD05D3" w:rsidTr="00C77649">
        <w:trPr>
          <w:trHeight w:val="340"/>
          <w:jc w:val="center"/>
        </w:trPr>
        <w:tc>
          <w:tcPr>
            <w:cnfStyle w:val="001000000000" w:firstRow="0" w:lastRow="0" w:firstColumn="1" w:lastColumn="0" w:oddVBand="0" w:evenVBand="0" w:oddHBand="0" w:evenHBand="0" w:firstRowFirstColumn="0" w:firstRowLastColumn="0" w:lastRowFirstColumn="0" w:lastRowLastColumn="0"/>
            <w:tcW w:w="1271" w:type="dxa"/>
          </w:tcPr>
          <w:p w:rsidR="00143321" w:rsidRPr="00C77649" w:rsidRDefault="00143321" w:rsidP="00C77649">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(4)</w:t>
            </w:r>
          </w:p>
        </w:tc>
        <w:tc>
          <w:tcPr>
            <w:tcW w:w="4626" w:type="dxa"/>
            <w:noWrap/>
            <w:hideMark/>
          </w:tcPr>
          <w:p w:rsidR="00143321" w:rsidRPr="00AD05D3" w:rsidRDefault="00143321" w:rsidP="00924B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color w:val="auto"/>
                <w:sz w:val="20"/>
                <w:szCs w:val="20"/>
                <w:lang w:eastAsia="lv-LV"/>
              </w:rPr>
              <w:t>Cikliskā komponente (nacionālā metodoloģija)</w:t>
            </w:r>
          </w:p>
        </w:tc>
        <w:tc>
          <w:tcPr>
            <w:tcW w:w="960" w:type="dxa"/>
            <w:noWrap/>
            <w:vAlign w:val="center"/>
            <w:hideMark/>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0,4%</w:t>
            </w:r>
          </w:p>
        </w:tc>
        <w:tc>
          <w:tcPr>
            <w:tcW w:w="960" w:type="dxa"/>
            <w:noWrap/>
            <w:vAlign w:val="center"/>
            <w:hideMark/>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0,3%</w:t>
            </w:r>
          </w:p>
        </w:tc>
        <w:tc>
          <w:tcPr>
            <w:tcW w:w="960" w:type="dxa"/>
            <w:noWrap/>
            <w:vAlign w:val="center"/>
            <w:hideMark/>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0,1%</w:t>
            </w:r>
          </w:p>
        </w:tc>
      </w:tr>
      <w:tr w:rsidR="00143321" w:rsidRPr="00AD05D3" w:rsidTr="00C7764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1" w:type="dxa"/>
          </w:tcPr>
          <w:p w:rsidR="00143321" w:rsidRPr="00C77649" w:rsidRDefault="00143321" w:rsidP="00C77649">
            <w:pPr>
              <w:ind w:left="-113" w:right="-111"/>
              <w:jc w:val="center"/>
              <w:rPr>
                <w:rFonts w:ascii="Times New Roman" w:eastAsia="Times New Roman" w:hAnsi="Times New Roman" w:cs="Times New Roman"/>
                <w:b w:val="0"/>
                <w:color w:val="auto"/>
                <w:sz w:val="18"/>
                <w:szCs w:val="18"/>
                <w:lang w:eastAsia="lv-LV"/>
              </w:rPr>
            </w:pPr>
            <w:r w:rsidRPr="00C77649">
              <w:rPr>
                <w:rFonts w:ascii="Times New Roman" w:eastAsia="Times New Roman" w:hAnsi="Times New Roman" w:cs="Times New Roman"/>
                <w:b w:val="0"/>
                <w:color w:val="auto"/>
                <w:sz w:val="18"/>
                <w:szCs w:val="18"/>
                <w:lang w:eastAsia="lv-LV"/>
              </w:rPr>
              <w:t>(5)</w:t>
            </w:r>
          </w:p>
        </w:tc>
        <w:tc>
          <w:tcPr>
            <w:tcW w:w="4626" w:type="dxa"/>
            <w:noWrap/>
          </w:tcPr>
          <w:p w:rsidR="00143321" w:rsidRPr="00AD05D3" w:rsidRDefault="00143321" w:rsidP="00924BA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AD05D3">
              <w:rPr>
                <w:rFonts w:ascii="Times New Roman" w:eastAsia="Times New Roman" w:hAnsi="Times New Roman" w:cs="Times New Roman"/>
                <w:color w:val="auto"/>
                <w:sz w:val="20"/>
                <w:szCs w:val="20"/>
                <w:lang w:eastAsia="lv-LV"/>
              </w:rPr>
              <w:t>Vienreizējie pasākumi</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-0,5%</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D05D3">
              <w:rPr>
                <w:rFonts w:ascii="Times New Roman" w:eastAsia="Times New Roman" w:hAnsi="Times New Roman" w:cs="Times New Roman"/>
                <w:color w:val="auto"/>
                <w:sz w:val="20"/>
                <w:szCs w:val="20"/>
                <w:lang w:eastAsia="lv-LV"/>
              </w:rPr>
              <w:t>-0,3%</w:t>
            </w:r>
          </w:p>
        </w:tc>
        <w:tc>
          <w:tcPr>
            <w:tcW w:w="960" w:type="dxa"/>
            <w:noWrap/>
            <w:vAlign w:val="center"/>
          </w:tcPr>
          <w:p w:rsidR="00143321" w:rsidRPr="00AD05D3" w:rsidRDefault="00143321" w:rsidP="001968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p>
        </w:tc>
      </w:tr>
      <w:tr w:rsidR="00143321" w:rsidRPr="00AD05D3" w:rsidTr="00C77649">
        <w:trPr>
          <w:trHeight w:val="340"/>
          <w:jc w:val="center"/>
        </w:trPr>
        <w:tc>
          <w:tcPr>
            <w:cnfStyle w:val="001000000000" w:firstRow="0" w:lastRow="0" w:firstColumn="1" w:lastColumn="0" w:oddVBand="0" w:evenVBand="0" w:oddHBand="0" w:evenHBand="0" w:firstRowFirstColumn="0" w:firstRowLastColumn="0" w:lastRowFirstColumn="0" w:lastRowLastColumn="0"/>
            <w:tcW w:w="1271" w:type="dxa"/>
          </w:tcPr>
          <w:p w:rsidR="00143321" w:rsidRPr="00C77649" w:rsidRDefault="00143321" w:rsidP="00C77649">
            <w:pPr>
              <w:ind w:left="-113" w:right="-111"/>
              <w:jc w:val="center"/>
              <w:rPr>
                <w:rFonts w:ascii="Times New Roman" w:eastAsia="Times New Roman" w:hAnsi="Times New Roman" w:cs="Times New Roman"/>
                <w:color w:val="auto"/>
                <w:sz w:val="18"/>
                <w:szCs w:val="18"/>
                <w:lang w:eastAsia="lv-LV"/>
              </w:rPr>
            </w:pPr>
            <w:r w:rsidRPr="00C77649">
              <w:rPr>
                <w:rFonts w:ascii="Times New Roman" w:eastAsia="Times New Roman" w:hAnsi="Times New Roman" w:cs="Times New Roman"/>
                <w:color w:val="auto"/>
                <w:sz w:val="18"/>
                <w:szCs w:val="18"/>
                <w:lang w:eastAsia="lv-LV"/>
              </w:rPr>
              <w:t>(</w:t>
            </w:r>
            <w:r w:rsidRPr="00C77649">
              <w:rPr>
                <w:rFonts w:ascii="Times New Roman" w:eastAsia="Times New Roman" w:hAnsi="Times New Roman" w:cs="Times New Roman"/>
                <w:b w:val="0"/>
                <w:color w:val="auto"/>
                <w:sz w:val="18"/>
                <w:szCs w:val="18"/>
                <w:lang w:eastAsia="lv-LV"/>
              </w:rPr>
              <w:t>6)=(3)-(4)-(5)</w:t>
            </w:r>
          </w:p>
        </w:tc>
        <w:tc>
          <w:tcPr>
            <w:tcW w:w="4626" w:type="dxa"/>
            <w:noWrap/>
            <w:hideMark/>
          </w:tcPr>
          <w:p w:rsidR="00143321" w:rsidRPr="00AD05D3" w:rsidRDefault="00143321" w:rsidP="00924BA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b/>
                <w:color w:val="auto"/>
                <w:sz w:val="20"/>
                <w:szCs w:val="20"/>
                <w:lang w:eastAsia="lv-LV"/>
              </w:rPr>
              <w:t>Strukturālās bilances mērķis</w:t>
            </w:r>
          </w:p>
        </w:tc>
        <w:tc>
          <w:tcPr>
            <w:tcW w:w="960" w:type="dxa"/>
            <w:noWrap/>
            <w:vAlign w:val="center"/>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b/>
                <w:color w:val="auto"/>
                <w:sz w:val="20"/>
                <w:szCs w:val="20"/>
                <w:lang w:eastAsia="lv-LV"/>
              </w:rPr>
              <w:t>-0,8%</w:t>
            </w:r>
          </w:p>
        </w:tc>
        <w:tc>
          <w:tcPr>
            <w:tcW w:w="960" w:type="dxa"/>
            <w:noWrap/>
            <w:vAlign w:val="center"/>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b/>
                <w:color w:val="auto"/>
                <w:sz w:val="20"/>
                <w:szCs w:val="20"/>
                <w:lang w:eastAsia="lv-LV"/>
              </w:rPr>
              <w:t>-0,4%</w:t>
            </w:r>
          </w:p>
        </w:tc>
        <w:tc>
          <w:tcPr>
            <w:tcW w:w="960" w:type="dxa"/>
            <w:noWrap/>
            <w:vAlign w:val="center"/>
          </w:tcPr>
          <w:p w:rsidR="00143321" w:rsidRPr="00AD05D3" w:rsidRDefault="00143321" w:rsidP="001968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D05D3">
              <w:rPr>
                <w:rFonts w:ascii="Times New Roman" w:eastAsia="Times New Roman" w:hAnsi="Times New Roman" w:cs="Times New Roman"/>
                <w:b/>
                <w:color w:val="auto"/>
                <w:sz w:val="20"/>
                <w:szCs w:val="20"/>
                <w:lang w:eastAsia="lv-LV"/>
              </w:rPr>
              <w:t>-0,5%</w:t>
            </w:r>
          </w:p>
        </w:tc>
      </w:tr>
    </w:tbl>
    <w:p w:rsidR="001968FB" w:rsidRDefault="001968FB" w:rsidP="001968FB">
      <w:pPr>
        <w:spacing w:after="0" w:line="240" w:lineRule="auto"/>
        <w:ind w:firstLine="720"/>
        <w:jc w:val="both"/>
        <w:rPr>
          <w:rFonts w:ascii="Times New Roman" w:eastAsia="Calibri" w:hAnsi="Times New Roman" w:cs="Times New Roman"/>
          <w:color w:val="000000"/>
          <w:sz w:val="24"/>
          <w:szCs w:val="24"/>
        </w:rPr>
      </w:pPr>
    </w:p>
    <w:p w:rsidR="00143321" w:rsidRDefault="00143321" w:rsidP="00C77649">
      <w:pPr>
        <w:spacing w:after="0" w:line="240" w:lineRule="auto"/>
        <w:ind w:firstLine="720"/>
        <w:jc w:val="both"/>
        <w:rPr>
          <w:rFonts w:ascii="Times New Roman" w:eastAsia="Calibri" w:hAnsi="Times New Roman" w:cs="Times New Roman"/>
          <w:b/>
          <w:color w:val="000000"/>
          <w:sz w:val="24"/>
          <w:szCs w:val="24"/>
        </w:rPr>
      </w:pPr>
      <w:r w:rsidRPr="00AD05D3">
        <w:rPr>
          <w:rFonts w:ascii="Times New Roman" w:eastAsia="Calibri" w:hAnsi="Times New Roman" w:cs="Times New Roman"/>
          <w:color w:val="000000"/>
          <w:sz w:val="24"/>
          <w:szCs w:val="24"/>
        </w:rPr>
        <w:t xml:space="preserve">Pēc tam kad ir noteikta lielākā vispārējās valdības budžeta nominālās bilances vērtība, tiek veikta pāreja uz bilanci strukturālā izteiksmē (izmantojot ciklisko komponenti un definētos vienreizējos pasākumus atbilstoši FM aprēķiniem). Attiecīgi tiek iegūti vispārējās valdības budžeta strukturālās bilances mērķi, kas </w:t>
      </w:r>
      <w:r w:rsidRPr="00AD05D3">
        <w:rPr>
          <w:rFonts w:ascii="Times New Roman" w:eastAsia="Calibri" w:hAnsi="Times New Roman" w:cs="Times New Roman"/>
          <w:b/>
          <w:color w:val="000000"/>
          <w:sz w:val="24"/>
          <w:szCs w:val="24"/>
        </w:rPr>
        <w:t>2019.gadā ir -0,8% no IKP, 2020.gadā -0,4% no IKP un 2021.gadā -0,5% no IKP.</w:t>
      </w:r>
    </w:p>
    <w:p w:rsidR="00C77649" w:rsidRDefault="00C77649" w:rsidP="00C77649">
      <w:pPr>
        <w:spacing w:after="0" w:line="240" w:lineRule="auto"/>
        <w:ind w:firstLine="720"/>
        <w:jc w:val="both"/>
        <w:rPr>
          <w:rFonts w:ascii="Times New Roman" w:eastAsia="Calibri" w:hAnsi="Times New Roman" w:cs="Times New Roman"/>
          <w:b/>
          <w:color w:val="000000"/>
          <w:sz w:val="24"/>
          <w:szCs w:val="24"/>
        </w:rPr>
      </w:pPr>
    </w:p>
    <w:p w:rsidR="00143321" w:rsidRPr="007F1848" w:rsidRDefault="00143321" w:rsidP="00C77649">
      <w:pPr>
        <w:spacing w:after="120" w:line="240" w:lineRule="auto"/>
        <w:ind w:left="720"/>
        <w:jc w:val="both"/>
        <w:rPr>
          <w:rFonts w:ascii="Times New Roman" w:eastAsia="Calibri" w:hAnsi="Times New Roman" w:cs="Times New Roman"/>
          <w:b/>
          <w:color w:val="000000"/>
          <w:sz w:val="24"/>
          <w:szCs w:val="24"/>
        </w:rPr>
      </w:pPr>
      <w:r w:rsidRPr="007F1848">
        <w:rPr>
          <w:rFonts w:ascii="Times New Roman" w:eastAsia="Calibri" w:hAnsi="Times New Roman" w:cs="Times New Roman"/>
          <w:b/>
          <w:color w:val="000000"/>
          <w:sz w:val="24"/>
          <w:szCs w:val="24"/>
        </w:rPr>
        <w:t>Bilances mērķi – tālāka pārbaude atbilstoši izdevumu pieauguma</w:t>
      </w:r>
      <w:r w:rsidRPr="007F1848">
        <w:rPr>
          <w:rFonts w:ascii="Times New Roman" w:eastAsia="Calibri" w:hAnsi="Times New Roman" w:cs="Times New Roman"/>
          <w:color w:val="000000"/>
          <w:sz w:val="24"/>
          <w:szCs w:val="24"/>
        </w:rPr>
        <w:t xml:space="preserve"> </w:t>
      </w:r>
      <w:r w:rsidRPr="007F1848">
        <w:rPr>
          <w:rFonts w:ascii="Times New Roman" w:eastAsia="Calibri" w:hAnsi="Times New Roman" w:cs="Times New Roman"/>
          <w:b/>
          <w:color w:val="000000"/>
          <w:sz w:val="24"/>
          <w:szCs w:val="24"/>
        </w:rPr>
        <w:t xml:space="preserve">nosacījumam </w:t>
      </w:r>
      <w:r w:rsidRPr="006F7522">
        <w:rPr>
          <w:rFonts w:ascii="Times New Roman" w:eastAsia="Calibri" w:hAnsi="Times New Roman" w:cs="Times New Roman"/>
          <w:b/>
          <w:color w:val="000000"/>
          <w:sz w:val="24"/>
          <w:szCs w:val="24"/>
        </w:rPr>
        <w:t>un</w:t>
      </w:r>
      <w:r w:rsidRPr="007F1848">
        <w:rPr>
          <w:rFonts w:ascii="Times New Roman" w:eastAsia="Calibri" w:hAnsi="Times New Roman" w:cs="Times New Roman"/>
          <w:b/>
          <w:color w:val="000000"/>
          <w:sz w:val="24"/>
          <w:szCs w:val="24"/>
        </w:rPr>
        <w:t xml:space="preserve"> izdevumu pārmantojamības nosacījumam</w:t>
      </w:r>
    </w:p>
    <w:p w:rsidR="00143321" w:rsidRPr="007F1848" w:rsidRDefault="00143321" w:rsidP="001968FB">
      <w:pPr>
        <w:spacing w:after="0" w:line="240" w:lineRule="auto"/>
        <w:ind w:firstLine="720"/>
        <w:jc w:val="both"/>
        <w:rPr>
          <w:rFonts w:ascii="Times New Roman" w:eastAsia="Calibri" w:hAnsi="Times New Roman" w:cs="Times New Roman"/>
          <w:color w:val="000000"/>
          <w:sz w:val="24"/>
          <w:szCs w:val="24"/>
        </w:rPr>
      </w:pPr>
      <w:r w:rsidRPr="007F1848">
        <w:rPr>
          <w:rFonts w:ascii="Times New Roman" w:eastAsia="Calibri" w:hAnsi="Times New Roman" w:cs="Times New Roman"/>
          <w:color w:val="000000"/>
          <w:sz w:val="24"/>
          <w:szCs w:val="24"/>
        </w:rPr>
        <w:t xml:space="preserve">Tālāk iegūtie rezultāti tiek testēti, lai nodrošinātu arī </w:t>
      </w:r>
      <w:r w:rsidRPr="007F1848">
        <w:rPr>
          <w:rFonts w:ascii="Times New Roman" w:eastAsia="Calibri" w:hAnsi="Times New Roman" w:cs="Times New Roman"/>
          <w:b/>
          <w:color w:val="000000"/>
          <w:sz w:val="24"/>
          <w:szCs w:val="24"/>
        </w:rPr>
        <w:t>izdevumu pieauguma</w:t>
      </w:r>
      <w:r w:rsidRPr="007F1848">
        <w:rPr>
          <w:rFonts w:ascii="Times New Roman" w:eastAsia="Calibri" w:hAnsi="Times New Roman" w:cs="Times New Roman"/>
          <w:color w:val="000000"/>
          <w:sz w:val="24"/>
          <w:szCs w:val="24"/>
        </w:rPr>
        <w:t xml:space="preserve"> </w:t>
      </w:r>
      <w:r w:rsidRPr="007F1848">
        <w:rPr>
          <w:rFonts w:ascii="Times New Roman" w:eastAsia="Calibri" w:hAnsi="Times New Roman" w:cs="Times New Roman"/>
          <w:b/>
          <w:color w:val="000000"/>
          <w:sz w:val="24"/>
          <w:szCs w:val="24"/>
        </w:rPr>
        <w:t xml:space="preserve">nosacījuma </w:t>
      </w:r>
      <w:r w:rsidRPr="007F1848">
        <w:rPr>
          <w:rFonts w:ascii="Times New Roman" w:eastAsia="Calibri" w:hAnsi="Times New Roman" w:cs="Times New Roman"/>
          <w:color w:val="000000"/>
          <w:sz w:val="24"/>
          <w:szCs w:val="24"/>
        </w:rPr>
        <w:t>un</w:t>
      </w:r>
      <w:r w:rsidRPr="007F1848">
        <w:rPr>
          <w:rFonts w:ascii="Times New Roman" w:eastAsia="Calibri" w:hAnsi="Times New Roman" w:cs="Times New Roman"/>
          <w:b/>
          <w:color w:val="000000"/>
          <w:sz w:val="24"/>
          <w:szCs w:val="24"/>
        </w:rPr>
        <w:t xml:space="preserve"> izdevumu pārmantojamības nosacījumu </w:t>
      </w:r>
      <w:r w:rsidRPr="007F1848">
        <w:rPr>
          <w:rFonts w:ascii="Times New Roman" w:eastAsia="Calibri" w:hAnsi="Times New Roman" w:cs="Times New Roman"/>
          <w:color w:val="000000"/>
          <w:sz w:val="24"/>
          <w:szCs w:val="24"/>
        </w:rPr>
        <w:t xml:space="preserve">izpildi. </w:t>
      </w:r>
    </w:p>
    <w:p w:rsidR="00143321" w:rsidRPr="007F1848" w:rsidRDefault="00143321" w:rsidP="00143321">
      <w:pPr>
        <w:spacing w:after="0" w:line="240" w:lineRule="auto"/>
        <w:ind w:firstLine="720"/>
        <w:jc w:val="both"/>
        <w:rPr>
          <w:rFonts w:ascii="Times New Roman" w:eastAsia="Calibri" w:hAnsi="Times New Roman" w:cs="Times New Roman"/>
          <w:color w:val="000000"/>
          <w:sz w:val="24"/>
          <w:szCs w:val="24"/>
        </w:rPr>
      </w:pPr>
      <w:r w:rsidRPr="007F1848">
        <w:rPr>
          <w:rFonts w:ascii="Times New Roman" w:eastAsia="Calibri" w:hAnsi="Times New Roman" w:cs="Times New Roman"/>
          <w:color w:val="000000"/>
          <w:sz w:val="24"/>
          <w:szCs w:val="24"/>
        </w:rPr>
        <w:t xml:space="preserve">Jāatzīmē, ka veicot vispārējās valdības budžeta strukturālās bilances mērķu pārbaudi atbilstoši </w:t>
      </w:r>
      <w:r w:rsidRPr="007F1848">
        <w:rPr>
          <w:rFonts w:ascii="Times New Roman" w:eastAsia="Calibri" w:hAnsi="Times New Roman" w:cs="Times New Roman"/>
          <w:b/>
          <w:color w:val="000000"/>
          <w:sz w:val="24"/>
          <w:szCs w:val="24"/>
        </w:rPr>
        <w:t>izdevumu</w:t>
      </w:r>
      <w:r w:rsidRPr="007F1848">
        <w:rPr>
          <w:rFonts w:ascii="Times New Roman" w:eastAsia="Calibri" w:hAnsi="Times New Roman" w:cs="Times New Roman"/>
          <w:color w:val="000000"/>
          <w:sz w:val="24"/>
          <w:szCs w:val="24"/>
        </w:rPr>
        <w:t xml:space="preserve"> </w:t>
      </w:r>
      <w:r w:rsidRPr="007F1848">
        <w:rPr>
          <w:rFonts w:ascii="Times New Roman" w:eastAsia="Calibri" w:hAnsi="Times New Roman" w:cs="Times New Roman"/>
          <w:b/>
          <w:color w:val="000000"/>
          <w:sz w:val="24"/>
          <w:szCs w:val="24"/>
        </w:rPr>
        <w:t>pieauguma nosacījumam</w:t>
      </w:r>
      <w:r w:rsidRPr="007F1848">
        <w:rPr>
          <w:rFonts w:ascii="Times New Roman" w:eastAsia="Calibri" w:hAnsi="Times New Roman" w:cs="Times New Roman"/>
          <w:color w:val="000000"/>
          <w:sz w:val="24"/>
          <w:szCs w:val="24"/>
        </w:rPr>
        <w:t xml:space="preserve">, nominālo izdevumu korekcijām tiek piemērotas FM veiktās prognozes attiecībā uz valsts parāda apkalpošanas izdevumiem, investīciju izdevumiem, izdevumiem ārvalstu finanšu palīdzības projektiem, kas atbilst saņemtajiem ārvalstu finanšu palīdzības ieņēmumiem, diskrecionārajiem ieņēmumiem, kā arī IKP deflatoru. Savukārt pieļaujamais izdevumu palielinājums tiek aprēķināts pielietojot kombinētu pieeju, proti, sākotnējais pieļaujamais izdevumu palielinājums, kas atbilst 10 gadu vidējā potenciālā IKP pieaugumam atbilstoši FM prognozēm, </w:t>
      </w:r>
      <w:r w:rsidRPr="00062B19">
        <w:rPr>
          <w:rFonts w:ascii="Times New Roman" w:eastAsia="Calibri" w:hAnsi="Times New Roman" w:cs="Times New Roman"/>
          <w:color w:val="000000"/>
          <w:sz w:val="24"/>
          <w:szCs w:val="24"/>
        </w:rPr>
        <w:t>pielietojot EK pieeju tiek papildus koriģēts ar iemaksu 2.pensiju līmenī palielinājumu, atkāpi no VTM sakarā ar īstenotajām reformām veselības nozarē. Šie apstākļi ir būtiski, lai izdevumu pieauguma nosacījums pareizi ņemtu vērā pieļaujamās atkāpes no VTM.</w:t>
      </w:r>
    </w:p>
    <w:p w:rsidR="00143321" w:rsidRDefault="00143321" w:rsidP="00143321">
      <w:pPr>
        <w:spacing w:after="0" w:line="240" w:lineRule="auto"/>
        <w:ind w:firstLine="720"/>
        <w:jc w:val="both"/>
        <w:rPr>
          <w:rFonts w:ascii="Times New Roman" w:eastAsia="Calibri" w:hAnsi="Times New Roman" w:cs="Times New Roman"/>
          <w:color w:val="000000"/>
          <w:sz w:val="24"/>
          <w:szCs w:val="24"/>
        </w:rPr>
      </w:pPr>
      <w:r w:rsidRPr="00635A70">
        <w:rPr>
          <w:rFonts w:ascii="Times New Roman" w:eastAsia="Calibri" w:hAnsi="Times New Roman" w:cs="Times New Roman"/>
          <w:color w:val="000000"/>
          <w:sz w:val="24"/>
          <w:szCs w:val="24"/>
        </w:rPr>
        <w:t>Veicot iegūto vispārējās valdības budžeta strukturālās bilances mērķu pārbaudi atbilstoši izdevumu pieauguma nosacījumam, iegūstam, ka 2019.gadā izdevumu pieaugums, ko pieļauj izdevumu pieauguma nosacījums ir 2,26%, savukārt pirmīt noteiktais vispārējās valdības budžeta strukturālās bilances mērķis nosaka, ka reālie koriģētie izdevumi drīkst palielināties par 0,53%. Veicot izdevumu pārmantojamības nosacījuma pārbaudi attiecīgajam gadam, tika konstatēts, ka izdevumu pārmantojamības nosacījums paredz vēl nedaudz stingrākus nosacījumus un attiecīgi pieļauj reālo koriģēto izdevumu pieaugumu 0,37% apmērā. Tādējādi ar bilances nosacījumu aprēķināto sākotnējo vispārējās valdības budžeta strukturālā bilances mērķi nepieciešams koriģēt stingrāku, proti, no -0,83% uz -0,78 % no IKP.</w:t>
      </w:r>
    </w:p>
    <w:p w:rsidR="00143321" w:rsidRDefault="00143321" w:rsidP="00143321">
      <w:pPr>
        <w:spacing w:after="0" w:line="240" w:lineRule="auto"/>
        <w:ind w:firstLine="720"/>
        <w:jc w:val="both"/>
        <w:rPr>
          <w:rFonts w:ascii="Times New Roman" w:eastAsia="Calibri" w:hAnsi="Times New Roman" w:cs="Times New Roman"/>
          <w:color w:val="000000"/>
          <w:sz w:val="24"/>
          <w:szCs w:val="24"/>
        </w:rPr>
      </w:pPr>
      <w:r w:rsidRPr="00635A70">
        <w:rPr>
          <w:rFonts w:ascii="Times New Roman" w:eastAsia="Calibri" w:hAnsi="Times New Roman" w:cs="Times New Roman"/>
          <w:color w:val="000000"/>
          <w:sz w:val="24"/>
          <w:szCs w:val="24"/>
        </w:rPr>
        <w:t>2020.gadā izdevumu pieaugums, ko pieļauj izdevumu pieauguma nosacījums ir 2,33%, savukārt reālais koriģēto izdevumu pieaugums, ko pieļauj sākotnēji noteiktais vispārējās valdības budžeta strukturālās bilances mērķis ir 2,47%. Līdz ar to ar bilances nosacījumu aprēķināto sākotnējo vispārējās valdības budžeta strukturālā bilances mērķi nepieciešams koriģēt stingrāku, proti, no -0,43% uz -0,38 % no IKP.</w:t>
      </w:r>
    </w:p>
    <w:p w:rsidR="00143321" w:rsidRPr="00635A70" w:rsidRDefault="00143321" w:rsidP="00143321">
      <w:pPr>
        <w:spacing w:after="0" w:line="240" w:lineRule="auto"/>
        <w:ind w:firstLine="720"/>
        <w:jc w:val="both"/>
        <w:rPr>
          <w:rFonts w:ascii="Times New Roman" w:eastAsia="Calibri" w:hAnsi="Times New Roman" w:cs="Times New Roman"/>
          <w:color w:val="000000"/>
          <w:sz w:val="24"/>
          <w:szCs w:val="24"/>
        </w:rPr>
      </w:pPr>
      <w:r w:rsidRPr="00635A70">
        <w:rPr>
          <w:rFonts w:ascii="Times New Roman" w:eastAsia="Calibri" w:hAnsi="Times New Roman" w:cs="Times New Roman"/>
          <w:color w:val="000000"/>
          <w:sz w:val="24"/>
          <w:szCs w:val="24"/>
        </w:rPr>
        <w:t xml:space="preserve">2021.gadā izdevumu pieaugums, ko pieļauj izdevumu pieauguma nosacījums ir 3,10%, savukārt reālais koriģēto izdevumu pieaugums atbilstoši sākotnēji noteiktajam </w:t>
      </w:r>
      <w:r w:rsidRPr="00635A70">
        <w:rPr>
          <w:rFonts w:ascii="Times New Roman" w:eastAsia="Calibri" w:hAnsi="Times New Roman" w:cs="Times New Roman"/>
          <w:color w:val="000000"/>
          <w:sz w:val="24"/>
          <w:szCs w:val="24"/>
        </w:rPr>
        <w:lastRenderedPageBreak/>
        <w:t xml:space="preserve">vispārējās valdības budžeta strukturālās bilances mērķim ir 0,42%. Līdz ar to 2021.gadā tiek saglabāts sākotnēji noteiktais vispārējās valdības budžeta strukturālās bilances mērķis -0,5% no IKP. </w:t>
      </w:r>
    </w:p>
    <w:p w:rsidR="00143321" w:rsidRPr="00612F17" w:rsidRDefault="00143321" w:rsidP="00143321">
      <w:pPr>
        <w:spacing w:after="0" w:line="240" w:lineRule="auto"/>
        <w:ind w:firstLine="720"/>
        <w:jc w:val="both"/>
        <w:rPr>
          <w:rFonts w:ascii="Times New Roman" w:eastAsia="Calibri" w:hAnsi="Times New Roman" w:cs="Times New Roman"/>
          <w:color w:val="000000"/>
          <w:sz w:val="24"/>
          <w:szCs w:val="24"/>
        </w:rPr>
      </w:pPr>
      <w:r w:rsidRPr="00635A70">
        <w:rPr>
          <w:rFonts w:ascii="Times New Roman" w:eastAsia="Calibri" w:hAnsi="Times New Roman" w:cs="Times New Roman"/>
          <w:color w:val="000000"/>
          <w:sz w:val="24"/>
          <w:szCs w:val="24"/>
        </w:rPr>
        <w:t>Līdz ar to ir noteikti kvantitatīvie fiskālie mērķi turpmākajiem trīs gadiem, t.i. nodrošināt vispārējās valdības budžeta strukturālo bilanci</w:t>
      </w:r>
      <w:r w:rsidRPr="00635A70">
        <w:rPr>
          <w:rFonts w:ascii="Garamond" w:eastAsia="Times New Roman" w:hAnsi="Garamond" w:cs="Times New Roman"/>
          <w:color w:val="000000"/>
          <w:sz w:val="24"/>
          <w:szCs w:val="24"/>
        </w:rPr>
        <w:t xml:space="preserve"> </w:t>
      </w:r>
      <w:r w:rsidRPr="00635A70">
        <w:rPr>
          <w:rFonts w:ascii="Times New Roman" w:eastAsia="Calibri" w:hAnsi="Times New Roman" w:cs="Times New Roman"/>
          <w:b/>
          <w:color w:val="000000"/>
          <w:sz w:val="24"/>
          <w:szCs w:val="24"/>
        </w:rPr>
        <w:t>2019.gadā ir -0,8% no IKP, 2020.gadā ir -0,4% no IKP un 2021.gadā ir -0,5% no IKP.</w:t>
      </w:r>
    </w:p>
    <w:p w:rsidR="0077183B" w:rsidRPr="00946603" w:rsidRDefault="0077183B" w:rsidP="00946603">
      <w:pPr>
        <w:spacing w:after="0" w:line="240" w:lineRule="auto"/>
        <w:jc w:val="both"/>
        <w:rPr>
          <w:rFonts w:ascii="Times New Roman" w:hAnsi="Times New Roman"/>
          <w:b/>
          <w:color w:val="000000"/>
          <w:sz w:val="24"/>
        </w:rPr>
      </w:pPr>
    </w:p>
    <w:p w:rsidR="0077183B" w:rsidRDefault="0077183B" w:rsidP="00C77649">
      <w:pPr>
        <w:pStyle w:val="Heading2"/>
        <w:numPr>
          <w:ilvl w:val="2"/>
          <w:numId w:val="1"/>
        </w:numPr>
        <w:spacing w:before="0" w:after="120" w:line="240" w:lineRule="auto"/>
        <w:ind w:left="708" w:hanging="11"/>
        <w:jc w:val="both"/>
        <w:rPr>
          <w:rFonts w:ascii="Times New Roman" w:eastAsia="Calibri" w:hAnsi="Times New Roman" w:cs="Times New Roman"/>
          <w:color w:val="000000"/>
          <w:sz w:val="24"/>
          <w:szCs w:val="24"/>
        </w:rPr>
      </w:pPr>
      <w:bookmarkStart w:id="24" w:name="_Toc510790660"/>
      <w:bookmarkStart w:id="25" w:name="_Toc511027820"/>
      <w:r w:rsidRPr="007425BA">
        <w:rPr>
          <w:rFonts w:ascii="Times New Roman" w:eastAsia="Calibri" w:hAnsi="Times New Roman" w:cs="Times New Roman"/>
          <w:color w:val="000000"/>
          <w:sz w:val="24"/>
          <w:szCs w:val="24"/>
        </w:rPr>
        <w:t>Vispārējie fiskālās politikas mērķi un prioritārie attīstības virzieni 201</w:t>
      </w:r>
      <w:r w:rsidR="00595C54">
        <w:rPr>
          <w:rFonts w:ascii="Times New Roman" w:eastAsia="Calibri" w:hAnsi="Times New Roman" w:cs="Times New Roman"/>
          <w:color w:val="000000"/>
          <w:sz w:val="24"/>
          <w:szCs w:val="24"/>
        </w:rPr>
        <w:t>8</w:t>
      </w:r>
      <w:r w:rsidR="008F38D4">
        <w:rPr>
          <w:rFonts w:ascii="Times New Roman" w:eastAsia="Calibri" w:hAnsi="Times New Roman" w:cs="Times New Roman"/>
          <w:color w:val="000000"/>
          <w:sz w:val="24"/>
          <w:szCs w:val="24"/>
        </w:rPr>
        <w:t>.</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003F0A9C" w:rsidRPr="007425BA">
        <w:rPr>
          <w:rFonts w:ascii="Times New Roman" w:eastAsia="Calibri" w:hAnsi="Times New Roman" w:cs="Times New Roman"/>
          <w:color w:val="000000"/>
          <w:sz w:val="24"/>
          <w:szCs w:val="24"/>
        </w:rPr>
        <w:t>20</w:t>
      </w:r>
      <w:r w:rsidR="003F0A9C">
        <w:rPr>
          <w:rFonts w:ascii="Times New Roman" w:eastAsia="Calibri" w:hAnsi="Times New Roman" w:cs="Times New Roman"/>
          <w:color w:val="000000"/>
          <w:sz w:val="24"/>
          <w:szCs w:val="24"/>
        </w:rPr>
        <w:t>21</w:t>
      </w:r>
      <w:r w:rsidR="008F38D4">
        <w:rPr>
          <w:rFonts w:ascii="Times New Roman" w:eastAsia="Calibri" w:hAnsi="Times New Roman" w:cs="Times New Roman"/>
          <w:color w:val="000000"/>
          <w:sz w:val="24"/>
          <w:szCs w:val="24"/>
        </w:rPr>
        <w:t>.</w:t>
      </w:r>
      <w:r w:rsidR="006A669A">
        <w:rPr>
          <w:rFonts w:ascii="Times New Roman" w:eastAsia="Calibri" w:hAnsi="Times New Roman" w:cs="Times New Roman"/>
          <w:color w:val="000000"/>
          <w:sz w:val="24"/>
          <w:szCs w:val="24"/>
        </w:rPr>
        <w:t xml:space="preserve"> </w:t>
      </w:r>
      <w:r w:rsidR="00531951">
        <w:rPr>
          <w:rFonts w:ascii="Times New Roman" w:eastAsia="Calibri" w:hAnsi="Times New Roman" w:cs="Times New Roman"/>
          <w:color w:val="000000"/>
          <w:sz w:val="24"/>
          <w:szCs w:val="24"/>
        </w:rPr>
        <w:t xml:space="preserve">periodam </w:t>
      </w:r>
      <w:r w:rsidRPr="007425BA">
        <w:rPr>
          <w:rFonts w:ascii="Times New Roman" w:eastAsia="Calibri" w:hAnsi="Times New Roman" w:cs="Times New Roman"/>
          <w:color w:val="000000"/>
          <w:sz w:val="24"/>
          <w:szCs w:val="24"/>
        </w:rPr>
        <w:t>- paveiktais pēc iepriekšējas Stabilitātes programmas</w:t>
      </w:r>
      <w:bookmarkEnd w:id="24"/>
      <w:bookmarkEnd w:id="25"/>
    </w:p>
    <w:p w:rsidR="000314D9" w:rsidRPr="006024D4" w:rsidRDefault="000314D9" w:rsidP="00C77649">
      <w:pPr>
        <w:spacing w:after="0" w:line="240" w:lineRule="auto"/>
        <w:ind w:firstLine="720"/>
        <w:jc w:val="both"/>
        <w:rPr>
          <w:rFonts w:ascii="Times New Roman" w:eastAsia="Calibri" w:hAnsi="Times New Roman" w:cs="Times New Roman"/>
          <w:color w:val="000000"/>
          <w:sz w:val="24"/>
          <w:szCs w:val="24"/>
        </w:rPr>
      </w:pPr>
      <w:r w:rsidRPr="006024D4">
        <w:rPr>
          <w:rFonts w:ascii="Times New Roman" w:eastAsia="Calibri" w:hAnsi="Times New Roman" w:cs="Times New Roman"/>
          <w:color w:val="000000"/>
          <w:sz w:val="24"/>
          <w:szCs w:val="24"/>
        </w:rPr>
        <w:t>Kā jau iepriekš tika minēts, Latvijā galvenie budžeta politikas lēmumi par vidēja termiņa izdevumu un ieņēmumu politiku tiek pieņemti nevis pavasarī, bet rudenī kopā ar gadskārtējo valsts budžeta likumu. Līdz ar to tālāk šajā nodaļā ir sniegta informācija par to, kādi fiskālās politikas lēmumi ir tikuši pieņemti, valdībai sagatavojot 2018.gada budžetu un Ietvara likumu 2018.</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6024D4">
        <w:rPr>
          <w:rFonts w:ascii="Times New Roman" w:eastAsia="Calibri" w:hAnsi="Times New Roman" w:cs="Times New Roman"/>
          <w:color w:val="000000"/>
          <w:sz w:val="24"/>
          <w:szCs w:val="24"/>
        </w:rPr>
        <w:t>2020.gadam.</w:t>
      </w:r>
    </w:p>
    <w:p w:rsidR="000314D9" w:rsidRPr="006024D4" w:rsidRDefault="000314D9" w:rsidP="000314D9">
      <w:pPr>
        <w:spacing w:after="0" w:line="240" w:lineRule="auto"/>
        <w:ind w:firstLine="709"/>
        <w:jc w:val="both"/>
        <w:rPr>
          <w:rFonts w:ascii="Times New Roman" w:eastAsia="Calibri" w:hAnsi="Times New Roman" w:cs="Times New Roman"/>
          <w:sz w:val="24"/>
          <w:szCs w:val="24"/>
        </w:rPr>
      </w:pPr>
      <w:r w:rsidRPr="006024D4">
        <w:rPr>
          <w:rFonts w:ascii="Times New Roman" w:eastAsia="Calibri" w:hAnsi="Times New Roman" w:cs="Times New Roman"/>
          <w:sz w:val="24"/>
          <w:szCs w:val="24"/>
        </w:rPr>
        <w:t>Ietvara likums 2018.</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6024D4">
        <w:rPr>
          <w:rFonts w:ascii="Times New Roman" w:eastAsia="Calibri" w:hAnsi="Times New Roman" w:cs="Times New Roman"/>
          <w:sz w:val="24"/>
          <w:szCs w:val="24"/>
        </w:rPr>
        <w:t xml:space="preserve">2020.gadam vispārējo fiskālās politikas mērķi </w:t>
      </w:r>
      <w:r w:rsidR="00DD350B" w:rsidRPr="00F14E08">
        <w:rPr>
          <w:rFonts w:ascii="Times New Roman" w:eastAsia="Calibri" w:hAnsi="Times New Roman" w:cs="Times New Roman"/>
          <w:sz w:val="24"/>
          <w:szCs w:val="24"/>
        </w:rPr>
        <w:t>–</w:t>
      </w:r>
      <w:r w:rsidRPr="006024D4">
        <w:rPr>
          <w:rFonts w:ascii="Times New Roman" w:eastAsia="Times New Roman" w:hAnsi="Times New Roman" w:cs="Times New Roman"/>
          <w:sz w:val="24"/>
          <w:szCs w:val="24"/>
        </w:rPr>
        <w:t xml:space="preserve"> ilgtspējīgi </w:t>
      </w:r>
      <w:r w:rsidRPr="006024D4">
        <w:rPr>
          <w:rFonts w:ascii="Times New Roman" w:eastAsia="Calibri" w:hAnsi="Times New Roman" w:cs="Times New Roman"/>
          <w:sz w:val="24"/>
          <w:szCs w:val="24"/>
        </w:rPr>
        <w:t xml:space="preserve">kāpināt iedzīvotāju dzīves kvalitāti – īsteno ar četriem vidēja termiņa budžeta prioritārajiem attīstības virzieniem: </w:t>
      </w:r>
    </w:p>
    <w:p w:rsidR="000314D9" w:rsidRPr="006024D4" w:rsidRDefault="000314D9" w:rsidP="000314D9">
      <w:pPr>
        <w:spacing w:after="0" w:line="240" w:lineRule="auto"/>
        <w:ind w:firstLine="709"/>
        <w:jc w:val="both"/>
        <w:rPr>
          <w:rFonts w:ascii="Times New Roman" w:eastAsia="Calibri" w:hAnsi="Times New Roman" w:cs="Times New Roman"/>
          <w:sz w:val="24"/>
          <w:szCs w:val="24"/>
        </w:rPr>
      </w:pPr>
      <w:r w:rsidRPr="006024D4">
        <w:rPr>
          <w:rFonts w:ascii="Times New Roman" w:eastAsia="Calibri" w:hAnsi="Times New Roman" w:cs="Times New Roman"/>
          <w:sz w:val="24"/>
          <w:szCs w:val="24"/>
        </w:rPr>
        <w:t xml:space="preserve">1) valsts aizsardzības spēju palielināšana, nodrošinot valsts aizsardzības finansējumu pret </w:t>
      </w:r>
      <w:r w:rsidR="001968FB">
        <w:rPr>
          <w:rFonts w:ascii="Times New Roman" w:eastAsia="Calibri" w:hAnsi="Times New Roman" w:cs="Times New Roman"/>
          <w:sz w:val="24"/>
          <w:szCs w:val="24"/>
        </w:rPr>
        <w:t>IKP</w:t>
      </w:r>
      <w:r w:rsidRPr="006024D4">
        <w:rPr>
          <w:rFonts w:ascii="Times New Roman" w:eastAsia="Calibri" w:hAnsi="Times New Roman" w:cs="Times New Roman"/>
          <w:sz w:val="24"/>
          <w:szCs w:val="24"/>
        </w:rPr>
        <w:t xml:space="preserve"> divu procentu apmērā;</w:t>
      </w:r>
    </w:p>
    <w:p w:rsidR="000314D9" w:rsidRPr="006024D4" w:rsidRDefault="000314D9" w:rsidP="000314D9">
      <w:pPr>
        <w:spacing w:after="0" w:line="240" w:lineRule="auto"/>
        <w:ind w:firstLine="709"/>
        <w:jc w:val="both"/>
        <w:rPr>
          <w:rFonts w:ascii="Times New Roman" w:eastAsia="Calibri" w:hAnsi="Times New Roman" w:cs="Times New Roman"/>
          <w:sz w:val="24"/>
          <w:szCs w:val="24"/>
        </w:rPr>
      </w:pPr>
      <w:r w:rsidRPr="006024D4">
        <w:rPr>
          <w:rFonts w:ascii="Times New Roman" w:eastAsia="Calibri" w:hAnsi="Times New Roman" w:cs="Times New Roman"/>
          <w:sz w:val="24"/>
          <w:szCs w:val="24"/>
        </w:rPr>
        <w:t>2) ilgtspējīgas un sabalansētas valsts ekonomiskās attīstības veicināšana, ieviešot uzņēmumu ienākuma nodokļa 0 procentu likmi reinvestētai peļņai, samazinot darbaspēka nodokļu slogu un valsts budžeta iespēju robežās primāri nodrošinot finansējuma pieaugumu aizsardzībai, veselības aprūpei, demogrāfiskās situācijas uzlabošanai un autoceļu uzturēšanai;</w:t>
      </w:r>
    </w:p>
    <w:p w:rsidR="000314D9" w:rsidRPr="006024D4" w:rsidRDefault="000314D9" w:rsidP="000314D9">
      <w:pPr>
        <w:spacing w:after="0" w:line="240" w:lineRule="auto"/>
        <w:ind w:firstLine="709"/>
        <w:jc w:val="both"/>
        <w:rPr>
          <w:rFonts w:ascii="Times New Roman" w:eastAsia="Calibri" w:hAnsi="Times New Roman" w:cs="Times New Roman"/>
          <w:sz w:val="24"/>
          <w:szCs w:val="24"/>
        </w:rPr>
      </w:pPr>
      <w:r w:rsidRPr="006024D4">
        <w:rPr>
          <w:rFonts w:ascii="Times New Roman" w:eastAsia="Calibri" w:hAnsi="Times New Roman" w:cs="Times New Roman"/>
          <w:sz w:val="24"/>
          <w:szCs w:val="24"/>
        </w:rPr>
        <w:t>3) iedzīvotāju ienākumu nevienlīdzības mazināšana, palielinot minimālo mēneša darba algu, ieviešot iedzīvotāju ienākuma nodokļa gada diferencēto neapliekamo minimumu un diferencējot iedzīvotāju ienākuma nodokļa likmi;</w:t>
      </w:r>
    </w:p>
    <w:p w:rsidR="000314D9" w:rsidRPr="006024D4" w:rsidRDefault="000314D9" w:rsidP="000314D9">
      <w:pPr>
        <w:spacing w:after="0" w:line="240" w:lineRule="auto"/>
        <w:ind w:firstLine="709"/>
        <w:jc w:val="both"/>
        <w:rPr>
          <w:rFonts w:ascii="Times New Roman" w:eastAsia="Calibri" w:hAnsi="Times New Roman" w:cs="Times New Roman"/>
          <w:sz w:val="24"/>
          <w:szCs w:val="24"/>
        </w:rPr>
      </w:pPr>
      <w:r w:rsidRPr="006024D4">
        <w:rPr>
          <w:rFonts w:ascii="Times New Roman" w:eastAsia="Calibri" w:hAnsi="Times New Roman" w:cs="Times New Roman"/>
          <w:sz w:val="24"/>
          <w:szCs w:val="24"/>
        </w:rPr>
        <w:t>4) nodokļu ieņēmumu apjoma pret IKP pakāpeniska palielināšana līdz 1/3 no IKP, pamatā uzlabojot nodokļu iekasējamību.</w:t>
      </w:r>
    </w:p>
    <w:p w:rsidR="000314D9" w:rsidRPr="006024D4" w:rsidRDefault="000314D9" w:rsidP="00DD350B">
      <w:pPr>
        <w:spacing w:before="120" w:after="0" w:line="240" w:lineRule="auto"/>
        <w:ind w:firstLine="709"/>
        <w:jc w:val="both"/>
        <w:rPr>
          <w:rFonts w:ascii="Times New Roman" w:eastAsia="Calibri" w:hAnsi="Times New Roman" w:cs="Times New Roman"/>
          <w:sz w:val="24"/>
          <w:szCs w:val="24"/>
        </w:rPr>
      </w:pPr>
      <w:r w:rsidRPr="006024D4">
        <w:rPr>
          <w:rFonts w:ascii="Times New Roman" w:eastAsia="Calibri" w:hAnsi="Times New Roman" w:cs="Times New Roman"/>
          <w:sz w:val="24"/>
          <w:szCs w:val="24"/>
        </w:rPr>
        <w:t>Latvijas fiskālās politikas vidēja termiņa budžeta prioritārie attīstības virzieni 2018.gada budžeta un Ietvara 2018.</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6024D4">
        <w:rPr>
          <w:rFonts w:ascii="Times New Roman" w:eastAsia="Calibri" w:hAnsi="Times New Roman" w:cs="Times New Roman"/>
          <w:sz w:val="24"/>
          <w:szCs w:val="24"/>
        </w:rPr>
        <w:t>2020.gadam sagatavošanā pamatā ir saglabāti nemainīgi, salīdzinot pret iepriekšējo budžeta ciklu, tomēr ir precizēti politikas pasākumi šo virzienu īstenošanai. Pirmajam virzienam ir precizēts formulējums nosakot, ka 2% finansējums tiek nodrošināts visos Ietvara likuma gados, otrajā un trešajā virzienā politikas pasākumi papildināti ir nodokļu reformas būtiskākajiem pasākumiem un otrajā virzienā ir uzskaitītas tās jomas, kurās ar aktuālo Ietvara likumu ir visbūtiskāk palielināts valsts budžeta finansējums.</w:t>
      </w:r>
    </w:p>
    <w:p w:rsidR="00C77649" w:rsidRDefault="000314D9" w:rsidP="00DD350B">
      <w:pPr>
        <w:spacing w:after="0" w:line="240" w:lineRule="auto"/>
        <w:ind w:firstLine="709"/>
        <w:jc w:val="both"/>
        <w:rPr>
          <w:rFonts w:ascii="Times New Roman" w:eastAsia="Calibri" w:hAnsi="Times New Roman" w:cs="Times New Roman"/>
          <w:sz w:val="24"/>
          <w:szCs w:val="20"/>
        </w:rPr>
      </w:pPr>
      <w:r w:rsidRPr="006024D4">
        <w:rPr>
          <w:rFonts w:ascii="Times New Roman" w:eastAsia="Calibri" w:hAnsi="Times New Roman" w:cs="Times New Roman"/>
          <w:b/>
          <w:sz w:val="24"/>
          <w:szCs w:val="24"/>
        </w:rPr>
        <w:t xml:space="preserve">Pirmā prioritārā attīstības virziena </w:t>
      </w:r>
      <w:r w:rsidRPr="006024D4">
        <w:rPr>
          <w:rFonts w:ascii="Times New Roman" w:eastAsia="Calibri" w:hAnsi="Times New Roman" w:cs="Times New Roman"/>
          <w:sz w:val="24"/>
          <w:szCs w:val="24"/>
        </w:rPr>
        <w:t xml:space="preserve">īstenošana tika uzsākta jau 2014.gada 3.jūlijā, pieņemot jaunu Valsts aizsardzības finansēšanas likumu, kas noteica pakāpenisku valsts aizsardzības finansējuma pret IKP palielinājumu līdz tas 2020.gadā sasniedz 2% no IKP. </w:t>
      </w:r>
      <w:r w:rsidRPr="006024D4">
        <w:rPr>
          <w:rFonts w:ascii="Times New Roman" w:eastAsia="Calibri" w:hAnsi="Times New Roman" w:cs="Times New Roman"/>
          <w:sz w:val="24"/>
          <w:szCs w:val="20"/>
        </w:rPr>
        <w:t>Ņemot vērā būtiskās izmaiņas ģeopolitiskajos riskos, Latvijas Stabilitātes programmā 2015.–2018.gadam valdība paredzēja nodrošināt straujāku valsts aizsardzības spēju pieaugumu sasniedzot 2% mērķi jau 2018.gadā. Ietvara likumā 2016.–2018.gadam valdība apstiprināja tādu papildu pieaugumu aizsardzības izdevumiem, kas 2018.gadā nodrošinātu aizsardzības izdevumu pieaugumu, sasniedzot 2% no IKP. Aktuālais Ietvara likums paredz, ka finansējums aizsardzībai 2% no IKP apmērā ir noteik</w:t>
      </w:r>
      <w:r w:rsidR="001968FB">
        <w:rPr>
          <w:rFonts w:ascii="Times New Roman" w:eastAsia="Calibri" w:hAnsi="Times New Roman" w:cs="Times New Roman"/>
          <w:sz w:val="24"/>
          <w:szCs w:val="20"/>
        </w:rPr>
        <w:t>ts visiem Ietvara likuma gadiem.</w:t>
      </w:r>
    </w:p>
    <w:p w:rsidR="004F5D37" w:rsidRDefault="004F5D37" w:rsidP="00C77649">
      <w:pPr>
        <w:spacing w:after="0" w:line="240" w:lineRule="auto"/>
        <w:ind w:firstLine="709"/>
        <w:jc w:val="right"/>
        <w:rPr>
          <w:rFonts w:ascii="Times New Roman" w:eastAsia="Times New Roman" w:hAnsi="Times New Roman" w:cs="Times New Roman"/>
          <w:b/>
          <w:sz w:val="24"/>
          <w:szCs w:val="24"/>
        </w:rPr>
      </w:pPr>
    </w:p>
    <w:p w:rsidR="004F5D37" w:rsidRDefault="004F5D37" w:rsidP="00C77649">
      <w:pPr>
        <w:spacing w:after="0" w:line="240" w:lineRule="auto"/>
        <w:ind w:firstLine="709"/>
        <w:jc w:val="right"/>
        <w:rPr>
          <w:rFonts w:ascii="Times New Roman" w:eastAsia="Times New Roman" w:hAnsi="Times New Roman" w:cs="Times New Roman"/>
          <w:b/>
          <w:sz w:val="24"/>
          <w:szCs w:val="24"/>
        </w:rPr>
      </w:pPr>
    </w:p>
    <w:p w:rsidR="00C77649" w:rsidRDefault="000314D9" w:rsidP="00C77649">
      <w:pPr>
        <w:spacing w:after="0" w:line="240" w:lineRule="auto"/>
        <w:ind w:firstLine="709"/>
        <w:jc w:val="right"/>
        <w:rPr>
          <w:rFonts w:ascii="Times New Roman" w:eastAsia="Times New Roman" w:hAnsi="Times New Roman" w:cs="Times New Roman"/>
          <w:b/>
          <w:sz w:val="24"/>
          <w:szCs w:val="24"/>
        </w:rPr>
      </w:pPr>
      <w:r w:rsidRPr="006024D4">
        <w:rPr>
          <w:rFonts w:ascii="Times New Roman" w:eastAsia="Times New Roman" w:hAnsi="Times New Roman" w:cs="Times New Roman"/>
          <w:b/>
          <w:sz w:val="24"/>
          <w:szCs w:val="24"/>
        </w:rPr>
        <w:lastRenderedPageBreak/>
        <w:t>3.</w:t>
      </w:r>
      <w:r w:rsidR="00FE2F8B">
        <w:rPr>
          <w:rFonts w:ascii="Times New Roman" w:eastAsia="Times New Roman" w:hAnsi="Times New Roman" w:cs="Times New Roman"/>
          <w:b/>
          <w:sz w:val="24"/>
          <w:szCs w:val="24"/>
        </w:rPr>
        <w:t>4</w:t>
      </w:r>
      <w:r w:rsidRPr="006024D4">
        <w:rPr>
          <w:rFonts w:ascii="Times New Roman" w:eastAsia="Times New Roman" w:hAnsi="Times New Roman" w:cs="Times New Roman"/>
          <w:b/>
          <w:sz w:val="24"/>
          <w:szCs w:val="24"/>
        </w:rPr>
        <w:t xml:space="preserve">.tabula. Valsts aizsardzības finansēšanas likumā noteiktais </w:t>
      </w:r>
    </w:p>
    <w:p w:rsidR="000314D9" w:rsidRPr="006024D4" w:rsidRDefault="000314D9" w:rsidP="00C77649">
      <w:pPr>
        <w:spacing w:after="0" w:line="240" w:lineRule="auto"/>
        <w:ind w:firstLine="709"/>
        <w:jc w:val="right"/>
        <w:rPr>
          <w:rFonts w:ascii="Times New Roman" w:eastAsia="Times New Roman" w:hAnsi="Times New Roman" w:cs="Times New Roman"/>
          <w:b/>
          <w:sz w:val="24"/>
          <w:szCs w:val="24"/>
        </w:rPr>
      </w:pPr>
      <w:r w:rsidRPr="006024D4">
        <w:rPr>
          <w:rFonts w:ascii="Times New Roman" w:eastAsia="Times New Roman" w:hAnsi="Times New Roman" w:cs="Times New Roman"/>
          <w:b/>
          <w:sz w:val="24"/>
          <w:szCs w:val="24"/>
        </w:rPr>
        <w:t>budžeta izdevumu apmērs aizsardzības nozares finansēšanai</w:t>
      </w:r>
    </w:p>
    <w:tbl>
      <w:tblPr>
        <w:tblStyle w:val="GridTable6Colorful-Accent11"/>
        <w:tblW w:w="9209" w:type="dxa"/>
        <w:jc w:val="center"/>
        <w:tblLayout w:type="fixed"/>
        <w:tblLook w:val="04A0" w:firstRow="1" w:lastRow="0" w:firstColumn="1" w:lastColumn="0" w:noHBand="0" w:noVBand="1"/>
      </w:tblPr>
      <w:tblGrid>
        <w:gridCol w:w="1980"/>
        <w:gridCol w:w="7229"/>
      </w:tblGrid>
      <w:tr w:rsidR="000314D9" w:rsidRPr="006024D4" w:rsidTr="00C77649">
        <w:trPr>
          <w:cnfStyle w:val="100000000000" w:firstRow="1" w:lastRow="0" w:firstColumn="0" w:lastColumn="0" w:oddVBand="0" w:evenVBand="0" w:oddHBand="0"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rsidR="000314D9" w:rsidRPr="006024D4" w:rsidRDefault="000314D9" w:rsidP="00924BAD">
            <w:pPr>
              <w:jc w:val="center"/>
              <w:rPr>
                <w:rFonts w:ascii="Times New Roman" w:hAnsi="Times New Roman" w:cs="Times New Roman"/>
                <w:color w:val="auto"/>
                <w:sz w:val="20"/>
                <w:szCs w:val="20"/>
              </w:rPr>
            </w:pPr>
            <w:r w:rsidRPr="006024D4">
              <w:rPr>
                <w:rFonts w:ascii="Times New Roman" w:hAnsi="Times New Roman" w:cs="Times New Roman"/>
                <w:color w:val="auto"/>
                <w:sz w:val="20"/>
                <w:szCs w:val="20"/>
              </w:rPr>
              <w:t>Gads</w:t>
            </w:r>
          </w:p>
        </w:tc>
        <w:tc>
          <w:tcPr>
            <w:tcW w:w="7229" w:type="dxa"/>
            <w:vAlign w:val="center"/>
          </w:tcPr>
          <w:p w:rsidR="000314D9" w:rsidRPr="006024D4" w:rsidRDefault="000314D9" w:rsidP="00924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024D4">
              <w:rPr>
                <w:rFonts w:ascii="Times New Roman" w:hAnsi="Times New Roman" w:cs="Times New Roman"/>
                <w:color w:val="auto"/>
                <w:sz w:val="20"/>
                <w:szCs w:val="20"/>
              </w:rPr>
              <w:t>Likumā „Par valsts budžetu 2018.gadam” un Ietvara likumā 2018. – 2020.gadam paredzētais izdevumu apmērs aizsardzībai, % no IKP</w:t>
            </w:r>
          </w:p>
        </w:tc>
      </w:tr>
      <w:tr w:rsidR="000314D9" w:rsidRPr="006024D4" w:rsidTr="00C776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0314D9" w:rsidRPr="006024D4" w:rsidRDefault="000314D9" w:rsidP="00924BAD">
            <w:pPr>
              <w:jc w:val="center"/>
              <w:rPr>
                <w:rFonts w:ascii="Times New Roman" w:hAnsi="Times New Roman" w:cs="Times New Roman"/>
                <w:b w:val="0"/>
                <w:color w:val="auto"/>
                <w:sz w:val="20"/>
                <w:szCs w:val="20"/>
              </w:rPr>
            </w:pPr>
            <w:r w:rsidRPr="006024D4">
              <w:rPr>
                <w:rFonts w:ascii="Times New Roman" w:hAnsi="Times New Roman" w:cs="Times New Roman"/>
                <w:b w:val="0"/>
                <w:color w:val="auto"/>
                <w:sz w:val="20"/>
                <w:szCs w:val="20"/>
              </w:rPr>
              <w:t>2018</w:t>
            </w:r>
          </w:p>
        </w:tc>
        <w:tc>
          <w:tcPr>
            <w:tcW w:w="7229" w:type="dxa"/>
          </w:tcPr>
          <w:p w:rsidR="000314D9" w:rsidRPr="006024D4" w:rsidRDefault="000314D9" w:rsidP="00924B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6024D4">
              <w:rPr>
                <w:rFonts w:ascii="Times New Roman" w:hAnsi="Times New Roman" w:cs="Times New Roman"/>
                <w:b/>
                <w:color w:val="auto"/>
                <w:sz w:val="20"/>
                <w:szCs w:val="20"/>
              </w:rPr>
              <w:t>2,0</w:t>
            </w:r>
          </w:p>
        </w:tc>
      </w:tr>
      <w:tr w:rsidR="000314D9" w:rsidRPr="006024D4" w:rsidTr="00C77649">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0314D9" w:rsidRPr="006024D4" w:rsidRDefault="000314D9" w:rsidP="00924BAD">
            <w:pPr>
              <w:jc w:val="center"/>
              <w:rPr>
                <w:rFonts w:ascii="Times New Roman" w:hAnsi="Times New Roman" w:cs="Times New Roman"/>
                <w:b w:val="0"/>
                <w:color w:val="auto"/>
                <w:sz w:val="20"/>
                <w:szCs w:val="20"/>
              </w:rPr>
            </w:pPr>
            <w:r w:rsidRPr="006024D4">
              <w:rPr>
                <w:rFonts w:ascii="Times New Roman" w:hAnsi="Times New Roman" w:cs="Times New Roman"/>
                <w:b w:val="0"/>
                <w:color w:val="auto"/>
                <w:sz w:val="20"/>
                <w:szCs w:val="20"/>
              </w:rPr>
              <w:t>2019</w:t>
            </w:r>
          </w:p>
        </w:tc>
        <w:tc>
          <w:tcPr>
            <w:tcW w:w="7229" w:type="dxa"/>
          </w:tcPr>
          <w:p w:rsidR="000314D9" w:rsidRPr="006024D4" w:rsidRDefault="000314D9" w:rsidP="00924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6024D4">
              <w:rPr>
                <w:rFonts w:ascii="Times New Roman" w:hAnsi="Times New Roman" w:cs="Times New Roman"/>
                <w:b/>
                <w:color w:val="auto"/>
                <w:sz w:val="20"/>
                <w:szCs w:val="20"/>
              </w:rPr>
              <w:t>2,0</w:t>
            </w:r>
          </w:p>
        </w:tc>
      </w:tr>
      <w:tr w:rsidR="000314D9" w:rsidRPr="00DB27E6" w:rsidTr="00C776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0314D9" w:rsidRPr="006024D4" w:rsidRDefault="000314D9" w:rsidP="00924BAD">
            <w:pPr>
              <w:jc w:val="center"/>
              <w:rPr>
                <w:rFonts w:ascii="Times New Roman" w:hAnsi="Times New Roman" w:cs="Times New Roman"/>
                <w:b w:val="0"/>
                <w:color w:val="auto"/>
                <w:sz w:val="20"/>
                <w:szCs w:val="20"/>
              </w:rPr>
            </w:pPr>
            <w:r w:rsidRPr="006024D4">
              <w:rPr>
                <w:rFonts w:ascii="Times New Roman" w:hAnsi="Times New Roman" w:cs="Times New Roman"/>
                <w:b w:val="0"/>
                <w:color w:val="auto"/>
                <w:sz w:val="20"/>
                <w:szCs w:val="20"/>
              </w:rPr>
              <w:t>2020</w:t>
            </w:r>
          </w:p>
        </w:tc>
        <w:tc>
          <w:tcPr>
            <w:tcW w:w="7229" w:type="dxa"/>
          </w:tcPr>
          <w:p w:rsidR="000314D9" w:rsidRPr="006024D4" w:rsidRDefault="000314D9" w:rsidP="00924B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6024D4">
              <w:rPr>
                <w:rFonts w:ascii="Times New Roman" w:hAnsi="Times New Roman" w:cs="Times New Roman"/>
                <w:b/>
                <w:color w:val="auto"/>
                <w:sz w:val="20"/>
                <w:szCs w:val="20"/>
              </w:rPr>
              <w:t>2,0</w:t>
            </w:r>
          </w:p>
        </w:tc>
      </w:tr>
    </w:tbl>
    <w:p w:rsidR="000314D9" w:rsidRPr="00462042" w:rsidRDefault="000314D9" w:rsidP="004F5D37">
      <w:pPr>
        <w:spacing w:before="240" w:after="0" w:line="240" w:lineRule="auto"/>
        <w:ind w:firstLine="709"/>
        <w:jc w:val="both"/>
        <w:rPr>
          <w:rFonts w:ascii="Times New Roman" w:eastAsia="Calibri" w:hAnsi="Times New Roman" w:cs="Times New Roman"/>
          <w:sz w:val="24"/>
          <w:szCs w:val="20"/>
        </w:rPr>
      </w:pPr>
      <w:bookmarkStart w:id="26" w:name="_Toc368127484"/>
      <w:bookmarkStart w:id="27" w:name="_Toc368133348"/>
      <w:bookmarkStart w:id="28" w:name="_Toc368144224"/>
      <w:bookmarkStart w:id="29" w:name="_Toc368144410"/>
      <w:bookmarkStart w:id="30" w:name="_Toc431204957"/>
      <w:r w:rsidRPr="00462042">
        <w:rPr>
          <w:rFonts w:ascii="Times New Roman" w:eastAsia="Calibri" w:hAnsi="Times New Roman" w:cs="Times New Roman"/>
          <w:b/>
          <w:sz w:val="24"/>
          <w:szCs w:val="24"/>
        </w:rPr>
        <w:t xml:space="preserve">Otrā prioritārā attīstības virziena </w:t>
      </w:r>
      <w:r w:rsidRPr="00462042">
        <w:rPr>
          <w:rFonts w:ascii="Times New Roman" w:eastAsia="Calibri" w:hAnsi="Times New Roman" w:cs="Times New Roman"/>
          <w:sz w:val="24"/>
          <w:szCs w:val="24"/>
        </w:rPr>
        <w:t>īstenošana</w:t>
      </w:r>
      <w:r w:rsidRPr="00462042">
        <w:rPr>
          <w:rFonts w:ascii="Times New Roman" w:eastAsia="Calibri" w:hAnsi="Times New Roman" w:cs="Times New Roman"/>
          <w:sz w:val="24"/>
          <w:szCs w:val="20"/>
        </w:rPr>
        <w:t xml:space="preserve">. Valdība 2018.gada valsts budžeta un </w:t>
      </w:r>
      <w:r w:rsidRPr="00462042">
        <w:rPr>
          <w:rFonts w:ascii="Times New Roman" w:eastAsia="Calibri" w:hAnsi="Times New Roman" w:cs="Times New Roman"/>
          <w:sz w:val="24"/>
          <w:szCs w:val="24"/>
        </w:rPr>
        <w:t>Ietvara 2018.</w:t>
      </w:r>
      <w:r w:rsidR="004F5D37" w:rsidRPr="004F5D37">
        <w:t xml:space="preserve"> </w:t>
      </w:r>
      <w:r w:rsidR="004F5D37" w:rsidRPr="00C06444">
        <w:t>–</w:t>
      </w:r>
      <w:r w:rsidR="004F5D37">
        <w:t xml:space="preserve"> </w:t>
      </w:r>
      <w:r w:rsidRPr="00462042">
        <w:rPr>
          <w:rFonts w:ascii="Times New Roman" w:eastAsia="Calibri" w:hAnsi="Times New Roman" w:cs="Times New Roman"/>
          <w:sz w:val="24"/>
          <w:szCs w:val="24"/>
        </w:rPr>
        <w:t>2020.gadam</w:t>
      </w:r>
      <w:r w:rsidRPr="00462042">
        <w:rPr>
          <w:rFonts w:ascii="Times New Roman" w:eastAsia="Calibri" w:hAnsi="Times New Roman" w:cs="Times New Roman"/>
          <w:sz w:val="24"/>
          <w:szCs w:val="20"/>
        </w:rPr>
        <w:t xml:space="preserve"> izstrādes ietvaros lēma kā prioritātes definēt valsts aizsardzību, veselības aprūpi, demogrāfijas veicināšanu un autoceļu uzturēšanu. </w:t>
      </w:r>
    </w:p>
    <w:p w:rsidR="000314D9" w:rsidRPr="00462042" w:rsidRDefault="000314D9" w:rsidP="001968FB">
      <w:pPr>
        <w:spacing w:after="0" w:line="240" w:lineRule="auto"/>
        <w:ind w:firstLine="709"/>
        <w:jc w:val="both"/>
        <w:rPr>
          <w:rFonts w:ascii="Times New Roman" w:eastAsia="Calibri" w:hAnsi="Times New Roman" w:cs="Times New Roman"/>
          <w:sz w:val="24"/>
          <w:szCs w:val="20"/>
        </w:rPr>
      </w:pPr>
      <w:r w:rsidRPr="00462042">
        <w:rPr>
          <w:rFonts w:ascii="Times New Roman" w:eastAsia="Calibri" w:hAnsi="Times New Roman" w:cs="Times New Roman"/>
          <w:sz w:val="24"/>
          <w:szCs w:val="20"/>
        </w:rPr>
        <w:t xml:space="preserve">Lēmums par būtisku aizsardzības finansējuma kāpināšanu tika pieņemts jau iepriekšējos divos Ietvara likumos, ietverot ne tikai ārējās, bet arī iekšējās drošības stiprināšanu. Savukārt </w:t>
      </w:r>
      <w:r w:rsidR="00062B19">
        <w:rPr>
          <w:rFonts w:ascii="Times New Roman" w:eastAsia="Calibri" w:hAnsi="Times New Roman" w:cs="Times New Roman"/>
          <w:sz w:val="24"/>
          <w:szCs w:val="20"/>
        </w:rPr>
        <w:t>pārējo</w:t>
      </w:r>
      <w:r w:rsidR="00062B19" w:rsidRPr="00462042">
        <w:rPr>
          <w:rFonts w:ascii="Times New Roman" w:eastAsia="Calibri" w:hAnsi="Times New Roman" w:cs="Times New Roman"/>
          <w:sz w:val="24"/>
          <w:szCs w:val="20"/>
        </w:rPr>
        <w:t xml:space="preserve"> </w:t>
      </w:r>
      <w:r w:rsidRPr="00462042">
        <w:rPr>
          <w:rFonts w:ascii="Times New Roman" w:eastAsia="Calibri" w:hAnsi="Times New Roman" w:cs="Times New Roman"/>
          <w:sz w:val="24"/>
          <w:szCs w:val="20"/>
        </w:rPr>
        <w:t>prioritāšu – veselību, demogrāfij</w:t>
      </w:r>
      <w:r w:rsidR="00FE2F8B">
        <w:rPr>
          <w:rFonts w:ascii="Times New Roman" w:eastAsia="Calibri" w:hAnsi="Times New Roman" w:cs="Times New Roman"/>
          <w:sz w:val="24"/>
          <w:szCs w:val="20"/>
        </w:rPr>
        <w:t xml:space="preserve">u un autoceļu uzturēšanu – </w:t>
      </w:r>
      <w:r w:rsidRPr="00462042">
        <w:rPr>
          <w:rFonts w:ascii="Times New Roman" w:eastAsia="Calibri" w:hAnsi="Times New Roman" w:cs="Times New Roman"/>
          <w:sz w:val="24"/>
          <w:szCs w:val="20"/>
        </w:rPr>
        <w:t xml:space="preserve">uzturēšana un iekļaušana valdības prioritāšu saraksta augšgalā izriet no apstākļa, ka šajās būtiskajās nozarēs, kas ir tautsaimniecības sekmīgas attīstības stūrakmeņi, jau vairāku gadu gaitā ir akumulējušas problēmas. </w:t>
      </w:r>
    </w:p>
    <w:p w:rsidR="000314D9" w:rsidRPr="00462042" w:rsidRDefault="000314D9" w:rsidP="001968FB">
      <w:pPr>
        <w:spacing w:after="0" w:line="240" w:lineRule="auto"/>
        <w:ind w:firstLine="709"/>
        <w:jc w:val="both"/>
        <w:rPr>
          <w:rFonts w:ascii="Times New Roman" w:eastAsia="Calibri" w:hAnsi="Times New Roman" w:cs="Times New Roman"/>
          <w:sz w:val="24"/>
          <w:szCs w:val="20"/>
        </w:rPr>
      </w:pPr>
      <w:r w:rsidRPr="00462042">
        <w:rPr>
          <w:rFonts w:ascii="Times New Roman" w:eastAsia="Calibri" w:hAnsi="Times New Roman" w:cs="Times New Roman"/>
          <w:sz w:val="24"/>
          <w:szCs w:val="20"/>
          <w:u w:val="single"/>
        </w:rPr>
        <w:t>Veselības nozare</w:t>
      </w:r>
      <w:r w:rsidRPr="00462042">
        <w:rPr>
          <w:rFonts w:ascii="Times New Roman" w:eastAsia="Calibri" w:hAnsi="Times New Roman" w:cs="Times New Roman"/>
          <w:sz w:val="24"/>
          <w:szCs w:val="20"/>
        </w:rPr>
        <w:t xml:space="preserve"> ilgstoši ir funkcionējusi pārāk zema publiskā finansējuma apstākļos, kas savukārt ir nozīmīgi palielinājis pacientu līdzmaksājumus, būtiski kavējot lielas daļas pacientu veselības vajadzību apmierināšanu. Finansējuma pieaugums veselības nozarei tiek nodrošināts, palielinot VSAOI likmi par</w:t>
      </w:r>
      <w:r w:rsidR="00FE2F8B">
        <w:rPr>
          <w:rFonts w:ascii="Times New Roman" w:eastAsia="Calibri" w:hAnsi="Times New Roman" w:cs="Times New Roman"/>
          <w:sz w:val="24"/>
          <w:szCs w:val="20"/>
        </w:rPr>
        <w:t xml:space="preserve"> vienu procenta punktu un tā no</w:t>
      </w:r>
      <w:r w:rsidR="006F7522">
        <w:rPr>
          <w:rFonts w:ascii="Times New Roman" w:eastAsia="Calibri" w:hAnsi="Times New Roman" w:cs="Times New Roman"/>
          <w:sz w:val="24"/>
          <w:szCs w:val="20"/>
        </w:rPr>
        <w:t>v</w:t>
      </w:r>
      <w:r w:rsidRPr="00462042">
        <w:rPr>
          <w:rFonts w:ascii="Times New Roman" w:eastAsia="Calibri" w:hAnsi="Times New Roman" w:cs="Times New Roman"/>
          <w:sz w:val="24"/>
          <w:szCs w:val="20"/>
        </w:rPr>
        <w:t xml:space="preserve">irzīšana veselībai un izmatojot atļauju no EK izmantot SIP elastības mehānismu attiecībā uz strukturālajām reformām. Jāatzīmē, ka VSAOI likmes palielināšana nodrošina stabilu papildus finansējumu veselības nozarei, bet strukturālo reformu atkāpe darbojas tikai līdz 2019.gadam. Aktuālais Ietvara likums paredz, ka 2020.gadā strukturālo reformu atkāpes finansējuma zudums tiek kompensēts pilnā apmērā, piešķirot no 2020.gada fiskālās telpas 144 milj. </w:t>
      </w:r>
      <w:r w:rsidRPr="00633484">
        <w:rPr>
          <w:rFonts w:ascii="Times New Roman" w:eastAsia="Calibri" w:hAnsi="Times New Roman" w:cs="Times New Roman"/>
          <w:i/>
          <w:sz w:val="24"/>
          <w:szCs w:val="20"/>
        </w:rPr>
        <w:t>euro</w:t>
      </w:r>
      <w:r w:rsidRPr="00462042">
        <w:rPr>
          <w:rFonts w:ascii="Times New Roman" w:eastAsia="Calibri" w:hAnsi="Times New Roman" w:cs="Times New Roman"/>
          <w:sz w:val="24"/>
          <w:szCs w:val="20"/>
        </w:rPr>
        <w:t xml:space="preserve"> veselības nozarei. Tādejādi tiek nodrošināts stabils finansējuma pieaugums veselības nozarei. </w:t>
      </w:r>
    </w:p>
    <w:p w:rsidR="000314D9" w:rsidRPr="00462042" w:rsidRDefault="000314D9" w:rsidP="001968FB">
      <w:pPr>
        <w:spacing w:after="0" w:line="240" w:lineRule="auto"/>
        <w:ind w:firstLine="709"/>
        <w:jc w:val="both"/>
        <w:rPr>
          <w:rFonts w:ascii="Times New Roman" w:eastAsia="Calibri" w:hAnsi="Times New Roman" w:cs="Times New Roman"/>
          <w:sz w:val="24"/>
          <w:szCs w:val="20"/>
        </w:rPr>
      </w:pPr>
      <w:r w:rsidRPr="00462042">
        <w:rPr>
          <w:rFonts w:ascii="Times New Roman" w:eastAsia="Calibri" w:hAnsi="Times New Roman" w:cs="Times New Roman"/>
          <w:sz w:val="24"/>
          <w:szCs w:val="20"/>
        </w:rPr>
        <w:t xml:space="preserve">Lai nodrošinātu ilgtspējīgu ekonomikas izaugsmi virs 3% no IKP, nepieciešams nodrošināt trīs faktorus – bruto pamatkapitāla pieaugumu, produktivitātes pieaugumu un darbaspēka pieaugumu. Pirmais faktors ir lielā mērā stabils. Latvijā darbaspēka pieaugums arī netiek prognozēts, jo pensionēšanās vecuma palielināšana vienīgi kompensē iedzīvotāju skaita samazināšanos. Tāpēc līdzās produktivitātes kāpināšanai, kas vidējā termiņā ir galvenais faktors potenciālā IKP izaugsmes nodrošināšanā, svarīgi ir arī īstenot politiku, kas nodrošinātu darbaspēka pieaugumu. Šajā ziņā būtiski ir radīt ekonomiski labvēlīgus apstākļus ģimeņu skaita ar trīs un vairāk bērniem pieaugumam. Tāpēc aktuālajā Ietvara likumā ir piešķirts būtisks finansējuma pieaugums </w:t>
      </w:r>
      <w:r w:rsidRPr="00462042">
        <w:rPr>
          <w:rFonts w:ascii="Times New Roman" w:eastAsia="Calibri" w:hAnsi="Times New Roman" w:cs="Times New Roman"/>
          <w:sz w:val="24"/>
          <w:szCs w:val="20"/>
          <w:u w:val="single"/>
        </w:rPr>
        <w:t>demogrāfijas pasākumiem</w:t>
      </w:r>
      <w:r w:rsidRPr="00462042">
        <w:rPr>
          <w:rFonts w:ascii="Times New Roman" w:eastAsia="Calibri" w:hAnsi="Times New Roman" w:cs="Times New Roman"/>
          <w:sz w:val="24"/>
          <w:szCs w:val="20"/>
        </w:rPr>
        <w:t xml:space="preserve"> – 2018.gadā piešķirts papildus finansējums 28 milj. </w:t>
      </w:r>
      <w:r w:rsidRPr="00633484">
        <w:rPr>
          <w:rFonts w:ascii="Times New Roman" w:eastAsia="Calibri" w:hAnsi="Times New Roman" w:cs="Times New Roman"/>
          <w:i/>
          <w:sz w:val="24"/>
          <w:szCs w:val="20"/>
        </w:rPr>
        <w:t>euro</w:t>
      </w:r>
      <w:r w:rsidRPr="00462042">
        <w:rPr>
          <w:rFonts w:ascii="Times New Roman" w:eastAsia="Calibri" w:hAnsi="Times New Roman" w:cs="Times New Roman"/>
          <w:sz w:val="24"/>
          <w:szCs w:val="20"/>
        </w:rPr>
        <w:t xml:space="preserve"> ar bāzes efektu uz turpmākajiem Ietvara gadiem. Pamatā papildus finansējumu plānots novirzīt pabalstu palielināšanai par trešo bērnu un vairāk bērniem.</w:t>
      </w:r>
    </w:p>
    <w:p w:rsidR="000314D9" w:rsidRDefault="000314D9" w:rsidP="001968FB">
      <w:pPr>
        <w:spacing w:after="0" w:line="240" w:lineRule="auto"/>
        <w:ind w:firstLine="709"/>
        <w:jc w:val="both"/>
        <w:rPr>
          <w:rFonts w:ascii="Times New Roman" w:eastAsia="Calibri" w:hAnsi="Times New Roman" w:cs="Times New Roman"/>
          <w:sz w:val="24"/>
          <w:szCs w:val="24"/>
        </w:rPr>
      </w:pPr>
      <w:r w:rsidRPr="00462042">
        <w:rPr>
          <w:rFonts w:ascii="Times New Roman" w:eastAsia="Calibri" w:hAnsi="Times New Roman" w:cs="Times New Roman"/>
          <w:sz w:val="24"/>
          <w:szCs w:val="20"/>
          <w:u w:val="single"/>
        </w:rPr>
        <w:t>Finansējums Latvijas autoceļu remontam un uzturēšanai</w:t>
      </w:r>
      <w:r w:rsidRPr="00462042">
        <w:rPr>
          <w:rFonts w:ascii="Times New Roman" w:eastAsia="Calibri" w:hAnsi="Times New Roman" w:cs="Times New Roman"/>
          <w:sz w:val="24"/>
          <w:szCs w:val="20"/>
        </w:rPr>
        <w:t xml:space="preserve"> ir bijis relatīvi zems, salīdzinot ar Baltijas kaimiņvalstīm un būtiskāko finansējuma daļu veido ES struktūrfondu finansējums. Turpmākajos gados ES struktūrfondu finansējums būtiski samazināsies, jo ceļu nozare ir faktiski jau apguvusi tai piešķirto ES struktūrfondu finansējumu. Šie apstākļi </w:t>
      </w:r>
      <w:r w:rsidR="00D655B7">
        <w:rPr>
          <w:rFonts w:ascii="Times New Roman" w:eastAsia="Calibri" w:hAnsi="Times New Roman" w:cs="Times New Roman"/>
          <w:sz w:val="24"/>
          <w:szCs w:val="20"/>
        </w:rPr>
        <w:t>pērn</w:t>
      </w:r>
      <w:r w:rsidR="00D655B7" w:rsidRPr="00462042">
        <w:rPr>
          <w:rFonts w:ascii="Times New Roman" w:eastAsia="Calibri" w:hAnsi="Times New Roman" w:cs="Times New Roman"/>
          <w:sz w:val="24"/>
          <w:szCs w:val="20"/>
        </w:rPr>
        <w:t xml:space="preserve"> </w:t>
      </w:r>
      <w:r w:rsidR="006F7522">
        <w:rPr>
          <w:rFonts w:ascii="Times New Roman" w:eastAsia="Calibri" w:hAnsi="Times New Roman" w:cs="Times New Roman"/>
          <w:sz w:val="24"/>
          <w:szCs w:val="20"/>
        </w:rPr>
        <w:t xml:space="preserve">jo īpaši asi </w:t>
      </w:r>
      <w:r w:rsidRPr="00462042">
        <w:rPr>
          <w:rFonts w:ascii="Times New Roman" w:eastAsia="Calibri" w:hAnsi="Times New Roman" w:cs="Times New Roman"/>
          <w:sz w:val="24"/>
          <w:szCs w:val="20"/>
        </w:rPr>
        <w:t xml:space="preserve">aktualizēja jautājumu par valsts budžeta finansējumu ceļu nozarei, liekot aktualizēt jautājumu par degvielas akcīzes nodokļa sasaistīšanu ar ceļu nozares finansējumu, kā arī likumā “Par autoceļiem” iestrādāt normas, kas nodrošinātu stabilu un prognozējamu valsts budžeta finansējuma pieaugumu. Pašlaik jautājums sistēmiski vēl nav atrisināts un turpmākajos gados plānotas diskusijas par optimālo mehānismu, tai skaitā potenciālo autoceļu fonda kā speciālā budžeta atjaunošanu. Kā vidēja termiņa risinājumu aktuālais Ietvara likums </w:t>
      </w:r>
      <w:r w:rsidRPr="00462042">
        <w:rPr>
          <w:rFonts w:ascii="Times New Roman" w:eastAsia="Calibri" w:hAnsi="Times New Roman" w:cs="Times New Roman"/>
          <w:sz w:val="24"/>
          <w:szCs w:val="20"/>
        </w:rPr>
        <w:lastRenderedPageBreak/>
        <w:t xml:space="preserve">paredz finansējuma pieaugumu autoceļu uzturēšanai par 26 milj. </w:t>
      </w:r>
      <w:r w:rsidRPr="00633484">
        <w:rPr>
          <w:rFonts w:ascii="Times New Roman" w:eastAsia="Calibri" w:hAnsi="Times New Roman" w:cs="Times New Roman"/>
          <w:i/>
          <w:sz w:val="24"/>
          <w:szCs w:val="20"/>
        </w:rPr>
        <w:t>euro</w:t>
      </w:r>
      <w:r w:rsidRPr="00462042">
        <w:rPr>
          <w:rFonts w:ascii="Times New Roman" w:eastAsia="Calibri" w:hAnsi="Times New Roman" w:cs="Times New Roman"/>
          <w:sz w:val="24"/>
          <w:szCs w:val="20"/>
        </w:rPr>
        <w:t xml:space="preserve"> 2018.gadā ar bāzes efektu uz 2019.gadu un vēl par 11 milj. </w:t>
      </w:r>
      <w:r w:rsidRPr="00633484">
        <w:rPr>
          <w:rFonts w:ascii="Times New Roman" w:eastAsia="Calibri" w:hAnsi="Times New Roman" w:cs="Times New Roman"/>
          <w:i/>
          <w:sz w:val="24"/>
          <w:szCs w:val="20"/>
        </w:rPr>
        <w:t>euro</w:t>
      </w:r>
      <w:r w:rsidRPr="00462042">
        <w:rPr>
          <w:rFonts w:ascii="Times New Roman" w:eastAsia="Calibri" w:hAnsi="Times New Roman" w:cs="Times New Roman"/>
          <w:sz w:val="24"/>
          <w:szCs w:val="20"/>
        </w:rPr>
        <w:t xml:space="preserve"> 2020.gadā un tas ir nozīmīgākais finansējuma pieaugums šai nozarei pēdējo gadu laikā. Šis finansējuma pieaugums apjoma ziņā ir salīdzināms ar ieņēmumu pieaugumu no nodokļu reformas paketē pieņemto akcīzes nodokļa degvielai palielināšanu un konceptuāli iezīmē saiti starp jauniem politikas pasākumiem degvielas akcīzei un izdevumu dinamiku ceļu nozarei. Kopā ar plānoto ES struktūrfondu 6% rezerves atbrīvošanu ceļu nozarei, tiek lēsts, ka šie pasākumi ļaus nodrošināt ceļu remontu un uzturēšanas darbu apjomus līdzšinējā apjomā.</w:t>
      </w:r>
    </w:p>
    <w:p w:rsidR="000314D9" w:rsidRPr="008A10F4" w:rsidRDefault="000314D9" w:rsidP="000314D9">
      <w:pPr>
        <w:spacing w:after="0" w:line="240" w:lineRule="auto"/>
        <w:ind w:firstLine="709"/>
        <w:jc w:val="both"/>
        <w:rPr>
          <w:rFonts w:ascii="Times New Roman" w:eastAsia="Times New Roman" w:hAnsi="Times New Roman" w:cs="Times New Roman"/>
          <w:sz w:val="24"/>
          <w:szCs w:val="20"/>
        </w:rPr>
      </w:pPr>
      <w:r w:rsidRPr="008A10F4">
        <w:rPr>
          <w:rFonts w:ascii="Times New Roman" w:eastAsia="Times New Roman" w:hAnsi="Times New Roman" w:cs="Times New Roman"/>
          <w:sz w:val="24"/>
          <w:szCs w:val="20"/>
        </w:rPr>
        <w:t xml:space="preserve">Vērtējot </w:t>
      </w:r>
      <w:r w:rsidRPr="008A10F4">
        <w:rPr>
          <w:rFonts w:ascii="Times New Roman" w:eastAsia="Calibri" w:hAnsi="Times New Roman" w:cs="Times New Roman"/>
          <w:b/>
          <w:sz w:val="24"/>
          <w:szCs w:val="20"/>
        </w:rPr>
        <w:t xml:space="preserve">trešā prioritārā attīstības virziena </w:t>
      </w:r>
      <w:r w:rsidRPr="008A10F4">
        <w:rPr>
          <w:rFonts w:ascii="Times New Roman" w:eastAsia="Calibri" w:hAnsi="Times New Roman" w:cs="Times New Roman"/>
          <w:sz w:val="24"/>
          <w:szCs w:val="20"/>
        </w:rPr>
        <w:t>īsten</w:t>
      </w:r>
      <w:r w:rsidRPr="008A10F4">
        <w:rPr>
          <w:rFonts w:ascii="Times New Roman" w:eastAsia="Times New Roman" w:hAnsi="Times New Roman" w:cs="Times New Roman"/>
          <w:sz w:val="24"/>
          <w:szCs w:val="20"/>
        </w:rPr>
        <w:t xml:space="preserve">ošanu, no iedzīvotāju dzīves kvalitātes aspekta ir pamats analizēt vidējo iedzīvotāju dzīves kvalitāti un dzīves kvalitātes atšķirības iedzīvotājiem ar atšķirīgu ieņēmumu lielumu. Būtisks rādītājs, vērtējot vidējo dzīves kvalitāti ir IKP apjoms uz vienu iedzīvotāju, kas Latvijai ir viens no zemākajiem ES (IKP uz vienu iedzīvotāju 2017.gadā ir 13 900 </w:t>
      </w:r>
      <w:r w:rsidRPr="008A10F4">
        <w:rPr>
          <w:rFonts w:ascii="Times New Roman" w:eastAsia="Times New Roman" w:hAnsi="Times New Roman" w:cs="Times New Roman"/>
          <w:i/>
          <w:sz w:val="24"/>
          <w:szCs w:val="20"/>
        </w:rPr>
        <w:t>euro)</w:t>
      </w:r>
      <w:r w:rsidRPr="008A10F4">
        <w:rPr>
          <w:rFonts w:ascii="Times New Roman" w:eastAsia="Times New Roman" w:hAnsi="Times New Roman" w:cs="Times New Roman"/>
          <w:sz w:val="24"/>
          <w:szCs w:val="20"/>
        </w:rPr>
        <w:t>, savukārt, Džinī koeficients, kas raksturo ieņēmumu nevienlīdzību, Latvij</w:t>
      </w:r>
      <w:r w:rsidR="001968FB">
        <w:rPr>
          <w:rFonts w:ascii="Times New Roman" w:eastAsia="Times New Roman" w:hAnsi="Times New Roman" w:cs="Times New Roman"/>
          <w:sz w:val="24"/>
          <w:szCs w:val="20"/>
        </w:rPr>
        <w:t>ā ir viens no augstākajiem ES (</w:t>
      </w:r>
      <w:r w:rsidRPr="008A10F4">
        <w:rPr>
          <w:rFonts w:ascii="Times New Roman" w:eastAsia="Times New Roman" w:hAnsi="Times New Roman" w:cs="Times New Roman"/>
          <w:sz w:val="24"/>
          <w:szCs w:val="20"/>
        </w:rPr>
        <w:t xml:space="preserve">2017. gadā </w:t>
      </w:r>
      <w:r w:rsidR="00DD350B" w:rsidRPr="00F14E08">
        <w:rPr>
          <w:rFonts w:ascii="Times New Roman" w:eastAsia="Calibri" w:hAnsi="Times New Roman" w:cs="Times New Roman"/>
          <w:sz w:val="24"/>
          <w:szCs w:val="24"/>
        </w:rPr>
        <w:t>–</w:t>
      </w:r>
      <w:r w:rsidRPr="008A10F4">
        <w:rPr>
          <w:rFonts w:ascii="Times New Roman" w:eastAsia="Times New Roman" w:hAnsi="Times New Roman" w:cs="Times New Roman"/>
          <w:sz w:val="24"/>
          <w:szCs w:val="20"/>
        </w:rPr>
        <w:t xml:space="preserve"> 34,5%). </w:t>
      </w:r>
    </w:p>
    <w:p w:rsidR="000314D9" w:rsidRPr="008A10F4" w:rsidRDefault="000314D9" w:rsidP="001968FB">
      <w:pPr>
        <w:spacing w:after="0" w:line="240" w:lineRule="auto"/>
        <w:ind w:firstLine="709"/>
        <w:jc w:val="both"/>
        <w:rPr>
          <w:rFonts w:ascii="Times New Roman" w:eastAsia="Times New Roman" w:hAnsi="Times New Roman" w:cs="Times New Roman"/>
          <w:sz w:val="24"/>
          <w:szCs w:val="20"/>
        </w:rPr>
      </w:pPr>
      <w:r w:rsidRPr="008A10F4">
        <w:rPr>
          <w:rFonts w:ascii="Times New Roman" w:eastAsia="Times New Roman" w:hAnsi="Times New Roman" w:cs="Times New Roman"/>
          <w:sz w:val="24"/>
          <w:szCs w:val="20"/>
        </w:rPr>
        <w:t xml:space="preserve">Iepriekšējos Ietvara likumos tika iestrādātas vairākas būtiskas normas iedzīvotāju ienākumu nevienlīdzības mazināšanai, proti, IIN neapliekamā minimuma palielināšana, IIN atvieglojumu palielināšana par apgādībā esošajām personām, valsts sociālā atbalsta sistēmas pilnveidošana, atbalsta shēma mājsaimniecībām ar zemiem ienākumiem, lai kompensētu izdevumu kāpumu elektroenerģijai sakarā ar starta tarifa atcelšanu elektroenerģijas tirgus atvēršanas dēļ, minimālās algas palielināšana, kā arī ieviests diferencētais neapliekamais minimums. Aktuālais Ietvara likums paredz iesāktās valdības politikas turpināšanu un lielāko daļu valdības un Saeimas apstiprināto nodokļu reformas pasākumu īstenošanu jau no 2018.gada - palielinot minimālo algu 2018.gadā no 380 līdz 430 </w:t>
      </w:r>
      <w:r w:rsidRPr="00633484">
        <w:rPr>
          <w:rFonts w:ascii="Times New Roman" w:eastAsia="Times New Roman" w:hAnsi="Times New Roman" w:cs="Times New Roman"/>
          <w:i/>
          <w:sz w:val="24"/>
          <w:szCs w:val="20"/>
        </w:rPr>
        <w:t>euro</w:t>
      </w:r>
      <w:r w:rsidRPr="008A10F4">
        <w:rPr>
          <w:rFonts w:ascii="Times New Roman" w:eastAsia="Times New Roman" w:hAnsi="Times New Roman" w:cs="Times New Roman"/>
          <w:sz w:val="24"/>
          <w:szCs w:val="20"/>
        </w:rPr>
        <w:t xml:space="preserve">, būtiski paaugstinot ar IIN neapliekamo diferencēto minimumu (atsakoties no diferencētā neapliekamā minimuma piemērošanas rezumējošā kārtība, un katru mēnesi piemērojot to pilnā apmērā jau taksācijas gada laikā): 2018.gadā atkarībā no ienākuma līmeņa tas svārstīsies no 0 līdz 200 </w:t>
      </w:r>
      <w:r w:rsidRPr="00633484">
        <w:rPr>
          <w:rFonts w:ascii="Times New Roman" w:eastAsia="Times New Roman" w:hAnsi="Times New Roman" w:cs="Times New Roman"/>
          <w:i/>
          <w:sz w:val="24"/>
          <w:szCs w:val="20"/>
        </w:rPr>
        <w:t>euro</w:t>
      </w:r>
      <w:r w:rsidRPr="008A10F4">
        <w:rPr>
          <w:rFonts w:ascii="Times New Roman" w:eastAsia="Times New Roman" w:hAnsi="Times New Roman" w:cs="Times New Roman"/>
          <w:sz w:val="24"/>
          <w:szCs w:val="20"/>
        </w:rPr>
        <w:t xml:space="preserve"> mēnesī, 2019.gadā – no 0 līdz 230 </w:t>
      </w:r>
      <w:r w:rsidRPr="00633484">
        <w:rPr>
          <w:rFonts w:ascii="Times New Roman" w:eastAsia="Times New Roman" w:hAnsi="Times New Roman" w:cs="Times New Roman"/>
          <w:i/>
          <w:sz w:val="24"/>
          <w:szCs w:val="20"/>
        </w:rPr>
        <w:t>euro</w:t>
      </w:r>
      <w:r w:rsidRPr="008A10F4">
        <w:rPr>
          <w:rFonts w:ascii="Times New Roman" w:eastAsia="Times New Roman" w:hAnsi="Times New Roman" w:cs="Times New Roman"/>
          <w:sz w:val="24"/>
          <w:szCs w:val="20"/>
        </w:rPr>
        <w:t xml:space="preserve"> mēnesī un 2020.gadā </w:t>
      </w:r>
      <w:r w:rsidR="00DD350B" w:rsidRPr="00F14E08">
        <w:rPr>
          <w:rFonts w:ascii="Times New Roman" w:eastAsia="Calibri" w:hAnsi="Times New Roman" w:cs="Times New Roman"/>
          <w:sz w:val="24"/>
          <w:szCs w:val="24"/>
        </w:rPr>
        <w:t>–</w:t>
      </w:r>
      <w:r w:rsidRPr="008A10F4">
        <w:rPr>
          <w:rFonts w:ascii="Times New Roman" w:eastAsia="Times New Roman" w:hAnsi="Times New Roman" w:cs="Times New Roman"/>
          <w:sz w:val="24"/>
          <w:szCs w:val="20"/>
        </w:rPr>
        <w:t xml:space="preserve"> no 0 līdz 250 </w:t>
      </w:r>
      <w:r w:rsidRPr="00633484">
        <w:rPr>
          <w:rFonts w:ascii="Times New Roman" w:eastAsia="Times New Roman" w:hAnsi="Times New Roman" w:cs="Times New Roman"/>
          <w:i/>
          <w:sz w:val="24"/>
          <w:szCs w:val="20"/>
        </w:rPr>
        <w:t>euro</w:t>
      </w:r>
      <w:r w:rsidRPr="008A10F4">
        <w:rPr>
          <w:rFonts w:ascii="Times New Roman" w:eastAsia="Times New Roman" w:hAnsi="Times New Roman" w:cs="Times New Roman"/>
          <w:sz w:val="24"/>
          <w:szCs w:val="20"/>
        </w:rPr>
        <w:t xml:space="preserve"> mēnesī, nodrošinot elektroenerģijas obligātā iepirkuma komponentes samazināšanu, kā arī virkni pasākumu demogrāfijas problēmjautājumu risināšanai. Tomēr nozīmīgākais politikas instruments ienākumu nevienlīdzības mazināšanai ir progresīvā IIN likmes ieviešana, samazinot IIN no 23% uz 20% gada ienākumiem līdz 20</w:t>
      </w:r>
      <w:r w:rsidR="001968FB">
        <w:rPr>
          <w:rFonts w:ascii="Times New Roman" w:eastAsia="Times New Roman" w:hAnsi="Times New Roman" w:cs="Times New Roman"/>
          <w:sz w:val="24"/>
          <w:szCs w:val="20"/>
        </w:rPr>
        <w:t> </w:t>
      </w:r>
      <w:r w:rsidRPr="008A10F4">
        <w:rPr>
          <w:rFonts w:ascii="Times New Roman" w:eastAsia="Times New Roman" w:hAnsi="Times New Roman" w:cs="Times New Roman"/>
          <w:sz w:val="24"/>
          <w:szCs w:val="20"/>
        </w:rPr>
        <w:t xml:space="preserve">000 </w:t>
      </w:r>
      <w:r w:rsidRPr="00633484">
        <w:rPr>
          <w:rFonts w:ascii="Times New Roman" w:eastAsia="Times New Roman" w:hAnsi="Times New Roman" w:cs="Times New Roman"/>
          <w:i/>
          <w:sz w:val="24"/>
          <w:szCs w:val="20"/>
        </w:rPr>
        <w:t>euro</w:t>
      </w:r>
      <w:r w:rsidRPr="008A10F4">
        <w:rPr>
          <w:rFonts w:ascii="Times New Roman" w:eastAsia="Times New Roman" w:hAnsi="Times New Roman" w:cs="Times New Roman"/>
          <w:sz w:val="24"/>
          <w:szCs w:val="20"/>
        </w:rPr>
        <w:t xml:space="preserve">. </w:t>
      </w:r>
    </w:p>
    <w:p w:rsidR="000314D9" w:rsidRPr="0064603F" w:rsidRDefault="000314D9" w:rsidP="001968FB">
      <w:pPr>
        <w:spacing w:after="0" w:line="240" w:lineRule="auto"/>
        <w:ind w:firstLine="709"/>
        <w:jc w:val="both"/>
        <w:rPr>
          <w:rFonts w:ascii="Times New Roman" w:eastAsia="Times New Roman" w:hAnsi="Times New Roman" w:cs="Times New Roman"/>
          <w:sz w:val="24"/>
          <w:szCs w:val="20"/>
        </w:rPr>
      </w:pPr>
      <w:r w:rsidRPr="0064603F">
        <w:rPr>
          <w:rFonts w:ascii="Times New Roman" w:eastAsia="Times New Roman" w:hAnsi="Times New Roman" w:cs="Times New Roman"/>
          <w:sz w:val="24"/>
          <w:szCs w:val="20"/>
        </w:rPr>
        <w:t xml:space="preserve">Atbilstoši FM aplēsēm 2017.gadā apstiprinātās nodokļu reformas darbaspēka pasākumiem būs pozitīva ietekme uz strādājošo ienākumu nevienlīdzības mazināšanu. Sevišķi zemāk atalgoto strādājošo ienākumi būtiski pieaugs ar IIN neapliekamā minimuma paaugstināšanas, IIN likmes samazināšanas no 23 uz 20% (ienākumiem līdz 20 000 </w:t>
      </w:r>
      <w:r w:rsidRPr="00633484">
        <w:rPr>
          <w:rFonts w:ascii="Times New Roman" w:eastAsia="Times New Roman" w:hAnsi="Times New Roman" w:cs="Times New Roman"/>
          <w:i/>
          <w:sz w:val="24"/>
          <w:szCs w:val="20"/>
        </w:rPr>
        <w:t>euro</w:t>
      </w:r>
      <w:r w:rsidRPr="0064603F">
        <w:rPr>
          <w:rFonts w:ascii="Times New Roman" w:eastAsia="Times New Roman" w:hAnsi="Times New Roman" w:cs="Times New Roman"/>
          <w:sz w:val="24"/>
          <w:szCs w:val="20"/>
        </w:rPr>
        <w:t xml:space="preserve"> gadā jeb 1</w:t>
      </w:r>
      <w:r w:rsidR="001968FB">
        <w:rPr>
          <w:rFonts w:ascii="Times New Roman" w:eastAsia="Times New Roman" w:hAnsi="Times New Roman" w:cs="Times New Roman"/>
          <w:sz w:val="24"/>
          <w:szCs w:val="20"/>
        </w:rPr>
        <w:t> </w:t>
      </w:r>
      <w:r w:rsidRPr="0064603F">
        <w:rPr>
          <w:rFonts w:ascii="Times New Roman" w:eastAsia="Times New Roman" w:hAnsi="Times New Roman" w:cs="Times New Roman"/>
          <w:sz w:val="24"/>
          <w:szCs w:val="20"/>
        </w:rPr>
        <w:t xml:space="preserve">667 </w:t>
      </w:r>
      <w:r w:rsidRPr="00633484">
        <w:rPr>
          <w:rFonts w:ascii="Times New Roman" w:eastAsia="Times New Roman" w:hAnsi="Times New Roman" w:cs="Times New Roman"/>
          <w:i/>
          <w:sz w:val="24"/>
          <w:szCs w:val="20"/>
        </w:rPr>
        <w:t>euro</w:t>
      </w:r>
      <w:r w:rsidR="00DD350B">
        <w:rPr>
          <w:rFonts w:ascii="Times New Roman" w:eastAsia="Times New Roman" w:hAnsi="Times New Roman" w:cs="Times New Roman"/>
          <w:sz w:val="24"/>
          <w:szCs w:val="20"/>
        </w:rPr>
        <w:t xml:space="preserve"> mēnesī), kā arī </w:t>
      </w:r>
      <w:r w:rsidRPr="0064603F">
        <w:rPr>
          <w:rFonts w:ascii="Times New Roman" w:eastAsia="Times New Roman" w:hAnsi="Times New Roman" w:cs="Times New Roman"/>
          <w:sz w:val="24"/>
          <w:szCs w:val="20"/>
        </w:rPr>
        <w:t xml:space="preserve">minimālās mēneša darba algas palielināšanas no pašreizējiem 380 līdz 430 </w:t>
      </w:r>
      <w:r w:rsidRPr="00633484">
        <w:rPr>
          <w:rFonts w:ascii="Times New Roman" w:eastAsia="Times New Roman" w:hAnsi="Times New Roman" w:cs="Times New Roman"/>
          <w:i/>
          <w:sz w:val="24"/>
          <w:szCs w:val="20"/>
        </w:rPr>
        <w:t>euro</w:t>
      </w:r>
      <w:r w:rsidRPr="0064603F">
        <w:rPr>
          <w:rFonts w:ascii="Times New Roman" w:eastAsia="Times New Roman" w:hAnsi="Times New Roman" w:cs="Times New Roman"/>
          <w:sz w:val="24"/>
          <w:szCs w:val="20"/>
        </w:rPr>
        <w:t>, rezultātā.</w:t>
      </w:r>
    </w:p>
    <w:p w:rsidR="00C77649" w:rsidRDefault="00FE2F8B" w:rsidP="00C77649">
      <w:pPr>
        <w:spacing w:before="120" w:after="0"/>
        <w:jc w:val="right"/>
        <w:rPr>
          <w:rFonts w:ascii="Times New Roman" w:eastAsia="Times New Roman" w:hAnsi="Times New Roman" w:cs="Times New Roman"/>
          <w:b/>
          <w:sz w:val="24"/>
        </w:rPr>
      </w:pPr>
      <w:r>
        <w:rPr>
          <w:rFonts w:ascii="Times New Roman" w:eastAsia="Times New Roman" w:hAnsi="Times New Roman" w:cs="Times New Roman"/>
          <w:b/>
          <w:sz w:val="24"/>
        </w:rPr>
        <w:t>3.5.tabula.</w:t>
      </w:r>
      <w:r w:rsidR="000314D9" w:rsidRPr="00822E39">
        <w:rPr>
          <w:rFonts w:ascii="Times New Roman" w:eastAsia="Times New Roman" w:hAnsi="Times New Roman" w:cs="Times New Roman"/>
          <w:b/>
          <w:sz w:val="24"/>
        </w:rPr>
        <w:t xml:space="preserve"> Darbaspēka nodokļu reformas ietekme uz strādājošā</w:t>
      </w:r>
    </w:p>
    <w:p w:rsidR="000314D9" w:rsidRPr="00822E39" w:rsidRDefault="000314D9" w:rsidP="00540C4E">
      <w:pPr>
        <w:spacing w:after="0"/>
        <w:jc w:val="right"/>
        <w:rPr>
          <w:rFonts w:ascii="Times New Roman" w:eastAsia="Times New Roman" w:hAnsi="Times New Roman" w:cs="Times New Roman"/>
          <w:b/>
          <w:sz w:val="24"/>
        </w:rPr>
      </w:pPr>
      <w:r w:rsidRPr="00822E39">
        <w:rPr>
          <w:rFonts w:ascii="Times New Roman" w:eastAsia="Times New Roman" w:hAnsi="Times New Roman" w:cs="Times New Roman"/>
          <w:b/>
          <w:sz w:val="24"/>
        </w:rPr>
        <w:t xml:space="preserve">(bez apgādībā esošām personām) darba algām, </w:t>
      </w:r>
      <w:r w:rsidRPr="00633484">
        <w:rPr>
          <w:rFonts w:ascii="Times New Roman" w:eastAsia="Times New Roman" w:hAnsi="Times New Roman" w:cs="Times New Roman"/>
          <w:b/>
          <w:i/>
          <w:sz w:val="24"/>
        </w:rPr>
        <w:t>euro</w:t>
      </w:r>
      <w:r w:rsidRPr="00822E39">
        <w:rPr>
          <w:rFonts w:ascii="Times New Roman" w:eastAsia="Times New Roman" w:hAnsi="Times New Roman" w:cs="Times New Roman"/>
          <w:b/>
          <w:sz w:val="24"/>
        </w:rPr>
        <w:t xml:space="preserve"> mēnesī</w:t>
      </w:r>
    </w:p>
    <w:tbl>
      <w:tblPr>
        <w:tblStyle w:val="GridTable6Colorful-Accent110"/>
        <w:tblW w:w="9126" w:type="dxa"/>
        <w:jc w:val="center"/>
        <w:tblLook w:val="04A0" w:firstRow="1" w:lastRow="0" w:firstColumn="1" w:lastColumn="0" w:noHBand="0" w:noVBand="1"/>
      </w:tblPr>
      <w:tblGrid>
        <w:gridCol w:w="2547"/>
        <w:gridCol w:w="1334"/>
        <w:gridCol w:w="851"/>
        <w:gridCol w:w="850"/>
        <w:gridCol w:w="851"/>
        <w:gridCol w:w="850"/>
        <w:gridCol w:w="851"/>
        <w:gridCol w:w="992"/>
      </w:tblGrid>
      <w:tr w:rsidR="000314D9" w:rsidRPr="00822E39" w:rsidTr="00C776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Cs w:val="0"/>
                <w:color w:val="auto"/>
              </w:rPr>
              <w:t>Bruto alga</w:t>
            </w:r>
          </w:p>
        </w:tc>
        <w:tc>
          <w:tcPr>
            <w:tcW w:w="6579" w:type="dxa"/>
            <w:gridSpan w:val="7"/>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822E39">
              <w:rPr>
                <w:rFonts w:ascii="Times New Roman" w:hAnsi="Times New Roman" w:cs="Times New Roman"/>
                <w:bCs w:val="0"/>
                <w:color w:val="auto"/>
              </w:rPr>
              <w:t>Neto darba alga (kas paliek «uz rokas»),</w:t>
            </w:r>
            <w:r w:rsidRPr="00822E39">
              <w:rPr>
                <w:rFonts w:ascii="Times New Roman" w:hAnsi="Times New Roman" w:cs="Times New Roman"/>
                <w:bCs w:val="0"/>
                <w:i/>
                <w:iCs/>
                <w:color w:val="auto"/>
              </w:rPr>
              <w:t xml:space="preserve"> euro mēnesī</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vMerge/>
            <w:vAlign w:val="center"/>
            <w:hideMark/>
          </w:tcPr>
          <w:p w:rsidR="000314D9" w:rsidRPr="00822E39" w:rsidRDefault="000314D9" w:rsidP="00540C4E">
            <w:pPr>
              <w:jc w:val="center"/>
              <w:rPr>
                <w:rFonts w:ascii="Times New Roman" w:eastAsiaTheme="minorHAnsi" w:hAnsi="Times New Roman" w:cs="Times New Roman"/>
                <w:color w:val="auto"/>
              </w:rPr>
            </w:pPr>
          </w:p>
        </w:tc>
        <w:tc>
          <w:tcPr>
            <w:tcW w:w="1334" w:type="dxa"/>
            <w:vMerge w:val="restart"/>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2017*</w:t>
            </w:r>
          </w:p>
        </w:tc>
        <w:tc>
          <w:tcPr>
            <w:tcW w:w="2552" w:type="dxa"/>
            <w:gridSpan w:val="3"/>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Nodokļu reforma</w:t>
            </w:r>
          </w:p>
        </w:tc>
        <w:tc>
          <w:tcPr>
            <w:tcW w:w="2693" w:type="dxa"/>
            <w:gridSpan w:val="3"/>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Starpība pret 2017.gadu</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vMerge/>
            <w:vAlign w:val="center"/>
            <w:hideMark/>
          </w:tcPr>
          <w:p w:rsidR="000314D9" w:rsidRPr="00822E39" w:rsidRDefault="000314D9" w:rsidP="00540C4E">
            <w:pPr>
              <w:jc w:val="center"/>
              <w:rPr>
                <w:rFonts w:ascii="Times New Roman" w:eastAsiaTheme="minorHAnsi" w:hAnsi="Times New Roman" w:cs="Times New Roman"/>
                <w:color w:val="auto"/>
              </w:rPr>
            </w:pPr>
          </w:p>
        </w:tc>
        <w:tc>
          <w:tcPr>
            <w:tcW w:w="0" w:type="auto"/>
            <w:vMerge/>
            <w:vAlign w:val="center"/>
            <w:hideMark/>
          </w:tcPr>
          <w:p w:rsidR="000314D9" w:rsidRPr="00822E39" w:rsidRDefault="000314D9"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color w:val="auto"/>
              </w:rPr>
            </w:pPr>
          </w:p>
        </w:tc>
        <w:tc>
          <w:tcPr>
            <w:tcW w:w="851" w:type="dxa"/>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2018</w:t>
            </w:r>
          </w:p>
        </w:tc>
        <w:tc>
          <w:tcPr>
            <w:tcW w:w="850" w:type="dxa"/>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2019</w:t>
            </w:r>
          </w:p>
        </w:tc>
        <w:tc>
          <w:tcPr>
            <w:tcW w:w="851" w:type="dxa"/>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2020</w:t>
            </w:r>
          </w:p>
        </w:tc>
        <w:tc>
          <w:tcPr>
            <w:tcW w:w="850" w:type="dxa"/>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2018</w:t>
            </w:r>
          </w:p>
        </w:tc>
        <w:tc>
          <w:tcPr>
            <w:tcW w:w="851" w:type="dxa"/>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2019</w:t>
            </w:r>
          </w:p>
        </w:tc>
        <w:tc>
          <w:tcPr>
            <w:tcW w:w="992" w:type="dxa"/>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822E39">
              <w:rPr>
                <w:rFonts w:ascii="Times New Roman" w:hAnsi="Times New Roman" w:cs="Times New Roman"/>
                <w:b w:val="0"/>
                <w:bCs w:val="0"/>
                <w:color w:val="auto"/>
              </w:rPr>
              <w:t>2020</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b w:val="0"/>
                <w:bCs w:val="0"/>
                <w:color w:val="auto"/>
              </w:rPr>
            </w:pPr>
            <w:r w:rsidRPr="00822E39">
              <w:rPr>
                <w:rFonts w:ascii="Times New Roman" w:hAnsi="Times New Roman" w:cs="Times New Roman"/>
                <w:b w:val="0"/>
                <w:bCs w:val="0"/>
                <w:color w:val="auto"/>
              </w:rPr>
              <w:t>Minimālā alga</w:t>
            </w:r>
            <w:r w:rsidRPr="00822E39">
              <w:rPr>
                <w:rFonts w:ascii="Times New Roman" w:hAnsi="Times New Roman" w:cs="Times New Roman"/>
                <w:color w:val="auto"/>
                <w:vertAlign w:val="superscript"/>
              </w:rPr>
              <w:t>**</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288</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346</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352</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356</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58</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64</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68</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600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436</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456</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462</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467</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19</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26</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30</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800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571</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584</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591</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596</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13</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20</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25</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1</w:t>
            </w:r>
            <w:r w:rsidR="00637E49">
              <w:rPr>
                <w:rFonts w:ascii="Times New Roman" w:hAnsi="Times New Roman" w:cs="Times New Roman"/>
                <w:b w:val="0"/>
                <w:bCs w:val="0"/>
                <w:color w:val="auto"/>
              </w:rPr>
              <w:t> </w:t>
            </w:r>
            <w:r w:rsidRPr="00822E39">
              <w:rPr>
                <w:rFonts w:ascii="Times New Roman" w:hAnsi="Times New Roman" w:cs="Times New Roman"/>
                <w:b w:val="0"/>
                <w:bCs w:val="0"/>
                <w:color w:val="auto"/>
              </w:rPr>
              <w:t>000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705</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712</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719</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725</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7</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14</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20</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1</w:t>
            </w:r>
            <w:r w:rsidR="00637E49">
              <w:rPr>
                <w:rFonts w:ascii="Times New Roman" w:hAnsi="Times New Roman" w:cs="Times New Roman"/>
                <w:b w:val="0"/>
                <w:bCs w:val="0"/>
                <w:color w:val="auto"/>
              </w:rPr>
              <w:t> </w:t>
            </w:r>
            <w:r w:rsidRPr="00822E39">
              <w:rPr>
                <w:rFonts w:ascii="Times New Roman" w:hAnsi="Times New Roman" w:cs="Times New Roman"/>
                <w:b w:val="0"/>
                <w:bCs w:val="0"/>
                <w:color w:val="auto"/>
              </w:rPr>
              <w:t>200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841</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854</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854</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854</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14</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14</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14</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1</w:t>
            </w:r>
            <w:r w:rsidR="00637E49">
              <w:rPr>
                <w:rFonts w:ascii="Times New Roman" w:hAnsi="Times New Roman" w:cs="Times New Roman"/>
                <w:b w:val="0"/>
                <w:bCs w:val="0"/>
                <w:color w:val="auto"/>
              </w:rPr>
              <w:t> </w:t>
            </w:r>
            <w:r w:rsidRPr="00822E39">
              <w:rPr>
                <w:rFonts w:ascii="Times New Roman" w:hAnsi="Times New Roman" w:cs="Times New Roman"/>
                <w:b w:val="0"/>
                <w:bCs w:val="0"/>
                <w:color w:val="auto"/>
              </w:rPr>
              <w:t>400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979</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997</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997</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997</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18</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18</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18</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lastRenderedPageBreak/>
              <w:t>2</w:t>
            </w:r>
            <w:r w:rsidR="00637E49">
              <w:rPr>
                <w:rFonts w:ascii="Times New Roman" w:hAnsi="Times New Roman" w:cs="Times New Roman"/>
                <w:b w:val="0"/>
                <w:bCs w:val="0"/>
                <w:color w:val="auto"/>
              </w:rPr>
              <w:t> </w:t>
            </w:r>
            <w:r w:rsidRPr="00822E39">
              <w:rPr>
                <w:rFonts w:ascii="Times New Roman" w:hAnsi="Times New Roman" w:cs="Times New Roman"/>
                <w:b w:val="0"/>
                <w:bCs w:val="0"/>
                <w:color w:val="auto"/>
              </w:rPr>
              <w:t>000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1 392</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1 414</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1 414</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1 414</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22</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22</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22</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4</w:t>
            </w:r>
            <w:r w:rsidR="00637E49">
              <w:rPr>
                <w:rFonts w:ascii="Times New Roman" w:hAnsi="Times New Roman" w:cs="Times New Roman"/>
                <w:b w:val="0"/>
                <w:bCs w:val="0"/>
                <w:color w:val="auto"/>
              </w:rPr>
              <w:t> </w:t>
            </w:r>
            <w:r w:rsidRPr="00822E39">
              <w:rPr>
                <w:rFonts w:ascii="Times New Roman" w:hAnsi="Times New Roman" w:cs="Times New Roman"/>
                <w:b w:val="0"/>
                <w:bCs w:val="0"/>
                <w:color w:val="auto"/>
              </w:rPr>
              <w:t>000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2 770</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2 778</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2778</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2 778</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8</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8</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8</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6</w:t>
            </w:r>
            <w:r w:rsidR="00637E49">
              <w:rPr>
                <w:rFonts w:ascii="Times New Roman" w:hAnsi="Times New Roman" w:cs="Times New Roman"/>
                <w:b w:val="0"/>
                <w:bCs w:val="0"/>
                <w:color w:val="auto"/>
              </w:rPr>
              <w:t> </w:t>
            </w:r>
            <w:r w:rsidRPr="00822E39">
              <w:rPr>
                <w:rFonts w:ascii="Times New Roman" w:hAnsi="Times New Roman" w:cs="Times New Roman"/>
                <w:b w:val="0"/>
                <w:bCs w:val="0"/>
                <w:color w:val="auto"/>
              </w:rPr>
              <w:t>000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4 149</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4 142</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4 142</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4 142</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-7</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-7</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-7</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8</w:t>
            </w:r>
            <w:r w:rsidR="00637E49">
              <w:rPr>
                <w:rFonts w:ascii="Times New Roman" w:hAnsi="Times New Roman" w:cs="Times New Roman"/>
                <w:b w:val="0"/>
                <w:bCs w:val="0"/>
                <w:color w:val="auto"/>
              </w:rPr>
              <w:t> </w:t>
            </w:r>
            <w:r w:rsidRPr="00822E39">
              <w:rPr>
                <w:rFonts w:ascii="Times New Roman" w:hAnsi="Times New Roman" w:cs="Times New Roman"/>
                <w:b w:val="0"/>
                <w:bCs w:val="0"/>
                <w:color w:val="auto"/>
              </w:rPr>
              <w:t>000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5 527</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5 506</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5 506</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5 506</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-21</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-21</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-21</w:t>
            </w:r>
          </w:p>
        </w:tc>
      </w:tr>
      <w:tr w:rsidR="000314D9" w:rsidRPr="00822E39" w:rsidTr="00C7764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rsidR="000314D9" w:rsidRPr="00822E39" w:rsidRDefault="000314D9" w:rsidP="00540C4E">
            <w:pPr>
              <w:spacing w:line="252" w:lineRule="auto"/>
              <w:jc w:val="center"/>
              <w:rPr>
                <w:rFonts w:ascii="Times New Roman" w:hAnsi="Times New Roman" w:cs="Times New Roman"/>
                <w:color w:val="auto"/>
              </w:rPr>
            </w:pPr>
            <w:r w:rsidRPr="00822E39">
              <w:rPr>
                <w:rFonts w:ascii="Times New Roman" w:hAnsi="Times New Roman" w:cs="Times New Roman"/>
                <w:b w:val="0"/>
                <w:bCs w:val="0"/>
                <w:color w:val="auto"/>
              </w:rPr>
              <w:t>10</w:t>
            </w:r>
            <w:r w:rsidR="00637E49">
              <w:rPr>
                <w:rFonts w:ascii="Times New Roman" w:hAnsi="Times New Roman" w:cs="Times New Roman"/>
                <w:b w:val="0"/>
                <w:bCs w:val="0"/>
                <w:color w:val="auto"/>
              </w:rPr>
              <w:t> </w:t>
            </w:r>
            <w:r w:rsidRPr="00822E39">
              <w:rPr>
                <w:rFonts w:ascii="Times New Roman" w:hAnsi="Times New Roman" w:cs="Times New Roman"/>
                <w:b w:val="0"/>
                <w:bCs w:val="0"/>
                <w:color w:val="auto"/>
              </w:rPr>
              <w:t>000</w:t>
            </w:r>
          </w:p>
        </w:tc>
        <w:tc>
          <w:tcPr>
            <w:tcW w:w="1334"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6 905</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6 870</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6 870</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6</w:t>
            </w:r>
            <w:r w:rsidR="00540C4E">
              <w:rPr>
                <w:rFonts w:ascii="Times New Roman" w:hAnsi="Times New Roman" w:cs="Times New Roman"/>
                <w:color w:val="auto"/>
              </w:rPr>
              <w:t> </w:t>
            </w:r>
            <w:r w:rsidRPr="00822E39">
              <w:rPr>
                <w:rFonts w:ascii="Times New Roman" w:hAnsi="Times New Roman" w:cs="Times New Roman"/>
                <w:color w:val="auto"/>
              </w:rPr>
              <w:t>870</w:t>
            </w:r>
          </w:p>
        </w:tc>
        <w:tc>
          <w:tcPr>
            <w:tcW w:w="850"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-35</w:t>
            </w:r>
          </w:p>
        </w:tc>
        <w:tc>
          <w:tcPr>
            <w:tcW w:w="851"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-35</w:t>
            </w:r>
          </w:p>
        </w:tc>
        <w:tc>
          <w:tcPr>
            <w:tcW w:w="992" w:type="dxa"/>
            <w:noWrap/>
            <w:vAlign w:val="center"/>
            <w:hideMark/>
          </w:tcPr>
          <w:p w:rsidR="000314D9" w:rsidRPr="00822E39" w:rsidRDefault="000314D9" w:rsidP="00540C4E">
            <w:pPr>
              <w:spacing w:line="25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22E39">
              <w:rPr>
                <w:rFonts w:ascii="Times New Roman" w:hAnsi="Times New Roman" w:cs="Times New Roman"/>
                <w:color w:val="auto"/>
              </w:rPr>
              <w:t>-35</w:t>
            </w:r>
          </w:p>
        </w:tc>
      </w:tr>
    </w:tbl>
    <w:p w:rsidR="000314D9" w:rsidRPr="00C77649" w:rsidRDefault="00540C4E" w:rsidP="00C77649">
      <w:pPr>
        <w:spacing w:after="0"/>
        <w:jc w:val="both"/>
        <w:rPr>
          <w:rFonts w:ascii="Times New Roman" w:eastAsiaTheme="minorHAnsi" w:hAnsi="Times New Roman" w:cs="Times New Roman"/>
          <w:i/>
          <w:iCs/>
          <w:sz w:val="20"/>
        </w:rPr>
      </w:pPr>
      <w:r w:rsidRPr="00C77649">
        <w:rPr>
          <w:rFonts w:ascii="Times New Roman" w:hAnsi="Times New Roman" w:cs="Times New Roman"/>
          <w:i/>
          <w:iCs/>
          <w:color w:val="000000"/>
          <w:sz w:val="20"/>
          <w:vertAlign w:val="superscript"/>
        </w:rPr>
        <w:t>*</w:t>
      </w:r>
      <w:r w:rsidR="000314D9" w:rsidRPr="00C77649">
        <w:rPr>
          <w:rFonts w:ascii="Times New Roman" w:hAnsi="Times New Roman" w:cs="Times New Roman"/>
          <w:i/>
          <w:iCs/>
          <w:color w:val="000000"/>
          <w:sz w:val="20"/>
        </w:rPr>
        <w:t xml:space="preserve">Kopā </w:t>
      </w:r>
      <w:r w:rsidR="000314D9" w:rsidRPr="00C77649">
        <w:rPr>
          <w:rFonts w:ascii="Times New Roman" w:hAnsi="Times New Roman" w:cs="Times New Roman"/>
          <w:i/>
          <w:iCs/>
          <w:sz w:val="20"/>
        </w:rPr>
        <w:t>ar papildus atgūstamo IIN, kas rodas, ja strādājošais, 2018.gadā iesniedz gada ienākuma deklarāciju.</w:t>
      </w:r>
    </w:p>
    <w:p w:rsidR="000314D9" w:rsidRPr="00C77649" w:rsidRDefault="000314D9" w:rsidP="00C77649">
      <w:pPr>
        <w:spacing w:after="0"/>
        <w:jc w:val="both"/>
        <w:rPr>
          <w:rFonts w:ascii="Times New Roman" w:hAnsi="Times New Roman" w:cs="Times New Roman"/>
          <w:b/>
          <w:bCs/>
          <w:i/>
          <w:iCs/>
          <w:sz w:val="20"/>
          <w:lang w:eastAsia="lv-LV"/>
        </w:rPr>
      </w:pPr>
      <w:r w:rsidRPr="00C77649">
        <w:rPr>
          <w:rFonts w:ascii="Times New Roman" w:hAnsi="Times New Roman" w:cs="Times New Roman"/>
          <w:i/>
          <w:iCs/>
          <w:color w:val="000000"/>
          <w:sz w:val="20"/>
          <w:vertAlign w:val="superscript"/>
        </w:rPr>
        <w:t>**</w:t>
      </w:r>
      <w:r w:rsidRPr="00C77649">
        <w:rPr>
          <w:rFonts w:ascii="Times New Roman" w:hAnsi="Times New Roman" w:cs="Times New Roman"/>
          <w:i/>
          <w:iCs/>
          <w:color w:val="000000"/>
          <w:sz w:val="20"/>
        </w:rPr>
        <w:t>Minimālā alga: 2017.gadā 380 euro mēnesī; 2018.</w:t>
      </w:r>
      <w:r w:rsidR="00DD350B" w:rsidRPr="00DD350B">
        <w:rPr>
          <w:rFonts w:ascii="Times New Roman" w:hAnsi="Times New Roman" w:cs="Times New Roman"/>
          <w:i/>
          <w:iCs/>
          <w:color w:val="000000"/>
          <w:sz w:val="20"/>
        </w:rPr>
        <w:t xml:space="preserve"> –</w:t>
      </w:r>
      <w:r w:rsidR="00DD350B">
        <w:rPr>
          <w:rFonts w:ascii="Times New Roman" w:eastAsia="Calibri" w:hAnsi="Times New Roman" w:cs="Times New Roman"/>
          <w:sz w:val="24"/>
          <w:szCs w:val="24"/>
        </w:rPr>
        <w:t xml:space="preserve"> </w:t>
      </w:r>
      <w:r w:rsidRPr="00C77649">
        <w:rPr>
          <w:rFonts w:ascii="Times New Roman" w:hAnsi="Times New Roman" w:cs="Times New Roman"/>
          <w:i/>
          <w:iCs/>
          <w:color w:val="000000"/>
          <w:sz w:val="20"/>
        </w:rPr>
        <w:t>2020.g. 430 euro mēnesī</w:t>
      </w:r>
    </w:p>
    <w:p w:rsidR="000314D9" w:rsidRPr="00C77649" w:rsidRDefault="000314D9" w:rsidP="00C77649">
      <w:pPr>
        <w:spacing w:after="0"/>
        <w:jc w:val="both"/>
        <w:rPr>
          <w:rFonts w:ascii="Times New Roman" w:hAnsi="Times New Roman" w:cs="Times New Roman"/>
          <w:i/>
          <w:iCs/>
          <w:sz w:val="20"/>
        </w:rPr>
      </w:pPr>
      <w:r w:rsidRPr="00C77649">
        <w:rPr>
          <w:rFonts w:ascii="Times New Roman" w:hAnsi="Times New Roman" w:cs="Times New Roman"/>
          <w:b/>
          <w:bCs/>
          <w:i/>
          <w:iCs/>
          <w:sz w:val="20"/>
        </w:rPr>
        <w:t>Avots:</w:t>
      </w:r>
      <w:r w:rsidRPr="00C77649">
        <w:rPr>
          <w:rFonts w:ascii="Times New Roman" w:hAnsi="Times New Roman" w:cs="Times New Roman"/>
          <w:b/>
          <w:bCs/>
          <w:sz w:val="20"/>
        </w:rPr>
        <w:t xml:space="preserve"> </w:t>
      </w:r>
      <w:r w:rsidRPr="00C77649">
        <w:rPr>
          <w:rFonts w:ascii="Times New Roman" w:hAnsi="Times New Roman" w:cs="Times New Roman"/>
          <w:i/>
          <w:iCs/>
          <w:sz w:val="20"/>
        </w:rPr>
        <w:t>FM aprēķini</w:t>
      </w:r>
    </w:p>
    <w:p w:rsidR="00540C4E" w:rsidRDefault="00540C4E" w:rsidP="00540C4E">
      <w:pPr>
        <w:spacing w:after="0" w:line="240" w:lineRule="auto"/>
        <w:ind w:firstLine="720"/>
        <w:jc w:val="both"/>
        <w:rPr>
          <w:rFonts w:ascii="Times New Roman" w:hAnsi="Times New Roman" w:cs="Times New Roman"/>
          <w:sz w:val="24"/>
        </w:rPr>
      </w:pPr>
    </w:p>
    <w:p w:rsidR="000314D9" w:rsidRDefault="000314D9" w:rsidP="00540C4E">
      <w:pPr>
        <w:spacing w:after="0" w:line="240" w:lineRule="auto"/>
        <w:ind w:firstLine="720"/>
        <w:jc w:val="both"/>
        <w:rPr>
          <w:rFonts w:ascii="Times New Roman" w:hAnsi="Times New Roman" w:cs="Times New Roman"/>
          <w:sz w:val="24"/>
        </w:rPr>
      </w:pPr>
      <w:r w:rsidRPr="00822E39">
        <w:rPr>
          <w:rFonts w:ascii="Times New Roman" w:hAnsi="Times New Roman" w:cs="Times New Roman"/>
          <w:sz w:val="24"/>
        </w:rPr>
        <w:t>Pēc FM aprēķiniem, ieviešot plānotās darbaspēka nodokļu izmaiņas, darbaspēka nodokļa plaisas rādītājs</w:t>
      </w:r>
      <w:r w:rsidRPr="00822E39">
        <w:rPr>
          <w:rFonts w:ascii="Times New Roman" w:hAnsi="Times New Roman" w:cs="Times New Roman"/>
          <w:color w:val="1F497D"/>
          <w:sz w:val="24"/>
        </w:rPr>
        <w:t xml:space="preserve"> </w:t>
      </w:r>
      <w:r w:rsidRPr="00822E39">
        <w:rPr>
          <w:rFonts w:ascii="Times New Roman" w:hAnsi="Times New Roman" w:cs="Times New Roman"/>
          <w:sz w:val="24"/>
        </w:rPr>
        <w:t>strādājošajam bez apgādībā esošām personām, kas saņem 67% no vidējās darba algas, Latvijā samazināsies no 41,9% 2015.gadā (</w:t>
      </w:r>
      <w:r w:rsidRPr="00822E39">
        <w:rPr>
          <w:rFonts w:ascii="Times New Roman" w:hAnsi="Times New Roman" w:cs="Times New Roman"/>
          <w:i/>
          <w:iCs/>
          <w:sz w:val="24"/>
        </w:rPr>
        <w:t>Eurostat</w:t>
      </w:r>
      <w:r w:rsidRPr="00822E39">
        <w:rPr>
          <w:rFonts w:ascii="Times New Roman" w:hAnsi="Times New Roman" w:cs="Times New Roman"/>
          <w:sz w:val="24"/>
        </w:rPr>
        <w:t xml:space="preserve"> dati) līdz pat 39,1%. </w:t>
      </w:r>
    </w:p>
    <w:p w:rsidR="00540C4E" w:rsidRPr="00822E39" w:rsidRDefault="00540C4E" w:rsidP="00540C4E">
      <w:pPr>
        <w:spacing w:after="0" w:line="240" w:lineRule="auto"/>
        <w:ind w:firstLine="720"/>
        <w:jc w:val="both"/>
        <w:rPr>
          <w:rFonts w:ascii="Times New Roman" w:hAnsi="Times New Roman" w:cs="Times New Roman"/>
          <w:sz w:val="24"/>
        </w:rPr>
      </w:pPr>
    </w:p>
    <w:p w:rsidR="000314D9" w:rsidRPr="00822E39" w:rsidRDefault="000314D9" w:rsidP="00540C4E">
      <w:pPr>
        <w:jc w:val="center"/>
        <w:rPr>
          <w:rFonts w:ascii="Times New Roman" w:hAnsi="Times New Roman" w:cs="Times New Roman"/>
        </w:rPr>
      </w:pPr>
      <w:r w:rsidRPr="00822E39">
        <w:rPr>
          <w:rFonts w:ascii="Times New Roman" w:hAnsi="Times New Roman" w:cs="Times New Roman"/>
          <w:noProof/>
          <w:lang w:eastAsia="lv-LV"/>
        </w:rPr>
        <w:drawing>
          <wp:inline distT="0" distB="0" distL="0" distR="0">
            <wp:extent cx="2626995" cy="2693865"/>
            <wp:effectExtent l="0" t="0" r="1905" b="0"/>
            <wp:docPr id="8" name="Picture 8" descr="cid:image001.png@01D333AE.E5206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descr="cid:image001.png@01D333AE.E5206D3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63390" cy="2731187"/>
                    </a:xfrm>
                    <a:prstGeom prst="rect">
                      <a:avLst/>
                    </a:prstGeom>
                    <a:noFill/>
                    <a:ln>
                      <a:noFill/>
                    </a:ln>
                  </pic:spPr>
                </pic:pic>
              </a:graphicData>
            </a:graphic>
          </wp:inline>
        </w:drawing>
      </w:r>
      <w:r w:rsidRPr="00822E39">
        <w:rPr>
          <w:rFonts w:ascii="Times New Roman" w:hAnsi="Times New Roman" w:cs="Times New Roman"/>
          <w:noProof/>
          <w:lang w:eastAsia="lv-LV"/>
        </w:rPr>
        <w:drawing>
          <wp:inline distT="0" distB="0" distL="0" distR="0">
            <wp:extent cx="2571750" cy="2689892"/>
            <wp:effectExtent l="0" t="0" r="0" b="0"/>
            <wp:docPr id="33" name="Picture 33" descr="cid:image002.png@01D333AE.E5206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cid:image002.png@01D333AE.E5206D3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96453" cy="2715729"/>
                    </a:xfrm>
                    <a:prstGeom prst="rect">
                      <a:avLst/>
                    </a:prstGeom>
                    <a:noFill/>
                    <a:ln>
                      <a:noFill/>
                    </a:ln>
                  </pic:spPr>
                </pic:pic>
              </a:graphicData>
            </a:graphic>
          </wp:inline>
        </w:drawing>
      </w:r>
    </w:p>
    <w:p w:rsidR="000314D9" w:rsidRPr="00822E39" w:rsidRDefault="000314D9" w:rsidP="000314D9">
      <w:pPr>
        <w:rPr>
          <w:rFonts w:ascii="Times New Roman" w:hAnsi="Times New Roman" w:cs="Times New Roman"/>
          <w:i/>
          <w:iCs/>
        </w:rPr>
      </w:pPr>
      <w:r w:rsidRPr="00822E39">
        <w:rPr>
          <w:rFonts w:ascii="Times New Roman" w:hAnsi="Times New Roman" w:cs="Times New Roman"/>
          <w:b/>
          <w:bCs/>
          <w:i/>
          <w:iCs/>
        </w:rPr>
        <w:t xml:space="preserve">Avots: </w:t>
      </w:r>
      <w:r w:rsidRPr="00822E39">
        <w:rPr>
          <w:rFonts w:ascii="Times New Roman" w:hAnsi="Times New Roman" w:cs="Times New Roman"/>
          <w:i/>
          <w:iCs/>
        </w:rPr>
        <w:t>FM aprēķini</w:t>
      </w:r>
    </w:p>
    <w:p w:rsidR="000314D9" w:rsidRPr="00031110" w:rsidRDefault="00FE2F8B" w:rsidP="00C77649">
      <w:pPr>
        <w:spacing w:after="120"/>
        <w:jc w:val="center"/>
        <w:rPr>
          <w:rFonts w:ascii="Times New Roman" w:hAnsi="Times New Roman" w:cs="Times New Roman"/>
          <w:b/>
          <w:bCs/>
          <w:sz w:val="24"/>
          <w:szCs w:val="24"/>
        </w:rPr>
      </w:pPr>
      <w:r w:rsidRPr="00031110">
        <w:rPr>
          <w:rFonts w:ascii="Times New Roman" w:hAnsi="Times New Roman" w:cs="Times New Roman"/>
          <w:b/>
          <w:bCs/>
          <w:sz w:val="24"/>
          <w:szCs w:val="24"/>
        </w:rPr>
        <w:t>3.3</w:t>
      </w:r>
      <w:r w:rsidR="000314D9" w:rsidRPr="00031110">
        <w:rPr>
          <w:rFonts w:ascii="Times New Roman" w:hAnsi="Times New Roman" w:cs="Times New Roman"/>
          <w:b/>
          <w:bCs/>
          <w:sz w:val="24"/>
          <w:szCs w:val="24"/>
        </w:rPr>
        <w:t>.attēls. Nodokļu plaisas izmaiņas pēc nodokļu reformas</w:t>
      </w:r>
    </w:p>
    <w:p w:rsidR="000314D9" w:rsidRPr="0014591D" w:rsidRDefault="000314D9" w:rsidP="00DD350B">
      <w:pPr>
        <w:spacing w:before="120" w:after="0" w:line="240" w:lineRule="auto"/>
        <w:ind w:firstLine="720"/>
        <w:jc w:val="both"/>
        <w:rPr>
          <w:rFonts w:ascii="Times New Roman" w:hAnsi="Times New Roman"/>
          <w:bCs/>
          <w:sz w:val="24"/>
          <w:szCs w:val="24"/>
          <w:shd w:val="clear" w:color="auto" w:fill="FFFFFF"/>
        </w:rPr>
      </w:pPr>
      <w:r w:rsidRPr="0014591D">
        <w:rPr>
          <w:rFonts w:ascii="Times New Roman" w:hAnsi="Times New Roman"/>
          <w:bCs/>
          <w:sz w:val="24"/>
          <w:szCs w:val="24"/>
          <w:shd w:val="clear" w:color="auto" w:fill="FFFFFF"/>
        </w:rPr>
        <w:t xml:space="preserve">Atbilstoši FM novērtējumam nodokļu reforma pozitīvi ietekmēs arī Džini koeficientu strādājošajiem, kā arī nodrošinās, ka Latvijā būs lielākais IIN atvieglojums par apgādībā esošu personu starp pārējām Baltijas valstīs. </w:t>
      </w:r>
    </w:p>
    <w:p w:rsidR="000314D9" w:rsidRPr="00230155" w:rsidRDefault="000314D9" w:rsidP="00197051">
      <w:pPr>
        <w:spacing w:after="0" w:line="240" w:lineRule="auto"/>
        <w:ind w:firstLine="709"/>
        <w:jc w:val="both"/>
        <w:rPr>
          <w:rFonts w:ascii="Times New Roman" w:eastAsia="Times New Roman" w:hAnsi="Times New Roman" w:cs="Times New Roman"/>
          <w:sz w:val="24"/>
          <w:szCs w:val="20"/>
        </w:rPr>
      </w:pPr>
      <w:r w:rsidRPr="0014591D">
        <w:rPr>
          <w:rFonts w:ascii="Times New Roman" w:eastAsia="Calibri" w:hAnsi="Times New Roman" w:cs="Times New Roman"/>
          <w:b/>
          <w:sz w:val="24"/>
          <w:szCs w:val="20"/>
        </w:rPr>
        <w:t>Attiecībā uz ceturto prioritāro attīstības virzienu</w:t>
      </w:r>
      <w:r w:rsidRPr="0014591D">
        <w:rPr>
          <w:rFonts w:ascii="Times New Roman" w:eastAsia="Calibri" w:hAnsi="Times New Roman" w:cs="Times New Roman"/>
          <w:sz w:val="24"/>
          <w:szCs w:val="20"/>
        </w:rPr>
        <w:t xml:space="preserve"> </w:t>
      </w:r>
      <w:r w:rsidRPr="0014591D">
        <w:rPr>
          <w:rFonts w:ascii="Times New Roman" w:hAnsi="Times New Roman"/>
          <w:bCs/>
          <w:sz w:val="24"/>
          <w:szCs w:val="24"/>
          <w:shd w:val="clear" w:color="auto" w:fill="FFFFFF"/>
        </w:rPr>
        <w:t xml:space="preserve">Latvija tradicionāli ir valsts ar relatīvi zemu nodokļu slogu, kas ir arī viens no zemākajiem rādītājiem ES. Iepriekšējos Ietvara likumos kā prioritāte tika izvirzīta nodokļu ieņēmumu palielināšana ar mērķi sasniegt 1/3 no IKP. Arī šajā Ietvara likumā šis mērķis tiek saglabāts, tomēr akcenti ir savādāki. Kā jau iepriekš tika minēts, 2017.gadā tika pieņemta vērienīga nodokļu reforma, kuras mērķis ir nodrošināt ekonomikas izrāvienu un kas ietver pasākumus, kuru tiešais efekts ir ieņēmumu samazinājums vidējā termiņā – to nosaka gan IIN likmes samazināšana, gan UIN avansa maksājumu atcelšana. Šie pasākumi bija nepieciešami, lai uzlabotu uzņēmējdarbības vidi, samazinot darbaspēka izmaksas un sekmējot uzņēmumu bilanču uzlabošanu. Tādā nozīmē fiskālās politikas mērķis </w:t>
      </w:r>
      <w:r w:rsidR="00DD350B" w:rsidRPr="00F14E08">
        <w:rPr>
          <w:rFonts w:ascii="Times New Roman" w:eastAsia="Calibri" w:hAnsi="Times New Roman" w:cs="Times New Roman"/>
          <w:sz w:val="24"/>
          <w:szCs w:val="24"/>
        </w:rPr>
        <w:t>–</w:t>
      </w:r>
      <w:r w:rsidRPr="0014591D">
        <w:rPr>
          <w:rFonts w:ascii="Times New Roman" w:hAnsi="Times New Roman"/>
          <w:bCs/>
          <w:sz w:val="24"/>
          <w:szCs w:val="24"/>
          <w:shd w:val="clear" w:color="auto" w:fill="FFFFFF"/>
        </w:rPr>
        <w:t xml:space="preserve"> sekmēt izaugsmi un kāpināt nodokļu ieņēmumus pret IKP </w:t>
      </w:r>
      <w:r w:rsidR="00DD350B" w:rsidRPr="00F14E08">
        <w:rPr>
          <w:rFonts w:ascii="Times New Roman" w:eastAsia="Calibri" w:hAnsi="Times New Roman" w:cs="Times New Roman"/>
          <w:sz w:val="24"/>
          <w:szCs w:val="24"/>
        </w:rPr>
        <w:t>–</w:t>
      </w:r>
      <w:r w:rsidRPr="0014591D">
        <w:rPr>
          <w:rFonts w:ascii="Times New Roman" w:hAnsi="Times New Roman"/>
          <w:bCs/>
          <w:sz w:val="24"/>
          <w:szCs w:val="24"/>
          <w:shd w:val="clear" w:color="auto" w:fill="FFFFFF"/>
        </w:rPr>
        <w:t xml:space="preserve"> ir zināmā mērā pretrunīgi un aktuālajā Ietvara likumā ir atrasts politiski pieņemams balanss starp šiem mērķiem. Pieņemtā nodokļu reformas pakete šajā ziņā ir labvēlīgāka ieņēmumu pret IKP nodrošināšanā, nekā sākotnējā iepriekšējā Stabilitātes programmā aprakstītā reformas versija, kas priekšplānā izvirzīja ekonomikas stimulēšanas mērķi. Pašlaik vairāk kā </w:t>
      </w:r>
      <w:r w:rsidRPr="0014591D">
        <w:rPr>
          <w:rFonts w:ascii="Times New Roman" w:hAnsi="Times New Roman"/>
          <w:bCs/>
          <w:sz w:val="24"/>
          <w:szCs w:val="24"/>
          <w:shd w:val="clear" w:color="auto" w:fill="FFFFFF"/>
        </w:rPr>
        <w:lastRenderedPageBreak/>
        <w:t>iepriekšējos gados tiek atzīts, ka svarīgi ir nodrošināt reālo ieņēmumu pieaugumu, lai finansētu valsts vajadzības, nevis primāri koncentrēties uz ieņēmumu attiecību pret IKP. Ja valsts ar politikas pasākumiem nodrošina ilgtermiņā straujāku reālā IKP pieaugumu, kas veicina proporcionāli lielākus reālos ieņēmumus, tad ieņēmumu attiecība pret IKP nav primāri noteicošā. Līdz ar to šis prioritārais attīstības virziens netiek atcelts, bet priekšplānā netiek izvirzīts jautājums par to, cik ātri šī attiecība konverģē uz 1/3, bet gan primāri svarīgs ir jautājums par ekonomikas izaugsmi.</w:t>
      </w:r>
    </w:p>
    <w:bookmarkEnd w:id="26"/>
    <w:bookmarkEnd w:id="27"/>
    <w:bookmarkEnd w:id="28"/>
    <w:bookmarkEnd w:id="29"/>
    <w:bookmarkEnd w:id="30"/>
    <w:p w:rsidR="000314D9" w:rsidRPr="00C36002" w:rsidRDefault="000314D9" w:rsidP="00197051">
      <w:pPr>
        <w:spacing w:after="0" w:line="240" w:lineRule="auto"/>
        <w:ind w:firstLine="709"/>
        <w:jc w:val="both"/>
        <w:rPr>
          <w:rFonts w:ascii="Times New Roman" w:eastAsia="Calibri" w:hAnsi="Times New Roman" w:cs="Times New Roman"/>
          <w:color w:val="000000"/>
          <w:sz w:val="24"/>
          <w:szCs w:val="24"/>
        </w:rPr>
      </w:pPr>
      <w:r w:rsidRPr="00C36002">
        <w:rPr>
          <w:rFonts w:ascii="Times New Roman" w:eastAsia="Calibri" w:hAnsi="Times New Roman" w:cs="Times New Roman"/>
          <w:color w:val="000000"/>
          <w:sz w:val="24"/>
          <w:szCs w:val="24"/>
        </w:rPr>
        <w:t xml:space="preserve">Lai varētu piešķirt papildus finansējumu </w:t>
      </w:r>
      <w:r w:rsidRPr="00C36002">
        <w:rPr>
          <w:rFonts w:ascii="Times New Roman" w:eastAsia="Calibri" w:hAnsi="Times New Roman" w:cs="Times New Roman"/>
          <w:sz w:val="24"/>
          <w:szCs w:val="24"/>
        </w:rPr>
        <w:t>vidēja termiņa budžeta prioritārajiem attīstības virzieniem, kā arī finansēt neatliekamus pasākumus, nepieciešama fiskālā telpa.</w:t>
      </w:r>
    </w:p>
    <w:p w:rsidR="000314D9" w:rsidRDefault="000314D9" w:rsidP="000314D9">
      <w:pPr>
        <w:spacing w:after="0" w:line="240" w:lineRule="auto"/>
        <w:ind w:firstLine="709"/>
        <w:jc w:val="both"/>
        <w:rPr>
          <w:rFonts w:ascii="Times New Roman" w:eastAsia="Calibri" w:hAnsi="Times New Roman" w:cs="Times New Roman"/>
          <w:color w:val="000000"/>
          <w:sz w:val="24"/>
          <w:szCs w:val="24"/>
        </w:rPr>
      </w:pPr>
      <w:r w:rsidRPr="00C36002">
        <w:rPr>
          <w:rFonts w:ascii="Times New Roman" w:eastAsia="Calibri" w:hAnsi="Times New Roman" w:cs="Times New Roman"/>
          <w:color w:val="000000"/>
          <w:sz w:val="24"/>
          <w:szCs w:val="24"/>
        </w:rPr>
        <w:t>Fiskālā telpa tika aprēķināta un izskatīta 2017.gada 22.augusta MK sēdē, kurā tika skatīts informatīvais ziņojums "Par makroekonomisko rādītāju, ieņēmumu un vispārējās valdības budžeta bilances prognozēm 2018.</w:t>
      </w:r>
      <w:r w:rsidR="00C77A46" w:rsidRPr="00C77A46">
        <w:rPr>
          <w:rFonts w:ascii="Times New Roman" w:hAnsi="Times New Roman"/>
          <w:bCs/>
          <w:sz w:val="24"/>
          <w:szCs w:val="24"/>
          <w:shd w:val="clear" w:color="auto" w:fill="FFFFFF"/>
        </w:rPr>
        <w:t xml:space="preserve"> </w:t>
      </w:r>
      <w:r w:rsidR="00C77A46" w:rsidRPr="0014591D">
        <w:rPr>
          <w:rFonts w:ascii="Times New Roman" w:hAnsi="Times New Roman"/>
          <w:bCs/>
          <w:sz w:val="24"/>
          <w:szCs w:val="24"/>
          <w:shd w:val="clear" w:color="auto" w:fill="FFFFFF"/>
        </w:rPr>
        <w:t>–</w:t>
      </w:r>
      <w:r w:rsidR="00DD350B">
        <w:rPr>
          <w:rFonts w:ascii="Times New Roman" w:hAnsi="Times New Roman"/>
          <w:bCs/>
          <w:sz w:val="24"/>
          <w:szCs w:val="24"/>
          <w:shd w:val="clear" w:color="auto" w:fill="FFFFFF"/>
        </w:rPr>
        <w:t xml:space="preserve"> </w:t>
      </w:r>
      <w:r w:rsidRPr="00C36002">
        <w:rPr>
          <w:rFonts w:ascii="Times New Roman" w:eastAsia="Calibri" w:hAnsi="Times New Roman" w:cs="Times New Roman"/>
          <w:color w:val="000000"/>
          <w:sz w:val="24"/>
          <w:szCs w:val="24"/>
        </w:rPr>
        <w:t xml:space="preserve">2020.gadā". Atbilstoši Finanšu ministrijas aprēķiniem, sākotnējais „Fiskālās telpas” apjoms vispārējās valdības budžetā 2018.gadā bija +63,2 milj. </w:t>
      </w:r>
      <w:r w:rsidRPr="00633484">
        <w:rPr>
          <w:rFonts w:ascii="Times New Roman" w:eastAsia="Calibri" w:hAnsi="Times New Roman" w:cs="Times New Roman"/>
          <w:i/>
          <w:color w:val="000000"/>
          <w:sz w:val="24"/>
          <w:szCs w:val="24"/>
        </w:rPr>
        <w:t>euro</w:t>
      </w:r>
      <w:r w:rsidRPr="00C36002">
        <w:rPr>
          <w:rFonts w:ascii="Times New Roman" w:eastAsia="Calibri" w:hAnsi="Times New Roman" w:cs="Times New Roman"/>
          <w:color w:val="000000"/>
          <w:sz w:val="24"/>
          <w:szCs w:val="24"/>
        </w:rPr>
        <w:t xml:space="preserve"> apmērā, 2019.gadā</w:t>
      </w:r>
      <w:r w:rsidR="00C77A46">
        <w:rPr>
          <w:rFonts w:ascii="Times New Roman" w:eastAsia="Calibri" w:hAnsi="Times New Roman" w:cs="Times New Roman"/>
          <w:color w:val="000000"/>
          <w:sz w:val="24"/>
          <w:szCs w:val="24"/>
        </w:rPr>
        <w:t xml:space="preserve"> </w:t>
      </w:r>
      <w:r w:rsidR="00C77A46" w:rsidRPr="0014591D">
        <w:rPr>
          <w:rFonts w:ascii="Times New Roman" w:hAnsi="Times New Roman"/>
          <w:bCs/>
          <w:sz w:val="24"/>
          <w:szCs w:val="24"/>
          <w:shd w:val="clear" w:color="auto" w:fill="FFFFFF"/>
        </w:rPr>
        <w:t>–</w:t>
      </w:r>
      <w:r w:rsidR="00C77A46">
        <w:rPr>
          <w:rFonts w:ascii="Times New Roman" w:eastAsia="Calibri" w:hAnsi="Times New Roman" w:cs="Times New Roman"/>
          <w:color w:val="000000"/>
          <w:sz w:val="24"/>
          <w:szCs w:val="24"/>
        </w:rPr>
        <w:t xml:space="preserve"> </w:t>
      </w:r>
      <w:r w:rsidRPr="00C36002">
        <w:rPr>
          <w:rFonts w:ascii="Times New Roman" w:eastAsia="Calibri" w:hAnsi="Times New Roman" w:cs="Times New Roman"/>
          <w:color w:val="000000"/>
          <w:sz w:val="24"/>
          <w:szCs w:val="24"/>
        </w:rPr>
        <w:t xml:space="preserve">42,0 milj. </w:t>
      </w:r>
      <w:r w:rsidRPr="00633484">
        <w:rPr>
          <w:rFonts w:ascii="Times New Roman" w:eastAsia="Calibri" w:hAnsi="Times New Roman" w:cs="Times New Roman"/>
          <w:i/>
          <w:color w:val="000000"/>
          <w:sz w:val="24"/>
          <w:szCs w:val="24"/>
        </w:rPr>
        <w:t>euro</w:t>
      </w:r>
      <w:r w:rsidRPr="00C36002">
        <w:rPr>
          <w:rFonts w:ascii="Times New Roman" w:eastAsia="Calibri" w:hAnsi="Times New Roman" w:cs="Times New Roman"/>
          <w:color w:val="000000"/>
          <w:sz w:val="24"/>
          <w:szCs w:val="24"/>
        </w:rPr>
        <w:t xml:space="preserve"> apmērā un 2020.gadā +107,3 milj. </w:t>
      </w:r>
      <w:r w:rsidRPr="00633484">
        <w:rPr>
          <w:rFonts w:ascii="Times New Roman" w:eastAsia="Calibri" w:hAnsi="Times New Roman" w:cs="Times New Roman"/>
          <w:i/>
          <w:color w:val="000000"/>
          <w:sz w:val="24"/>
          <w:szCs w:val="24"/>
        </w:rPr>
        <w:t>euro</w:t>
      </w:r>
      <w:r w:rsidRPr="00C36002">
        <w:rPr>
          <w:rFonts w:ascii="Times New Roman" w:eastAsia="Calibri" w:hAnsi="Times New Roman" w:cs="Times New Roman"/>
          <w:color w:val="000000"/>
          <w:sz w:val="24"/>
          <w:szCs w:val="24"/>
        </w:rPr>
        <w:t xml:space="preserve"> apmērā. Ņemot vērā, ka 2019.gadā fiskālā telpa sākotnēji tika noteikta negatīva, MK bija jāpieņem lēmumi, kas ne tikai likvidētu negatīvo fiskālo telpu 2019.gadā, bet arī nodrošinātu neatliekamo vajadzību finansēšanu. Līdz ar to vairākās secīgās valdības sēdēs tika pieņemti lēmumi par budžeta ieņēmumus un izdevumus koriģējošiem pasākumiem.</w:t>
      </w:r>
    </w:p>
    <w:p w:rsidR="000314D9" w:rsidRPr="00C36002" w:rsidRDefault="000314D9" w:rsidP="000314D9">
      <w:pPr>
        <w:spacing w:before="120" w:after="60" w:line="240" w:lineRule="auto"/>
        <w:ind w:left="1072"/>
        <w:jc w:val="right"/>
        <w:rPr>
          <w:rFonts w:ascii="Times New Roman" w:eastAsia="Calibri" w:hAnsi="Times New Roman" w:cs="Times New Roman"/>
          <w:b/>
          <w:color w:val="000000"/>
          <w:sz w:val="24"/>
          <w:szCs w:val="24"/>
        </w:rPr>
      </w:pPr>
      <w:r w:rsidRPr="00C36002">
        <w:rPr>
          <w:rFonts w:ascii="Times New Roman" w:eastAsia="Calibri" w:hAnsi="Times New Roman" w:cs="Times New Roman"/>
          <w:b/>
          <w:color w:val="000000"/>
          <w:sz w:val="24"/>
          <w:szCs w:val="24"/>
        </w:rPr>
        <w:t xml:space="preserve">3.6.tabula. Ieņēmumus palielinoši pasākumi (virs 1 milj. </w:t>
      </w:r>
      <w:r w:rsidRPr="00C36002">
        <w:rPr>
          <w:rFonts w:ascii="Times New Roman" w:eastAsia="Calibri" w:hAnsi="Times New Roman" w:cs="Times New Roman"/>
          <w:b/>
          <w:i/>
          <w:color w:val="000000"/>
          <w:sz w:val="24"/>
          <w:szCs w:val="24"/>
        </w:rPr>
        <w:t>euro</w:t>
      </w:r>
      <w:r w:rsidRPr="00C36002">
        <w:rPr>
          <w:rFonts w:ascii="Times New Roman" w:eastAsia="Calibri" w:hAnsi="Times New Roman" w:cs="Times New Roman"/>
          <w:b/>
          <w:color w:val="000000"/>
          <w:sz w:val="24"/>
          <w:szCs w:val="24"/>
        </w:rPr>
        <w:t>)</w:t>
      </w:r>
    </w:p>
    <w:tbl>
      <w:tblPr>
        <w:tblW w:w="935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23"/>
        <w:gridCol w:w="733"/>
        <w:gridCol w:w="634"/>
        <w:gridCol w:w="666"/>
      </w:tblGrid>
      <w:tr w:rsidR="00031110" w:rsidRPr="00C36002" w:rsidTr="00DD350B">
        <w:trPr>
          <w:trHeight w:val="330"/>
        </w:trPr>
        <w:tc>
          <w:tcPr>
            <w:tcW w:w="7323" w:type="dxa"/>
            <w:shd w:val="clear" w:color="auto" w:fill="9CC2E5"/>
            <w:vAlign w:val="center"/>
            <w:hideMark/>
          </w:tcPr>
          <w:p w:rsidR="000314D9" w:rsidRPr="00C36002" w:rsidRDefault="000314D9" w:rsidP="00DD350B">
            <w:pPr>
              <w:spacing w:after="0" w:line="240" w:lineRule="auto"/>
              <w:jc w:val="both"/>
              <w:rPr>
                <w:rFonts w:ascii="Times New Roman" w:eastAsia="Times New Roman" w:hAnsi="Times New Roman" w:cs="Times New Roman"/>
                <w:b/>
                <w:bCs/>
                <w:color w:val="000000"/>
                <w:sz w:val="20"/>
                <w:szCs w:val="20"/>
                <w:lang w:eastAsia="lv-LV"/>
              </w:rPr>
            </w:pPr>
            <w:r w:rsidRPr="00C36002">
              <w:rPr>
                <w:rFonts w:ascii="Times New Roman" w:eastAsia="Calibri" w:hAnsi="Times New Roman" w:cs="Times New Roman"/>
                <w:b/>
                <w:color w:val="000000"/>
                <w:sz w:val="24"/>
                <w:szCs w:val="24"/>
              </w:rPr>
              <w:br w:type="page"/>
            </w:r>
            <w:r w:rsidRPr="00C36002">
              <w:rPr>
                <w:rFonts w:ascii="Times New Roman" w:eastAsia="Times New Roman" w:hAnsi="Times New Roman" w:cs="Times New Roman"/>
                <w:b/>
                <w:bCs/>
                <w:color w:val="000000"/>
                <w:sz w:val="20"/>
                <w:szCs w:val="20"/>
                <w:lang w:eastAsia="lv-LV"/>
              </w:rPr>
              <w:t xml:space="preserve">Būtiskākie MK apstiprinātie priekšlikumi, milj. </w:t>
            </w:r>
            <w:r w:rsidRPr="00C36002">
              <w:rPr>
                <w:rFonts w:ascii="Times New Roman" w:eastAsia="Times New Roman" w:hAnsi="Times New Roman" w:cs="Times New Roman"/>
                <w:b/>
                <w:bCs/>
                <w:i/>
                <w:iCs/>
                <w:color w:val="000000"/>
                <w:sz w:val="20"/>
                <w:szCs w:val="20"/>
                <w:lang w:eastAsia="lv-LV"/>
              </w:rPr>
              <w:t>euro</w:t>
            </w:r>
          </w:p>
        </w:tc>
        <w:tc>
          <w:tcPr>
            <w:tcW w:w="733" w:type="dxa"/>
            <w:shd w:val="clear" w:color="000000" w:fill="9CC2E5"/>
            <w:vAlign w:val="center"/>
            <w:hideMark/>
          </w:tcPr>
          <w:p w:rsidR="000314D9" w:rsidRPr="00C36002"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C36002">
              <w:rPr>
                <w:rFonts w:ascii="Times New Roman" w:eastAsia="Times New Roman" w:hAnsi="Times New Roman" w:cs="Times New Roman"/>
                <w:b/>
                <w:bCs/>
                <w:color w:val="000000"/>
                <w:sz w:val="20"/>
                <w:szCs w:val="20"/>
                <w:lang w:eastAsia="lv-LV"/>
              </w:rPr>
              <w:t>2018</w:t>
            </w:r>
          </w:p>
        </w:tc>
        <w:tc>
          <w:tcPr>
            <w:tcW w:w="634" w:type="dxa"/>
            <w:shd w:val="clear" w:color="000000" w:fill="9CC2E5"/>
            <w:vAlign w:val="center"/>
            <w:hideMark/>
          </w:tcPr>
          <w:p w:rsidR="000314D9" w:rsidRPr="00C36002"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C36002">
              <w:rPr>
                <w:rFonts w:ascii="Times New Roman" w:eastAsia="Times New Roman" w:hAnsi="Times New Roman" w:cs="Times New Roman"/>
                <w:b/>
                <w:bCs/>
                <w:color w:val="000000"/>
                <w:sz w:val="20"/>
                <w:szCs w:val="20"/>
                <w:lang w:eastAsia="lv-LV"/>
              </w:rPr>
              <w:t>2019</w:t>
            </w:r>
          </w:p>
        </w:tc>
        <w:tc>
          <w:tcPr>
            <w:tcW w:w="666" w:type="dxa"/>
            <w:shd w:val="clear" w:color="000000" w:fill="9CC2E5"/>
            <w:vAlign w:val="center"/>
            <w:hideMark/>
          </w:tcPr>
          <w:p w:rsidR="000314D9" w:rsidRPr="00C36002"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C36002">
              <w:rPr>
                <w:rFonts w:ascii="Times New Roman" w:eastAsia="Times New Roman" w:hAnsi="Times New Roman" w:cs="Times New Roman"/>
                <w:b/>
                <w:bCs/>
                <w:color w:val="000000"/>
                <w:sz w:val="20"/>
                <w:szCs w:val="20"/>
                <w:lang w:eastAsia="lv-LV"/>
              </w:rPr>
              <w:t>2020</w:t>
            </w:r>
          </w:p>
        </w:tc>
      </w:tr>
      <w:tr w:rsidR="00031110" w:rsidRPr="00C36002" w:rsidTr="00DD350B">
        <w:trPr>
          <w:trHeight w:val="525"/>
        </w:trPr>
        <w:tc>
          <w:tcPr>
            <w:tcW w:w="7323" w:type="dxa"/>
            <w:shd w:val="clear" w:color="auto" w:fill="DEEAF6"/>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 xml:space="preserve">"Kompleksi pasākumi elektroenerģijas tirgus attīstībai" (AS </w:t>
            </w:r>
            <w:r w:rsidR="00207D71">
              <w:rPr>
                <w:rFonts w:ascii="Times New Roman" w:eastAsia="Times New Roman" w:hAnsi="Times New Roman" w:cs="Times New Roman"/>
                <w:color w:val="000000"/>
                <w:sz w:val="20"/>
                <w:szCs w:val="20"/>
                <w:lang w:eastAsia="lv-LV"/>
              </w:rPr>
              <w:t>Latvenergo</w:t>
            </w:r>
            <w:r w:rsidRPr="00C36002">
              <w:rPr>
                <w:rFonts w:ascii="Times New Roman" w:eastAsia="Times New Roman" w:hAnsi="Times New Roman" w:cs="Times New Roman"/>
                <w:color w:val="000000"/>
                <w:sz w:val="20"/>
                <w:szCs w:val="20"/>
                <w:lang w:eastAsia="lv-LV"/>
              </w:rPr>
              <w:t xml:space="preserve"> dividenžu izmaiņas)</w:t>
            </w:r>
          </w:p>
        </w:tc>
        <w:tc>
          <w:tcPr>
            <w:tcW w:w="733"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-27,5</w:t>
            </w:r>
          </w:p>
        </w:tc>
        <w:tc>
          <w:tcPr>
            <w:tcW w:w="634"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3,4</w:t>
            </w:r>
          </w:p>
        </w:tc>
        <w:tc>
          <w:tcPr>
            <w:tcW w:w="666"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127,1</w:t>
            </w:r>
          </w:p>
        </w:tc>
      </w:tr>
      <w:tr w:rsidR="00031110" w:rsidRPr="00C36002" w:rsidTr="00DD350B">
        <w:trPr>
          <w:trHeight w:val="330"/>
        </w:trPr>
        <w:tc>
          <w:tcPr>
            <w:tcW w:w="7323" w:type="dxa"/>
            <w:shd w:val="clear" w:color="auto" w:fill="auto"/>
            <w:vAlign w:val="center"/>
            <w:hideMark/>
          </w:tcPr>
          <w:p w:rsidR="000314D9" w:rsidRPr="00C36002" w:rsidRDefault="000314D9" w:rsidP="00DD350B">
            <w:pPr>
              <w:spacing w:after="0" w:line="240" w:lineRule="auto"/>
              <w:jc w:val="both"/>
              <w:rPr>
                <w:rFonts w:ascii="Times New Roman" w:eastAsia="Times New Roman" w:hAnsi="Times New Roman" w:cs="Times New Roman"/>
                <w:sz w:val="20"/>
                <w:szCs w:val="20"/>
                <w:lang w:eastAsia="lv-LV"/>
              </w:rPr>
            </w:pPr>
            <w:r w:rsidRPr="00C36002">
              <w:rPr>
                <w:rFonts w:ascii="Times New Roman" w:eastAsia="Times New Roman" w:hAnsi="Times New Roman" w:cs="Times New Roman"/>
                <w:sz w:val="20"/>
                <w:szCs w:val="20"/>
                <w:lang w:eastAsia="lv-LV"/>
              </w:rPr>
              <w:t>Latvijas Bankas precizētie maksājumi valsts budžetā</w:t>
            </w:r>
          </w:p>
        </w:tc>
        <w:tc>
          <w:tcPr>
            <w:tcW w:w="733"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7,6</w:t>
            </w:r>
          </w:p>
        </w:tc>
        <w:tc>
          <w:tcPr>
            <w:tcW w:w="634"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7,6</w:t>
            </w:r>
          </w:p>
        </w:tc>
        <w:tc>
          <w:tcPr>
            <w:tcW w:w="666"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7,6</w:t>
            </w:r>
          </w:p>
        </w:tc>
      </w:tr>
      <w:tr w:rsidR="00031110" w:rsidRPr="00C36002" w:rsidTr="00DD350B">
        <w:trPr>
          <w:trHeight w:val="780"/>
        </w:trPr>
        <w:tc>
          <w:tcPr>
            <w:tcW w:w="7323" w:type="dxa"/>
            <w:shd w:val="clear" w:color="auto" w:fill="DEEAF6"/>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Ieņēmumu izmaiņas no naudas sodiem, ko uzliek Valsts policija par pārkāpumiem ceļu satiksmē, kas fiksēti ar tehniskajiem līdzekļiem un citi pasākumi, kas saistīti ar ceļu satiksmes uzraudzības uzlabošanu</w:t>
            </w:r>
          </w:p>
        </w:tc>
        <w:tc>
          <w:tcPr>
            <w:tcW w:w="733"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6,3</w:t>
            </w:r>
          </w:p>
        </w:tc>
        <w:tc>
          <w:tcPr>
            <w:tcW w:w="634"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9,8</w:t>
            </w:r>
          </w:p>
        </w:tc>
        <w:tc>
          <w:tcPr>
            <w:tcW w:w="666"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8,1</w:t>
            </w:r>
          </w:p>
        </w:tc>
      </w:tr>
      <w:tr w:rsidR="00031110" w:rsidRPr="00C36002" w:rsidTr="00DD350B">
        <w:trPr>
          <w:trHeight w:val="525"/>
        </w:trPr>
        <w:tc>
          <w:tcPr>
            <w:tcW w:w="7323" w:type="dxa"/>
            <w:shd w:val="clear" w:color="auto" w:fill="auto"/>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PVN samazinātās likmes ieviešana 5% apmērā Latvijai raksturīgiem augļiem, ogām un dārzeņiem</w:t>
            </w:r>
          </w:p>
        </w:tc>
        <w:tc>
          <w:tcPr>
            <w:tcW w:w="733"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-6,0</w:t>
            </w:r>
          </w:p>
        </w:tc>
        <w:tc>
          <w:tcPr>
            <w:tcW w:w="634"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-6,0</w:t>
            </w:r>
          </w:p>
        </w:tc>
        <w:tc>
          <w:tcPr>
            <w:tcW w:w="666"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-6,0</w:t>
            </w:r>
          </w:p>
        </w:tc>
      </w:tr>
      <w:tr w:rsidR="00031110" w:rsidRPr="00C36002" w:rsidTr="00DD350B">
        <w:trPr>
          <w:trHeight w:val="780"/>
        </w:trPr>
        <w:tc>
          <w:tcPr>
            <w:tcW w:w="7323" w:type="dxa"/>
            <w:shd w:val="clear" w:color="auto" w:fill="DEEAF6"/>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Ieņēmumu izmaiņas no valsts kapitālsabiedrībām dividendēs izmaksājamās daļas (t.sk., izmaksājamās daļas palielināšana, peļņas prognozes precizēšana, papildus dividendes no AS Latvijas Valsts meži un AS Latvijas Lotto)</w:t>
            </w:r>
          </w:p>
        </w:tc>
        <w:tc>
          <w:tcPr>
            <w:tcW w:w="733"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5,7</w:t>
            </w:r>
          </w:p>
        </w:tc>
        <w:tc>
          <w:tcPr>
            <w:tcW w:w="634"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5,5</w:t>
            </w:r>
          </w:p>
        </w:tc>
        <w:tc>
          <w:tcPr>
            <w:tcW w:w="666"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3,0</w:t>
            </w:r>
          </w:p>
        </w:tc>
      </w:tr>
      <w:tr w:rsidR="00031110" w:rsidRPr="00C36002" w:rsidTr="00DD350B">
        <w:trPr>
          <w:trHeight w:val="525"/>
        </w:trPr>
        <w:tc>
          <w:tcPr>
            <w:tcW w:w="7323" w:type="dxa"/>
            <w:shd w:val="clear" w:color="auto" w:fill="auto"/>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PVN ieņēmumu pieaugums saistībā ar</w:t>
            </w:r>
            <w:r w:rsidRPr="00C36002">
              <w:t xml:space="preserve"> </w:t>
            </w:r>
            <w:r w:rsidRPr="00C36002">
              <w:rPr>
                <w:rFonts w:ascii="Times New Roman" w:eastAsia="Times New Roman" w:hAnsi="Times New Roman" w:cs="Times New Roman"/>
                <w:color w:val="000000"/>
                <w:sz w:val="20"/>
                <w:szCs w:val="20"/>
                <w:lang w:eastAsia="lv-LV"/>
              </w:rPr>
              <w:t>dotāciju sabiedriskā transporta pakalpojumu sniedzējiem ar braukšanas maksas atvieglojumiem saistīto zaudējumu segšanai</w:t>
            </w:r>
          </w:p>
        </w:tc>
        <w:tc>
          <w:tcPr>
            <w:tcW w:w="733"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2,5</w:t>
            </w:r>
          </w:p>
        </w:tc>
        <w:tc>
          <w:tcPr>
            <w:tcW w:w="634"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2,5</w:t>
            </w:r>
          </w:p>
        </w:tc>
        <w:tc>
          <w:tcPr>
            <w:tcW w:w="666"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2,5</w:t>
            </w:r>
          </w:p>
        </w:tc>
      </w:tr>
      <w:tr w:rsidR="00031110" w:rsidRPr="00C36002" w:rsidTr="00DD350B">
        <w:trPr>
          <w:trHeight w:val="330"/>
        </w:trPr>
        <w:tc>
          <w:tcPr>
            <w:tcW w:w="7323" w:type="dxa"/>
            <w:shd w:val="clear" w:color="auto" w:fill="DEEAF6"/>
            <w:vAlign w:val="center"/>
            <w:hideMark/>
          </w:tcPr>
          <w:p w:rsidR="000314D9" w:rsidRPr="00C36002" w:rsidRDefault="000314D9" w:rsidP="00DD350B">
            <w:pPr>
              <w:spacing w:after="0" w:line="240" w:lineRule="auto"/>
              <w:jc w:val="both"/>
              <w:rPr>
                <w:rFonts w:ascii="Times New Roman" w:eastAsia="Times New Roman" w:hAnsi="Times New Roman" w:cs="Times New Roman"/>
                <w:sz w:val="20"/>
                <w:szCs w:val="20"/>
                <w:lang w:eastAsia="lv-LV"/>
              </w:rPr>
            </w:pPr>
            <w:r w:rsidRPr="00C36002">
              <w:rPr>
                <w:rFonts w:ascii="Times New Roman" w:eastAsia="Times New Roman" w:hAnsi="Times New Roman" w:cs="Times New Roman"/>
                <w:sz w:val="20"/>
                <w:szCs w:val="20"/>
                <w:lang w:eastAsia="lv-LV"/>
              </w:rPr>
              <w:t>Pārējo pamatbudžeta ne</w:t>
            </w:r>
            <w:r w:rsidR="00FE2F8B">
              <w:rPr>
                <w:rFonts w:ascii="Times New Roman" w:eastAsia="Times New Roman" w:hAnsi="Times New Roman" w:cs="Times New Roman"/>
                <w:sz w:val="20"/>
                <w:szCs w:val="20"/>
                <w:lang w:eastAsia="lv-LV"/>
              </w:rPr>
              <w:t>-</w:t>
            </w:r>
            <w:r w:rsidRPr="00C36002">
              <w:rPr>
                <w:rFonts w:ascii="Times New Roman" w:eastAsia="Times New Roman" w:hAnsi="Times New Roman" w:cs="Times New Roman"/>
                <w:sz w:val="20"/>
                <w:szCs w:val="20"/>
                <w:lang w:eastAsia="lv-LV"/>
              </w:rPr>
              <w:t>nodokļu ieņēmumu prognozes palielināšana</w:t>
            </w:r>
          </w:p>
        </w:tc>
        <w:tc>
          <w:tcPr>
            <w:tcW w:w="733"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sz w:val="20"/>
                <w:szCs w:val="20"/>
                <w:lang w:eastAsia="lv-LV"/>
              </w:rPr>
            </w:pPr>
            <w:r w:rsidRPr="00C36002">
              <w:rPr>
                <w:rFonts w:ascii="Times New Roman" w:eastAsia="Times New Roman" w:hAnsi="Times New Roman" w:cs="Times New Roman"/>
                <w:sz w:val="20"/>
                <w:szCs w:val="20"/>
                <w:lang w:eastAsia="lv-LV"/>
              </w:rPr>
              <w:t>2,1</w:t>
            </w:r>
          </w:p>
        </w:tc>
        <w:tc>
          <w:tcPr>
            <w:tcW w:w="634"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sz w:val="20"/>
                <w:szCs w:val="20"/>
                <w:lang w:eastAsia="lv-LV"/>
              </w:rPr>
            </w:pPr>
            <w:r w:rsidRPr="00C36002">
              <w:rPr>
                <w:rFonts w:ascii="Times New Roman" w:eastAsia="Times New Roman" w:hAnsi="Times New Roman" w:cs="Times New Roman"/>
                <w:sz w:val="20"/>
                <w:szCs w:val="20"/>
                <w:lang w:eastAsia="lv-LV"/>
              </w:rPr>
              <w:t>4,2</w:t>
            </w:r>
          </w:p>
        </w:tc>
        <w:tc>
          <w:tcPr>
            <w:tcW w:w="666"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sz w:val="20"/>
                <w:szCs w:val="20"/>
                <w:lang w:eastAsia="lv-LV"/>
              </w:rPr>
            </w:pPr>
            <w:r w:rsidRPr="00C36002">
              <w:rPr>
                <w:rFonts w:ascii="Times New Roman" w:eastAsia="Times New Roman" w:hAnsi="Times New Roman" w:cs="Times New Roman"/>
                <w:sz w:val="20"/>
                <w:szCs w:val="20"/>
                <w:lang w:eastAsia="lv-LV"/>
              </w:rPr>
              <w:t>4,7</w:t>
            </w:r>
          </w:p>
        </w:tc>
      </w:tr>
      <w:tr w:rsidR="00031110" w:rsidRPr="00C36002" w:rsidTr="00DD350B">
        <w:trPr>
          <w:trHeight w:val="525"/>
        </w:trPr>
        <w:tc>
          <w:tcPr>
            <w:tcW w:w="7323" w:type="dxa"/>
            <w:shd w:val="clear" w:color="auto" w:fill="auto"/>
            <w:vAlign w:val="center"/>
            <w:hideMark/>
          </w:tcPr>
          <w:p w:rsidR="00C77649" w:rsidRDefault="000314D9" w:rsidP="00DD350B">
            <w:pPr>
              <w:spacing w:after="0" w:line="240" w:lineRule="auto"/>
              <w:jc w:val="both"/>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 xml:space="preserve">Ieņēmumu palielinājums no konfiscēto noziedzīgi iegūto līdzekļu </w:t>
            </w:r>
          </w:p>
          <w:p w:rsidR="000314D9" w:rsidRPr="00C36002" w:rsidRDefault="000314D9" w:rsidP="00DD350B">
            <w:pPr>
              <w:spacing w:after="0" w:line="240" w:lineRule="auto"/>
              <w:jc w:val="both"/>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un papildsoda – mantas konfiskācijas/realizācijas</w:t>
            </w:r>
          </w:p>
        </w:tc>
        <w:tc>
          <w:tcPr>
            <w:tcW w:w="733"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1,5</w:t>
            </w:r>
          </w:p>
        </w:tc>
        <w:tc>
          <w:tcPr>
            <w:tcW w:w="634"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2,0</w:t>
            </w:r>
          </w:p>
        </w:tc>
        <w:tc>
          <w:tcPr>
            <w:tcW w:w="666"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2,0</w:t>
            </w:r>
          </w:p>
        </w:tc>
      </w:tr>
      <w:tr w:rsidR="00031110" w:rsidRPr="00C36002" w:rsidTr="00DD350B">
        <w:trPr>
          <w:trHeight w:val="525"/>
        </w:trPr>
        <w:tc>
          <w:tcPr>
            <w:tcW w:w="7323" w:type="dxa"/>
            <w:shd w:val="clear" w:color="auto" w:fill="DEEAF6"/>
            <w:vAlign w:val="center"/>
            <w:hideMark/>
          </w:tcPr>
          <w:p w:rsidR="00C77649" w:rsidRDefault="000314D9" w:rsidP="00DD350B">
            <w:pPr>
              <w:spacing w:after="0" w:line="240" w:lineRule="auto"/>
              <w:jc w:val="both"/>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Ieņēmumu palielinājums no valstij piekritīgās mantas realizācijas</w:t>
            </w:r>
          </w:p>
          <w:p w:rsidR="000314D9" w:rsidRPr="00C36002" w:rsidRDefault="000314D9" w:rsidP="00DD350B">
            <w:pPr>
              <w:spacing w:after="0" w:line="240" w:lineRule="auto"/>
              <w:jc w:val="both"/>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 xml:space="preserve"> pēc citu valsts institūciju pieņemtā lēmuma</w:t>
            </w:r>
          </w:p>
        </w:tc>
        <w:tc>
          <w:tcPr>
            <w:tcW w:w="733"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0,1</w:t>
            </w:r>
          </w:p>
        </w:tc>
        <w:tc>
          <w:tcPr>
            <w:tcW w:w="634"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0,5</w:t>
            </w:r>
          </w:p>
        </w:tc>
        <w:tc>
          <w:tcPr>
            <w:tcW w:w="666"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0,5</w:t>
            </w:r>
          </w:p>
        </w:tc>
      </w:tr>
      <w:tr w:rsidR="00031110" w:rsidRPr="00C36002" w:rsidTr="00DD350B">
        <w:trPr>
          <w:trHeight w:val="525"/>
        </w:trPr>
        <w:tc>
          <w:tcPr>
            <w:tcW w:w="7323" w:type="dxa"/>
            <w:shd w:val="clear" w:color="auto" w:fill="auto"/>
            <w:vAlign w:val="center"/>
            <w:hideMark/>
          </w:tcPr>
          <w:p w:rsidR="00C77649" w:rsidRDefault="000314D9" w:rsidP="00DD350B">
            <w:pPr>
              <w:spacing w:after="0" w:line="240" w:lineRule="auto"/>
              <w:jc w:val="both"/>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Ieņēmumu palielinājums no valsts budžeta iestāžu un organizāciju saņemto</w:t>
            </w:r>
          </w:p>
          <w:p w:rsidR="000314D9" w:rsidRPr="00C36002" w:rsidRDefault="000314D9" w:rsidP="00DD350B">
            <w:pPr>
              <w:spacing w:after="0" w:line="240" w:lineRule="auto"/>
              <w:jc w:val="both"/>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 xml:space="preserve"> un iepriekšējos gados neizlietoto budžeta līdzekļu atmaksāšanas</w:t>
            </w:r>
          </w:p>
        </w:tc>
        <w:tc>
          <w:tcPr>
            <w:tcW w:w="733"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0,5</w:t>
            </w:r>
          </w:p>
        </w:tc>
        <w:tc>
          <w:tcPr>
            <w:tcW w:w="634"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1,7</w:t>
            </w:r>
          </w:p>
        </w:tc>
        <w:tc>
          <w:tcPr>
            <w:tcW w:w="666"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1,2</w:t>
            </w:r>
          </w:p>
        </w:tc>
      </w:tr>
      <w:tr w:rsidR="00031110" w:rsidRPr="00C36002" w:rsidTr="00DD350B">
        <w:trPr>
          <w:trHeight w:val="525"/>
        </w:trPr>
        <w:tc>
          <w:tcPr>
            <w:tcW w:w="7323" w:type="dxa"/>
            <w:shd w:val="clear" w:color="auto" w:fill="DEEAF6"/>
            <w:vAlign w:val="center"/>
            <w:hideMark/>
          </w:tcPr>
          <w:p w:rsidR="00C77649" w:rsidRDefault="000314D9" w:rsidP="00DD350B">
            <w:pPr>
              <w:spacing w:after="0" w:line="240" w:lineRule="auto"/>
              <w:jc w:val="both"/>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 xml:space="preserve">Ieņēmumu palielinājums no valsts (pašvaldības) īpašuma pārdošanas </w:t>
            </w:r>
          </w:p>
          <w:p w:rsidR="000314D9" w:rsidRPr="00C36002" w:rsidRDefault="000314D9" w:rsidP="00DD350B">
            <w:pPr>
              <w:spacing w:after="0" w:line="240" w:lineRule="auto"/>
              <w:jc w:val="both"/>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un nodokļu pamatparāda kapitalizācijas</w:t>
            </w:r>
          </w:p>
        </w:tc>
        <w:tc>
          <w:tcPr>
            <w:tcW w:w="733"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w:t>
            </w:r>
          </w:p>
        </w:tc>
        <w:tc>
          <w:tcPr>
            <w:tcW w:w="634"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w:t>
            </w:r>
          </w:p>
        </w:tc>
        <w:tc>
          <w:tcPr>
            <w:tcW w:w="666"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i/>
                <w:iCs/>
                <w:sz w:val="20"/>
                <w:szCs w:val="20"/>
                <w:lang w:eastAsia="lv-LV"/>
              </w:rPr>
            </w:pPr>
            <w:r w:rsidRPr="00C36002">
              <w:rPr>
                <w:rFonts w:ascii="Times New Roman" w:eastAsia="Times New Roman" w:hAnsi="Times New Roman" w:cs="Times New Roman"/>
                <w:i/>
                <w:iCs/>
                <w:sz w:val="20"/>
                <w:szCs w:val="20"/>
                <w:lang w:eastAsia="lv-LV"/>
              </w:rPr>
              <w:t>1,0</w:t>
            </w:r>
          </w:p>
        </w:tc>
      </w:tr>
      <w:tr w:rsidR="00031110" w:rsidRPr="00C36002" w:rsidTr="00DD350B">
        <w:trPr>
          <w:trHeight w:val="525"/>
        </w:trPr>
        <w:tc>
          <w:tcPr>
            <w:tcW w:w="7323" w:type="dxa"/>
            <w:shd w:val="clear" w:color="auto" w:fill="auto"/>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Valsts nodevas par reģistrācijas darbībām būvkomersantu reģistrā aprēķina metodes izmaiņas</w:t>
            </w:r>
          </w:p>
        </w:tc>
        <w:tc>
          <w:tcPr>
            <w:tcW w:w="733"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1,0</w:t>
            </w:r>
          </w:p>
        </w:tc>
        <w:tc>
          <w:tcPr>
            <w:tcW w:w="634"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1,0</w:t>
            </w:r>
          </w:p>
        </w:tc>
        <w:tc>
          <w:tcPr>
            <w:tcW w:w="666"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1,0</w:t>
            </w:r>
          </w:p>
        </w:tc>
      </w:tr>
      <w:tr w:rsidR="00031110" w:rsidRPr="00C36002" w:rsidTr="00DD350B">
        <w:trPr>
          <w:trHeight w:val="330"/>
        </w:trPr>
        <w:tc>
          <w:tcPr>
            <w:tcW w:w="7323" w:type="dxa"/>
            <w:shd w:val="clear" w:color="auto" w:fill="DEEAF6"/>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Nodokļu ieņēmumu palielinājums saistībā ar plānoto čeku loteriju</w:t>
            </w:r>
          </w:p>
        </w:tc>
        <w:tc>
          <w:tcPr>
            <w:tcW w:w="733"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0,0</w:t>
            </w:r>
          </w:p>
        </w:tc>
        <w:tc>
          <w:tcPr>
            <w:tcW w:w="634"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3,3</w:t>
            </w:r>
          </w:p>
        </w:tc>
        <w:tc>
          <w:tcPr>
            <w:tcW w:w="666"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3,3</w:t>
            </w:r>
          </w:p>
        </w:tc>
      </w:tr>
      <w:tr w:rsidR="00031110" w:rsidRPr="00C36002" w:rsidTr="00DD350B">
        <w:trPr>
          <w:trHeight w:val="330"/>
        </w:trPr>
        <w:tc>
          <w:tcPr>
            <w:tcW w:w="7323" w:type="dxa"/>
            <w:shd w:val="clear" w:color="auto" w:fill="auto"/>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Citi/pārējie ne</w:t>
            </w:r>
            <w:r w:rsidR="00FE2F8B">
              <w:rPr>
                <w:rFonts w:ascii="Times New Roman" w:eastAsia="Times New Roman" w:hAnsi="Times New Roman" w:cs="Times New Roman"/>
                <w:color w:val="000000"/>
                <w:sz w:val="20"/>
                <w:szCs w:val="20"/>
                <w:lang w:eastAsia="lv-LV"/>
              </w:rPr>
              <w:t>-</w:t>
            </w:r>
            <w:r w:rsidRPr="00C36002">
              <w:rPr>
                <w:rFonts w:ascii="Times New Roman" w:eastAsia="Times New Roman" w:hAnsi="Times New Roman" w:cs="Times New Roman"/>
                <w:color w:val="000000"/>
                <w:sz w:val="20"/>
                <w:szCs w:val="20"/>
                <w:lang w:eastAsia="lv-LV"/>
              </w:rPr>
              <w:t>nodokļu pasākumi</w:t>
            </w:r>
          </w:p>
        </w:tc>
        <w:tc>
          <w:tcPr>
            <w:tcW w:w="733"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1,4</w:t>
            </w:r>
          </w:p>
        </w:tc>
        <w:tc>
          <w:tcPr>
            <w:tcW w:w="634"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1,5</w:t>
            </w:r>
          </w:p>
        </w:tc>
        <w:tc>
          <w:tcPr>
            <w:tcW w:w="666" w:type="dxa"/>
            <w:shd w:val="clear" w:color="auto" w:fill="auto"/>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1,4</w:t>
            </w:r>
          </w:p>
        </w:tc>
      </w:tr>
      <w:tr w:rsidR="00031110" w:rsidRPr="00FE2949" w:rsidTr="00DD350B">
        <w:trPr>
          <w:trHeight w:val="330"/>
        </w:trPr>
        <w:tc>
          <w:tcPr>
            <w:tcW w:w="7323" w:type="dxa"/>
            <w:shd w:val="clear" w:color="auto" w:fill="DEEAF6"/>
            <w:vAlign w:val="center"/>
            <w:hideMark/>
          </w:tcPr>
          <w:p w:rsidR="000314D9" w:rsidRPr="00C36002"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Citi/pārējie nodokļu pasākumi</w:t>
            </w:r>
          </w:p>
        </w:tc>
        <w:tc>
          <w:tcPr>
            <w:tcW w:w="733"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0,1</w:t>
            </w:r>
          </w:p>
        </w:tc>
        <w:tc>
          <w:tcPr>
            <w:tcW w:w="634"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0,6</w:t>
            </w:r>
          </w:p>
        </w:tc>
        <w:tc>
          <w:tcPr>
            <w:tcW w:w="666" w:type="dxa"/>
            <w:shd w:val="clear" w:color="auto" w:fill="DEEAF6"/>
            <w:vAlign w:val="center"/>
            <w:hideMark/>
          </w:tcPr>
          <w:p w:rsidR="000314D9" w:rsidRPr="00C36002"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C36002">
              <w:rPr>
                <w:rFonts w:ascii="Times New Roman" w:eastAsia="Times New Roman" w:hAnsi="Times New Roman" w:cs="Times New Roman"/>
                <w:color w:val="000000"/>
                <w:sz w:val="20"/>
                <w:szCs w:val="20"/>
                <w:lang w:eastAsia="lv-LV"/>
              </w:rPr>
              <w:t>0,6</w:t>
            </w:r>
          </w:p>
        </w:tc>
      </w:tr>
    </w:tbl>
    <w:p w:rsidR="000314D9" w:rsidRPr="00C36002" w:rsidRDefault="000314D9" w:rsidP="000314D9">
      <w:pPr>
        <w:spacing w:after="0" w:line="240" w:lineRule="auto"/>
        <w:ind w:firstLine="709"/>
        <w:jc w:val="both"/>
        <w:rPr>
          <w:rFonts w:ascii="Times New Roman" w:eastAsia="Calibri" w:hAnsi="Times New Roman" w:cs="Times New Roman"/>
          <w:color w:val="000000"/>
          <w:sz w:val="24"/>
          <w:szCs w:val="24"/>
        </w:rPr>
      </w:pPr>
      <w:r w:rsidRPr="00C36002">
        <w:rPr>
          <w:rFonts w:ascii="Times New Roman" w:eastAsia="Calibri" w:hAnsi="Times New Roman" w:cs="Times New Roman"/>
          <w:color w:val="000000"/>
          <w:sz w:val="24"/>
          <w:szCs w:val="24"/>
        </w:rPr>
        <w:lastRenderedPageBreak/>
        <w:t>Savukārt finansējuma palielinājums ir īstenots nozarēs, ko valdība ir definējusi kā vidēja termiņa prioritāte</w:t>
      </w:r>
      <w:r w:rsidR="00FE2F8B">
        <w:rPr>
          <w:rFonts w:ascii="Times New Roman" w:eastAsia="Calibri" w:hAnsi="Times New Roman" w:cs="Times New Roman"/>
          <w:color w:val="000000"/>
          <w:sz w:val="24"/>
          <w:szCs w:val="24"/>
        </w:rPr>
        <w:t>s.</w:t>
      </w:r>
    </w:p>
    <w:p w:rsidR="00C77649" w:rsidRDefault="000314D9" w:rsidP="00C77649">
      <w:pPr>
        <w:spacing w:after="0" w:line="240" w:lineRule="auto"/>
        <w:ind w:firstLine="709"/>
        <w:jc w:val="right"/>
        <w:rPr>
          <w:rFonts w:ascii="Times New Roman" w:eastAsia="Calibri" w:hAnsi="Times New Roman" w:cs="Times New Roman"/>
          <w:b/>
          <w:color w:val="000000"/>
          <w:sz w:val="24"/>
          <w:szCs w:val="24"/>
        </w:rPr>
      </w:pPr>
      <w:r w:rsidRPr="00AE6ADC">
        <w:rPr>
          <w:rFonts w:ascii="Times New Roman" w:eastAsia="Calibri" w:hAnsi="Times New Roman" w:cs="Times New Roman"/>
          <w:b/>
          <w:color w:val="000000"/>
          <w:sz w:val="24"/>
          <w:szCs w:val="24"/>
        </w:rPr>
        <w:t xml:space="preserve">3.7.tabula. Jomas, kurām visbūtiskāk palielināts finansējuma </w:t>
      </w:r>
    </w:p>
    <w:p w:rsidR="000314D9" w:rsidRPr="00AE6ADC" w:rsidRDefault="000314D9" w:rsidP="00C77649">
      <w:pPr>
        <w:spacing w:after="0" w:line="240" w:lineRule="auto"/>
        <w:ind w:firstLine="709"/>
        <w:jc w:val="right"/>
        <w:rPr>
          <w:rFonts w:ascii="Times New Roman" w:eastAsia="Calibri" w:hAnsi="Times New Roman" w:cs="Times New Roman"/>
          <w:b/>
          <w:color w:val="000000"/>
          <w:sz w:val="24"/>
          <w:szCs w:val="24"/>
        </w:rPr>
      </w:pPr>
      <w:r w:rsidRPr="00AE6ADC">
        <w:rPr>
          <w:rFonts w:ascii="Times New Roman" w:eastAsia="Calibri" w:hAnsi="Times New Roman" w:cs="Times New Roman"/>
          <w:b/>
          <w:color w:val="000000"/>
          <w:sz w:val="24"/>
          <w:szCs w:val="24"/>
        </w:rPr>
        <w:t xml:space="preserve">(virs 1 milj. </w:t>
      </w:r>
      <w:r w:rsidRPr="00AE6ADC">
        <w:rPr>
          <w:rFonts w:ascii="Times New Roman" w:eastAsia="Calibri" w:hAnsi="Times New Roman" w:cs="Times New Roman"/>
          <w:b/>
          <w:i/>
          <w:color w:val="000000"/>
          <w:sz w:val="24"/>
          <w:szCs w:val="24"/>
        </w:rPr>
        <w:t>euro</w:t>
      </w:r>
      <w:r w:rsidRPr="00AE6ADC">
        <w:rPr>
          <w:rFonts w:ascii="Times New Roman" w:eastAsia="Calibri" w:hAnsi="Times New Roman" w:cs="Times New Roman"/>
          <w:b/>
          <w:color w:val="000000"/>
          <w:sz w:val="24"/>
          <w:szCs w:val="24"/>
        </w:rPr>
        <w:t>) un būtiskākie izdevumus palielinoši pasākumi</w:t>
      </w:r>
    </w:p>
    <w:tbl>
      <w:tblPr>
        <w:tblW w:w="0" w:type="auto"/>
        <w:tblLook w:val="04A0" w:firstRow="1" w:lastRow="0" w:firstColumn="1" w:lastColumn="0" w:noHBand="0" w:noVBand="1"/>
      </w:tblPr>
      <w:tblGrid>
        <w:gridCol w:w="5160"/>
        <w:gridCol w:w="1280"/>
        <w:gridCol w:w="1300"/>
        <w:gridCol w:w="1300"/>
      </w:tblGrid>
      <w:tr w:rsidR="000314D9" w:rsidRPr="00AE6ADC" w:rsidTr="00F3030B">
        <w:tc>
          <w:tcPr>
            <w:tcW w:w="5160" w:type="dxa"/>
            <w:tcBorders>
              <w:top w:val="single" w:sz="8" w:space="0" w:color="auto"/>
              <w:left w:val="single" w:sz="8" w:space="0" w:color="auto"/>
              <w:bottom w:val="single" w:sz="8" w:space="0" w:color="auto"/>
              <w:right w:val="single" w:sz="8" w:space="0" w:color="auto"/>
            </w:tcBorders>
            <w:shd w:val="clear" w:color="auto" w:fill="9CC2E5"/>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Pasākuma nosaukums</w:t>
            </w:r>
          </w:p>
        </w:tc>
        <w:tc>
          <w:tcPr>
            <w:tcW w:w="1280" w:type="dxa"/>
            <w:tcBorders>
              <w:top w:val="single" w:sz="8" w:space="0" w:color="auto"/>
              <w:left w:val="nil"/>
              <w:bottom w:val="single" w:sz="8" w:space="0" w:color="auto"/>
              <w:right w:val="single" w:sz="8" w:space="0" w:color="auto"/>
            </w:tcBorders>
            <w:shd w:val="clear" w:color="auto" w:fill="9CC2E5"/>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2018.gads</w:t>
            </w:r>
          </w:p>
        </w:tc>
        <w:tc>
          <w:tcPr>
            <w:tcW w:w="1300" w:type="dxa"/>
            <w:tcBorders>
              <w:top w:val="single" w:sz="8" w:space="0" w:color="auto"/>
              <w:left w:val="nil"/>
              <w:bottom w:val="single" w:sz="8" w:space="0" w:color="auto"/>
              <w:right w:val="single" w:sz="8" w:space="0" w:color="auto"/>
            </w:tcBorders>
            <w:shd w:val="clear" w:color="auto" w:fill="9CC2E5"/>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2019.gads</w:t>
            </w:r>
          </w:p>
        </w:tc>
        <w:tc>
          <w:tcPr>
            <w:tcW w:w="1300" w:type="dxa"/>
            <w:tcBorders>
              <w:top w:val="single" w:sz="8" w:space="0" w:color="auto"/>
              <w:left w:val="nil"/>
              <w:bottom w:val="single" w:sz="8" w:space="0" w:color="auto"/>
              <w:right w:val="single" w:sz="8" w:space="0" w:color="auto"/>
            </w:tcBorders>
            <w:shd w:val="clear" w:color="auto" w:fill="9CC2E5"/>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2020.gads</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01.Valsts prezidenta kanceleja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02.Saeima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0,1</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03.Ministru kabinets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0,5</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0,5</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0,3</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04.Korupcijas novēršanas un apkarošanas birojs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1,2</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05. Tiesībsarga birojs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0,2</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0,1</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08. Sabiedrības integrācijas fonds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0,4</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0,4</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09. Sabiedrisko pakalpojumu regulēšanas komisija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0,5</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0,5</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10.Aizsardzības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9,0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0,9</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0,9</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8,1</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0,0</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11.Ārlietu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3,1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1,6</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Latvijas diplomātiskā un konsulārā dienesta stiprināšana Latvijas drošības un ekonomisko pamatinterešu aizstāvībai</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1,7</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1,7</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1,7</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12.Ekonomikas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10,1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-17,1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26,9</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Valsts galvojumi bankas aizdevumiem mājokļu iegādei vai būvniecībai</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4,0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4,0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4,0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9CC2E5"/>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 (t.sk. precizēts finansējums elektroenerģijas lietotāju atbalstam)</w:t>
            </w:r>
          </w:p>
        </w:tc>
        <w:tc>
          <w:tcPr>
            <w:tcW w:w="1280" w:type="dxa"/>
            <w:tcBorders>
              <w:top w:val="nil"/>
              <w:left w:val="nil"/>
              <w:bottom w:val="single" w:sz="8" w:space="0" w:color="auto"/>
              <w:right w:val="single" w:sz="8" w:space="0" w:color="auto"/>
            </w:tcBorders>
            <w:shd w:val="clear" w:color="auto" w:fill="9CC2E5"/>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4,3</w:t>
            </w:r>
          </w:p>
        </w:tc>
        <w:tc>
          <w:tcPr>
            <w:tcW w:w="1300" w:type="dxa"/>
            <w:tcBorders>
              <w:top w:val="nil"/>
              <w:left w:val="nil"/>
              <w:bottom w:val="single" w:sz="8" w:space="0" w:color="auto"/>
              <w:right w:val="single" w:sz="8" w:space="0" w:color="auto"/>
            </w:tcBorders>
            <w:shd w:val="clear" w:color="auto" w:fill="9CC2E5"/>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-22,8</w:t>
            </w:r>
          </w:p>
        </w:tc>
        <w:tc>
          <w:tcPr>
            <w:tcW w:w="1300" w:type="dxa"/>
            <w:tcBorders>
              <w:top w:val="nil"/>
              <w:left w:val="nil"/>
              <w:bottom w:val="single" w:sz="8" w:space="0" w:color="auto"/>
              <w:right w:val="single" w:sz="8" w:space="0" w:color="auto"/>
            </w:tcBorders>
            <w:shd w:val="clear" w:color="auto" w:fill="9CC2E5"/>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21,4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13.Finanšu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-28,9</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-16,6</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43,0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Finanšu ministrijas iestāžu kapacitātes stiprināšana, t.sk. ēnu ekonomikas apkarošanai, Valsts ieņēmumu dienesta stratēģisko mērķu sasniegšanai (t.sk. muitnieku, inspektoru un finanšu policistu atalgojumam)</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3,1</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3,1</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3,1</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Valsts ieņēmumu dienesta administratīvās struktūras reformas turpināšana, tajā skaitā APA (iepriekšēja vienošanās par cenas noteikšanu) un transfertcenu kapacitātes stiprināšana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1,5</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1,5</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1,5</w:t>
            </w:r>
          </w:p>
        </w:tc>
      </w:tr>
      <w:tr w:rsidR="000314D9" w:rsidRPr="00AE6ADC" w:rsidTr="00F3030B">
        <w:tc>
          <w:tcPr>
            <w:tcW w:w="5160"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4"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-12,2</w:t>
            </w:r>
          </w:p>
        </w:tc>
        <w:tc>
          <w:tcPr>
            <w:tcW w:w="1300" w:type="dxa"/>
            <w:tcBorders>
              <w:top w:val="nil"/>
              <w:left w:val="nil"/>
              <w:bottom w:val="single" w:sz="4"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3,4</w:t>
            </w:r>
          </w:p>
        </w:tc>
        <w:tc>
          <w:tcPr>
            <w:tcW w:w="1300" w:type="dxa"/>
            <w:tcBorders>
              <w:top w:val="nil"/>
              <w:left w:val="nil"/>
              <w:bottom w:val="single" w:sz="4"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0,7</w:t>
            </w:r>
          </w:p>
        </w:tc>
      </w:tr>
      <w:tr w:rsidR="000314D9" w:rsidRPr="00AE6ADC" w:rsidTr="00F3030B">
        <w:tc>
          <w:tcPr>
            <w:tcW w:w="5160" w:type="dxa"/>
            <w:tcBorders>
              <w:top w:val="single" w:sz="4" w:space="0" w:color="auto"/>
              <w:left w:val="single" w:sz="4" w:space="0" w:color="auto"/>
              <w:bottom w:val="single" w:sz="4"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 (t.sl. precizēti izdevumu valsts parāda apkalpošanai, iemaksām ES budžetā, papildu finansējums VNĪ projektu finansēšanai )</w:t>
            </w:r>
          </w:p>
        </w:tc>
        <w:tc>
          <w:tcPr>
            <w:tcW w:w="1280" w:type="dxa"/>
            <w:tcBorders>
              <w:top w:val="single" w:sz="4" w:space="0" w:color="auto"/>
              <w:left w:val="nil"/>
              <w:bottom w:val="single" w:sz="4"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-22,8</w:t>
            </w:r>
          </w:p>
        </w:tc>
        <w:tc>
          <w:tcPr>
            <w:tcW w:w="1300" w:type="dxa"/>
            <w:tcBorders>
              <w:top w:val="single" w:sz="4" w:space="0" w:color="auto"/>
              <w:left w:val="nil"/>
              <w:bottom w:val="single" w:sz="4"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-26,1</w:t>
            </w:r>
          </w:p>
        </w:tc>
        <w:tc>
          <w:tcPr>
            <w:tcW w:w="1300" w:type="dxa"/>
            <w:tcBorders>
              <w:top w:val="single" w:sz="4" w:space="0" w:color="auto"/>
              <w:left w:val="nil"/>
              <w:bottom w:val="single" w:sz="4" w:space="0" w:color="auto"/>
              <w:right w:val="single" w:sz="4"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30,4</w:t>
            </w:r>
          </w:p>
        </w:tc>
      </w:tr>
      <w:tr w:rsidR="000314D9" w:rsidRPr="00AE6ADC" w:rsidTr="00F3030B">
        <w:tc>
          <w:tcPr>
            <w:tcW w:w="5160" w:type="dxa"/>
            <w:tcBorders>
              <w:top w:val="single" w:sz="4" w:space="0" w:color="auto"/>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14.Iekšlietu ministrija kopā:</w:t>
            </w:r>
          </w:p>
        </w:tc>
        <w:tc>
          <w:tcPr>
            <w:tcW w:w="128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18,8</w:t>
            </w:r>
          </w:p>
        </w:tc>
        <w:tc>
          <w:tcPr>
            <w:tcW w:w="130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17,0</w:t>
            </w:r>
          </w:p>
        </w:tc>
        <w:tc>
          <w:tcPr>
            <w:tcW w:w="130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19,4</w:t>
            </w:r>
          </w:p>
        </w:tc>
      </w:tr>
      <w:tr w:rsidR="000314D9" w:rsidRPr="00AE6ADC" w:rsidTr="00F3030B">
        <w:tc>
          <w:tcPr>
            <w:tcW w:w="5160" w:type="dxa"/>
            <w:tcBorders>
              <w:top w:val="nil"/>
              <w:left w:val="single" w:sz="8" w:space="0" w:color="auto"/>
              <w:bottom w:val="single" w:sz="4"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Latvijas Republikas valsts robežas ar Krievijas Federāciju un Baltkrievijas Republiku izbūve</w:t>
            </w:r>
          </w:p>
        </w:tc>
        <w:tc>
          <w:tcPr>
            <w:tcW w:w="1280" w:type="dxa"/>
            <w:tcBorders>
              <w:top w:val="nil"/>
              <w:left w:val="nil"/>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3,7</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4,0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8,0</w:t>
            </w:r>
          </w:p>
        </w:tc>
      </w:tr>
      <w:tr w:rsidR="000314D9" w:rsidRPr="00AE6ADC" w:rsidTr="00F3030B">
        <w:tc>
          <w:tcPr>
            <w:tcW w:w="5160" w:type="dxa"/>
            <w:tcBorders>
              <w:top w:val="single" w:sz="4" w:space="0" w:color="auto"/>
              <w:left w:val="single" w:sz="4" w:space="0" w:color="auto"/>
              <w:bottom w:val="single" w:sz="4" w:space="0" w:color="auto"/>
              <w:right w:val="single" w:sz="8" w:space="0" w:color="A6A6A6"/>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Latvijas Republikas valsts robežas uzturēšana</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1,7</w:t>
            </w:r>
          </w:p>
        </w:tc>
        <w:tc>
          <w:tcPr>
            <w:tcW w:w="1300" w:type="dxa"/>
            <w:tcBorders>
              <w:top w:val="nil"/>
              <w:left w:val="single" w:sz="4" w:space="0" w:color="auto"/>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3,0</w:t>
            </w:r>
          </w:p>
        </w:tc>
        <w:tc>
          <w:tcPr>
            <w:tcW w:w="1300" w:type="dxa"/>
            <w:tcBorders>
              <w:top w:val="nil"/>
              <w:left w:val="nil"/>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1,8</w:t>
            </w:r>
          </w:p>
        </w:tc>
      </w:tr>
      <w:tr w:rsidR="000314D9" w:rsidRPr="00AE6ADC" w:rsidTr="00F3030B">
        <w:tc>
          <w:tcPr>
            <w:tcW w:w="51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Iekšlietu resora informācijas un komunikācijas tehnoloģiju infrastruktūras drošības uzlabošana (informācija klasificēta)</w:t>
            </w:r>
          </w:p>
        </w:tc>
        <w:tc>
          <w:tcPr>
            <w:tcW w:w="1280" w:type="dxa"/>
            <w:tcBorders>
              <w:top w:val="single" w:sz="4" w:space="0" w:color="auto"/>
              <w:left w:val="nil"/>
              <w:bottom w:val="single" w:sz="8" w:space="0" w:color="auto"/>
              <w:right w:val="single" w:sz="4"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1,5</w:t>
            </w:r>
          </w:p>
        </w:tc>
        <w:tc>
          <w:tcPr>
            <w:tcW w:w="13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3,2</w:t>
            </w:r>
          </w:p>
        </w:tc>
        <w:tc>
          <w:tcPr>
            <w:tcW w:w="1300" w:type="dxa"/>
            <w:tcBorders>
              <w:top w:val="single" w:sz="4" w:space="0" w:color="auto"/>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1,5</w:t>
            </w:r>
          </w:p>
        </w:tc>
        <w:tc>
          <w:tcPr>
            <w:tcW w:w="1300" w:type="dxa"/>
            <w:tcBorders>
              <w:top w:val="single" w:sz="4" w:space="0" w:color="auto"/>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0,8</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 (t.sk. izdevumi fotoradaru darbības administrēšanai, Valsts robežsardzes darbībai)</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4,2</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4,8</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4,1</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15.Izglītības un zinātnes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19,3</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10,1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13,3</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IZM padotībā esošo augstākās izglītības iestāžu pedagogu darba samaksas palielinājums</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2,2</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4,4</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4,4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Fundamentālo un lietišķo pētījumu projektu programmas darbības nodrošināšana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1,4</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1,4</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 xml:space="preserve">Valsts funkciju sporta nozarē izpildes nodrošināšana </w:t>
            </w:r>
            <w:r w:rsidRPr="00AE6ADC">
              <w:rPr>
                <w:rFonts w:ascii="Times New Roman" w:eastAsia="Times New Roman" w:hAnsi="Times New Roman" w:cs="Times New Roman"/>
                <w:sz w:val="20"/>
                <w:szCs w:val="20"/>
                <w:lang w:eastAsia="lv-LV"/>
              </w:rPr>
              <w:lastRenderedPageBreak/>
              <w:t>nemainīgā līmenī</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lastRenderedPageBreak/>
              <w:t>2,4</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2,4</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Papildus investīcijas valsts nozīmes sporta infrastruktūras attīstības projektu īstenošanai</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5,9</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4,0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Paralimpiskā sporta centra izveide</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1,2</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5,0</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1,9</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0,4</w:t>
            </w:r>
          </w:p>
        </w:tc>
      </w:tr>
      <w:tr w:rsidR="000314D9" w:rsidRPr="00AE6ADC" w:rsidTr="00F3030B">
        <w:tc>
          <w:tcPr>
            <w:tcW w:w="5160" w:type="dxa"/>
            <w:tcBorders>
              <w:top w:val="nil"/>
              <w:left w:val="single" w:sz="8" w:space="0" w:color="auto"/>
              <w:bottom w:val="single" w:sz="4"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16.Zemkopības ministrija kopā:</w:t>
            </w:r>
          </w:p>
        </w:tc>
        <w:tc>
          <w:tcPr>
            <w:tcW w:w="1280" w:type="dxa"/>
            <w:tcBorders>
              <w:top w:val="nil"/>
              <w:left w:val="nil"/>
              <w:bottom w:val="single" w:sz="4"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4,8</w:t>
            </w:r>
          </w:p>
        </w:tc>
        <w:tc>
          <w:tcPr>
            <w:tcW w:w="1300" w:type="dxa"/>
            <w:tcBorders>
              <w:top w:val="nil"/>
              <w:left w:val="nil"/>
              <w:bottom w:val="single" w:sz="4"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2,4</w:t>
            </w:r>
          </w:p>
        </w:tc>
        <w:tc>
          <w:tcPr>
            <w:tcW w:w="1300" w:type="dxa"/>
            <w:tcBorders>
              <w:top w:val="nil"/>
              <w:left w:val="nil"/>
              <w:bottom w:val="single" w:sz="4"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2,3</w:t>
            </w:r>
          </w:p>
        </w:tc>
      </w:tr>
      <w:tr w:rsidR="000314D9" w:rsidRPr="00AE6ADC" w:rsidTr="00F3030B">
        <w:tc>
          <w:tcPr>
            <w:tcW w:w="516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Valsts meža dienestam uguns-apsardzības specializētā autotransporta iegādei</w:t>
            </w:r>
          </w:p>
        </w:tc>
        <w:tc>
          <w:tcPr>
            <w:tcW w:w="1280" w:type="dxa"/>
            <w:tcBorders>
              <w:top w:val="single" w:sz="4" w:space="0" w:color="auto"/>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2,5</w:t>
            </w:r>
          </w:p>
        </w:tc>
        <w:tc>
          <w:tcPr>
            <w:tcW w:w="1300" w:type="dxa"/>
            <w:tcBorders>
              <w:top w:val="single" w:sz="4" w:space="0" w:color="auto"/>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single" w:sz="4" w:space="0" w:color="auto"/>
              <w:left w:val="nil"/>
              <w:bottom w:val="single" w:sz="8" w:space="0" w:color="auto"/>
              <w:right w:val="single" w:sz="4"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r>
      <w:tr w:rsidR="000314D9" w:rsidRPr="00AE6ADC" w:rsidTr="00F3030B">
        <w:tc>
          <w:tcPr>
            <w:tcW w:w="51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Administratīvās kapacitātes palielināšanai uzraudzības, kontroles funkciju nodrošināšanai, dzīvnieku un augu infekcijas slimību apkarošanas un ES fondu administrēšanas jomā, kā arī Personas datu aizsardzības regulas daļējai prasību izpildei, datu drošības, pieejamības un leģitimitātes nodrošināšanai, un IKT sistēmu integrācijai un attīstībai.</w:t>
            </w:r>
          </w:p>
        </w:tc>
        <w:tc>
          <w:tcPr>
            <w:tcW w:w="1280" w:type="dxa"/>
            <w:tcBorders>
              <w:top w:val="single" w:sz="8" w:space="0" w:color="auto"/>
              <w:left w:val="nil"/>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1,5</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1,5</w:t>
            </w:r>
          </w:p>
        </w:tc>
        <w:tc>
          <w:tcPr>
            <w:tcW w:w="1300" w:type="dxa"/>
            <w:tcBorders>
              <w:top w:val="single" w:sz="8" w:space="0" w:color="auto"/>
              <w:left w:val="nil"/>
              <w:bottom w:val="single" w:sz="4" w:space="0" w:color="auto"/>
              <w:right w:val="single" w:sz="4"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1,5</w:t>
            </w:r>
          </w:p>
        </w:tc>
      </w:tr>
      <w:tr w:rsidR="000314D9" w:rsidRPr="00AE6ADC" w:rsidTr="00F3030B">
        <w:tc>
          <w:tcPr>
            <w:tcW w:w="5160" w:type="dxa"/>
            <w:tcBorders>
              <w:top w:val="single" w:sz="4" w:space="0" w:color="auto"/>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17.Satiksmes ministrija kopā:</w:t>
            </w:r>
          </w:p>
        </w:tc>
        <w:tc>
          <w:tcPr>
            <w:tcW w:w="128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6,7</w:t>
            </w:r>
          </w:p>
        </w:tc>
        <w:tc>
          <w:tcPr>
            <w:tcW w:w="130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2,6</w:t>
            </w:r>
          </w:p>
        </w:tc>
        <w:tc>
          <w:tcPr>
            <w:tcW w:w="130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2,6</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Dzelzceļa publiskā infrastruktūra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4,0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 (t.sk. dotācija sabiedriskā transporta pakalpojumu sniedzējiem ar braukšanas maksas atvieglojumiem saistīto zaudējumu segšanai)</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2,5</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2,5</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18.Labklājības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40,6</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44,5</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45,2</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Ģimenes valsts pabalsta apmēra palielināšana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28,2</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32,5</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32,5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Sociāla rakstura institūcijām kapacitātes stiprināšanai un sociālām programmām bērnu tiesību aizsardzības jomās un ar šiem pasākumiem saistīto IT sistēmu pielāgošanai</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2,6</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1,3</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1,3</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Alternatīvo ģimenes aprūpes formu attīstība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-0,7</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2,2</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3,2</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19.Tieslietu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-15,5</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-15,7</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12,8</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Satversmes aizsardzības biroja darbības nodrošināšana (Klasificēta informācija)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1,1</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0,5</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Uzņēmuma reģistra Publisko reģistru modernizācija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1,1</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Ieslodzījuma vietu infrastruktūras remontdarbi un uzlabojumi</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7,2</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3,5</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3,4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 (t.sk. samazināta dotācija no vispārējiem ieņēmumiem un izdevumi ilgtermiņa saistību pasākuma “Jauna cietuma būvniecība Liepājā” īstenošanai)</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-27,4</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-21,7</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6,8</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19.Tieslietu ministrija (Zemesgrāmatu nodaļu, rajonu (pilsētu) tiesu, apgabaltiesas)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0,5</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0,2</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2,9</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Tiesnešu atalgojuma palielinājums</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2,7</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21.Vides aizsardzības un reģionālās attīstības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13,1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2,3</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Vides uzraudzības stiprināšana (t. sk. algas inspektoriem)</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1,5</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1,5</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8,9</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0,8</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-2,6</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22.Kultūras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11,4</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10,2</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10,5</w:t>
            </w:r>
          </w:p>
        </w:tc>
      </w:tr>
      <w:tr w:rsidR="000314D9" w:rsidRPr="00AE6ADC" w:rsidTr="00F3030B">
        <w:tc>
          <w:tcPr>
            <w:tcW w:w="5160" w:type="dxa"/>
            <w:tcBorders>
              <w:top w:val="nil"/>
              <w:left w:val="single" w:sz="8" w:space="0" w:color="auto"/>
              <w:bottom w:val="single" w:sz="4"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Sakrālā mantojuma saglabāšanas mērķprogramma -Rīgas Sv.Jēkaba Romas katoļu baznīcas katedrāle, Rīgas Doma baznīca, Aglonas Romas katoļu bazilika, Lestenes baznīca</w:t>
            </w:r>
          </w:p>
        </w:tc>
        <w:tc>
          <w:tcPr>
            <w:tcW w:w="1280" w:type="dxa"/>
            <w:tcBorders>
              <w:top w:val="nil"/>
              <w:left w:val="nil"/>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2,0</w:t>
            </w:r>
          </w:p>
        </w:tc>
        <w:tc>
          <w:tcPr>
            <w:tcW w:w="1300" w:type="dxa"/>
            <w:tcBorders>
              <w:top w:val="nil"/>
              <w:left w:val="nil"/>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4"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0,5</w:t>
            </w:r>
          </w:p>
        </w:tc>
      </w:tr>
      <w:tr w:rsidR="000314D9" w:rsidRPr="00AE6ADC" w:rsidTr="00F3030B">
        <w:tc>
          <w:tcPr>
            <w:tcW w:w="5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 xml:space="preserve">Mērķprogramma vēsturisko un identitāti stiprinošo latviešu </w:t>
            </w:r>
            <w:r w:rsidRPr="00AE6ADC">
              <w:rPr>
                <w:rFonts w:ascii="Times New Roman" w:eastAsia="Times New Roman" w:hAnsi="Times New Roman" w:cs="Times New Roman"/>
                <w:sz w:val="20"/>
                <w:szCs w:val="20"/>
                <w:lang w:eastAsia="lv-LV"/>
              </w:rPr>
              <w:lastRenderedPageBreak/>
              <w:t>filmu ražošanai</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lastRenderedPageBreak/>
              <w:t>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1,0</w:t>
            </w:r>
          </w:p>
        </w:tc>
      </w:tr>
      <w:tr w:rsidR="000314D9" w:rsidRPr="00AE6ADC" w:rsidTr="00F3030B">
        <w:tc>
          <w:tcPr>
            <w:tcW w:w="5160" w:type="dxa"/>
            <w:tcBorders>
              <w:top w:val="single" w:sz="4" w:space="0" w:color="auto"/>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single" w:sz="4" w:space="0" w:color="auto"/>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1,9</w:t>
            </w:r>
          </w:p>
        </w:tc>
        <w:tc>
          <w:tcPr>
            <w:tcW w:w="1300" w:type="dxa"/>
            <w:tcBorders>
              <w:top w:val="single" w:sz="4" w:space="0" w:color="auto"/>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1,0</w:t>
            </w:r>
          </w:p>
        </w:tc>
        <w:tc>
          <w:tcPr>
            <w:tcW w:w="1300" w:type="dxa"/>
            <w:tcBorders>
              <w:top w:val="single" w:sz="4" w:space="0" w:color="auto"/>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-0,3</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C7764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w:t>
            </w:r>
            <w:r w:rsidR="000314D9" w:rsidRPr="00AE6ADC">
              <w:rPr>
                <w:rFonts w:ascii="Times New Roman" w:eastAsia="Times New Roman" w:hAnsi="Times New Roman" w:cs="Times New Roman"/>
                <w:color w:val="000000"/>
                <w:sz w:val="20"/>
                <w:szCs w:val="20"/>
                <w:lang w:eastAsia="lv-LV"/>
              </w:rPr>
              <w:t xml:space="preserve"> MK pieņemtie lēmumi</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4,8</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4,4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24. Valsts kontrole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0,3</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0,3</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0,3</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25. Pārresoru koordinācijas centrs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28. Augstākā tiesa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29.Veselības ministrija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17,3</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11,9</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11,8</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Finansējums pedagogu darba samaksas reformas nodrošināšanai Rīgas Stradiņa universitātei</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0,7</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1,4</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5,7</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0,3</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0,1</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 xml:space="preserve">Citi MK pieņemtie lēmumi (t.sk. izdevumi minimālās mēneša darba algas paaugstināšanai līdz 430 </w:t>
            </w:r>
            <w:r w:rsidRPr="00AE6ADC">
              <w:rPr>
                <w:rFonts w:ascii="Times New Roman" w:eastAsia="Times New Roman" w:hAnsi="Times New Roman" w:cs="Times New Roman"/>
                <w:i/>
                <w:color w:val="000000"/>
                <w:sz w:val="20"/>
                <w:szCs w:val="20"/>
                <w:lang w:eastAsia="lv-LV"/>
              </w:rPr>
              <w:t>euro</w:t>
            </w:r>
            <w:r w:rsidRPr="00AE6ADC">
              <w:rPr>
                <w:rFonts w:ascii="Times New Roman" w:eastAsia="Times New Roman" w:hAnsi="Times New Roman" w:cs="Times New Roman"/>
                <w:color w:val="000000"/>
                <w:sz w:val="20"/>
                <w:szCs w:val="20"/>
                <w:lang w:eastAsia="lv-LV"/>
              </w:rPr>
              <w:t xml:space="preserve"> ar 2018.gada 1.janvāri)</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10,2</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10,2</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10,2</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30. Satversmes tiesa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0,2</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0,4</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32. Prokuratūra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0,9</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-1,4</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4,5</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Prokuratūras struktūrvienību ēkas Kalpaka bulvārī 6, Rīgā remontdarbi</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0,1</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0,4</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1,3</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Prokuroru atalgojuma palielinājums</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2,3</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0,2</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-2,3</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0,4</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35. Centrālā vēlēšanu komisija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37. Centrālā zemes komisija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47. Radio un televīzija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0,8</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0,8</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62. Mērķdotācijas pašvaldībām kopā: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2,9</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2,9</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2,9</w:t>
            </w:r>
          </w:p>
        </w:tc>
      </w:tr>
      <w:tr w:rsidR="000314D9" w:rsidRPr="00AE6ADC" w:rsidTr="00F3030B">
        <w:tc>
          <w:tcPr>
            <w:tcW w:w="5160" w:type="dxa"/>
            <w:tcBorders>
              <w:top w:val="nil"/>
              <w:left w:val="single" w:sz="8" w:space="0" w:color="auto"/>
              <w:bottom w:val="single" w:sz="4"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w:t>
            </w:r>
          </w:p>
        </w:tc>
        <w:tc>
          <w:tcPr>
            <w:tcW w:w="1280" w:type="dxa"/>
            <w:tcBorders>
              <w:top w:val="nil"/>
              <w:left w:val="nil"/>
              <w:bottom w:val="single" w:sz="4"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2,9</w:t>
            </w:r>
          </w:p>
        </w:tc>
        <w:tc>
          <w:tcPr>
            <w:tcW w:w="1300" w:type="dxa"/>
            <w:tcBorders>
              <w:top w:val="nil"/>
              <w:left w:val="nil"/>
              <w:bottom w:val="single" w:sz="4"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2,9</w:t>
            </w:r>
          </w:p>
        </w:tc>
        <w:tc>
          <w:tcPr>
            <w:tcW w:w="1300" w:type="dxa"/>
            <w:tcBorders>
              <w:top w:val="nil"/>
              <w:left w:val="nil"/>
              <w:bottom w:val="single" w:sz="4"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2,9</w:t>
            </w:r>
          </w:p>
        </w:tc>
      </w:tr>
      <w:tr w:rsidR="000314D9" w:rsidRPr="00AE6ADC" w:rsidTr="00F3030B">
        <w:tc>
          <w:tcPr>
            <w:tcW w:w="5160" w:type="dxa"/>
            <w:tcBorders>
              <w:top w:val="single" w:sz="4" w:space="0" w:color="auto"/>
              <w:left w:val="single" w:sz="4"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64. Dotācija pašvaldībām kopā:</w:t>
            </w:r>
          </w:p>
        </w:tc>
        <w:tc>
          <w:tcPr>
            <w:tcW w:w="128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21,1</w:t>
            </w:r>
          </w:p>
        </w:tc>
        <w:tc>
          <w:tcPr>
            <w:tcW w:w="130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144,9</w:t>
            </w:r>
          </w:p>
        </w:tc>
        <w:tc>
          <w:tcPr>
            <w:tcW w:w="1300" w:type="dxa"/>
            <w:tcBorders>
              <w:top w:val="single" w:sz="4" w:space="0" w:color="auto"/>
              <w:left w:val="nil"/>
              <w:bottom w:val="single" w:sz="8" w:space="0" w:color="auto"/>
              <w:right w:val="single" w:sz="4"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239,1</w:t>
            </w:r>
          </w:p>
        </w:tc>
      </w:tr>
      <w:tr w:rsidR="000314D9" w:rsidRPr="00AE6ADC" w:rsidTr="00F3030B">
        <w:tc>
          <w:tcPr>
            <w:tcW w:w="5160" w:type="dxa"/>
            <w:tcBorders>
              <w:top w:val="single" w:sz="8" w:space="0" w:color="auto"/>
              <w:left w:val="single" w:sz="4" w:space="0" w:color="auto"/>
              <w:bottom w:val="single" w:sz="4"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 (t.sk. kompensācija pašvaldībām, lai nodrošinātu pašvaldību budžetu nodokļu ieņēmumus kopā ar speciālo dotāciju 19,6% apmērā no kopbudžeta nodokļu ieņēmumiem)</w:t>
            </w:r>
          </w:p>
        </w:tc>
        <w:tc>
          <w:tcPr>
            <w:tcW w:w="1280" w:type="dxa"/>
            <w:tcBorders>
              <w:top w:val="single" w:sz="8" w:space="0" w:color="auto"/>
              <w:left w:val="nil"/>
              <w:bottom w:val="single" w:sz="4"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21,1</w:t>
            </w:r>
          </w:p>
        </w:tc>
        <w:tc>
          <w:tcPr>
            <w:tcW w:w="1300" w:type="dxa"/>
            <w:tcBorders>
              <w:top w:val="single" w:sz="8" w:space="0" w:color="auto"/>
              <w:left w:val="nil"/>
              <w:bottom w:val="single" w:sz="4"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144,9</w:t>
            </w:r>
          </w:p>
        </w:tc>
        <w:tc>
          <w:tcPr>
            <w:tcW w:w="1300" w:type="dxa"/>
            <w:tcBorders>
              <w:top w:val="single" w:sz="8" w:space="0" w:color="auto"/>
              <w:left w:val="nil"/>
              <w:bottom w:val="single" w:sz="4" w:space="0" w:color="auto"/>
              <w:right w:val="single" w:sz="4"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239,1</w:t>
            </w:r>
          </w:p>
        </w:tc>
      </w:tr>
      <w:tr w:rsidR="000314D9" w:rsidRPr="00AE6ADC" w:rsidTr="00F3030B">
        <w:tc>
          <w:tcPr>
            <w:tcW w:w="5160" w:type="dxa"/>
            <w:tcBorders>
              <w:top w:val="single" w:sz="4" w:space="0" w:color="auto"/>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74. resors "Gadskārtējā valsts budžeta izpildes procesā pārdalāmais finansējums"</w:t>
            </w:r>
          </w:p>
        </w:tc>
        <w:tc>
          <w:tcPr>
            <w:tcW w:w="128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-18,1</w:t>
            </w:r>
          </w:p>
        </w:tc>
        <w:tc>
          <w:tcPr>
            <w:tcW w:w="130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-37,3</w:t>
            </w:r>
          </w:p>
        </w:tc>
        <w:tc>
          <w:tcPr>
            <w:tcW w:w="1300" w:type="dxa"/>
            <w:tcBorders>
              <w:top w:val="single" w:sz="4" w:space="0" w:color="auto"/>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114,1</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Veselības finansējuma nodrošināšana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0,0</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144,0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Citi pasākumi (finansējuma pārdales (t.sk., ES fondu īstenošanai), ieņēmumu no maksas pakalpojumiem un citu pašu ieņēmumu palielinājums u.c.)</w:t>
            </w:r>
          </w:p>
        </w:tc>
        <w:tc>
          <w:tcPr>
            <w:tcW w:w="128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-16,5</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-8,5</w:t>
            </w:r>
          </w:p>
        </w:tc>
        <w:tc>
          <w:tcPr>
            <w:tcW w:w="1300" w:type="dxa"/>
            <w:tcBorders>
              <w:top w:val="nil"/>
              <w:left w:val="nil"/>
              <w:bottom w:val="single" w:sz="8" w:space="0" w:color="auto"/>
              <w:right w:val="single" w:sz="8" w:space="0" w:color="auto"/>
            </w:tcBorders>
            <w:shd w:val="clear" w:color="auto" w:fill="E2EFD9" w:themeFill="accent6" w:themeFillTint="33"/>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-4,0</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 (t.sk. precizēts LNG apmērs, finansējuma samazinājums apropriācijas rezervei)</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-1,5</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-28,7</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-25,9</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b/>
                <w:bCs/>
                <w:sz w:val="20"/>
                <w:szCs w:val="20"/>
                <w:lang w:eastAsia="lv-LV"/>
              </w:rPr>
            </w:pPr>
            <w:r w:rsidRPr="00AE6ADC">
              <w:rPr>
                <w:rFonts w:ascii="Times New Roman" w:eastAsia="Times New Roman" w:hAnsi="Times New Roman" w:cs="Times New Roman"/>
                <w:b/>
                <w:bCs/>
                <w:sz w:val="20"/>
                <w:szCs w:val="20"/>
                <w:lang w:eastAsia="lv-LV"/>
              </w:rPr>
              <w:t>Valsts speciālais budžets</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-9,5</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-12,3</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b/>
                <w:bCs/>
                <w:color w:val="000000"/>
                <w:sz w:val="20"/>
                <w:szCs w:val="20"/>
                <w:lang w:eastAsia="lv-LV"/>
              </w:rPr>
            </w:pPr>
            <w:r w:rsidRPr="00AE6ADC">
              <w:rPr>
                <w:rFonts w:ascii="Times New Roman" w:eastAsia="Times New Roman" w:hAnsi="Times New Roman" w:cs="Times New Roman"/>
                <w:b/>
                <w:bCs/>
                <w:color w:val="000000"/>
                <w:sz w:val="20"/>
                <w:szCs w:val="20"/>
                <w:lang w:eastAsia="lv-LV"/>
              </w:rPr>
              <w:t>-12,6</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auto" w:fill="auto"/>
            <w:vAlign w:val="center"/>
            <w:hideMark/>
          </w:tcPr>
          <w:p w:rsidR="000314D9" w:rsidRPr="00AE6ADC" w:rsidRDefault="000314D9" w:rsidP="00DD350B">
            <w:pPr>
              <w:spacing w:after="0" w:line="240" w:lineRule="auto"/>
              <w:jc w:val="both"/>
              <w:rPr>
                <w:rFonts w:ascii="Times New Roman" w:eastAsia="Times New Roman" w:hAnsi="Times New Roman" w:cs="Times New Roman"/>
                <w:sz w:val="20"/>
                <w:szCs w:val="20"/>
                <w:lang w:eastAsia="lv-LV"/>
              </w:rPr>
            </w:pPr>
            <w:r w:rsidRPr="00AE6ADC">
              <w:rPr>
                <w:rFonts w:ascii="Times New Roman" w:eastAsia="Times New Roman" w:hAnsi="Times New Roman" w:cs="Times New Roman"/>
                <w:sz w:val="20"/>
                <w:szCs w:val="20"/>
                <w:lang w:eastAsia="lv-LV"/>
              </w:rPr>
              <w:t>Valsts sociālās apdrošināšanas aģentūras administratīvās kapacitātes stiprināšana</w:t>
            </w:r>
          </w:p>
        </w:tc>
        <w:tc>
          <w:tcPr>
            <w:tcW w:w="128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1,6</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1,6</w:t>
            </w:r>
          </w:p>
        </w:tc>
        <w:tc>
          <w:tcPr>
            <w:tcW w:w="1300" w:type="dxa"/>
            <w:tcBorders>
              <w:top w:val="nil"/>
              <w:left w:val="nil"/>
              <w:bottom w:val="single" w:sz="8" w:space="0" w:color="auto"/>
              <w:right w:val="single" w:sz="8" w:space="0" w:color="auto"/>
            </w:tcBorders>
            <w:shd w:val="clear" w:color="auto" w:fill="auto"/>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1,6</w:t>
            </w:r>
          </w:p>
        </w:tc>
      </w:tr>
      <w:tr w:rsidR="000314D9" w:rsidRPr="00AE6ADC" w:rsidTr="00F3030B">
        <w:tc>
          <w:tcPr>
            <w:tcW w:w="5160" w:type="dxa"/>
            <w:tcBorders>
              <w:top w:val="nil"/>
              <w:left w:val="single" w:sz="8" w:space="0" w:color="auto"/>
              <w:bottom w:val="single" w:sz="8" w:space="0" w:color="auto"/>
              <w:right w:val="single" w:sz="8" w:space="0" w:color="auto"/>
            </w:tcBorders>
            <w:shd w:val="clear" w:color="000000" w:fill="9BC2E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Citi MK pieņemtie lēmumi (t.sk. fin. samazinājums vecuma pensijām, izdevumu samazinājums bezdarbnieka pabalstiem saistībā ar pabalsta saņēmēju skaita prognozēto samazinājumu)</w:t>
            </w:r>
          </w:p>
        </w:tc>
        <w:tc>
          <w:tcPr>
            <w:tcW w:w="128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-11,3</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-14,0</w:t>
            </w:r>
          </w:p>
        </w:tc>
        <w:tc>
          <w:tcPr>
            <w:tcW w:w="1300" w:type="dxa"/>
            <w:tcBorders>
              <w:top w:val="nil"/>
              <w:left w:val="nil"/>
              <w:bottom w:val="single" w:sz="8" w:space="0" w:color="auto"/>
              <w:right w:val="single" w:sz="8" w:space="0" w:color="auto"/>
            </w:tcBorders>
            <w:shd w:val="clear" w:color="000000" w:fill="9BC2E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-14,3</w:t>
            </w:r>
          </w:p>
        </w:tc>
      </w:tr>
      <w:tr w:rsidR="000314D9" w:rsidRPr="00513F3B" w:rsidTr="00F3030B">
        <w:tc>
          <w:tcPr>
            <w:tcW w:w="5160" w:type="dxa"/>
            <w:tcBorders>
              <w:top w:val="nil"/>
              <w:left w:val="single" w:sz="8" w:space="0" w:color="auto"/>
              <w:bottom w:val="single" w:sz="8" w:space="0" w:color="auto"/>
              <w:right w:val="single" w:sz="8" w:space="0" w:color="auto"/>
            </w:tcBorders>
            <w:shd w:val="clear" w:color="auto" w:fill="DEEAF6"/>
            <w:vAlign w:val="center"/>
            <w:hideMark/>
          </w:tcPr>
          <w:p w:rsidR="000314D9" w:rsidRPr="00AE6ADC" w:rsidRDefault="000314D9" w:rsidP="00DD350B">
            <w:pPr>
              <w:spacing w:after="0" w:line="240" w:lineRule="auto"/>
              <w:jc w:val="both"/>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 xml:space="preserve">Korekcija </w:t>
            </w:r>
            <w:r w:rsidR="00AD5ADD" w:rsidRPr="00AD5ADD">
              <w:rPr>
                <w:rFonts w:ascii="Times New Roman" w:eastAsia="Times New Roman" w:hAnsi="Times New Roman" w:cs="Times New Roman"/>
                <w:color w:val="000000"/>
                <w:sz w:val="20"/>
                <w:szCs w:val="20"/>
                <w:lang w:eastAsia="lv-LV"/>
              </w:rPr>
              <w:t>–</w:t>
            </w:r>
            <w:r w:rsidRPr="00AE6ADC">
              <w:rPr>
                <w:rFonts w:ascii="Times New Roman" w:eastAsia="Times New Roman" w:hAnsi="Times New Roman" w:cs="Times New Roman"/>
                <w:color w:val="000000"/>
                <w:sz w:val="20"/>
                <w:szCs w:val="20"/>
                <w:lang w:eastAsia="lv-LV"/>
              </w:rPr>
              <w:t xml:space="preserve"> izslēgts finansējums minimālās algas paaugstināšanas līdz 430 </w:t>
            </w:r>
            <w:r w:rsidRPr="00AE6ADC">
              <w:rPr>
                <w:rFonts w:ascii="Times New Roman" w:eastAsia="Times New Roman" w:hAnsi="Times New Roman" w:cs="Times New Roman"/>
                <w:i/>
                <w:color w:val="000000"/>
                <w:sz w:val="20"/>
                <w:szCs w:val="20"/>
                <w:lang w:eastAsia="lv-LV"/>
              </w:rPr>
              <w:t>euro</w:t>
            </w:r>
            <w:r w:rsidRPr="00AE6ADC">
              <w:rPr>
                <w:rFonts w:ascii="Times New Roman" w:eastAsia="Times New Roman" w:hAnsi="Times New Roman" w:cs="Times New Roman"/>
                <w:color w:val="000000"/>
                <w:sz w:val="20"/>
                <w:szCs w:val="20"/>
                <w:lang w:eastAsia="lv-LV"/>
              </w:rPr>
              <w:t xml:space="preserve"> nodrošināšanai un darba devēja valsts sociālās apdrošināšanas obligāto iemaksu palielinājuma nodrošināšanai, kas jau ir ietverts nemainīgas politikas scenārijā</w:t>
            </w:r>
          </w:p>
        </w:tc>
        <w:tc>
          <w:tcPr>
            <w:tcW w:w="128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-28,1</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AE6ADC"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-28,0</w:t>
            </w:r>
          </w:p>
        </w:tc>
        <w:tc>
          <w:tcPr>
            <w:tcW w:w="1300" w:type="dxa"/>
            <w:tcBorders>
              <w:top w:val="nil"/>
              <w:left w:val="nil"/>
              <w:bottom w:val="single" w:sz="8" w:space="0" w:color="auto"/>
              <w:right w:val="single" w:sz="8" w:space="0" w:color="auto"/>
            </w:tcBorders>
            <w:shd w:val="clear" w:color="auto" w:fill="DEEAF6"/>
            <w:noWrap/>
            <w:vAlign w:val="center"/>
            <w:hideMark/>
          </w:tcPr>
          <w:p w:rsidR="000314D9" w:rsidRPr="00513F3B" w:rsidRDefault="000314D9" w:rsidP="00540C4E">
            <w:pPr>
              <w:spacing w:after="0" w:line="240" w:lineRule="auto"/>
              <w:jc w:val="center"/>
              <w:rPr>
                <w:rFonts w:ascii="Times New Roman" w:eastAsia="Times New Roman" w:hAnsi="Times New Roman" w:cs="Times New Roman"/>
                <w:color w:val="000000"/>
                <w:sz w:val="20"/>
                <w:szCs w:val="20"/>
                <w:lang w:eastAsia="lv-LV"/>
              </w:rPr>
            </w:pPr>
            <w:r w:rsidRPr="00AE6ADC">
              <w:rPr>
                <w:rFonts w:ascii="Times New Roman" w:eastAsia="Times New Roman" w:hAnsi="Times New Roman" w:cs="Times New Roman"/>
                <w:color w:val="000000"/>
                <w:sz w:val="20"/>
                <w:szCs w:val="20"/>
                <w:lang w:eastAsia="lv-LV"/>
              </w:rPr>
              <w:t>-28,0</w:t>
            </w:r>
          </w:p>
        </w:tc>
      </w:tr>
    </w:tbl>
    <w:p w:rsidR="000314D9" w:rsidRDefault="000314D9" w:rsidP="000314D9"/>
    <w:p w:rsidR="005F4C67" w:rsidRPr="0035294F" w:rsidRDefault="005F4C67" w:rsidP="005C03DF">
      <w:pPr>
        <w:pStyle w:val="Heading2"/>
        <w:numPr>
          <w:ilvl w:val="2"/>
          <w:numId w:val="1"/>
        </w:numPr>
        <w:spacing w:before="0" w:after="120"/>
        <w:ind w:left="1418"/>
        <w:jc w:val="both"/>
        <w:rPr>
          <w:rFonts w:ascii="Times New Roman" w:eastAsia="Calibri" w:hAnsi="Times New Roman" w:cs="Times New Roman"/>
          <w:color w:val="000000"/>
          <w:sz w:val="24"/>
          <w:szCs w:val="24"/>
        </w:rPr>
      </w:pPr>
      <w:bookmarkStart w:id="31" w:name="_Toc510790661"/>
      <w:bookmarkStart w:id="32" w:name="_Toc511027821"/>
      <w:r w:rsidRPr="0035294F">
        <w:rPr>
          <w:rFonts w:ascii="Times New Roman" w:eastAsia="Calibri" w:hAnsi="Times New Roman" w:cs="Times New Roman"/>
          <w:color w:val="000000"/>
          <w:sz w:val="24"/>
          <w:szCs w:val="24"/>
        </w:rPr>
        <w:lastRenderedPageBreak/>
        <w:t>Fiskāli nozīmīgākās strukturālās reformas Regulas Nr. 1175/2011 izpratnē</w:t>
      </w:r>
      <w:bookmarkEnd w:id="31"/>
      <w:bookmarkEnd w:id="32"/>
    </w:p>
    <w:p w:rsidR="005F4C67" w:rsidRDefault="0037345C" w:rsidP="00F4636D">
      <w:pPr>
        <w:pStyle w:val="Heading2"/>
        <w:numPr>
          <w:ilvl w:val="3"/>
          <w:numId w:val="1"/>
        </w:numPr>
        <w:spacing w:before="0" w:after="120"/>
        <w:ind w:left="1842" w:hanging="1077"/>
        <w:jc w:val="both"/>
        <w:rPr>
          <w:rFonts w:ascii="Times New Roman" w:eastAsia="Calibri" w:hAnsi="Times New Roman" w:cs="Times New Roman"/>
          <w:color w:val="000000"/>
          <w:sz w:val="24"/>
          <w:szCs w:val="24"/>
        </w:rPr>
      </w:pPr>
      <w:r>
        <w:rPr>
          <w:rFonts w:ascii="Times New Roman" w:eastAsia="Calibri" w:hAnsi="Times New Roman" w:cs="Times New Roman"/>
          <w:b w:val="0"/>
          <w:color w:val="000000"/>
          <w:sz w:val="24"/>
          <w:szCs w:val="24"/>
        </w:rPr>
        <w:t xml:space="preserve"> </w:t>
      </w:r>
      <w:bookmarkStart w:id="33" w:name="_Toc510790662"/>
      <w:bookmarkStart w:id="34" w:name="_Toc511027822"/>
      <w:r w:rsidR="005F4C67" w:rsidRPr="004D5E99">
        <w:rPr>
          <w:rFonts w:ascii="Times New Roman" w:eastAsia="Calibri" w:hAnsi="Times New Roman" w:cs="Times New Roman"/>
          <w:color w:val="000000"/>
          <w:sz w:val="24"/>
          <w:szCs w:val="24"/>
        </w:rPr>
        <w:t>Pensiju sistēmas reforma</w:t>
      </w:r>
      <w:bookmarkEnd w:id="33"/>
      <w:bookmarkEnd w:id="34"/>
    </w:p>
    <w:p w:rsidR="008F19FF" w:rsidRDefault="008F19FF" w:rsidP="00540C4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2012.gadā tika veikti grozījumi Valsts fondēto pensiju likumā, kas paredz pakāpeniskāku iemaksu likmes paaugstināšanu pensiju sistēmas 2.līmenī, t.i. 2013.</w:t>
      </w:r>
      <w:r w:rsidR="001E2C89" w:rsidRPr="001E2C89">
        <w:t xml:space="preserve"> </w:t>
      </w:r>
      <w:r w:rsidR="001E2C89" w:rsidRPr="00C06444">
        <w:t>–</w:t>
      </w:r>
      <w:r w:rsidR="001E2C89">
        <w:t xml:space="preserve"> </w:t>
      </w:r>
      <w:r>
        <w:rPr>
          <w:rFonts w:ascii="Times New Roman" w:eastAsia="Times New Roman" w:hAnsi="Times New Roman" w:cs="Times New Roman"/>
          <w:sz w:val="24"/>
          <w:szCs w:val="24"/>
        </w:rPr>
        <w:t xml:space="preserve">2014.gadā 4%, 2015.gadā 5% un 2016.gadā 6%. Politika netiek mainīta. </w:t>
      </w:r>
      <w:r w:rsidR="004B1067">
        <w:rPr>
          <w:rFonts w:ascii="Times New Roman" w:eastAsia="Times New Roman" w:hAnsi="Times New Roman" w:cs="Times New Roman"/>
          <w:sz w:val="24"/>
          <w:szCs w:val="24"/>
        </w:rPr>
        <w:t xml:space="preserve">Iepriekšējā Stabilitātes programmā budžeta bilances mērķu formulēšanā 2018.gadam vēl tika pielietota atkāpe </w:t>
      </w:r>
      <w:r>
        <w:rPr>
          <w:rFonts w:ascii="Times New Roman" w:eastAsia="Times New Roman" w:hAnsi="Times New Roman" w:cs="Times New Roman"/>
          <w:sz w:val="24"/>
          <w:szCs w:val="24"/>
        </w:rPr>
        <w:t xml:space="preserve">no VTM, </w:t>
      </w:r>
      <w:r w:rsidR="004B1067">
        <w:rPr>
          <w:rFonts w:ascii="Times New Roman" w:eastAsia="Times New Roman" w:hAnsi="Times New Roman" w:cs="Times New Roman"/>
          <w:sz w:val="24"/>
          <w:szCs w:val="24"/>
        </w:rPr>
        <w:t xml:space="preserve">ko pieļauj SIP, īstenojot </w:t>
      </w:r>
      <w:r>
        <w:rPr>
          <w:rFonts w:ascii="Times New Roman" w:eastAsia="Times New Roman" w:hAnsi="Times New Roman" w:cs="Times New Roman"/>
          <w:sz w:val="24"/>
          <w:szCs w:val="24"/>
        </w:rPr>
        <w:t>šīs strukturālās reformas.</w:t>
      </w:r>
      <w:r w:rsidR="004B1067">
        <w:rPr>
          <w:rFonts w:ascii="Times New Roman" w:eastAsia="Times New Roman" w:hAnsi="Times New Roman" w:cs="Times New Roman"/>
          <w:sz w:val="24"/>
          <w:szCs w:val="24"/>
        </w:rPr>
        <w:t xml:space="preserve"> Savukārt šajā Stabilitātes programmā atkāpes no VTM vairs neietver pensiju reformas efektus, jo iespēja izmantot šīs atkāpes no 2019.gada vairs nav spēkā.</w:t>
      </w:r>
    </w:p>
    <w:p w:rsidR="00904A27" w:rsidRDefault="004B1067" w:rsidP="00AC0BD0">
      <w:pPr>
        <w:spacing w:after="0" w:line="240" w:lineRule="auto"/>
        <w:ind w:firstLine="720"/>
        <w:jc w:val="both"/>
        <w:rPr>
          <w:rFonts w:ascii="Times New Roman" w:eastAsia="Times New Roman" w:hAnsi="Times New Roman" w:cs="Times New Roman"/>
          <w:color w:val="000000"/>
          <w:sz w:val="24"/>
          <w:szCs w:val="20"/>
        </w:rPr>
      </w:pPr>
      <w:r>
        <w:rPr>
          <w:rFonts w:ascii="Times New Roman" w:eastAsia="Times New Roman" w:hAnsi="Times New Roman" w:cs="Times New Roman"/>
          <w:sz w:val="24"/>
          <w:szCs w:val="24"/>
        </w:rPr>
        <w:t>Kopumā p</w:t>
      </w:r>
      <w:r w:rsidR="008F19FF">
        <w:rPr>
          <w:rFonts w:ascii="Times New Roman" w:eastAsia="Times New Roman" w:hAnsi="Times New Roman" w:cs="Times New Roman"/>
          <w:sz w:val="24"/>
          <w:szCs w:val="24"/>
        </w:rPr>
        <w:t xml:space="preserve">ensiju reforma </w:t>
      </w:r>
      <w:r>
        <w:rPr>
          <w:rFonts w:ascii="Times New Roman" w:eastAsia="Times New Roman" w:hAnsi="Times New Roman" w:cs="Times New Roman"/>
          <w:sz w:val="24"/>
          <w:szCs w:val="24"/>
        </w:rPr>
        <w:t xml:space="preserve">Latvijā ir </w:t>
      </w:r>
      <w:r w:rsidR="008F19FF">
        <w:rPr>
          <w:rFonts w:ascii="Times New Roman" w:eastAsia="Times New Roman" w:hAnsi="Times New Roman" w:cs="Times New Roman"/>
          <w:sz w:val="24"/>
          <w:szCs w:val="24"/>
        </w:rPr>
        <w:t xml:space="preserve">plašāka un ietver arī citus pasākumus bez iemaksu palielinājuma 2.pensiju līmenī. </w:t>
      </w:r>
      <w:r w:rsidR="00904A27">
        <w:rPr>
          <w:rFonts w:ascii="Times New Roman" w:eastAsia="Times New Roman" w:hAnsi="Times New Roman" w:cs="Times New Roman"/>
          <w:sz w:val="24"/>
          <w:szCs w:val="24"/>
        </w:rPr>
        <w:t xml:space="preserve">Par nesen veiktajām reformām, kas </w:t>
      </w:r>
      <w:r w:rsidR="00904A27" w:rsidRPr="006A28D4">
        <w:rPr>
          <w:rFonts w:ascii="Times New Roman" w:eastAsia="Times New Roman" w:hAnsi="Times New Roman" w:cs="Times New Roman"/>
          <w:color w:val="000000"/>
          <w:sz w:val="24"/>
          <w:szCs w:val="20"/>
        </w:rPr>
        <w:t>2017.gadā un 2018.gadā stājas spēkā</w:t>
      </w:r>
      <w:r w:rsidR="00904A27">
        <w:rPr>
          <w:rFonts w:ascii="Times New Roman" w:eastAsia="Times New Roman" w:hAnsi="Times New Roman" w:cs="Times New Roman"/>
          <w:color w:val="000000"/>
          <w:sz w:val="24"/>
          <w:szCs w:val="20"/>
        </w:rPr>
        <w:t>,</w:t>
      </w:r>
      <w:r w:rsidR="00904A27" w:rsidRPr="006A28D4">
        <w:rPr>
          <w:rFonts w:ascii="Times New Roman" w:eastAsia="Times New Roman" w:hAnsi="Times New Roman" w:cs="Times New Roman"/>
          <w:color w:val="000000"/>
          <w:sz w:val="24"/>
          <w:szCs w:val="20"/>
        </w:rPr>
        <w:t xml:space="preserve"> </w:t>
      </w:r>
      <w:r w:rsidR="00904A27" w:rsidRPr="00904A27">
        <w:rPr>
          <w:rFonts w:ascii="Times New Roman" w:eastAsia="Times New Roman" w:hAnsi="Times New Roman" w:cs="Times New Roman"/>
          <w:color w:val="000000"/>
          <w:sz w:val="24"/>
          <w:szCs w:val="20"/>
        </w:rPr>
        <w:t>ir izklāstīt</w:t>
      </w:r>
      <w:r w:rsidR="00904A27">
        <w:rPr>
          <w:rFonts w:ascii="Times New Roman" w:eastAsia="Times New Roman" w:hAnsi="Times New Roman" w:cs="Times New Roman"/>
          <w:color w:val="000000"/>
          <w:sz w:val="24"/>
          <w:szCs w:val="20"/>
        </w:rPr>
        <w:t>a</w:t>
      </w:r>
      <w:r w:rsidR="00904A27" w:rsidRPr="00904A27">
        <w:rPr>
          <w:rFonts w:ascii="Times New Roman" w:eastAsia="Times New Roman" w:hAnsi="Times New Roman" w:cs="Times New Roman"/>
          <w:color w:val="000000"/>
          <w:sz w:val="24"/>
          <w:szCs w:val="20"/>
        </w:rPr>
        <w:t>s 7.1. sadaļā “Publisko finanšu ilgtermiņa attīstības scenārijs”.</w:t>
      </w:r>
    </w:p>
    <w:p w:rsidR="00540C4E" w:rsidRPr="006A28D4" w:rsidRDefault="00540C4E" w:rsidP="00AC0BD0">
      <w:pPr>
        <w:spacing w:after="0" w:line="240" w:lineRule="auto"/>
        <w:ind w:firstLine="720"/>
        <w:jc w:val="both"/>
        <w:rPr>
          <w:rFonts w:ascii="Times New Roman" w:eastAsia="Times New Roman" w:hAnsi="Times New Roman" w:cs="Times New Roman"/>
          <w:color w:val="000000"/>
          <w:sz w:val="24"/>
          <w:szCs w:val="20"/>
        </w:rPr>
      </w:pPr>
    </w:p>
    <w:p w:rsidR="00F36649" w:rsidRPr="00F36649" w:rsidRDefault="005F4C67" w:rsidP="00F4636D">
      <w:pPr>
        <w:pStyle w:val="Heading2"/>
        <w:numPr>
          <w:ilvl w:val="3"/>
          <w:numId w:val="1"/>
        </w:numPr>
        <w:spacing w:before="0" w:after="120"/>
        <w:ind w:left="1842" w:hanging="1077"/>
        <w:jc w:val="both"/>
        <w:rPr>
          <w:rFonts w:ascii="Times New Roman" w:eastAsia="Calibri" w:hAnsi="Times New Roman" w:cs="Times New Roman"/>
          <w:color w:val="000000"/>
          <w:sz w:val="24"/>
          <w:szCs w:val="24"/>
        </w:rPr>
      </w:pPr>
      <w:bookmarkStart w:id="35" w:name="_Toc510790663"/>
      <w:bookmarkStart w:id="36" w:name="_Toc511027823"/>
      <w:r w:rsidRPr="004D5E99">
        <w:rPr>
          <w:rFonts w:ascii="Times New Roman" w:eastAsia="Calibri" w:hAnsi="Times New Roman" w:cs="Times New Roman"/>
          <w:color w:val="000000"/>
          <w:sz w:val="24"/>
          <w:szCs w:val="24"/>
        </w:rPr>
        <w:t>Veselības sistēmas reforma</w:t>
      </w:r>
      <w:bookmarkEnd w:id="35"/>
      <w:bookmarkEnd w:id="36"/>
    </w:p>
    <w:p w:rsidR="00B40952" w:rsidRPr="00B40952" w:rsidRDefault="00B40952" w:rsidP="00B40952">
      <w:pPr>
        <w:spacing w:after="0" w:line="240" w:lineRule="auto"/>
        <w:ind w:firstLine="720"/>
        <w:jc w:val="both"/>
        <w:rPr>
          <w:rFonts w:ascii="Times New Roman" w:eastAsia="Times New Roman" w:hAnsi="Times New Roman" w:cs="Times New Roman"/>
          <w:b/>
          <w:sz w:val="24"/>
          <w:szCs w:val="24"/>
        </w:rPr>
      </w:pPr>
      <w:r w:rsidRPr="00B40952">
        <w:rPr>
          <w:rFonts w:ascii="Times New Roman" w:eastAsia="Times New Roman" w:hAnsi="Times New Roman" w:cs="Times New Roman"/>
          <w:sz w:val="24"/>
          <w:szCs w:val="24"/>
        </w:rPr>
        <w:t>Stabilitātes programmā 2016.</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2019.gadam Latvija pieteica veselības sistēmas reformu kā būtisku strukturālo reformu ar ilgtermiņa pozitīvu efektu uz publisko finanšu ilgtspēju, nolūkā attiecināt uz šo reformu iespēju novirzīties no VTM saskaņā ar EK komunikāciju</w:t>
      </w:r>
      <w:r w:rsidR="00EE5443">
        <w:rPr>
          <w:rFonts w:ascii="Times New Roman" w:eastAsia="Times New Roman" w:hAnsi="Times New Roman" w:cs="Times New Roman"/>
          <w:sz w:val="24"/>
          <w:szCs w:val="24"/>
        </w:rPr>
        <w:t xml:space="preserve"> (</w:t>
      </w:r>
      <w:r w:rsidR="00EE5443" w:rsidRPr="00EE5443">
        <w:rPr>
          <w:rFonts w:ascii="Times New Roman" w:hAnsi="Times New Roman" w:cs="Times New Roman"/>
          <w:color w:val="000000"/>
          <w:sz w:val="24"/>
        </w:rPr>
        <w:t>Eiropas Komisijas 2015.gada 13.janvāra komunikācija Eiropas Parlamentam, Padomei, Eiropas Centrālai bankai, Ekonomikas un sociālo lietu komitejai, Reģionu komitejai un Eiropas Investīciju bankai par Stabilitātes un izaugsmes pakta regulējumā esošās elastības vislabāko izmantošanu (COM(2015) 12)</w:t>
      </w:r>
      <w:r w:rsidR="00EE5443">
        <w:rPr>
          <w:rFonts w:ascii="Times New Roman" w:hAnsi="Times New Roman" w:cs="Times New Roman"/>
          <w:color w:val="000000"/>
          <w:sz w:val="24"/>
        </w:rPr>
        <w:t>)</w:t>
      </w:r>
      <w:r w:rsidRPr="00B40952">
        <w:rPr>
          <w:rFonts w:ascii="Times New Roman" w:eastAsia="Times New Roman" w:hAnsi="Times New Roman" w:cs="Times New Roman"/>
          <w:sz w:val="24"/>
          <w:szCs w:val="24"/>
        </w:rPr>
        <w:t>. EK izskatīja Latvijas iesniegumu un atbalstīja deficīta atkāpes piešķiršanu veselības sistēmas reformai. Lai ievērotu strukturālā deficīta drošības rezervi, attiecībā uz Līgumā par ES darbību noteikto atsauces vērtību 3% apmērā no IKP</w:t>
      </w:r>
      <w:r w:rsidRPr="00B40952">
        <w:rPr>
          <w:rFonts w:ascii="Times New Roman" w:eastAsia="Times New Roman" w:hAnsi="Times New Roman" w:cs="Times New Roman"/>
          <w:sz w:val="24"/>
          <w:szCs w:val="24"/>
          <w:vertAlign w:val="superscript"/>
        </w:rPr>
        <w:footnoteReference w:id="12"/>
      </w:r>
      <w:r w:rsidRPr="00B40952">
        <w:rPr>
          <w:rFonts w:ascii="Times New Roman" w:eastAsia="Times New Roman" w:hAnsi="Times New Roman" w:cs="Times New Roman"/>
          <w:sz w:val="24"/>
          <w:szCs w:val="24"/>
        </w:rPr>
        <w:t>, Latvijai piešķirtā deficīta atkāpe ir 0,13% no IKP 2017.gadā, 0,40 % no IKP 2018.gadā un 0,50% no IKP 2019.gadā.</w:t>
      </w:r>
    </w:p>
    <w:p w:rsidR="00F3030B" w:rsidRDefault="00B40952" w:rsidP="00F3030B">
      <w:pPr>
        <w:spacing w:before="120" w:after="0" w:line="240" w:lineRule="auto"/>
        <w:ind w:firstLine="720"/>
        <w:jc w:val="right"/>
        <w:rPr>
          <w:rFonts w:ascii="Times New Roman" w:eastAsia="Times New Roman" w:hAnsi="Times New Roman" w:cs="Times New Roman"/>
          <w:b/>
          <w:sz w:val="24"/>
          <w:szCs w:val="24"/>
        </w:rPr>
      </w:pPr>
      <w:r w:rsidRPr="005C03DF">
        <w:rPr>
          <w:rFonts w:ascii="Times New Roman" w:eastAsia="Times New Roman" w:hAnsi="Times New Roman" w:cs="Times New Roman"/>
          <w:b/>
          <w:sz w:val="24"/>
          <w:szCs w:val="24"/>
        </w:rPr>
        <w:t>3.</w:t>
      </w:r>
      <w:r w:rsidR="005C03DF" w:rsidRPr="005C03DF">
        <w:rPr>
          <w:rFonts w:ascii="Times New Roman" w:eastAsia="Times New Roman" w:hAnsi="Times New Roman" w:cs="Times New Roman"/>
          <w:b/>
          <w:sz w:val="24"/>
          <w:szCs w:val="24"/>
        </w:rPr>
        <w:t>8</w:t>
      </w:r>
      <w:r w:rsidRPr="005C03DF">
        <w:rPr>
          <w:rFonts w:ascii="Times New Roman" w:eastAsia="Times New Roman" w:hAnsi="Times New Roman" w:cs="Times New Roman"/>
          <w:b/>
          <w:sz w:val="24"/>
          <w:szCs w:val="24"/>
        </w:rPr>
        <w:t xml:space="preserve">.tabula. </w:t>
      </w:r>
      <w:r w:rsidRPr="00B40952">
        <w:rPr>
          <w:rFonts w:ascii="Times New Roman" w:eastAsia="Times New Roman" w:hAnsi="Times New Roman" w:cs="Times New Roman"/>
          <w:b/>
          <w:sz w:val="24"/>
          <w:szCs w:val="24"/>
        </w:rPr>
        <w:t xml:space="preserve">Budžeta deficīta pieļaujamā atkāpe </w:t>
      </w:r>
    </w:p>
    <w:p w:rsidR="00B40952" w:rsidRPr="00B40952" w:rsidRDefault="00B40952" w:rsidP="00F3030B">
      <w:pPr>
        <w:spacing w:after="60" w:line="240" w:lineRule="auto"/>
        <w:ind w:firstLine="720"/>
        <w:jc w:val="right"/>
        <w:rPr>
          <w:rFonts w:ascii="Times New Roman" w:eastAsia="Times New Roman" w:hAnsi="Times New Roman" w:cs="Times New Roman"/>
          <w:b/>
          <w:sz w:val="24"/>
          <w:szCs w:val="24"/>
          <w:highlight w:val="yellow"/>
        </w:rPr>
      </w:pPr>
      <w:r w:rsidRPr="00B40952">
        <w:rPr>
          <w:rFonts w:ascii="Times New Roman" w:eastAsia="Times New Roman" w:hAnsi="Times New Roman" w:cs="Times New Roman"/>
          <w:b/>
          <w:sz w:val="24"/>
          <w:szCs w:val="24"/>
        </w:rPr>
        <w:t>veselības sistēmas reformas īstenošanai, %</w:t>
      </w:r>
    </w:p>
    <w:tbl>
      <w:tblPr>
        <w:tblStyle w:val="GridTable6Colorful-Accent11"/>
        <w:tblW w:w="9203" w:type="dxa"/>
        <w:jc w:val="center"/>
        <w:tblLook w:val="04A0" w:firstRow="1" w:lastRow="0" w:firstColumn="1" w:lastColumn="0" w:noHBand="0" w:noVBand="1"/>
      </w:tblPr>
      <w:tblGrid>
        <w:gridCol w:w="1977"/>
        <w:gridCol w:w="995"/>
        <w:gridCol w:w="851"/>
        <w:gridCol w:w="883"/>
        <w:gridCol w:w="733"/>
        <w:gridCol w:w="733"/>
        <w:gridCol w:w="766"/>
        <w:gridCol w:w="766"/>
        <w:gridCol w:w="766"/>
        <w:gridCol w:w="733"/>
      </w:tblGrid>
      <w:tr w:rsidR="00B40952" w:rsidRPr="00B40952" w:rsidTr="00F3030B">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77" w:type="dxa"/>
            <w:noWrap/>
            <w:hideMark/>
          </w:tcPr>
          <w:p w:rsidR="00B40952" w:rsidRPr="00B40952" w:rsidRDefault="00B40952" w:rsidP="00B40952">
            <w:pPr>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 </w:t>
            </w:r>
          </w:p>
        </w:tc>
        <w:tc>
          <w:tcPr>
            <w:tcW w:w="995"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51"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2013</w:t>
            </w:r>
          </w:p>
        </w:tc>
        <w:tc>
          <w:tcPr>
            <w:tcW w:w="883"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2014</w:t>
            </w:r>
          </w:p>
        </w:tc>
        <w:tc>
          <w:tcPr>
            <w:tcW w:w="733"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2015</w:t>
            </w:r>
          </w:p>
        </w:tc>
        <w:tc>
          <w:tcPr>
            <w:tcW w:w="733"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2016</w:t>
            </w:r>
          </w:p>
        </w:tc>
        <w:tc>
          <w:tcPr>
            <w:tcW w:w="766"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2017</w:t>
            </w:r>
          </w:p>
        </w:tc>
        <w:tc>
          <w:tcPr>
            <w:tcW w:w="766"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2018</w:t>
            </w:r>
          </w:p>
        </w:tc>
        <w:tc>
          <w:tcPr>
            <w:tcW w:w="766"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2019</w:t>
            </w:r>
          </w:p>
        </w:tc>
        <w:tc>
          <w:tcPr>
            <w:tcW w:w="733" w:type="dxa"/>
            <w:noWrap/>
            <w:vAlign w:val="center"/>
            <w:hideMark/>
          </w:tcPr>
          <w:p w:rsidR="00B40952" w:rsidRPr="00B40952"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2020</w:t>
            </w:r>
          </w:p>
        </w:tc>
      </w:tr>
      <w:tr w:rsidR="00B40952" w:rsidRPr="00B40952" w:rsidTr="00F3030B">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972" w:type="dxa"/>
            <w:gridSpan w:val="2"/>
            <w:noWrap/>
            <w:vAlign w:val="center"/>
            <w:hideMark/>
          </w:tcPr>
          <w:p w:rsidR="00B40952" w:rsidRPr="00B40952" w:rsidRDefault="00B40952" w:rsidP="00540C4E">
            <w:pPr>
              <w:jc w:val="center"/>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VTM</w:t>
            </w:r>
          </w:p>
        </w:tc>
        <w:tc>
          <w:tcPr>
            <w:tcW w:w="851" w:type="dxa"/>
            <w:noWrap/>
            <w:vAlign w:val="center"/>
            <w:hideMark/>
          </w:tcPr>
          <w:p w:rsidR="00B40952" w:rsidRPr="00B40952"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-1,00</w:t>
            </w:r>
          </w:p>
        </w:tc>
        <w:tc>
          <w:tcPr>
            <w:tcW w:w="883" w:type="dxa"/>
            <w:noWrap/>
            <w:vAlign w:val="center"/>
            <w:hideMark/>
          </w:tcPr>
          <w:p w:rsidR="00B40952" w:rsidRPr="00B40952"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-1,00</w:t>
            </w:r>
          </w:p>
        </w:tc>
        <w:tc>
          <w:tcPr>
            <w:tcW w:w="733" w:type="dxa"/>
            <w:noWrap/>
            <w:vAlign w:val="center"/>
            <w:hideMark/>
          </w:tcPr>
          <w:p w:rsidR="00B40952" w:rsidRPr="00B40952"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-1,00</w:t>
            </w:r>
          </w:p>
        </w:tc>
        <w:tc>
          <w:tcPr>
            <w:tcW w:w="733" w:type="dxa"/>
            <w:noWrap/>
            <w:vAlign w:val="center"/>
            <w:hideMark/>
          </w:tcPr>
          <w:p w:rsidR="00B40952" w:rsidRPr="00B40952"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-1,00</w:t>
            </w:r>
          </w:p>
        </w:tc>
        <w:tc>
          <w:tcPr>
            <w:tcW w:w="766" w:type="dxa"/>
            <w:noWrap/>
            <w:vAlign w:val="center"/>
            <w:hideMark/>
          </w:tcPr>
          <w:p w:rsidR="00B40952" w:rsidRPr="00B40952"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-1,00</w:t>
            </w:r>
          </w:p>
        </w:tc>
        <w:tc>
          <w:tcPr>
            <w:tcW w:w="766" w:type="dxa"/>
            <w:noWrap/>
            <w:vAlign w:val="center"/>
            <w:hideMark/>
          </w:tcPr>
          <w:p w:rsidR="00B40952" w:rsidRPr="00B40952"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-1,00</w:t>
            </w:r>
          </w:p>
        </w:tc>
        <w:tc>
          <w:tcPr>
            <w:tcW w:w="766" w:type="dxa"/>
            <w:noWrap/>
            <w:vAlign w:val="center"/>
            <w:hideMark/>
          </w:tcPr>
          <w:p w:rsidR="00B40952" w:rsidRPr="00B40952"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-1,00</w:t>
            </w:r>
          </w:p>
        </w:tc>
        <w:tc>
          <w:tcPr>
            <w:tcW w:w="733" w:type="dxa"/>
            <w:noWrap/>
            <w:vAlign w:val="center"/>
            <w:hideMark/>
          </w:tcPr>
          <w:p w:rsidR="00B40952" w:rsidRPr="00B40952"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-1,00</w:t>
            </w:r>
          </w:p>
        </w:tc>
      </w:tr>
      <w:tr w:rsidR="00F3030B" w:rsidRPr="00B40952" w:rsidTr="00F3030B">
        <w:trPr>
          <w:trHeight w:val="270"/>
          <w:jc w:val="center"/>
        </w:trPr>
        <w:tc>
          <w:tcPr>
            <w:cnfStyle w:val="001000000000" w:firstRow="0" w:lastRow="0" w:firstColumn="1" w:lastColumn="0" w:oddVBand="0" w:evenVBand="0" w:oddHBand="0" w:evenHBand="0" w:firstRowFirstColumn="0" w:firstRowLastColumn="0" w:lastRowFirstColumn="0" w:lastRowLastColumn="0"/>
            <w:tcW w:w="1977" w:type="dxa"/>
            <w:vMerge w:val="restart"/>
            <w:noWrap/>
            <w:vAlign w:val="center"/>
            <w:hideMark/>
          </w:tcPr>
          <w:p w:rsidR="00F3030B" w:rsidRPr="00B40952" w:rsidRDefault="00F3030B" w:rsidP="00F3030B">
            <w:pPr>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Pensiju reforma</w:t>
            </w:r>
          </w:p>
        </w:tc>
        <w:tc>
          <w:tcPr>
            <w:tcW w:w="995"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no 2% uz 4%</w:t>
            </w:r>
          </w:p>
        </w:tc>
        <w:tc>
          <w:tcPr>
            <w:tcW w:w="851"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-0,50</w:t>
            </w:r>
          </w:p>
        </w:tc>
        <w:tc>
          <w:tcPr>
            <w:tcW w:w="88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-0,50</w:t>
            </w: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-0,50</w:t>
            </w: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0,00</w:t>
            </w: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F3030B" w:rsidRPr="00B40952" w:rsidTr="00F3030B">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77" w:type="dxa"/>
            <w:vMerge/>
            <w:noWrap/>
            <w:hideMark/>
          </w:tcPr>
          <w:p w:rsidR="00F3030B" w:rsidRPr="00B40952" w:rsidRDefault="00F3030B" w:rsidP="00B40952">
            <w:pPr>
              <w:rPr>
                <w:rFonts w:ascii="Times New Roman" w:eastAsia="Times New Roman" w:hAnsi="Times New Roman" w:cs="Times New Roman"/>
                <w:color w:val="000000"/>
                <w:sz w:val="20"/>
                <w:szCs w:val="20"/>
                <w:lang w:eastAsia="lv-LV"/>
              </w:rPr>
            </w:pPr>
          </w:p>
        </w:tc>
        <w:tc>
          <w:tcPr>
            <w:tcW w:w="995"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no 4% uz 5%</w:t>
            </w:r>
          </w:p>
        </w:tc>
        <w:tc>
          <w:tcPr>
            <w:tcW w:w="851"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83"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33"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-0,27</w:t>
            </w:r>
          </w:p>
        </w:tc>
        <w:tc>
          <w:tcPr>
            <w:tcW w:w="733"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-0,27</w:t>
            </w:r>
          </w:p>
        </w:tc>
        <w:tc>
          <w:tcPr>
            <w:tcW w:w="766"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-0,27</w:t>
            </w:r>
          </w:p>
        </w:tc>
        <w:tc>
          <w:tcPr>
            <w:tcW w:w="766"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0,00</w:t>
            </w:r>
          </w:p>
        </w:tc>
        <w:tc>
          <w:tcPr>
            <w:tcW w:w="766"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33"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F3030B" w:rsidRPr="00B40952" w:rsidTr="00F3030B">
        <w:trPr>
          <w:trHeight w:val="270"/>
          <w:jc w:val="center"/>
        </w:trPr>
        <w:tc>
          <w:tcPr>
            <w:cnfStyle w:val="001000000000" w:firstRow="0" w:lastRow="0" w:firstColumn="1" w:lastColumn="0" w:oddVBand="0" w:evenVBand="0" w:oddHBand="0" w:evenHBand="0" w:firstRowFirstColumn="0" w:firstRowLastColumn="0" w:lastRowFirstColumn="0" w:lastRowLastColumn="0"/>
            <w:tcW w:w="1977" w:type="dxa"/>
            <w:vMerge/>
            <w:noWrap/>
            <w:hideMark/>
          </w:tcPr>
          <w:p w:rsidR="00F3030B" w:rsidRPr="00B40952" w:rsidRDefault="00F3030B" w:rsidP="00B40952">
            <w:pPr>
              <w:rPr>
                <w:rFonts w:ascii="Times New Roman" w:eastAsia="Times New Roman" w:hAnsi="Times New Roman" w:cs="Times New Roman"/>
                <w:color w:val="000000"/>
                <w:sz w:val="20"/>
                <w:szCs w:val="20"/>
                <w:lang w:eastAsia="lv-LV"/>
              </w:rPr>
            </w:pPr>
          </w:p>
        </w:tc>
        <w:tc>
          <w:tcPr>
            <w:tcW w:w="995"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no 5% uz 6%</w:t>
            </w:r>
          </w:p>
        </w:tc>
        <w:tc>
          <w:tcPr>
            <w:tcW w:w="851"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8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-0,29</w:t>
            </w: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-0,29</w:t>
            </w: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-0,29</w:t>
            </w: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0,00</w:t>
            </w: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F3030B" w:rsidRPr="00B40952" w:rsidTr="00F3030B">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972" w:type="dxa"/>
            <w:gridSpan w:val="2"/>
            <w:noWrap/>
            <w:hideMark/>
          </w:tcPr>
          <w:p w:rsidR="00F3030B" w:rsidRPr="00B40952" w:rsidRDefault="00F3030B" w:rsidP="00F3030B">
            <w:pPr>
              <w:jc w:val="both"/>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 xml:space="preserve">Maksimālā strukturālā bilance </w:t>
            </w:r>
          </w:p>
        </w:tc>
        <w:tc>
          <w:tcPr>
            <w:tcW w:w="851"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-1,80</w:t>
            </w:r>
          </w:p>
        </w:tc>
        <w:tc>
          <w:tcPr>
            <w:tcW w:w="883"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-1,80</w:t>
            </w:r>
          </w:p>
        </w:tc>
        <w:tc>
          <w:tcPr>
            <w:tcW w:w="733"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-1,80</w:t>
            </w:r>
          </w:p>
        </w:tc>
        <w:tc>
          <w:tcPr>
            <w:tcW w:w="733"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-1,80</w:t>
            </w:r>
          </w:p>
        </w:tc>
        <w:tc>
          <w:tcPr>
            <w:tcW w:w="766"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-1,69</w:t>
            </w:r>
          </w:p>
        </w:tc>
        <w:tc>
          <w:tcPr>
            <w:tcW w:w="766"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-1,69</w:t>
            </w:r>
          </w:p>
        </w:tc>
        <w:tc>
          <w:tcPr>
            <w:tcW w:w="766"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-1,69</w:t>
            </w:r>
          </w:p>
        </w:tc>
        <w:tc>
          <w:tcPr>
            <w:tcW w:w="733" w:type="dxa"/>
            <w:noWrap/>
            <w:vAlign w:val="center"/>
            <w:hideMark/>
          </w:tcPr>
          <w:p w:rsidR="00F3030B" w:rsidRPr="00B40952" w:rsidRDefault="00F3030B"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F3030B" w:rsidRPr="00B40952" w:rsidTr="00F3030B">
        <w:trPr>
          <w:trHeight w:val="270"/>
          <w:jc w:val="center"/>
        </w:trPr>
        <w:tc>
          <w:tcPr>
            <w:cnfStyle w:val="001000000000" w:firstRow="0" w:lastRow="0" w:firstColumn="1" w:lastColumn="0" w:oddVBand="0" w:evenVBand="0" w:oddHBand="0" w:evenHBand="0" w:firstRowFirstColumn="0" w:firstRowLastColumn="0" w:lastRowFirstColumn="0" w:lastRowLastColumn="0"/>
            <w:tcW w:w="2972" w:type="dxa"/>
            <w:gridSpan w:val="2"/>
            <w:noWrap/>
            <w:hideMark/>
          </w:tcPr>
          <w:p w:rsidR="00F3030B" w:rsidRPr="00B40952" w:rsidRDefault="00F3030B" w:rsidP="00F3030B">
            <w:pPr>
              <w:jc w:val="both"/>
              <w:rPr>
                <w:rFonts w:ascii="Times New Roman" w:eastAsia="Times New Roman" w:hAnsi="Times New Roman" w:cs="Times New Roman"/>
                <w:color w:val="000000"/>
                <w:sz w:val="20"/>
                <w:szCs w:val="20"/>
                <w:lang w:eastAsia="lv-LV"/>
              </w:rPr>
            </w:pPr>
            <w:r w:rsidRPr="00B40952">
              <w:rPr>
                <w:rFonts w:ascii="Times New Roman" w:eastAsia="Times New Roman" w:hAnsi="Times New Roman" w:cs="Times New Roman"/>
                <w:color w:val="000000"/>
                <w:sz w:val="20"/>
                <w:szCs w:val="20"/>
                <w:lang w:eastAsia="lv-LV"/>
              </w:rPr>
              <w:t>Veselības reformas deficīta atkāpe</w:t>
            </w:r>
          </w:p>
        </w:tc>
        <w:tc>
          <w:tcPr>
            <w:tcW w:w="851"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88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B40952">
              <w:rPr>
                <w:rFonts w:ascii="Times New Roman" w:eastAsia="Times New Roman" w:hAnsi="Times New Roman" w:cs="Times New Roman"/>
                <w:b/>
                <w:bCs/>
                <w:color w:val="000000"/>
                <w:sz w:val="20"/>
                <w:szCs w:val="20"/>
                <w:lang w:eastAsia="lv-LV"/>
              </w:rPr>
              <w:t>-0,13</w:t>
            </w: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B40952">
              <w:rPr>
                <w:rFonts w:ascii="Times New Roman" w:eastAsia="Times New Roman" w:hAnsi="Times New Roman" w:cs="Times New Roman"/>
                <w:b/>
                <w:bCs/>
                <w:color w:val="000000"/>
                <w:sz w:val="20"/>
                <w:szCs w:val="20"/>
                <w:lang w:eastAsia="lv-LV"/>
              </w:rPr>
              <w:t>-0,40</w:t>
            </w:r>
          </w:p>
        </w:tc>
        <w:tc>
          <w:tcPr>
            <w:tcW w:w="766"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B40952">
              <w:rPr>
                <w:rFonts w:ascii="Times New Roman" w:eastAsia="Times New Roman" w:hAnsi="Times New Roman" w:cs="Times New Roman"/>
                <w:b/>
                <w:bCs/>
                <w:color w:val="000000"/>
                <w:sz w:val="20"/>
                <w:szCs w:val="20"/>
                <w:lang w:eastAsia="lv-LV"/>
              </w:rPr>
              <w:t>-0,50</w:t>
            </w:r>
          </w:p>
        </w:tc>
        <w:tc>
          <w:tcPr>
            <w:tcW w:w="733" w:type="dxa"/>
            <w:noWrap/>
            <w:vAlign w:val="center"/>
            <w:hideMark/>
          </w:tcPr>
          <w:p w:rsidR="00F3030B" w:rsidRPr="00B40952" w:rsidRDefault="00F3030B"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v-LV"/>
              </w:rPr>
            </w:pPr>
          </w:p>
        </w:tc>
      </w:tr>
    </w:tbl>
    <w:p w:rsidR="00540C4E" w:rsidRDefault="00540C4E" w:rsidP="00540C4E">
      <w:pPr>
        <w:spacing w:after="0" w:line="240" w:lineRule="auto"/>
        <w:ind w:firstLine="720"/>
        <w:jc w:val="both"/>
        <w:rPr>
          <w:rFonts w:ascii="Times New Roman" w:eastAsia="Times New Roman" w:hAnsi="Times New Roman" w:cs="Times New Roman"/>
          <w:sz w:val="24"/>
          <w:szCs w:val="24"/>
        </w:rPr>
      </w:pPr>
    </w:p>
    <w:p w:rsidR="00B40952" w:rsidRPr="00B40952" w:rsidRDefault="00B40952" w:rsidP="00540C4E">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Jāatzīmē, ka Latvijā tiek runāts par </w:t>
      </w:r>
      <w:r w:rsidRPr="005C03DF">
        <w:rPr>
          <w:rFonts w:ascii="Times New Roman" w:eastAsia="Times New Roman" w:hAnsi="Times New Roman" w:cs="Times New Roman"/>
          <w:sz w:val="24"/>
          <w:szCs w:val="24"/>
        </w:rPr>
        <w:t>trīs</w:t>
      </w:r>
      <w:r w:rsidRPr="00B40952">
        <w:rPr>
          <w:rFonts w:ascii="Times New Roman" w:eastAsia="Times New Roman" w:hAnsi="Times New Roman" w:cs="Times New Roman"/>
          <w:sz w:val="24"/>
          <w:szCs w:val="24"/>
        </w:rPr>
        <w:t xml:space="preserve"> reformām veselības aprūpes jomā:</w:t>
      </w:r>
    </w:p>
    <w:p w:rsidR="00B40952" w:rsidRPr="00B40952" w:rsidRDefault="00B40952" w:rsidP="00F3030B">
      <w:pPr>
        <w:numPr>
          <w:ilvl w:val="0"/>
          <w:numId w:val="34"/>
        </w:numPr>
        <w:spacing w:after="0" w:line="240" w:lineRule="auto"/>
        <w:ind w:left="1418" w:hanging="284"/>
        <w:contextualSpacing/>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“Sabiedrības veselības pamatnostādņu 2014.</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2020.gadam” īstenošana;</w:t>
      </w:r>
    </w:p>
    <w:p w:rsidR="00B40952" w:rsidRPr="00B40952" w:rsidRDefault="00B40952" w:rsidP="00F3030B">
      <w:pPr>
        <w:numPr>
          <w:ilvl w:val="0"/>
          <w:numId w:val="34"/>
        </w:numPr>
        <w:spacing w:after="0" w:line="240" w:lineRule="auto"/>
        <w:ind w:left="1418" w:hanging="284"/>
        <w:contextualSpacing/>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Veselības finansēšanas reforma;</w:t>
      </w:r>
    </w:p>
    <w:p w:rsidR="00B40952" w:rsidRPr="00B40952" w:rsidRDefault="00B40952" w:rsidP="00F3030B">
      <w:pPr>
        <w:numPr>
          <w:ilvl w:val="0"/>
          <w:numId w:val="34"/>
        </w:numPr>
        <w:spacing w:after="0" w:line="240" w:lineRule="auto"/>
        <w:ind w:left="1418" w:hanging="284"/>
        <w:contextualSpacing/>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Veselības sistēmas pārvaldības reforma.</w:t>
      </w:r>
    </w:p>
    <w:p w:rsidR="00B40952" w:rsidRPr="00B40952" w:rsidRDefault="00B40952" w:rsidP="00540C4E">
      <w:pPr>
        <w:spacing w:after="0" w:line="240" w:lineRule="auto"/>
        <w:ind w:left="1134" w:hanging="425"/>
        <w:jc w:val="both"/>
        <w:rPr>
          <w:rFonts w:ascii="Times New Roman" w:eastAsia="Times New Roman" w:hAnsi="Times New Roman" w:cs="Times New Roman"/>
          <w:sz w:val="24"/>
          <w:szCs w:val="24"/>
          <w:highlight w:val="yellow"/>
        </w:rPr>
      </w:pPr>
    </w:p>
    <w:p w:rsidR="00B40952" w:rsidRPr="00B40952" w:rsidRDefault="00B40952" w:rsidP="00F4636D">
      <w:pPr>
        <w:spacing w:after="120" w:line="240" w:lineRule="auto"/>
        <w:ind w:firstLine="720"/>
        <w:rPr>
          <w:rFonts w:ascii="Times New Roman" w:eastAsia="Times New Roman" w:hAnsi="Times New Roman" w:cs="Times New Roman"/>
          <w:b/>
          <w:sz w:val="24"/>
          <w:szCs w:val="24"/>
        </w:rPr>
      </w:pPr>
      <w:r w:rsidRPr="00B40952">
        <w:rPr>
          <w:rFonts w:ascii="Times New Roman" w:eastAsia="Times New Roman" w:hAnsi="Times New Roman" w:cs="Times New Roman"/>
          <w:b/>
          <w:sz w:val="24"/>
          <w:szCs w:val="24"/>
        </w:rPr>
        <w:lastRenderedPageBreak/>
        <w:t>“Sabiedrības veselības pamatnostādņu 2014.</w:t>
      </w:r>
      <w:r w:rsidR="00DD350B">
        <w:rPr>
          <w:rFonts w:ascii="Times New Roman" w:eastAsia="Times New Roman" w:hAnsi="Times New Roman" w:cs="Times New Roman"/>
          <w:b/>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B40952">
        <w:rPr>
          <w:rFonts w:ascii="Times New Roman" w:eastAsia="Times New Roman" w:hAnsi="Times New Roman" w:cs="Times New Roman"/>
          <w:b/>
          <w:sz w:val="24"/>
          <w:szCs w:val="24"/>
        </w:rPr>
        <w:t>2020.gadam” īstenošana</w:t>
      </w:r>
    </w:p>
    <w:p w:rsidR="00B40952" w:rsidRPr="00B40952" w:rsidRDefault="00B40952" w:rsidP="00540C4E">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Deficīta atkāpe tika pieprasīta un saņemta “Sabiedrības veselības pamatnostādņu 2014.</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2020. gadam” īstenošanai. Veselības aprūpes reforma tiek īstenota no 2014.gada saskaņā ar MK apstiprinātajām “Sabiedrības veselības pamatnostādnēm 2014.</w:t>
      </w:r>
      <w:r w:rsidR="00DD350B" w:rsidRPr="00DD350B">
        <w:rPr>
          <w:rFonts w:ascii="Times New Roman" w:eastAsia="Calibri" w:hAnsi="Times New Roman" w:cs="Times New Roman"/>
          <w:sz w:val="24"/>
          <w:szCs w:val="24"/>
        </w:rPr>
        <w:t xml:space="preserve"> </w:t>
      </w:r>
      <w:r w:rsidR="00DD350B" w:rsidRPr="00F14E08">
        <w:rPr>
          <w:rFonts w:ascii="Times New Roman" w:eastAsia="Calibri" w:hAnsi="Times New Roman" w:cs="Times New Roman"/>
          <w:sz w:val="24"/>
          <w:szCs w:val="24"/>
        </w:rPr>
        <w:t>–</w:t>
      </w:r>
      <w:r w:rsidR="00DD350B">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 xml:space="preserve">2020.gadam”, un tās virsmērķis ir palielināt Latvijas iedzīvotāju veselīgi nodzīvoto mūža gadu skaitu un novērst priekšlaicīgu nāvi, saglabājot, uzlabojot un atjaunojot veselību. </w:t>
      </w:r>
    </w:p>
    <w:p w:rsidR="00B40952" w:rsidRPr="00B40952" w:rsidRDefault="00B40952" w:rsidP="00B40952">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Latvijas veselības sistēmas vājās puses galvenokārt saistītas ar šādiem rādītājiem:</w:t>
      </w:r>
    </w:p>
    <w:p w:rsidR="00B40952" w:rsidRPr="00B40952" w:rsidRDefault="00B40952" w:rsidP="00B40952">
      <w:pPr>
        <w:numPr>
          <w:ilvl w:val="0"/>
          <w:numId w:val="33"/>
        </w:numPr>
        <w:spacing w:after="0" w:line="240" w:lineRule="auto"/>
        <w:ind w:left="1134"/>
        <w:jc w:val="both"/>
        <w:rPr>
          <w:rFonts w:ascii="Times New Roman" w:eastAsia="Times New Roman" w:hAnsi="Times New Roman" w:cs="Times New Roman"/>
          <w:sz w:val="24"/>
          <w:szCs w:val="24"/>
        </w:rPr>
      </w:pPr>
      <w:r w:rsidRPr="00B40952">
        <w:rPr>
          <w:rFonts w:ascii="Times New Roman" w:eastAsia="Times New Roman" w:hAnsi="Times New Roman" w:cs="Times New Roman"/>
          <w:b/>
          <w:sz w:val="24"/>
          <w:szCs w:val="24"/>
        </w:rPr>
        <w:t>Zems publiskais finansējums</w:t>
      </w:r>
      <w:r w:rsidRPr="00B40952">
        <w:rPr>
          <w:rFonts w:ascii="Times New Roman" w:eastAsia="Times New Roman" w:hAnsi="Times New Roman" w:cs="Times New Roman"/>
          <w:sz w:val="24"/>
          <w:szCs w:val="24"/>
        </w:rPr>
        <w:t>. Publiskais finansējums veselībai procentos pret IKP ir būtiski zemāks par vidējo rādītāju ES valstīs un norāda uz nepietiekamu finansējumu nozarei (</w:t>
      </w:r>
      <w:r w:rsidRPr="005C03DF">
        <w:rPr>
          <w:rFonts w:ascii="Times New Roman" w:eastAsia="Times New Roman" w:hAnsi="Times New Roman" w:cs="Times New Roman"/>
          <w:sz w:val="24"/>
          <w:szCs w:val="24"/>
        </w:rPr>
        <w:t>sk. 3.</w:t>
      </w:r>
      <w:r w:rsidR="005C03DF" w:rsidRPr="005C03DF">
        <w:rPr>
          <w:rFonts w:ascii="Times New Roman" w:eastAsia="Times New Roman" w:hAnsi="Times New Roman" w:cs="Times New Roman"/>
          <w:sz w:val="24"/>
          <w:szCs w:val="24"/>
        </w:rPr>
        <w:t>4</w:t>
      </w:r>
      <w:r w:rsidRPr="005C03DF">
        <w:rPr>
          <w:rFonts w:ascii="Times New Roman" w:eastAsia="Times New Roman" w:hAnsi="Times New Roman" w:cs="Times New Roman"/>
          <w:sz w:val="24"/>
          <w:szCs w:val="24"/>
        </w:rPr>
        <w:t>.attēlu</w:t>
      </w:r>
      <w:r w:rsidRPr="00B40952">
        <w:rPr>
          <w:rFonts w:ascii="Times New Roman" w:eastAsia="Times New Roman" w:hAnsi="Times New Roman" w:cs="Times New Roman"/>
          <w:sz w:val="24"/>
          <w:szCs w:val="24"/>
        </w:rPr>
        <w:t>).</w:t>
      </w:r>
    </w:p>
    <w:p w:rsidR="00B40952" w:rsidRPr="00B40952" w:rsidRDefault="00B40952" w:rsidP="00B40952">
      <w:pPr>
        <w:numPr>
          <w:ilvl w:val="0"/>
          <w:numId w:val="33"/>
        </w:numPr>
        <w:spacing w:after="0" w:line="240" w:lineRule="auto"/>
        <w:ind w:left="1134"/>
        <w:jc w:val="both"/>
        <w:rPr>
          <w:rFonts w:ascii="Times New Roman" w:eastAsia="Times New Roman" w:hAnsi="Times New Roman" w:cs="Times New Roman"/>
          <w:sz w:val="24"/>
          <w:szCs w:val="24"/>
        </w:rPr>
      </w:pPr>
      <w:r w:rsidRPr="00B40952">
        <w:rPr>
          <w:rFonts w:ascii="Times New Roman" w:eastAsia="Times New Roman" w:hAnsi="Times New Roman" w:cs="Times New Roman"/>
          <w:b/>
          <w:sz w:val="24"/>
          <w:szCs w:val="24"/>
        </w:rPr>
        <w:t>Nevienlīdzība.</w:t>
      </w:r>
      <w:r w:rsidRPr="00B40952">
        <w:rPr>
          <w:rFonts w:ascii="Times New Roman" w:eastAsia="Times New Roman" w:hAnsi="Times New Roman" w:cs="Times New Roman"/>
          <w:sz w:val="24"/>
          <w:szCs w:val="24"/>
        </w:rPr>
        <w:t xml:space="preserve"> Vispārējās valdības finansējums kopējā veselības sistēmas finansējumā ir būtiski zem ES vidējā līmeņa (Latvijā – 57,5%, ES – 72,2%)</w:t>
      </w:r>
      <w:r w:rsidRPr="00B40952">
        <w:rPr>
          <w:rFonts w:ascii="Times New Roman" w:eastAsia="Times New Roman" w:hAnsi="Times New Roman" w:cs="Times New Roman"/>
          <w:sz w:val="24"/>
          <w:szCs w:val="24"/>
          <w:vertAlign w:val="superscript"/>
        </w:rPr>
        <w:footnoteReference w:id="13"/>
      </w:r>
      <w:r w:rsidRPr="00B40952">
        <w:rPr>
          <w:rFonts w:ascii="Times New Roman" w:eastAsia="Times New Roman" w:hAnsi="Times New Roman" w:cs="Times New Roman"/>
          <w:sz w:val="24"/>
          <w:szCs w:val="24"/>
        </w:rPr>
        <w:t xml:space="preserve">. Tas nozīmē, ka ārstniecības pakalpojumu pieejamība vairāk kā citās valstīs ir atkarīga no personas ienākumiem. </w:t>
      </w:r>
    </w:p>
    <w:p w:rsidR="00B40952" w:rsidRPr="00B40952" w:rsidRDefault="00B40952" w:rsidP="00B40952">
      <w:pPr>
        <w:numPr>
          <w:ilvl w:val="0"/>
          <w:numId w:val="33"/>
        </w:numPr>
        <w:spacing w:after="0" w:line="240" w:lineRule="auto"/>
        <w:ind w:left="1134"/>
        <w:jc w:val="both"/>
        <w:rPr>
          <w:rFonts w:ascii="Times New Roman" w:eastAsia="Times New Roman" w:hAnsi="Times New Roman" w:cs="Times New Roman"/>
          <w:sz w:val="24"/>
          <w:szCs w:val="24"/>
        </w:rPr>
      </w:pPr>
      <w:r w:rsidRPr="00B40952">
        <w:rPr>
          <w:rFonts w:ascii="Times New Roman" w:eastAsia="Times New Roman" w:hAnsi="Times New Roman" w:cs="Times New Roman"/>
          <w:b/>
          <w:sz w:val="24"/>
          <w:szCs w:val="24"/>
        </w:rPr>
        <w:t>Augsts, veselības problēmu dēļ, priekšlaicīgi mirušo skaits.</w:t>
      </w:r>
      <w:r w:rsidRPr="00B40952">
        <w:rPr>
          <w:rFonts w:ascii="Times New Roman" w:eastAsia="Times New Roman" w:hAnsi="Times New Roman" w:cs="Times New Roman"/>
          <w:sz w:val="24"/>
          <w:szCs w:val="24"/>
        </w:rPr>
        <w:t xml:space="preserve"> 2016.gadā kopējais PZDG (0 – 64 gadi) bija 5</w:t>
      </w:r>
      <w:r w:rsidR="00540C4E">
        <w:rPr>
          <w:rFonts w:ascii="Times New Roman" w:eastAsia="Times New Roman" w:hAnsi="Times New Roman" w:cs="Times New Roman"/>
          <w:sz w:val="24"/>
          <w:szCs w:val="24"/>
        </w:rPr>
        <w:t> </w:t>
      </w:r>
      <w:r w:rsidRPr="00B40952">
        <w:rPr>
          <w:rFonts w:ascii="Times New Roman" w:eastAsia="Times New Roman" w:hAnsi="Times New Roman" w:cs="Times New Roman"/>
          <w:sz w:val="24"/>
          <w:szCs w:val="24"/>
        </w:rPr>
        <w:t>366 gadi</w:t>
      </w:r>
      <w:r w:rsidRPr="00B40952">
        <w:rPr>
          <w:rFonts w:ascii="Garamond" w:eastAsia="Times New Roman" w:hAnsi="Garamond" w:cs="Times New Roman"/>
          <w:sz w:val="20"/>
          <w:szCs w:val="24"/>
          <w:vertAlign w:val="superscript"/>
        </w:rPr>
        <w:footnoteReference w:id="14"/>
      </w:r>
      <w:r w:rsidRPr="00B40952">
        <w:rPr>
          <w:rFonts w:ascii="Times New Roman" w:eastAsia="Times New Roman" w:hAnsi="Times New Roman" w:cs="Times New Roman"/>
          <w:sz w:val="24"/>
          <w:szCs w:val="24"/>
        </w:rPr>
        <w:t xml:space="preserve"> uz 100 000 iedzīvotājiem, kas starp attīstītajām valstīm ir augsts rādītājs. Būtiska šī rādītāja daļa skaidrojuma ar veselības problēmām.</w:t>
      </w:r>
    </w:p>
    <w:p w:rsidR="00B40952" w:rsidRPr="00B40952" w:rsidRDefault="00B40952" w:rsidP="00B40952">
      <w:pPr>
        <w:spacing w:after="60"/>
        <w:ind w:left="142"/>
        <w:jc w:val="center"/>
        <w:rPr>
          <w:rFonts w:ascii="Calibri" w:eastAsia="Times New Roman" w:hAnsi="Calibri" w:cs="Times New Roman"/>
          <w:b/>
          <w:bCs/>
          <w:kern w:val="36"/>
          <w:highlight w:val="yellow"/>
        </w:rPr>
      </w:pPr>
    </w:p>
    <w:p w:rsidR="00B40952" w:rsidRPr="00B40952" w:rsidRDefault="00B40952" w:rsidP="00B40952">
      <w:pPr>
        <w:spacing w:before="60" w:after="120" w:line="240" w:lineRule="auto"/>
        <w:ind w:left="142"/>
        <w:jc w:val="center"/>
        <w:rPr>
          <w:rFonts w:ascii="Times New Roman" w:eastAsia="Times New Roman" w:hAnsi="Times New Roman" w:cs="Times New Roman"/>
          <w:b/>
          <w:bCs/>
          <w:kern w:val="36"/>
          <w:sz w:val="24"/>
          <w:highlight w:val="yellow"/>
        </w:rPr>
      </w:pPr>
      <w:r w:rsidRPr="00F3030B">
        <w:rPr>
          <w:rFonts w:ascii="Times New Roman" w:eastAsia="Times New Roman" w:hAnsi="Times New Roman" w:cs="Times New Roman"/>
          <w:noProof/>
          <w:lang w:eastAsia="lv-LV"/>
        </w:rPr>
        <w:drawing>
          <wp:inline distT="0" distB="0" distL="0" distR="0">
            <wp:extent cx="5771072" cy="3200400"/>
            <wp:effectExtent l="0" t="0" r="127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0952" w:rsidRPr="00B40952" w:rsidRDefault="00B40952" w:rsidP="00540C4E">
      <w:pPr>
        <w:spacing w:after="0" w:line="240" w:lineRule="auto"/>
        <w:ind w:left="142"/>
        <w:jc w:val="center"/>
        <w:rPr>
          <w:rFonts w:ascii="Times New Roman" w:eastAsia="Times New Roman" w:hAnsi="Times New Roman" w:cs="Times New Roman"/>
          <w:b/>
          <w:bCs/>
          <w:kern w:val="36"/>
          <w:sz w:val="24"/>
        </w:rPr>
      </w:pPr>
      <w:r w:rsidRPr="005C03DF">
        <w:rPr>
          <w:rFonts w:ascii="Times New Roman" w:eastAsia="Times New Roman" w:hAnsi="Times New Roman" w:cs="Times New Roman"/>
          <w:b/>
          <w:bCs/>
          <w:kern w:val="36"/>
          <w:sz w:val="24"/>
        </w:rPr>
        <w:t>3.</w:t>
      </w:r>
      <w:r w:rsidR="005C03DF" w:rsidRPr="005C03DF">
        <w:rPr>
          <w:rFonts w:ascii="Times New Roman" w:eastAsia="Times New Roman" w:hAnsi="Times New Roman" w:cs="Times New Roman"/>
          <w:b/>
          <w:bCs/>
          <w:kern w:val="36"/>
          <w:sz w:val="24"/>
        </w:rPr>
        <w:t>4</w:t>
      </w:r>
      <w:r w:rsidRPr="005C03DF">
        <w:rPr>
          <w:rFonts w:ascii="Times New Roman" w:eastAsia="Times New Roman" w:hAnsi="Times New Roman" w:cs="Times New Roman"/>
          <w:b/>
          <w:bCs/>
          <w:kern w:val="36"/>
          <w:sz w:val="24"/>
        </w:rPr>
        <w:t xml:space="preserve">.attēls. </w:t>
      </w:r>
      <w:r w:rsidRPr="00B40952">
        <w:rPr>
          <w:rFonts w:ascii="Times New Roman" w:eastAsia="Times New Roman" w:hAnsi="Times New Roman" w:cs="Times New Roman"/>
          <w:b/>
          <w:bCs/>
          <w:kern w:val="36"/>
          <w:sz w:val="24"/>
        </w:rPr>
        <w:t xml:space="preserve">Publiskie izdevumi veselības aprūpei </w:t>
      </w:r>
      <w:r w:rsidR="00F31565" w:rsidRPr="005C03DF">
        <w:rPr>
          <w:rFonts w:ascii="Times New Roman" w:eastAsia="Times New Roman" w:hAnsi="Times New Roman" w:cs="Times New Roman"/>
          <w:b/>
          <w:bCs/>
          <w:kern w:val="36"/>
          <w:sz w:val="24"/>
        </w:rPr>
        <w:t>2016</w:t>
      </w:r>
      <w:r w:rsidRPr="00B40952">
        <w:rPr>
          <w:rFonts w:ascii="Times New Roman" w:eastAsia="Times New Roman" w:hAnsi="Times New Roman" w:cs="Times New Roman"/>
          <w:b/>
          <w:bCs/>
          <w:kern w:val="36"/>
          <w:sz w:val="24"/>
        </w:rPr>
        <w:t>.gadā ES valstī</w:t>
      </w:r>
      <w:r w:rsidRPr="00B40952">
        <w:rPr>
          <w:rFonts w:ascii="Times New Roman" w:eastAsia="Times New Roman" w:hAnsi="Times New Roman" w:cs="Times New Roman"/>
          <w:b/>
          <w:bCs/>
          <w:kern w:val="36"/>
          <w:sz w:val="24"/>
          <w:szCs w:val="24"/>
        </w:rPr>
        <w:t>s</w:t>
      </w:r>
      <w:r w:rsidRPr="00B40952">
        <w:rPr>
          <w:rFonts w:ascii="Times New Roman" w:eastAsia="Times New Roman" w:hAnsi="Times New Roman" w:cs="Times New Roman"/>
          <w:b/>
          <w:bCs/>
          <w:kern w:val="36"/>
          <w:sz w:val="24"/>
          <w:szCs w:val="24"/>
          <w:vertAlign w:val="superscript"/>
        </w:rPr>
        <w:footnoteReference w:id="15"/>
      </w:r>
      <w:r w:rsidRPr="00B40952">
        <w:rPr>
          <w:rFonts w:ascii="Times New Roman" w:eastAsia="Times New Roman" w:hAnsi="Times New Roman" w:cs="Times New Roman"/>
          <w:b/>
          <w:bCs/>
          <w:kern w:val="36"/>
          <w:sz w:val="24"/>
          <w:szCs w:val="24"/>
        </w:rPr>
        <w:t>,</w:t>
      </w:r>
      <w:r w:rsidRPr="00B40952">
        <w:rPr>
          <w:rFonts w:ascii="Times New Roman" w:eastAsia="Times New Roman" w:hAnsi="Times New Roman" w:cs="Times New Roman"/>
          <w:b/>
          <w:bCs/>
          <w:kern w:val="36"/>
          <w:sz w:val="24"/>
        </w:rPr>
        <w:t xml:space="preserve"> % no IKP</w:t>
      </w:r>
    </w:p>
    <w:p w:rsidR="00B40952" w:rsidRPr="00B40952" w:rsidRDefault="00B40952" w:rsidP="00031110">
      <w:pPr>
        <w:spacing w:before="120"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Jāatzīmē, ka šie faktori ir savstarpēji saistīti. Zems publiskā finansējuma līmenis rada nepieciešamību daļu no ārstniecības pakalpojumiem finansēt ar privāto finansējumu, bet tas, savukārt, tos iedzīvotājus, kas nevar atļauties ieguldīt privāto finansējumu, attur no savlaicīgas ārstēšanās un palielina PZDG.</w:t>
      </w:r>
    </w:p>
    <w:p w:rsidR="00B40952" w:rsidRPr="00B40952" w:rsidRDefault="00EE5443" w:rsidP="00B4095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 </w:t>
      </w:r>
      <w:r w:rsidR="00B40952" w:rsidRPr="00B40952">
        <w:rPr>
          <w:rFonts w:ascii="Times New Roman" w:eastAsia="Times New Roman" w:hAnsi="Times New Roman" w:cs="Times New Roman"/>
          <w:sz w:val="24"/>
          <w:szCs w:val="24"/>
        </w:rPr>
        <w:t>Padome uz minētajiem Latvijas veselības sistēmas trūkumiem ir norādījusi jau no 2014.gada, valsts specifisko rekomendāciju kontekstā, gadskārtēji identificējot, ka ir nepieciešams uzlabot veselības aprūpes sistēmas izmaksu lietderību, kvalitāti un pieejamību. Turklāt, tiek atzīmēts, ka veselības aprūpes nozarei ir atvēlēts pārāk mazs publiskais finansējums, atstājot negatīvu ietekmi uz neaizsargāto sabiedrības locekļu piekļuvi veselības aprūpes pakalpojumiem.</w:t>
      </w:r>
    </w:p>
    <w:p w:rsidR="00B40952" w:rsidRPr="00B40952" w:rsidRDefault="00B40952" w:rsidP="00B40952">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Jaunākajās, 2017.gada valsts specifiskajās rekomendācijās</w:t>
      </w:r>
      <w:r w:rsidRPr="00F3030B">
        <w:rPr>
          <w:rFonts w:ascii="Times New Roman" w:eastAsia="Times New Roman" w:hAnsi="Times New Roman" w:cs="Times New Roman"/>
          <w:sz w:val="20"/>
          <w:szCs w:val="24"/>
          <w:vertAlign w:val="superscript"/>
        </w:rPr>
        <w:footnoteReference w:id="16"/>
      </w:r>
      <w:r w:rsidRPr="00B40952">
        <w:rPr>
          <w:rFonts w:ascii="Times New Roman" w:eastAsia="Times New Roman" w:hAnsi="Times New Roman" w:cs="Times New Roman"/>
          <w:sz w:val="24"/>
          <w:szCs w:val="24"/>
        </w:rPr>
        <w:t xml:space="preserve">, </w:t>
      </w:r>
      <w:r w:rsidRPr="00B40952">
        <w:rPr>
          <w:rFonts w:ascii="Times New Roman" w:eastAsia="Times New Roman" w:hAnsi="Times New Roman" w:cs="Times New Roman"/>
          <w:b/>
          <w:sz w:val="24"/>
          <w:szCs w:val="24"/>
        </w:rPr>
        <w:t>Padome atzīst, ka Latvija ir veiksmīgi uzsākusi veselības aprūpes reformas</w:t>
      </w:r>
      <w:r w:rsidRPr="00B40952">
        <w:rPr>
          <w:rFonts w:ascii="Times New Roman" w:eastAsia="Times New Roman" w:hAnsi="Times New Roman" w:cs="Times New Roman"/>
          <w:sz w:val="24"/>
          <w:szCs w:val="24"/>
        </w:rPr>
        <w:t>, tomēr joprojām piekļuve veselības aprūpei tiek ierobežota augsto tiešo maksājumu, garo gaidīšanas rindu, zemā publiskā finansējuma līmeņa un neefektīvo pakalpojumu sadalījuma dēļ. Problēmas ir vērojamas arī veselības aprūpes efektivitātē. Kā rezultātā Padome rekomendē Latvijai palielināt veselības aprūpes izmaksu efektivitāti un piekļuvi, tajā skaitā samazinot pakalpojumu saņēmēju tiešos maksājumus un ilgo gaidīšanas laiku.</w:t>
      </w:r>
    </w:p>
    <w:p w:rsidR="00B40952" w:rsidRPr="00B40952" w:rsidRDefault="00B40952" w:rsidP="00B40952">
      <w:pPr>
        <w:spacing w:after="0" w:line="240" w:lineRule="auto"/>
        <w:ind w:firstLine="720"/>
        <w:jc w:val="both"/>
        <w:rPr>
          <w:rFonts w:ascii="Times New Roman" w:eastAsia="Times New Roman" w:hAnsi="Times New Roman" w:cs="Times New Roman"/>
          <w:bCs/>
          <w:kern w:val="36"/>
          <w:sz w:val="24"/>
          <w:szCs w:val="24"/>
        </w:rPr>
      </w:pPr>
      <w:r w:rsidRPr="00B40952">
        <w:rPr>
          <w:rFonts w:ascii="Times New Roman" w:eastAsia="Times New Roman" w:hAnsi="Times New Roman" w:cs="Times New Roman"/>
          <w:bCs/>
          <w:kern w:val="36"/>
          <w:sz w:val="24"/>
          <w:szCs w:val="24"/>
        </w:rPr>
        <w:t>„Sabiedrības veselības pamatnostādņu 2014.</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Times New Roman" w:hAnsi="Times New Roman" w:cs="Times New Roman"/>
          <w:bCs/>
          <w:kern w:val="36"/>
          <w:sz w:val="24"/>
          <w:szCs w:val="24"/>
        </w:rPr>
        <w:t>2020.gadam” izstrādes ietvaros Veselības ministrija pasūtīja pētījumu “Izvērtējums Sabiedrības veselības pamatnostādņu 2014.</w:t>
      </w:r>
      <w:r w:rsidR="00AF6513">
        <w:rPr>
          <w:rFonts w:ascii="Times New Roman" w:eastAsia="Times New Roman" w:hAnsi="Times New Roman" w:cs="Times New Roman"/>
          <w:bCs/>
          <w:kern w:val="36"/>
          <w:sz w:val="24"/>
          <w:szCs w:val="24"/>
        </w:rPr>
        <w:t xml:space="preserve"> </w:t>
      </w:r>
      <w:r w:rsidRPr="00B40952">
        <w:rPr>
          <w:rFonts w:ascii="Times New Roman" w:eastAsia="Times New Roman" w:hAnsi="Times New Roman" w:cs="Times New Roman"/>
          <w:bCs/>
          <w:kern w:val="36"/>
          <w:sz w:val="24"/>
          <w:szCs w:val="24"/>
        </w:rPr>
        <w:t>–</w:t>
      </w:r>
      <w:r w:rsidR="00AF6513">
        <w:rPr>
          <w:rFonts w:ascii="Times New Roman" w:eastAsia="Times New Roman" w:hAnsi="Times New Roman" w:cs="Times New Roman"/>
          <w:bCs/>
          <w:kern w:val="36"/>
          <w:sz w:val="24"/>
          <w:szCs w:val="24"/>
        </w:rPr>
        <w:t xml:space="preserve"> </w:t>
      </w:r>
      <w:r w:rsidRPr="00B40952">
        <w:rPr>
          <w:rFonts w:ascii="Times New Roman" w:eastAsia="Times New Roman" w:hAnsi="Times New Roman" w:cs="Times New Roman"/>
          <w:bCs/>
          <w:kern w:val="36"/>
          <w:sz w:val="24"/>
          <w:szCs w:val="24"/>
        </w:rPr>
        <w:t>2020.gadam izstrādei”, kuru izstrādāja Latvijas Universitāte.  Pētījuma ietvaros tika veikts “Sabiedrības veselības pamatnostādnēs 2014.</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Times New Roman" w:hAnsi="Times New Roman" w:cs="Times New Roman"/>
          <w:bCs/>
          <w:kern w:val="36"/>
          <w:sz w:val="24"/>
          <w:szCs w:val="24"/>
        </w:rPr>
        <w:t xml:space="preserve">2020.gadam” iekļaujamo mērķa rādītāju </w:t>
      </w:r>
      <w:r w:rsidRPr="00B40952">
        <w:rPr>
          <w:rFonts w:ascii="Times New Roman" w:eastAsia="Times New Roman" w:hAnsi="Times New Roman" w:cs="Times New Roman"/>
          <w:b/>
          <w:bCs/>
          <w:kern w:val="36"/>
          <w:sz w:val="24"/>
          <w:szCs w:val="24"/>
        </w:rPr>
        <w:t>ekonomiskā ieguvuma novērtējums</w:t>
      </w:r>
      <w:r w:rsidRPr="00B40952">
        <w:rPr>
          <w:rFonts w:ascii="Times New Roman" w:eastAsia="Times New Roman" w:hAnsi="Times New Roman" w:cs="Times New Roman"/>
          <w:bCs/>
          <w:kern w:val="36"/>
          <w:sz w:val="24"/>
          <w:szCs w:val="24"/>
        </w:rPr>
        <w:t xml:space="preserve">, kas izriet no NAP 2020. Tā rezultātā tiek secināts, ka nodrošinot nepieciešamo finansējumu NAP2020 noteikto PZDG rādītāja samazinājuma sasniegšanai līdz 2020.gadam, diskontētā ekonomiskā ieguvuma vērtība 2014.gadā veidos 137,4 milj. </w:t>
      </w:r>
      <w:r w:rsidRPr="00B40952">
        <w:rPr>
          <w:rFonts w:ascii="Times New Roman" w:eastAsia="Times New Roman" w:hAnsi="Times New Roman" w:cs="Times New Roman"/>
          <w:bCs/>
          <w:i/>
          <w:kern w:val="36"/>
          <w:sz w:val="24"/>
          <w:szCs w:val="24"/>
        </w:rPr>
        <w:t>euro</w:t>
      </w:r>
      <w:r w:rsidRPr="00B40952">
        <w:rPr>
          <w:rFonts w:ascii="Times New Roman" w:eastAsia="Times New Roman" w:hAnsi="Times New Roman" w:cs="Times New Roman"/>
          <w:bCs/>
          <w:kern w:val="36"/>
          <w:sz w:val="24"/>
          <w:szCs w:val="24"/>
        </w:rPr>
        <w:t xml:space="preserve">. Vienlaicīgi pētījumā tiek norādīts, ka pozitīva ietekme uz tautsaimniecības attīstību veidotos no tā, ka līdz 2020.gadam “izglābtie” iedzīvotāji nākamos 20 gadus spēs sniegt produktīvu atdevi kā darba spēks, tādējādi nodrošinot IKP pieaugumu vismaz 443,8 milj. </w:t>
      </w:r>
      <w:r w:rsidRPr="00B40952">
        <w:rPr>
          <w:rFonts w:ascii="Times New Roman" w:eastAsia="Times New Roman" w:hAnsi="Times New Roman" w:cs="Times New Roman"/>
          <w:bCs/>
          <w:i/>
          <w:kern w:val="36"/>
          <w:sz w:val="24"/>
          <w:szCs w:val="24"/>
        </w:rPr>
        <w:t>euro</w:t>
      </w:r>
      <w:r w:rsidRPr="00B40952">
        <w:rPr>
          <w:rFonts w:ascii="Times New Roman" w:eastAsia="Times New Roman" w:hAnsi="Times New Roman" w:cs="Times New Roman"/>
          <w:bCs/>
          <w:kern w:val="36"/>
          <w:sz w:val="24"/>
          <w:szCs w:val="24"/>
        </w:rPr>
        <w:t xml:space="preserve"> apmērā (2014.gada diskontētā vērtība). Pētījuma ietvaros tika veikta arī </w:t>
      </w:r>
      <w:r w:rsidRPr="00B40952">
        <w:rPr>
          <w:rFonts w:ascii="Times New Roman" w:eastAsia="Times New Roman" w:hAnsi="Times New Roman" w:cs="Times New Roman"/>
          <w:b/>
          <w:bCs/>
          <w:kern w:val="36"/>
          <w:sz w:val="24"/>
          <w:szCs w:val="24"/>
        </w:rPr>
        <w:t>izmaksu - ieguvumu analīze</w:t>
      </w:r>
      <w:r w:rsidRPr="00B40952">
        <w:rPr>
          <w:rFonts w:ascii="Times New Roman" w:eastAsia="Times New Roman" w:hAnsi="Times New Roman" w:cs="Times New Roman"/>
          <w:bCs/>
          <w:kern w:val="36"/>
          <w:sz w:val="24"/>
          <w:szCs w:val="24"/>
        </w:rPr>
        <w:t xml:space="preserve">, kuras rezultātā tika konstatēts, ka mērķa sasniegšanai attiecināmais papildu izdevumu apmērs vecuma grupai līdz 64 gadiem, laika posmā no 2013.gada līdz 2020.gadam, tagadnes vērtībā sastāda 577 milj. </w:t>
      </w:r>
      <w:r w:rsidRPr="00B40952">
        <w:rPr>
          <w:rFonts w:ascii="Times New Roman" w:eastAsia="Times New Roman" w:hAnsi="Times New Roman" w:cs="Times New Roman"/>
          <w:bCs/>
          <w:i/>
          <w:kern w:val="36"/>
          <w:sz w:val="24"/>
          <w:szCs w:val="24"/>
        </w:rPr>
        <w:t>euro</w:t>
      </w:r>
      <w:r w:rsidRPr="00B40952">
        <w:rPr>
          <w:rFonts w:ascii="Times New Roman" w:eastAsia="Times New Roman" w:hAnsi="Times New Roman" w:cs="Times New Roman"/>
          <w:bCs/>
          <w:kern w:val="36"/>
          <w:sz w:val="24"/>
          <w:szCs w:val="24"/>
        </w:rPr>
        <w:t>. Tādējādi, atbilstoši pētījumam, var secināt, ka papildu paredzamais izmaksu apmērs no 2013.gada līdz 2020.gadam pesimistiskajā scenārijā pārsniedz ekonomiskos ieguvumus atbilstošajā laika periodā, bet reālistiski optimistiskā scenārija gadījumā – ekonomiskais ieguvums ir lielāks par veiktajām investīcijām 2013.</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Times New Roman" w:hAnsi="Times New Roman" w:cs="Times New Roman"/>
          <w:bCs/>
          <w:kern w:val="36"/>
          <w:sz w:val="24"/>
          <w:szCs w:val="24"/>
        </w:rPr>
        <w:t xml:space="preserve">2020.gadā (sk. </w:t>
      </w:r>
      <w:r w:rsidR="005C03DF" w:rsidRPr="005C03DF">
        <w:rPr>
          <w:rFonts w:ascii="Times New Roman" w:eastAsia="Times New Roman" w:hAnsi="Times New Roman" w:cs="Times New Roman"/>
          <w:bCs/>
          <w:kern w:val="36"/>
          <w:sz w:val="24"/>
          <w:szCs w:val="24"/>
        </w:rPr>
        <w:t>3.</w:t>
      </w:r>
      <w:r w:rsidR="00540C4E" w:rsidRPr="005C03DF">
        <w:rPr>
          <w:rFonts w:ascii="Times New Roman" w:eastAsia="Times New Roman" w:hAnsi="Times New Roman" w:cs="Times New Roman"/>
          <w:bCs/>
          <w:kern w:val="36"/>
          <w:sz w:val="24"/>
          <w:szCs w:val="24"/>
        </w:rPr>
        <w:t>8.</w:t>
      </w:r>
      <w:r w:rsidR="005C03DF">
        <w:rPr>
          <w:rFonts w:ascii="Times New Roman" w:eastAsia="Times New Roman" w:hAnsi="Times New Roman" w:cs="Times New Roman"/>
          <w:bCs/>
          <w:kern w:val="36"/>
          <w:sz w:val="24"/>
          <w:szCs w:val="24"/>
        </w:rPr>
        <w:t>tabulu</w:t>
      </w:r>
      <w:r w:rsidR="00540C4E" w:rsidRPr="005C03DF">
        <w:rPr>
          <w:rFonts w:ascii="Times New Roman" w:eastAsia="Times New Roman" w:hAnsi="Times New Roman" w:cs="Times New Roman"/>
          <w:bCs/>
          <w:kern w:val="36"/>
          <w:sz w:val="24"/>
          <w:szCs w:val="24"/>
        </w:rPr>
        <w:t>)</w:t>
      </w:r>
      <w:r w:rsidRPr="00B40952">
        <w:rPr>
          <w:rFonts w:ascii="Times New Roman" w:eastAsia="Times New Roman" w:hAnsi="Times New Roman" w:cs="Times New Roman"/>
          <w:bCs/>
          <w:kern w:val="36"/>
          <w:sz w:val="24"/>
          <w:szCs w:val="24"/>
        </w:rPr>
        <w:t xml:space="preserve"> </w:t>
      </w:r>
    </w:p>
    <w:p w:rsidR="00B40952" w:rsidRPr="00B40952" w:rsidRDefault="005C03DF" w:rsidP="00AF6513">
      <w:pPr>
        <w:autoSpaceDE w:val="0"/>
        <w:autoSpaceDN w:val="0"/>
        <w:adjustRightInd w:val="0"/>
        <w:spacing w:before="120" w:after="0" w:line="240" w:lineRule="auto"/>
        <w:jc w:val="right"/>
        <w:rPr>
          <w:rFonts w:ascii="Times New Roman" w:eastAsia="Times New Roman" w:hAnsi="Times New Roman" w:cs="Times New Roman"/>
          <w:b/>
          <w:bCs/>
          <w:i/>
          <w:kern w:val="36"/>
          <w:sz w:val="24"/>
        </w:rPr>
      </w:pPr>
      <w:r w:rsidRPr="005C03DF">
        <w:rPr>
          <w:rFonts w:ascii="Times New Roman" w:eastAsia="Times New Roman" w:hAnsi="Times New Roman" w:cs="Times New Roman"/>
          <w:b/>
          <w:bCs/>
          <w:kern w:val="36"/>
          <w:sz w:val="24"/>
          <w:shd w:val="clear" w:color="auto" w:fill="FFFFFF"/>
        </w:rPr>
        <w:t>3.</w:t>
      </w:r>
      <w:r w:rsidR="00B40952" w:rsidRPr="005C03DF">
        <w:rPr>
          <w:rFonts w:ascii="Times New Roman" w:eastAsia="Times New Roman" w:hAnsi="Times New Roman" w:cs="Times New Roman"/>
          <w:b/>
          <w:bCs/>
          <w:kern w:val="36"/>
          <w:sz w:val="24"/>
          <w:shd w:val="clear" w:color="auto" w:fill="FFFFFF"/>
        </w:rPr>
        <w:t>8.tabula</w:t>
      </w:r>
      <w:r w:rsidR="00B40952" w:rsidRPr="00B40952">
        <w:rPr>
          <w:rFonts w:ascii="Times New Roman" w:eastAsia="Times New Roman" w:hAnsi="Times New Roman" w:cs="Times New Roman"/>
          <w:b/>
          <w:bCs/>
          <w:kern w:val="36"/>
          <w:sz w:val="24"/>
          <w:shd w:val="clear" w:color="auto" w:fill="FFFFFF"/>
        </w:rPr>
        <w:t>.</w:t>
      </w:r>
      <w:r w:rsidR="00B40952" w:rsidRPr="00B40952">
        <w:rPr>
          <w:rFonts w:ascii="Times New Roman" w:eastAsia="Times New Roman" w:hAnsi="Times New Roman" w:cs="Times New Roman"/>
          <w:b/>
          <w:bCs/>
          <w:kern w:val="36"/>
          <w:sz w:val="24"/>
        </w:rPr>
        <w:t xml:space="preserve"> Pētījuma ieguvumu un izmaksu kopsavilkums, milj. </w:t>
      </w:r>
      <w:r w:rsidR="00B40952" w:rsidRPr="00B40952">
        <w:rPr>
          <w:rFonts w:ascii="Times New Roman" w:eastAsia="Times New Roman" w:hAnsi="Times New Roman" w:cs="Times New Roman"/>
          <w:b/>
          <w:bCs/>
          <w:i/>
          <w:kern w:val="36"/>
          <w:sz w:val="24"/>
        </w:rPr>
        <w:t>euro</w:t>
      </w:r>
    </w:p>
    <w:tbl>
      <w:tblPr>
        <w:tblStyle w:val="GridTable6Colorful-Accent110"/>
        <w:tblW w:w="9220" w:type="dxa"/>
        <w:jc w:val="center"/>
        <w:tblLayout w:type="fixed"/>
        <w:tblLook w:val="04A0" w:firstRow="1" w:lastRow="0" w:firstColumn="1" w:lastColumn="0" w:noHBand="0" w:noVBand="1"/>
      </w:tblPr>
      <w:tblGrid>
        <w:gridCol w:w="3964"/>
        <w:gridCol w:w="1706"/>
        <w:gridCol w:w="1707"/>
        <w:gridCol w:w="1843"/>
      </w:tblGrid>
      <w:tr w:rsidR="00B40952" w:rsidRPr="00B40952" w:rsidTr="00AF65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rsidR="00B40952" w:rsidRPr="00B40952" w:rsidRDefault="00B40952" w:rsidP="00B40952">
            <w:pPr>
              <w:autoSpaceDE w:val="0"/>
              <w:autoSpaceDN w:val="0"/>
              <w:adjustRightInd w:val="0"/>
              <w:jc w:val="center"/>
              <w:rPr>
                <w:rFonts w:ascii="Times New Roman" w:eastAsia="Times New Roman" w:hAnsi="Times New Roman" w:cs="Times New Roman"/>
                <w:color w:val="000000"/>
                <w:kern w:val="36"/>
                <w:sz w:val="20"/>
                <w:szCs w:val="20"/>
              </w:rPr>
            </w:pPr>
            <w:r w:rsidRPr="00B40952">
              <w:rPr>
                <w:rFonts w:ascii="Times New Roman" w:eastAsia="Times New Roman" w:hAnsi="Times New Roman" w:cs="Times New Roman"/>
                <w:color w:val="000000"/>
                <w:kern w:val="36"/>
                <w:sz w:val="20"/>
                <w:szCs w:val="20"/>
              </w:rPr>
              <w:t>Rādītājs</w:t>
            </w:r>
          </w:p>
        </w:tc>
        <w:tc>
          <w:tcPr>
            <w:tcW w:w="3413" w:type="dxa"/>
            <w:gridSpan w:val="2"/>
          </w:tcPr>
          <w:p w:rsidR="00B40952" w:rsidRPr="00B40952" w:rsidRDefault="00B40952" w:rsidP="00B4095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36"/>
                <w:sz w:val="20"/>
                <w:szCs w:val="20"/>
              </w:rPr>
            </w:pPr>
            <w:r w:rsidRPr="00B40952">
              <w:rPr>
                <w:rFonts w:ascii="Times New Roman" w:eastAsia="Times New Roman" w:hAnsi="Times New Roman" w:cs="Times New Roman"/>
                <w:color w:val="000000"/>
                <w:kern w:val="36"/>
                <w:sz w:val="20"/>
                <w:szCs w:val="20"/>
              </w:rPr>
              <w:t>Ekonomiskais ieguvums</w:t>
            </w:r>
          </w:p>
        </w:tc>
        <w:tc>
          <w:tcPr>
            <w:tcW w:w="1843" w:type="dxa"/>
          </w:tcPr>
          <w:p w:rsidR="00B40952" w:rsidRPr="00B40952" w:rsidRDefault="00B40952" w:rsidP="00B4095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36"/>
                <w:sz w:val="20"/>
                <w:szCs w:val="20"/>
              </w:rPr>
            </w:pPr>
            <w:r w:rsidRPr="00B40952">
              <w:rPr>
                <w:rFonts w:ascii="Times New Roman" w:eastAsia="Times New Roman" w:hAnsi="Times New Roman" w:cs="Times New Roman"/>
                <w:color w:val="000000"/>
                <w:kern w:val="36"/>
                <w:sz w:val="20"/>
                <w:szCs w:val="20"/>
              </w:rPr>
              <w:t>Izmaksas</w:t>
            </w:r>
          </w:p>
        </w:tc>
      </w:tr>
      <w:tr w:rsidR="00B40952" w:rsidRPr="00B40952" w:rsidTr="00AF65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Merge/>
          </w:tcPr>
          <w:p w:rsidR="00B40952" w:rsidRPr="00B40952" w:rsidRDefault="00B40952" w:rsidP="00B40952">
            <w:pPr>
              <w:autoSpaceDE w:val="0"/>
              <w:autoSpaceDN w:val="0"/>
              <w:adjustRightInd w:val="0"/>
              <w:jc w:val="both"/>
              <w:rPr>
                <w:rFonts w:ascii="Times New Roman" w:eastAsia="Times New Roman" w:hAnsi="Times New Roman" w:cs="Times New Roman"/>
                <w:color w:val="000000"/>
                <w:kern w:val="36"/>
                <w:sz w:val="20"/>
                <w:szCs w:val="20"/>
              </w:rPr>
            </w:pPr>
          </w:p>
        </w:tc>
        <w:tc>
          <w:tcPr>
            <w:tcW w:w="1706" w:type="dxa"/>
          </w:tcPr>
          <w:p w:rsidR="00B40952" w:rsidRPr="00B40952" w:rsidRDefault="00B40952" w:rsidP="00B4095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36"/>
                <w:sz w:val="20"/>
                <w:szCs w:val="20"/>
              </w:rPr>
            </w:pPr>
            <w:r w:rsidRPr="00B40952">
              <w:rPr>
                <w:rFonts w:ascii="Times New Roman" w:eastAsia="Times New Roman" w:hAnsi="Times New Roman" w:cs="Times New Roman"/>
                <w:b/>
                <w:bCs/>
                <w:color w:val="000000"/>
                <w:kern w:val="36"/>
                <w:sz w:val="20"/>
                <w:szCs w:val="20"/>
              </w:rPr>
              <w:t>2013.</w:t>
            </w:r>
            <w:r w:rsidR="00AF6513" w:rsidRPr="00AF6513">
              <w:rPr>
                <w:rFonts w:ascii="Times New Roman" w:eastAsia="Times New Roman" w:hAnsi="Times New Roman" w:cs="Times New Roman"/>
                <w:b/>
                <w:bCs/>
                <w:color w:val="000000"/>
                <w:kern w:val="36"/>
                <w:sz w:val="20"/>
                <w:szCs w:val="20"/>
              </w:rPr>
              <w:t xml:space="preserve"> –</w:t>
            </w:r>
            <w:r w:rsidRPr="00B40952">
              <w:rPr>
                <w:rFonts w:ascii="Times New Roman" w:eastAsia="Times New Roman" w:hAnsi="Times New Roman" w:cs="Times New Roman"/>
                <w:b/>
                <w:bCs/>
                <w:color w:val="000000"/>
                <w:kern w:val="36"/>
                <w:sz w:val="20"/>
                <w:szCs w:val="20"/>
              </w:rPr>
              <w:t xml:space="preserve"> 2020.gads</w:t>
            </w:r>
          </w:p>
        </w:tc>
        <w:tc>
          <w:tcPr>
            <w:tcW w:w="1707" w:type="dxa"/>
            <w:shd w:val="clear" w:color="auto" w:fill="FFFFFF"/>
          </w:tcPr>
          <w:p w:rsidR="00B40952" w:rsidRPr="00B40952" w:rsidRDefault="00B40952" w:rsidP="00B4095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36"/>
                <w:sz w:val="20"/>
                <w:szCs w:val="20"/>
              </w:rPr>
            </w:pPr>
            <w:r w:rsidRPr="00B40952">
              <w:rPr>
                <w:rFonts w:ascii="Times New Roman" w:eastAsia="Times New Roman" w:hAnsi="Times New Roman" w:cs="Times New Roman"/>
                <w:b/>
                <w:bCs/>
                <w:color w:val="000000"/>
                <w:kern w:val="36"/>
                <w:sz w:val="20"/>
                <w:szCs w:val="20"/>
              </w:rPr>
              <w:t xml:space="preserve">2013. </w:t>
            </w:r>
            <w:r w:rsidR="00AF6513" w:rsidRPr="00AF6513">
              <w:rPr>
                <w:rFonts w:ascii="Times New Roman" w:eastAsia="Times New Roman" w:hAnsi="Times New Roman" w:cs="Times New Roman"/>
                <w:b/>
                <w:bCs/>
                <w:color w:val="000000"/>
                <w:kern w:val="36"/>
                <w:sz w:val="20"/>
                <w:szCs w:val="20"/>
              </w:rPr>
              <w:t>–</w:t>
            </w:r>
            <w:r w:rsidRPr="00B40952">
              <w:rPr>
                <w:rFonts w:ascii="Times New Roman" w:eastAsia="Times New Roman" w:hAnsi="Times New Roman" w:cs="Times New Roman"/>
                <w:b/>
                <w:bCs/>
                <w:color w:val="000000"/>
                <w:kern w:val="36"/>
                <w:sz w:val="20"/>
                <w:szCs w:val="20"/>
              </w:rPr>
              <w:t xml:space="preserve"> 2040.gads</w:t>
            </w:r>
          </w:p>
        </w:tc>
        <w:tc>
          <w:tcPr>
            <w:tcW w:w="1843" w:type="dxa"/>
          </w:tcPr>
          <w:p w:rsidR="00B40952" w:rsidRPr="00B40952" w:rsidRDefault="00B40952" w:rsidP="00B4095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36"/>
                <w:sz w:val="20"/>
                <w:szCs w:val="20"/>
              </w:rPr>
            </w:pPr>
            <w:r w:rsidRPr="00B40952">
              <w:rPr>
                <w:rFonts w:ascii="Times New Roman" w:eastAsia="Times New Roman" w:hAnsi="Times New Roman" w:cs="Times New Roman"/>
                <w:b/>
                <w:bCs/>
                <w:color w:val="000000"/>
                <w:kern w:val="36"/>
                <w:sz w:val="20"/>
                <w:szCs w:val="20"/>
              </w:rPr>
              <w:t>2013.</w:t>
            </w:r>
            <w:r w:rsidR="00AF6513" w:rsidRPr="00AF6513">
              <w:rPr>
                <w:rFonts w:ascii="Times New Roman" w:eastAsia="Times New Roman" w:hAnsi="Times New Roman" w:cs="Times New Roman"/>
                <w:b/>
                <w:bCs/>
                <w:color w:val="000000"/>
                <w:kern w:val="36"/>
                <w:sz w:val="20"/>
                <w:szCs w:val="20"/>
              </w:rPr>
              <w:t xml:space="preserve"> –</w:t>
            </w:r>
            <w:r w:rsidRPr="00B40952">
              <w:rPr>
                <w:rFonts w:ascii="Times New Roman" w:eastAsia="Times New Roman" w:hAnsi="Times New Roman" w:cs="Times New Roman"/>
                <w:b/>
                <w:bCs/>
                <w:color w:val="000000"/>
                <w:kern w:val="36"/>
                <w:sz w:val="20"/>
                <w:szCs w:val="20"/>
              </w:rPr>
              <w:t xml:space="preserve"> 2020.gads</w:t>
            </w:r>
          </w:p>
        </w:tc>
      </w:tr>
      <w:tr w:rsidR="00B40952" w:rsidRPr="00B40952" w:rsidTr="00AF6513">
        <w:trPr>
          <w:trHeight w:val="680"/>
          <w:jc w:val="center"/>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cPr>
          <w:p w:rsidR="00B40952" w:rsidRPr="00533787" w:rsidRDefault="00B40952" w:rsidP="00B40952">
            <w:pPr>
              <w:autoSpaceDE w:val="0"/>
              <w:autoSpaceDN w:val="0"/>
              <w:adjustRightInd w:val="0"/>
              <w:jc w:val="both"/>
              <w:rPr>
                <w:rFonts w:ascii="Times New Roman" w:eastAsia="Times New Roman" w:hAnsi="Times New Roman" w:cs="Times New Roman"/>
                <w:b w:val="0"/>
                <w:color w:val="000000"/>
                <w:kern w:val="36"/>
                <w:sz w:val="20"/>
                <w:szCs w:val="20"/>
              </w:rPr>
            </w:pPr>
            <w:r w:rsidRPr="00533787">
              <w:rPr>
                <w:rFonts w:ascii="Times New Roman" w:eastAsia="Times New Roman" w:hAnsi="Times New Roman" w:cs="Times New Roman"/>
                <w:b w:val="0"/>
                <w:color w:val="000000"/>
                <w:kern w:val="36"/>
                <w:sz w:val="20"/>
                <w:szCs w:val="20"/>
              </w:rPr>
              <w:t xml:space="preserve">NAP 2020 noteiktais PZDG rādītāja samazinājums līdz 2020.gadam – </w:t>
            </w:r>
            <w:r w:rsidRPr="00533787">
              <w:rPr>
                <w:rFonts w:ascii="Times New Roman" w:eastAsia="Times New Roman" w:hAnsi="Times New Roman" w:cs="Times New Roman"/>
                <w:b w:val="0"/>
                <w:color w:val="000000"/>
                <w:kern w:val="36"/>
                <w:sz w:val="20"/>
                <w:szCs w:val="20"/>
                <w:u w:val="single"/>
              </w:rPr>
              <w:t>pesimistiskais scenārijs</w:t>
            </w:r>
            <w:r w:rsidRPr="00533787">
              <w:rPr>
                <w:rFonts w:ascii="Garamond" w:eastAsia="Times New Roman" w:hAnsi="Garamond" w:cs="Times New Roman"/>
                <w:b w:val="0"/>
                <w:color w:val="000000"/>
                <w:kern w:val="36"/>
                <w:sz w:val="20"/>
                <w:szCs w:val="20"/>
                <w:u w:val="single"/>
                <w:vertAlign w:val="superscript"/>
              </w:rPr>
              <w:footnoteReference w:id="17"/>
            </w:r>
          </w:p>
        </w:tc>
        <w:tc>
          <w:tcPr>
            <w:tcW w:w="1706" w:type="dxa"/>
            <w:vAlign w:val="center"/>
          </w:tcPr>
          <w:p w:rsidR="00B40952" w:rsidRPr="00B40952" w:rsidRDefault="00B40952" w:rsidP="00540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36"/>
                <w:sz w:val="20"/>
                <w:szCs w:val="20"/>
              </w:rPr>
            </w:pPr>
            <w:r w:rsidRPr="00B40952">
              <w:rPr>
                <w:rFonts w:ascii="Times New Roman" w:eastAsia="Times New Roman" w:hAnsi="Times New Roman" w:cs="Times New Roman"/>
                <w:bCs/>
                <w:color w:val="000000"/>
                <w:kern w:val="36"/>
                <w:sz w:val="20"/>
                <w:szCs w:val="20"/>
              </w:rPr>
              <w:t>137,4</w:t>
            </w:r>
          </w:p>
        </w:tc>
        <w:tc>
          <w:tcPr>
            <w:tcW w:w="1707" w:type="dxa"/>
            <w:shd w:val="clear" w:color="auto" w:fill="FFFFFF"/>
            <w:vAlign w:val="center"/>
          </w:tcPr>
          <w:p w:rsidR="00B40952" w:rsidRPr="00B40952" w:rsidRDefault="00B40952" w:rsidP="00540C4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36"/>
                <w:sz w:val="20"/>
                <w:szCs w:val="20"/>
              </w:rPr>
            </w:pPr>
            <w:r w:rsidRPr="00B40952">
              <w:rPr>
                <w:rFonts w:ascii="Times New Roman" w:eastAsia="Times New Roman" w:hAnsi="Times New Roman" w:cs="Times New Roman"/>
                <w:bCs/>
                <w:color w:val="000000"/>
                <w:kern w:val="36"/>
                <w:sz w:val="20"/>
                <w:szCs w:val="20"/>
              </w:rPr>
              <w:t>443,8</w:t>
            </w:r>
          </w:p>
        </w:tc>
        <w:tc>
          <w:tcPr>
            <w:tcW w:w="1843" w:type="dxa"/>
            <w:vMerge w:val="restart"/>
            <w:vAlign w:val="center"/>
          </w:tcPr>
          <w:p w:rsidR="00B40952" w:rsidRPr="00B40952" w:rsidRDefault="00B40952" w:rsidP="00B4095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kern w:val="36"/>
                <w:sz w:val="20"/>
                <w:szCs w:val="20"/>
              </w:rPr>
            </w:pPr>
            <w:r w:rsidRPr="00B40952">
              <w:rPr>
                <w:rFonts w:ascii="Times New Roman" w:eastAsia="Times New Roman" w:hAnsi="Times New Roman" w:cs="Times New Roman"/>
                <w:bCs/>
                <w:color w:val="000000"/>
                <w:kern w:val="36"/>
                <w:sz w:val="20"/>
                <w:szCs w:val="20"/>
              </w:rPr>
              <w:t>577</w:t>
            </w:r>
          </w:p>
        </w:tc>
      </w:tr>
      <w:tr w:rsidR="00B40952" w:rsidRPr="00B40952" w:rsidTr="00AF65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cPr>
          <w:p w:rsidR="00B40952" w:rsidRPr="00533787" w:rsidRDefault="00B40952" w:rsidP="00B40952">
            <w:pPr>
              <w:autoSpaceDE w:val="0"/>
              <w:autoSpaceDN w:val="0"/>
              <w:adjustRightInd w:val="0"/>
              <w:jc w:val="both"/>
              <w:rPr>
                <w:rFonts w:ascii="Times New Roman" w:eastAsia="Times New Roman" w:hAnsi="Times New Roman" w:cs="Times New Roman"/>
                <w:b w:val="0"/>
                <w:color w:val="000000"/>
                <w:kern w:val="36"/>
                <w:sz w:val="20"/>
                <w:szCs w:val="20"/>
              </w:rPr>
            </w:pPr>
            <w:r w:rsidRPr="00533787">
              <w:rPr>
                <w:rFonts w:ascii="Times New Roman" w:eastAsia="Times New Roman" w:hAnsi="Times New Roman" w:cs="Times New Roman"/>
                <w:b w:val="0"/>
                <w:color w:val="000000"/>
                <w:kern w:val="36"/>
                <w:sz w:val="20"/>
                <w:szCs w:val="20"/>
              </w:rPr>
              <w:t xml:space="preserve">NAP 2020 noteiktais PZDG rādītāja samazinājums līdz 2020.gadam – </w:t>
            </w:r>
            <w:r w:rsidRPr="00533787">
              <w:rPr>
                <w:rFonts w:ascii="Times New Roman" w:eastAsia="Times New Roman" w:hAnsi="Times New Roman" w:cs="Times New Roman"/>
                <w:b w:val="0"/>
                <w:color w:val="000000"/>
                <w:kern w:val="36"/>
                <w:sz w:val="20"/>
                <w:szCs w:val="20"/>
                <w:u w:val="single"/>
              </w:rPr>
              <w:t>reālistiski optimistiskais scenārijs</w:t>
            </w:r>
            <w:r w:rsidRPr="00533787">
              <w:rPr>
                <w:rFonts w:ascii="Garamond" w:eastAsia="Times New Roman" w:hAnsi="Garamond" w:cs="Times New Roman"/>
                <w:b w:val="0"/>
                <w:color w:val="000000"/>
                <w:kern w:val="36"/>
                <w:sz w:val="20"/>
                <w:szCs w:val="20"/>
                <w:u w:val="single"/>
                <w:vertAlign w:val="superscript"/>
              </w:rPr>
              <w:footnoteReference w:id="18"/>
            </w:r>
          </w:p>
        </w:tc>
        <w:tc>
          <w:tcPr>
            <w:tcW w:w="1706" w:type="dxa"/>
            <w:vAlign w:val="center"/>
          </w:tcPr>
          <w:p w:rsidR="00B40952" w:rsidRPr="00B40952" w:rsidRDefault="00B40952" w:rsidP="00540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36"/>
                <w:sz w:val="20"/>
                <w:szCs w:val="20"/>
              </w:rPr>
            </w:pPr>
            <w:r w:rsidRPr="00B40952">
              <w:rPr>
                <w:rFonts w:ascii="Times New Roman" w:eastAsia="Times New Roman" w:hAnsi="Times New Roman" w:cs="Times New Roman"/>
                <w:bCs/>
                <w:color w:val="000000"/>
                <w:kern w:val="36"/>
                <w:sz w:val="20"/>
                <w:szCs w:val="20"/>
              </w:rPr>
              <w:t>254,9</w:t>
            </w:r>
          </w:p>
        </w:tc>
        <w:tc>
          <w:tcPr>
            <w:tcW w:w="1707" w:type="dxa"/>
            <w:shd w:val="clear" w:color="auto" w:fill="FFFFFF"/>
            <w:vAlign w:val="center"/>
          </w:tcPr>
          <w:p w:rsidR="00B40952" w:rsidRPr="00B40952" w:rsidRDefault="00B40952" w:rsidP="00540C4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36"/>
                <w:sz w:val="20"/>
                <w:szCs w:val="20"/>
              </w:rPr>
            </w:pPr>
            <w:r w:rsidRPr="00B40952">
              <w:rPr>
                <w:rFonts w:ascii="Times New Roman" w:eastAsia="Times New Roman" w:hAnsi="Times New Roman" w:cs="Times New Roman"/>
                <w:bCs/>
                <w:color w:val="000000"/>
                <w:kern w:val="36"/>
                <w:sz w:val="20"/>
                <w:szCs w:val="20"/>
              </w:rPr>
              <w:t>823,5</w:t>
            </w:r>
          </w:p>
        </w:tc>
        <w:tc>
          <w:tcPr>
            <w:tcW w:w="1843" w:type="dxa"/>
            <w:vMerge/>
          </w:tcPr>
          <w:p w:rsidR="00B40952" w:rsidRPr="00B40952" w:rsidRDefault="00B40952" w:rsidP="00B4095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kern w:val="36"/>
                <w:sz w:val="20"/>
                <w:szCs w:val="20"/>
              </w:rPr>
            </w:pPr>
          </w:p>
        </w:tc>
      </w:tr>
    </w:tbl>
    <w:p w:rsidR="00B40952" w:rsidRPr="00B40952" w:rsidRDefault="00B40952" w:rsidP="00B40952">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B40952" w:rsidRPr="00B40952" w:rsidRDefault="00B40952" w:rsidP="00031110">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lastRenderedPageBreak/>
        <w:t xml:space="preserve">Apskatot pētījuma rezultātus, attiecībā no veikto reformu izmaksu efektivitātes aspekta, tiek secināts, ka līdz 2020.gadam pesimistiskā scenārija gadījumā tiks novērsti 10 059 PZDG, bet reālistiski optimistiskā scenārija gadījumā – 18 666 PZDG, tādējādi vidējās izmaksas par vienu novērstu PZDG šajā vecuma grupā ir attiecīgi 57 362 </w:t>
      </w:r>
      <w:r w:rsidRPr="00B40952">
        <w:rPr>
          <w:rFonts w:ascii="Times New Roman" w:eastAsia="Times New Roman" w:hAnsi="Times New Roman" w:cs="Times New Roman"/>
          <w:i/>
          <w:sz w:val="24"/>
          <w:szCs w:val="24"/>
        </w:rPr>
        <w:t>euro</w:t>
      </w:r>
      <w:r w:rsidRPr="00B40952">
        <w:rPr>
          <w:rFonts w:ascii="Times New Roman" w:eastAsia="Times New Roman" w:hAnsi="Times New Roman" w:cs="Times New Roman"/>
          <w:sz w:val="24"/>
          <w:szCs w:val="24"/>
        </w:rPr>
        <w:t xml:space="preserve"> pesimistiskā un 30 912 </w:t>
      </w:r>
      <w:r w:rsidRPr="00B40952">
        <w:rPr>
          <w:rFonts w:ascii="Times New Roman" w:eastAsia="Times New Roman" w:hAnsi="Times New Roman" w:cs="Times New Roman"/>
          <w:i/>
          <w:sz w:val="24"/>
          <w:szCs w:val="24"/>
        </w:rPr>
        <w:t>euro</w:t>
      </w:r>
      <w:r w:rsidRPr="00B40952">
        <w:rPr>
          <w:rFonts w:ascii="Times New Roman" w:eastAsia="Times New Roman" w:hAnsi="Times New Roman" w:cs="Times New Roman"/>
          <w:sz w:val="24"/>
          <w:szCs w:val="24"/>
        </w:rPr>
        <w:t xml:space="preserve"> reālistiski optimistiskā scenārija gadījumā. </w:t>
      </w:r>
    </w:p>
    <w:p w:rsidR="00B40952" w:rsidRPr="00B40952" w:rsidRDefault="00B40952" w:rsidP="0003111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Atbilstoši veiktajam novērtējumam veselības reformas veiksmīga īstenošana līdz 2023.gadam nodrošinās IKP līmeņa pieaugumu par 2,2%, un palielinās iedzīvotāju nodarbinātību par 0,6%. Savukārt reformas pozitīvā ietekme līdz 2038.gadam varētu nodrošināt IKP līmeņa pieaugumu jau par 11,26% un nodarbinātības kāpumu attiecīgi par 1,81%. Ņemot vērā fiskālās izmaksas, neto pozitīvā ietekme uz tautsaimniecību 2038.gadā sasniegs 4,83% no IKP. </w:t>
      </w:r>
    </w:p>
    <w:p w:rsidR="00B40952" w:rsidRPr="00B40952" w:rsidRDefault="00B40952" w:rsidP="00031110">
      <w:pPr>
        <w:spacing w:after="0" w:line="240" w:lineRule="auto"/>
        <w:ind w:firstLine="709"/>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Relatīvi pret citām nozarēm, Latvija, laika posmā no 2014.gada līdz 2020.gadam, ir spējusi nodrošināt būtisku finansējuma pieaugumu veselības aprūpes nozarei. It īpaši tas panākts, izmantojot SIP elastības klauzulu veselības reformas īstenošanā. Turklāt no 2018.gada veselības sistēmas finansēšanai tiek novirzīti būtiski papildu ieņēmumi no VSAOI likmes paaugstināšanas par 1 procentpunktu.</w:t>
      </w:r>
    </w:p>
    <w:p w:rsidR="00B40952" w:rsidRPr="00B40952" w:rsidRDefault="005C03DF" w:rsidP="00031110">
      <w:pPr>
        <w:spacing w:before="120" w:after="0" w:line="240" w:lineRule="auto"/>
        <w:ind w:firstLine="720"/>
        <w:jc w:val="right"/>
        <w:rPr>
          <w:rFonts w:ascii="Times New Roman" w:eastAsia="Times New Roman" w:hAnsi="Times New Roman" w:cs="Times New Roman"/>
          <w:b/>
          <w:sz w:val="24"/>
          <w:szCs w:val="24"/>
        </w:rPr>
      </w:pPr>
      <w:r w:rsidRPr="005C03DF">
        <w:rPr>
          <w:rFonts w:ascii="Times New Roman" w:eastAsia="Times New Roman" w:hAnsi="Times New Roman" w:cs="Times New Roman"/>
          <w:b/>
          <w:sz w:val="24"/>
          <w:szCs w:val="24"/>
        </w:rPr>
        <w:t>3.</w:t>
      </w:r>
      <w:r w:rsidR="00B40952" w:rsidRPr="005C03DF">
        <w:rPr>
          <w:rFonts w:ascii="Times New Roman" w:eastAsia="Times New Roman" w:hAnsi="Times New Roman" w:cs="Times New Roman"/>
          <w:b/>
          <w:sz w:val="24"/>
          <w:szCs w:val="24"/>
        </w:rPr>
        <w:t xml:space="preserve">9.tabula. </w:t>
      </w:r>
      <w:r w:rsidR="00B40952" w:rsidRPr="00B40952">
        <w:rPr>
          <w:rFonts w:ascii="Times New Roman" w:eastAsia="Times New Roman" w:hAnsi="Times New Roman" w:cs="Times New Roman"/>
          <w:b/>
          <w:sz w:val="24"/>
          <w:szCs w:val="24"/>
        </w:rPr>
        <w:t xml:space="preserve">Veselības nozares piešķirtie papildu finanšu līdzekļi saskaņā ar vidēja termiņa budžeta ietvara likumiem, milj. </w:t>
      </w:r>
      <w:r w:rsidR="00B40952" w:rsidRPr="00B40952">
        <w:rPr>
          <w:rFonts w:ascii="Times New Roman" w:eastAsia="Times New Roman" w:hAnsi="Times New Roman" w:cs="Times New Roman"/>
          <w:b/>
          <w:i/>
          <w:sz w:val="24"/>
          <w:szCs w:val="24"/>
        </w:rPr>
        <w:t>euro</w:t>
      </w:r>
    </w:p>
    <w:tbl>
      <w:tblPr>
        <w:tblStyle w:val="GridTable6Colorful-Accent11"/>
        <w:tblW w:w="9198" w:type="dxa"/>
        <w:jc w:val="center"/>
        <w:tblLayout w:type="fixed"/>
        <w:tblLook w:val="04A0" w:firstRow="1" w:lastRow="0" w:firstColumn="1" w:lastColumn="0" w:noHBand="0" w:noVBand="1"/>
      </w:tblPr>
      <w:tblGrid>
        <w:gridCol w:w="4269"/>
        <w:gridCol w:w="704"/>
        <w:gridCol w:w="704"/>
        <w:gridCol w:w="704"/>
        <w:gridCol w:w="704"/>
        <w:gridCol w:w="704"/>
        <w:gridCol w:w="704"/>
        <w:gridCol w:w="705"/>
      </w:tblGrid>
      <w:tr w:rsidR="00B40952" w:rsidRPr="00533787" w:rsidTr="00540C4E">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rsidR="00B40952" w:rsidRPr="00533787" w:rsidRDefault="00B40952" w:rsidP="00B40952">
            <w:pPr>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 </w:t>
            </w:r>
          </w:p>
        </w:tc>
        <w:tc>
          <w:tcPr>
            <w:tcW w:w="704" w:type="dxa"/>
            <w:noWrap/>
            <w:vAlign w:val="center"/>
            <w:hideMark/>
          </w:tcPr>
          <w:p w:rsidR="00B40952" w:rsidRPr="00533787"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2014</w:t>
            </w:r>
          </w:p>
        </w:tc>
        <w:tc>
          <w:tcPr>
            <w:tcW w:w="704" w:type="dxa"/>
            <w:noWrap/>
            <w:vAlign w:val="center"/>
            <w:hideMark/>
          </w:tcPr>
          <w:p w:rsidR="00B40952" w:rsidRPr="00533787"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2015</w:t>
            </w:r>
          </w:p>
        </w:tc>
        <w:tc>
          <w:tcPr>
            <w:tcW w:w="704" w:type="dxa"/>
            <w:noWrap/>
            <w:vAlign w:val="center"/>
            <w:hideMark/>
          </w:tcPr>
          <w:p w:rsidR="00B40952" w:rsidRPr="00533787"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2016</w:t>
            </w:r>
          </w:p>
        </w:tc>
        <w:tc>
          <w:tcPr>
            <w:tcW w:w="704" w:type="dxa"/>
            <w:noWrap/>
            <w:vAlign w:val="center"/>
            <w:hideMark/>
          </w:tcPr>
          <w:p w:rsidR="00B40952" w:rsidRPr="00533787"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2017</w:t>
            </w:r>
          </w:p>
        </w:tc>
        <w:tc>
          <w:tcPr>
            <w:tcW w:w="704" w:type="dxa"/>
            <w:vAlign w:val="center"/>
            <w:hideMark/>
          </w:tcPr>
          <w:p w:rsidR="00B40952" w:rsidRPr="00533787"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2018</w:t>
            </w:r>
          </w:p>
        </w:tc>
        <w:tc>
          <w:tcPr>
            <w:tcW w:w="704" w:type="dxa"/>
            <w:vAlign w:val="center"/>
            <w:hideMark/>
          </w:tcPr>
          <w:p w:rsidR="00B40952" w:rsidRPr="00533787"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2019</w:t>
            </w:r>
          </w:p>
        </w:tc>
        <w:tc>
          <w:tcPr>
            <w:tcW w:w="705" w:type="dxa"/>
            <w:vAlign w:val="center"/>
            <w:hideMark/>
          </w:tcPr>
          <w:p w:rsidR="00B40952" w:rsidRPr="00533787" w:rsidRDefault="00B40952" w:rsidP="00540C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2020</w:t>
            </w:r>
          </w:p>
        </w:tc>
      </w:tr>
      <w:tr w:rsidR="00B40952" w:rsidRPr="00533787" w:rsidTr="00540C4E">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rsidR="00B40952" w:rsidRPr="00533787" w:rsidRDefault="00B40952" w:rsidP="00B40952">
            <w:pPr>
              <w:rPr>
                <w:rFonts w:ascii="Times New Roman" w:eastAsia="Times New Roman" w:hAnsi="Times New Roman" w:cs="Times New Roman"/>
                <w:b w:val="0"/>
                <w:color w:val="000000"/>
                <w:sz w:val="20"/>
                <w:szCs w:val="20"/>
                <w:lang w:eastAsia="lv-LV"/>
              </w:rPr>
            </w:pPr>
            <w:r w:rsidRPr="00533787">
              <w:rPr>
                <w:rFonts w:ascii="Times New Roman" w:eastAsia="Times New Roman" w:hAnsi="Times New Roman" w:cs="Times New Roman"/>
                <w:b w:val="0"/>
                <w:color w:val="000000"/>
                <w:sz w:val="20"/>
                <w:szCs w:val="20"/>
                <w:lang w:eastAsia="lv-LV"/>
              </w:rPr>
              <w:t>Ietvara likums 2014</w:t>
            </w:r>
            <w:r w:rsidR="00AF6513">
              <w:rPr>
                <w:rFonts w:ascii="Times New Roman" w:eastAsia="Times New Roman" w:hAnsi="Times New Roman" w:cs="Times New Roman"/>
                <w:b w:val="0"/>
                <w:color w:val="000000"/>
                <w:sz w:val="20"/>
                <w:szCs w:val="20"/>
                <w:lang w:eastAsia="lv-LV"/>
              </w:rPr>
              <w:t xml:space="preserve">  </w:t>
            </w:r>
            <w:r w:rsidR="00AF6513" w:rsidRPr="00AF6513">
              <w:rPr>
                <w:rFonts w:ascii="Times New Roman" w:eastAsia="Times New Roman" w:hAnsi="Times New Roman" w:cs="Times New Roman"/>
                <w:b w:val="0"/>
                <w:color w:val="000000"/>
                <w:sz w:val="20"/>
                <w:szCs w:val="20"/>
                <w:lang w:eastAsia="lv-LV"/>
              </w:rPr>
              <w:t xml:space="preserve">– </w:t>
            </w:r>
            <w:r w:rsidRPr="00533787">
              <w:rPr>
                <w:rFonts w:ascii="Times New Roman" w:eastAsia="Times New Roman" w:hAnsi="Times New Roman" w:cs="Times New Roman"/>
                <w:b w:val="0"/>
                <w:color w:val="000000"/>
                <w:sz w:val="20"/>
                <w:szCs w:val="20"/>
                <w:lang w:eastAsia="lv-LV"/>
              </w:rPr>
              <w:t>2016</w:t>
            </w:r>
          </w:p>
        </w:tc>
        <w:tc>
          <w:tcPr>
            <w:tcW w:w="704" w:type="dxa"/>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42</w:t>
            </w:r>
          </w:p>
        </w:tc>
        <w:tc>
          <w:tcPr>
            <w:tcW w:w="704" w:type="dxa"/>
            <w:noWrap/>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48,9</w:t>
            </w:r>
          </w:p>
        </w:tc>
        <w:tc>
          <w:tcPr>
            <w:tcW w:w="704" w:type="dxa"/>
            <w:noWrap/>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51</w:t>
            </w:r>
          </w:p>
        </w:tc>
        <w:tc>
          <w:tcPr>
            <w:tcW w:w="704" w:type="dxa"/>
            <w:noWrap/>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5" w:type="dxa"/>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B40952" w:rsidRPr="00533787" w:rsidTr="00540C4E">
        <w:trPr>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rsidR="00B40952" w:rsidRPr="00533787" w:rsidRDefault="00B40952" w:rsidP="00B40952">
            <w:pPr>
              <w:rPr>
                <w:rFonts w:ascii="Times New Roman" w:eastAsia="Times New Roman" w:hAnsi="Times New Roman" w:cs="Times New Roman"/>
                <w:b w:val="0"/>
                <w:color w:val="000000"/>
                <w:sz w:val="20"/>
                <w:szCs w:val="20"/>
                <w:lang w:eastAsia="lv-LV"/>
              </w:rPr>
            </w:pPr>
            <w:r w:rsidRPr="00533787">
              <w:rPr>
                <w:rFonts w:ascii="Times New Roman" w:eastAsia="Times New Roman" w:hAnsi="Times New Roman" w:cs="Times New Roman"/>
                <w:b w:val="0"/>
                <w:color w:val="000000"/>
                <w:sz w:val="20"/>
                <w:szCs w:val="20"/>
                <w:lang w:eastAsia="lv-LV"/>
              </w:rPr>
              <w:t>Ietvara likums 2015</w:t>
            </w:r>
            <w:r w:rsidR="00AF6513">
              <w:rPr>
                <w:rFonts w:ascii="Times New Roman" w:eastAsia="Times New Roman" w:hAnsi="Times New Roman" w:cs="Times New Roman"/>
                <w:b w:val="0"/>
                <w:color w:val="000000"/>
                <w:sz w:val="20"/>
                <w:szCs w:val="20"/>
                <w:lang w:eastAsia="lv-LV"/>
              </w:rPr>
              <w:t xml:space="preserve"> </w:t>
            </w:r>
            <w:r w:rsidR="00AF6513" w:rsidRPr="00AF6513">
              <w:rPr>
                <w:rFonts w:ascii="Times New Roman" w:eastAsia="Times New Roman" w:hAnsi="Times New Roman" w:cs="Times New Roman"/>
                <w:b w:val="0"/>
                <w:color w:val="000000"/>
                <w:sz w:val="20"/>
                <w:szCs w:val="20"/>
                <w:lang w:eastAsia="lv-LV"/>
              </w:rPr>
              <w:t xml:space="preserve">– </w:t>
            </w:r>
            <w:r w:rsidRPr="00533787">
              <w:rPr>
                <w:rFonts w:ascii="Times New Roman" w:eastAsia="Times New Roman" w:hAnsi="Times New Roman" w:cs="Times New Roman"/>
                <w:b w:val="0"/>
                <w:color w:val="000000"/>
                <w:sz w:val="20"/>
                <w:szCs w:val="20"/>
                <w:lang w:eastAsia="lv-LV"/>
              </w:rPr>
              <w:t>2017</w:t>
            </w: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30,6</w:t>
            </w: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30,6</w:t>
            </w: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30,6</w:t>
            </w:r>
          </w:p>
        </w:tc>
        <w:tc>
          <w:tcPr>
            <w:tcW w:w="704"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5"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B40952" w:rsidRPr="00533787" w:rsidTr="00540C4E">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rsidR="00B40952" w:rsidRPr="00533787" w:rsidRDefault="00B40952" w:rsidP="00B40952">
            <w:pPr>
              <w:rPr>
                <w:rFonts w:ascii="Times New Roman" w:eastAsia="Times New Roman" w:hAnsi="Times New Roman" w:cs="Times New Roman"/>
                <w:b w:val="0"/>
                <w:color w:val="000000"/>
                <w:sz w:val="20"/>
                <w:szCs w:val="20"/>
                <w:lang w:eastAsia="lv-LV"/>
              </w:rPr>
            </w:pPr>
            <w:r w:rsidRPr="00533787">
              <w:rPr>
                <w:rFonts w:ascii="Times New Roman" w:eastAsia="Times New Roman" w:hAnsi="Times New Roman" w:cs="Times New Roman"/>
                <w:b w:val="0"/>
                <w:color w:val="000000"/>
                <w:sz w:val="20"/>
                <w:szCs w:val="20"/>
                <w:lang w:eastAsia="lv-LV"/>
              </w:rPr>
              <w:t>Ietvara likums 2016</w:t>
            </w:r>
            <w:r w:rsidR="00AF6513">
              <w:rPr>
                <w:rFonts w:ascii="Times New Roman" w:eastAsia="Times New Roman" w:hAnsi="Times New Roman" w:cs="Times New Roman"/>
                <w:b w:val="0"/>
                <w:color w:val="000000"/>
                <w:sz w:val="20"/>
                <w:szCs w:val="20"/>
                <w:lang w:eastAsia="lv-LV"/>
              </w:rPr>
              <w:t xml:space="preserve"> </w:t>
            </w:r>
            <w:r w:rsidR="00AF6513" w:rsidRPr="00AF6513">
              <w:rPr>
                <w:rFonts w:ascii="Times New Roman" w:eastAsia="Times New Roman" w:hAnsi="Times New Roman" w:cs="Times New Roman"/>
                <w:b w:val="0"/>
                <w:color w:val="000000"/>
                <w:sz w:val="20"/>
                <w:szCs w:val="20"/>
                <w:lang w:eastAsia="lv-LV"/>
              </w:rPr>
              <w:t xml:space="preserve">– </w:t>
            </w:r>
            <w:r w:rsidRPr="00533787">
              <w:rPr>
                <w:rFonts w:ascii="Times New Roman" w:eastAsia="Times New Roman" w:hAnsi="Times New Roman" w:cs="Times New Roman"/>
                <w:b w:val="0"/>
                <w:color w:val="000000"/>
                <w:sz w:val="20"/>
                <w:szCs w:val="20"/>
                <w:lang w:eastAsia="lv-LV"/>
              </w:rPr>
              <w:t>2018</w:t>
            </w:r>
          </w:p>
        </w:tc>
        <w:tc>
          <w:tcPr>
            <w:tcW w:w="704" w:type="dxa"/>
            <w:noWrap/>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23,3</w:t>
            </w:r>
          </w:p>
        </w:tc>
        <w:tc>
          <w:tcPr>
            <w:tcW w:w="704" w:type="dxa"/>
            <w:noWrap/>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23,3</w:t>
            </w:r>
          </w:p>
        </w:tc>
        <w:tc>
          <w:tcPr>
            <w:tcW w:w="704" w:type="dxa"/>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23,3</w:t>
            </w:r>
          </w:p>
        </w:tc>
        <w:tc>
          <w:tcPr>
            <w:tcW w:w="704" w:type="dxa"/>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5" w:type="dxa"/>
            <w:vAlign w:val="center"/>
            <w:hideMark/>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B40952" w:rsidRPr="00533787" w:rsidTr="00540C4E">
        <w:trPr>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rsidR="00B40952" w:rsidRPr="00533787" w:rsidRDefault="00B40952" w:rsidP="00B40952">
            <w:pPr>
              <w:rPr>
                <w:rFonts w:ascii="Times New Roman" w:eastAsia="Times New Roman" w:hAnsi="Times New Roman" w:cs="Times New Roman"/>
                <w:b w:val="0"/>
                <w:color w:val="000000"/>
                <w:sz w:val="20"/>
                <w:szCs w:val="20"/>
                <w:lang w:eastAsia="lv-LV"/>
              </w:rPr>
            </w:pPr>
            <w:r w:rsidRPr="00533787">
              <w:rPr>
                <w:rFonts w:ascii="Times New Roman" w:eastAsia="Times New Roman" w:hAnsi="Times New Roman" w:cs="Times New Roman"/>
                <w:b w:val="0"/>
                <w:color w:val="000000"/>
                <w:sz w:val="20"/>
                <w:szCs w:val="20"/>
                <w:lang w:eastAsia="lv-LV"/>
              </w:rPr>
              <w:t>Ietvara likums 2017</w:t>
            </w:r>
            <w:r w:rsidR="00AF6513">
              <w:rPr>
                <w:rFonts w:ascii="Times New Roman" w:eastAsia="Times New Roman" w:hAnsi="Times New Roman" w:cs="Times New Roman"/>
                <w:b w:val="0"/>
                <w:color w:val="000000"/>
                <w:sz w:val="20"/>
                <w:szCs w:val="20"/>
                <w:lang w:eastAsia="lv-LV"/>
              </w:rPr>
              <w:t xml:space="preserve"> </w:t>
            </w:r>
            <w:r w:rsidR="00AF6513" w:rsidRPr="00AF6513">
              <w:rPr>
                <w:rFonts w:ascii="Times New Roman" w:eastAsia="Times New Roman" w:hAnsi="Times New Roman" w:cs="Times New Roman"/>
                <w:b w:val="0"/>
                <w:color w:val="000000"/>
                <w:sz w:val="20"/>
                <w:szCs w:val="20"/>
                <w:lang w:eastAsia="lv-LV"/>
              </w:rPr>
              <w:t xml:space="preserve">– </w:t>
            </w:r>
            <w:r w:rsidRPr="00533787">
              <w:rPr>
                <w:rFonts w:ascii="Times New Roman" w:eastAsia="Times New Roman" w:hAnsi="Times New Roman" w:cs="Times New Roman"/>
                <w:b w:val="0"/>
                <w:color w:val="000000"/>
                <w:sz w:val="20"/>
                <w:szCs w:val="20"/>
                <w:lang w:eastAsia="lv-LV"/>
              </w:rPr>
              <w:t>2019</w:t>
            </w: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34,3</w:t>
            </w:r>
          </w:p>
        </w:tc>
        <w:tc>
          <w:tcPr>
            <w:tcW w:w="704"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113,4</w:t>
            </w:r>
          </w:p>
        </w:tc>
        <w:tc>
          <w:tcPr>
            <w:tcW w:w="704"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149,4</w:t>
            </w:r>
          </w:p>
        </w:tc>
        <w:tc>
          <w:tcPr>
            <w:tcW w:w="705"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p>
        </w:tc>
      </w:tr>
      <w:tr w:rsidR="00B40952" w:rsidRPr="00533787" w:rsidTr="00540C4E">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tcPr>
          <w:p w:rsidR="00B40952" w:rsidRPr="00533787" w:rsidRDefault="00B40952" w:rsidP="00B40952">
            <w:pPr>
              <w:rPr>
                <w:rFonts w:ascii="Times New Roman" w:eastAsia="Times New Roman" w:hAnsi="Times New Roman" w:cs="Times New Roman"/>
                <w:b w:val="0"/>
                <w:color w:val="000000"/>
                <w:sz w:val="20"/>
                <w:szCs w:val="20"/>
                <w:lang w:eastAsia="lv-LV"/>
              </w:rPr>
            </w:pPr>
            <w:r w:rsidRPr="00533787">
              <w:rPr>
                <w:rFonts w:ascii="Times New Roman" w:eastAsia="Times New Roman" w:hAnsi="Times New Roman" w:cs="Times New Roman"/>
                <w:b w:val="0"/>
                <w:color w:val="000000"/>
                <w:sz w:val="20"/>
                <w:szCs w:val="20"/>
                <w:lang w:eastAsia="lv-LV"/>
              </w:rPr>
              <w:t>Ietvara likums 2018</w:t>
            </w:r>
            <w:r w:rsidR="00AF6513">
              <w:rPr>
                <w:rFonts w:ascii="Times New Roman" w:eastAsia="Times New Roman" w:hAnsi="Times New Roman" w:cs="Times New Roman"/>
                <w:b w:val="0"/>
                <w:color w:val="000000"/>
                <w:sz w:val="20"/>
                <w:szCs w:val="20"/>
                <w:lang w:eastAsia="lv-LV"/>
              </w:rPr>
              <w:t xml:space="preserve"> </w:t>
            </w:r>
            <w:r w:rsidR="00AF6513" w:rsidRPr="00AF6513">
              <w:rPr>
                <w:rFonts w:ascii="Times New Roman" w:eastAsia="Times New Roman" w:hAnsi="Times New Roman" w:cs="Times New Roman"/>
                <w:b w:val="0"/>
                <w:color w:val="000000"/>
                <w:sz w:val="20"/>
                <w:szCs w:val="20"/>
                <w:lang w:eastAsia="lv-LV"/>
              </w:rPr>
              <w:t xml:space="preserve">– </w:t>
            </w:r>
            <w:r w:rsidRPr="00533787">
              <w:rPr>
                <w:rFonts w:ascii="Times New Roman" w:eastAsia="Times New Roman" w:hAnsi="Times New Roman" w:cs="Times New Roman"/>
                <w:b w:val="0"/>
                <w:color w:val="000000"/>
                <w:sz w:val="20"/>
                <w:szCs w:val="20"/>
                <w:lang w:eastAsia="lv-LV"/>
              </w:rPr>
              <w:t>2020</w:t>
            </w:r>
          </w:p>
        </w:tc>
        <w:tc>
          <w:tcPr>
            <w:tcW w:w="704" w:type="dxa"/>
            <w:noWrap/>
            <w:vAlign w:val="center"/>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noWrap/>
            <w:vAlign w:val="center"/>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p>
        </w:tc>
        <w:tc>
          <w:tcPr>
            <w:tcW w:w="704" w:type="dxa"/>
            <w:vAlign w:val="center"/>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32,0</w:t>
            </w:r>
          </w:p>
        </w:tc>
        <w:tc>
          <w:tcPr>
            <w:tcW w:w="704" w:type="dxa"/>
            <w:vAlign w:val="center"/>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32,5</w:t>
            </w:r>
          </w:p>
        </w:tc>
        <w:tc>
          <w:tcPr>
            <w:tcW w:w="705" w:type="dxa"/>
            <w:vAlign w:val="center"/>
          </w:tcPr>
          <w:p w:rsidR="00B40952" w:rsidRPr="00533787" w:rsidRDefault="00B40952" w:rsidP="00540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32,8</w:t>
            </w:r>
          </w:p>
        </w:tc>
      </w:tr>
      <w:tr w:rsidR="00B40952" w:rsidRPr="00533787" w:rsidTr="00540C4E">
        <w:trPr>
          <w:trHeight w:val="245"/>
          <w:jc w:val="center"/>
        </w:trPr>
        <w:tc>
          <w:tcPr>
            <w:cnfStyle w:val="001000000000" w:firstRow="0" w:lastRow="0" w:firstColumn="1" w:lastColumn="0" w:oddVBand="0" w:evenVBand="0" w:oddHBand="0" w:evenHBand="0" w:firstRowFirstColumn="0" w:firstRowLastColumn="0" w:lastRowFirstColumn="0" w:lastRowLastColumn="0"/>
            <w:tcW w:w="4269" w:type="dxa"/>
            <w:noWrap/>
            <w:hideMark/>
          </w:tcPr>
          <w:p w:rsidR="00B40952" w:rsidRPr="00533787" w:rsidRDefault="00B40952" w:rsidP="00B40952">
            <w:pPr>
              <w:rPr>
                <w:rFonts w:ascii="Times New Roman" w:eastAsia="Times New Roman" w:hAnsi="Times New Roman" w:cs="Times New Roman"/>
                <w:color w:val="000000"/>
                <w:sz w:val="20"/>
                <w:szCs w:val="20"/>
                <w:lang w:eastAsia="lv-LV"/>
              </w:rPr>
            </w:pPr>
            <w:r w:rsidRPr="00533787">
              <w:rPr>
                <w:rFonts w:ascii="Times New Roman" w:eastAsia="Times New Roman" w:hAnsi="Times New Roman" w:cs="Times New Roman"/>
                <w:color w:val="000000"/>
                <w:sz w:val="20"/>
                <w:szCs w:val="20"/>
                <w:lang w:eastAsia="lv-LV"/>
              </w:rPr>
              <w:t>Papildu izdevumu palielinājums pret iepriekšējo gadu (kumulatīvi)</w:t>
            </w: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533787">
              <w:rPr>
                <w:rFonts w:ascii="Times New Roman" w:eastAsia="Times New Roman" w:hAnsi="Times New Roman" w:cs="Times New Roman"/>
                <w:b/>
                <w:color w:val="000000"/>
                <w:sz w:val="20"/>
                <w:szCs w:val="20"/>
                <w:lang w:eastAsia="lv-LV"/>
              </w:rPr>
              <w:t>42</w:t>
            </w: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533787">
              <w:rPr>
                <w:rFonts w:ascii="Times New Roman" w:eastAsia="Times New Roman" w:hAnsi="Times New Roman" w:cs="Times New Roman"/>
                <w:b/>
                <w:color w:val="000000"/>
                <w:sz w:val="20"/>
                <w:szCs w:val="20"/>
                <w:lang w:eastAsia="lv-LV"/>
              </w:rPr>
              <w:t>37,5</w:t>
            </w: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533787">
              <w:rPr>
                <w:rFonts w:ascii="Times New Roman" w:eastAsia="Times New Roman" w:hAnsi="Times New Roman" w:cs="Times New Roman"/>
                <w:b/>
                <w:color w:val="000000"/>
                <w:sz w:val="20"/>
                <w:szCs w:val="20"/>
                <w:lang w:eastAsia="lv-LV"/>
              </w:rPr>
              <w:t>25,4</w:t>
            </w:r>
          </w:p>
        </w:tc>
        <w:tc>
          <w:tcPr>
            <w:tcW w:w="704" w:type="dxa"/>
            <w:noWrap/>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533787">
              <w:rPr>
                <w:rFonts w:ascii="Times New Roman" w:eastAsia="Times New Roman" w:hAnsi="Times New Roman" w:cs="Times New Roman"/>
                <w:b/>
                <w:color w:val="000000"/>
                <w:sz w:val="20"/>
                <w:szCs w:val="20"/>
                <w:lang w:eastAsia="lv-LV"/>
              </w:rPr>
              <w:t>34,3</w:t>
            </w:r>
          </w:p>
        </w:tc>
        <w:tc>
          <w:tcPr>
            <w:tcW w:w="704"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533787">
              <w:rPr>
                <w:rFonts w:ascii="Times New Roman" w:eastAsia="Times New Roman" w:hAnsi="Times New Roman" w:cs="Times New Roman"/>
                <w:b/>
                <w:color w:val="000000"/>
                <w:sz w:val="20"/>
                <w:szCs w:val="20"/>
                <w:lang w:eastAsia="lv-LV"/>
              </w:rPr>
              <w:t>111,1</w:t>
            </w:r>
          </w:p>
        </w:tc>
        <w:tc>
          <w:tcPr>
            <w:tcW w:w="704"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533787">
              <w:rPr>
                <w:rFonts w:ascii="Times New Roman" w:eastAsia="Times New Roman" w:hAnsi="Times New Roman" w:cs="Times New Roman"/>
                <w:b/>
                <w:color w:val="000000"/>
                <w:sz w:val="20"/>
                <w:szCs w:val="20"/>
                <w:lang w:eastAsia="lv-LV"/>
              </w:rPr>
              <w:t>36,5</w:t>
            </w:r>
          </w:p>
        </w:tc>
        <w:tc>
          <w:tcPr>
            <w:tcW w:w="705" w:type="dxa"/>
            <w:vAlign w:val="center"/>
            <w:hideMark/>
          </w:tcPr>
          <w:p w:rsidR="00B40952" w:rsidRPr="00533787" w:rsidRDefault="00B40952" w:rsidP="00540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lv-LV"/>
              </w:rPr>
            </w:pPr>
            <w:r w:rsidRPr="00533787">
              <w:rPr>
                <w:rFonts w:ascii="Times New Roman" w:eastAsia="Times New Roman" w:hAnsi="Times New Roman" w:cs="Times New Roman"/>
                <w:b/>
                <w:color w:val="000000"/>
                <w:sz w:val="20"/>
                <w:szCs w:val="20"/>
                <w:lang w:eastAsia="lv-LV"/>
              </w:rPr>
              <w:t>0,3</w:t>
            </w:r>
          </w:p>
        </w:tc>
      </w:tr>
    </w:tbl>
    <w:p w:rsidR="00B40952" w:rsidRPr="00B40952" w:rsidRDefault="00B40952" w:rsidP="00533787">
      <w:pPr>
        <w:spacing w:before="120" w:after="0" w:line="240" w:lineRule="auto"/>
        <w:ind w:firstLine="720"/>
        <w:jc w:val="both"/>
        <w:rPr>
          <w:rFonts w:ascii="Times New Roman" w:eastAsia="Times New Roman" w:hAnsi="Times New Roman" w:cs="Times New Roman"/>
          <w:sz w:val="24"/>
          <w:szCs w:val="24"/>
          <w:highlight w:val="yellow"/>
        </w:rPr>
      </w:pPr>
      <w:r w:rsidRPr="00B40952">
        <w:rPr>
          <w:rFonts w:ascii="Times New Roman" w:eastAsia="Times New Roman" w:hAnsi="Times New Roman" w:cs="Times New Roman"/>
          <w:sz w:val="24"/>
          <w:szCs w:val="24"/>
        </w:rPr>
        <w:t>Ar redzamo finansējuma pieaugumu Latvija kopumā ir spējusi nodrošināt vidējo finansējuma pieaugumu veselības aprūpes nozarei, atbilstoši Sabiedrības veselības pamatnostādņu 2014.</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 xml:space="preserve">2020.gadam plānotajam finansējuma pieaugumam (sk. </w:t>
      </w:r>
      <w:r w:rsidR="005C03DF" w:rsidRPr="005C03DF">
        <w:rPr>
          <w:rFonts w:ascii="Times New Roman" w:eastAsia="Times New Roman" w:hAnsi="Times New Roman" w:cs="Times New Roman"/>
          <w:sz w:val="24"/>
          <w:szCs w:val="24"/>
        </w:rPr>
        <w:t>3.</w:t>
      </w:r>
      <w:r w:rsidRPr="005C03DF">
        <w:rPr>
          <w:rFonts w:ascii="Times New Roman" w:eastAsia="Times New Roman" w:hAnsi="Times New Roman" w:cs="Times New Roman"/>
          <w:sz w:val="24"/>
          <w:szCs w:val="24"/>
        </w:rPr>
        <w:t>9.tabulu un 3.</w:t>
      </w:r>
      <w:r w:rsidR="005C03DF" w:rsidRPr="005C03DF">
        <w:rPr>
          <w:rFonts w:ascii="Times New Roman" w:eastAsia="Times New Roman" w:hAnsi="Times New Roman" w:cs="Times New Roman"/>
          <w:sz w:val="24"/>
          <w:szCs w:val="24"/>
        </w:rPr>
        <w:t>5</w:t>
      </w:r>
      <w:r w:rsidRPr="005C03DF">
        <w:rPr>
          <w:rFonts w:ascii="Times New Roman" w:eastAsia="Times New Roman" w:hAnsi="Times New Roman" w:cs="Times New Roman"/>
          <w:sz w:val="24"/>
          <w:szCs w:val="24"/>
        </w:rPr>
        <w:t>.attēlu</w:t>
      </w:r>
      <w:r w:rsidRPr="00B40952">
        <w:rPr>
          <w:rFonts w:ascii="Times New Roman" w:eastAsia="Times New Roman" w:hAnsi="Times New Roman" w:cs="Times New Roman"/>
          <w:sz w:val="24"/>
          <w:szCs w:val="24"/>
        </w:rPr>
        <w:t>).</w:t>
      </w:r>
    </w:p>
    <w:p w:rsidR="00B40952" w:rsidRPr="00B40952" w:rsidRDefault="00B40952" w:rsidP="00533787">
      <w:pPr>
        <w:spacing w:after="0" w:line="240" w:lineRule="auto"/>
        <w:jc w:val="center"/>
        <w:rPr>
          <w:rFonts w:ascii="Times New Roman" w:eastAsia="Times New Roman" w:hAnsi="Times New Roman" w:cs="Times New Roman"/>
          <w:b/>
          <w:sz w:val="24"/>
          <w:szCs w:val="24"/>
          <w:highlight w:val="yellow"/>
        </w:rPr>
      </w:pPr>
      <w:r w:rsidRPr="00B40952">
        <w:rPr>
          <w:rFonts w:ascii="Calibri" w:eastAsia="Times New Roman" w:hAnsi="Calibri" w:cs="Times New Roman"/>
          <w:noProof/>
          <w:lang w:eastAsia="lv-LV"/>
        </w:rPr>
        <w:lastRenderedPageBreak/>
        <w:drawing>
          <wp:inline distT="0" distB="0" distL="0" distR="0">
            <wp:extent cx="5709920" cy="2743200"/>
            <wp:effectExtent l="0" t="0" r="5080" b="0"/>
            <wp:docPr id="15" name="Chart 1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5C03DF">
        <w:rPr>
          <w:rFonts w:ascii="Times New Roman" w:eastAsia="Times New Roman" w:hAnsi="Times New Roman" w:cs="Times New Roman"/>
          <w:b/>
          <w:sz w:val="24"/>
          <w:szCs w:val="24"/>
        </w:rPr>
        <w:t>3.</w:t>
      </w:r>
      <w:r w:rsidR="005C03DF" w:rsidRPr="005C03DF">
        <w:rPr>
          <w:rFonts w:ascii="Times New Roman" w:eastAsia="Times New Roman" w:hAnsi="Times New Roman" w:cs="Times New Roman"/>
          <w:b/>
          <w:sz w:val="24"/>
          <w:szCs w:val="24"/>
        </w:rPr>
        <w:t>5</w:t>
      </w:r>
      <w:r w:rsidRPr="005C03DF">
        <w:rPr>
          <w:rFonts w:ascii="Times New Roman" w:eastAsia="Times New Roman" w:hAnsi="Times New Roman" w:cs="Times New Roman"/>
          <w:b/>
          <w:sz w:val="24"/>
          <w:szCs w:val="24"/>
        </w:rPr>
        <w:t xml:space="preserve">.attēls. </w:t>
      </w:r>
      <w:r w:rsidRPr="00B40952">
        <w:rPr>
          <w:rFonts w:ascii="Times New Roman" w:eastAsia="Times New Roman" w:hAnsi="Times New Roman" w:cs="Times New Roman"/>
          <w:b/>
          <w:sz w:val="24"/>
          <w:szCs w:val="24"/>
        </w:rPr>
        <w:t xml:space="preserve">Pamatnostādnēs izmantotā finansējuma pieauguma scenārijs un faktiskais finansējuma pieaugums. milj. </w:t>
      </w:r>
      <w:r w:rsidRPr="00B40952">
        <w:rPr>
          <w:rFonts w:ascii="Times New Roman" w:eastAsia="Times New Roman" w:hAnsi="Times New Roman" w:cs="Times New Roman"/>
          <w:b/>
          <w:i/>
          <w:sz w:val="24"/>
          <w:szCs w:val="24"/>
        </w:rPr>
        <w:t>euro</w:t>
      </w:r>
      <w:r w:rsidRPr="00B40952">
        <w:rPr>
          <w:rFonts w:ascii="Times New Roman" w:eastAsia="Times New Roman" w:hAnsi="Times New Roman" w:cs="Times New Roman"/>
          <w:sz w:val="24"/>
          <w:szCs w:val="24"/>
          <w:vertAlign w:val="superscript"/>
        </w:rPr>
        <w:footnoteReference w:id="19"/>
      </w:r>
    </w:p>
    <w:p w:rsidR="00B40952" w:rsidRPr="00B40952" w:rsidRDefault="00B40952" w:rsidP="002121E4">
      <w:pPr>
        <w:spacing w:before="120" w:after="0" w:line="240" w:lineRule="auto"/>
        <w:ind w:firstLine="720"/>
        <w:jc w:val="both"/>
        <w:rPr>
          <w:rFonts w:ascii="Times New Roman" w:eastAsia="Times New Roman" w:hAnsi="Times New Roman" w:cs="Times New Roman"/>
          <w:sz w:val="24"/>
          <w:szCs w:val="24"/>
          <w:highlight w:val="yellow"/>
        </w:rPr>
      </w:pPr>
    </w:p>
    <w:tbl>
      <w:tblPr>
        <w:tblStyle w:val="TableGrid"/>
        <w:tblW w:w="9351" w:type="dxa"/>
        <w:tblLook w:val="04A0" w:firstRow="1" w:lastRow="0" w:firstColumn="1" w:lastColumn="0" w:noHBand="0" w:noVBand="1"/>
      </w:tblPr>
      <w:tblGrid>
        <w:gridCol w:w="9351"/>
      </w:tblGrid>
      <w:tr w:rsidR="00B40952" w:rsidRPr="00B40952" w:rsidTr="00BB293D">
        <w:tc>
          <w:tcPr>
            <w:tcW w:w="9351" w:type="dxa"/>
          </w:tcPr>
          <w:p w:rsidR="00B40952" w:rsidRPr="00B40952" w:rsidRDefault="00B40952" w:rsidP="002121E4">
            <w:pPr>
              <w:jc w:val="both"/>
              <w:rPr>
                <w:rFonts w:eastAsia="Times New Roman"/>
                <w:sz w:val="24"/>
                <w:szCs w:val="24"/>
                <w:highlight w:val="yellow"/>
              </w:rPr>
            </w:pPr>
            <w:r w:rsidRPr="00B40952">
              <w:rPr>
                <w:rFonts w:eastAsia="Times New Roman"/>
                <w:sz w:val="24"/>
                <w:szCs w:val="24"/>
              </w:rPr>
              <w:t xml:space="preserve">Attēlā redzamais scenārijs tika izmantots iepriekšējās Stabilitātes programmās, veicot pieteiktās reformas fiskālās ietekmes novērtējumu. Līdz ar to, paliekot spēkā novērtējumā izmantotajiem pieņēmumiem, </w:t>
            </w:r>
            <w:r w:rsidRPr="00B40952">
              <w:rPr>
                <w:rFonts w:eastAsia="Times New Roman"/>
                <w:b/>
                <w:sz w:val="24"/>
                <w:szCs w:val="24"/>
              </w:rPr>
              <w:t>ir pamats uzskatīt, ka tiek saglabāts reformas fiskālās ietekmes novērtējums un tiek nodrošināta PZDG mērķa sasniegšana.</w:t>
            </w:r>
          </w:p>
        </w:tc>
      </w:tr>
    </w:tbl>
    <w:p w:rsidR="00540C4E" w:rsidRDefault="00540C4E" w:rsidP="002121E4">
      <w:pPr>
        <w:spacing w:after="0" w:line="240" w:lineRule="auto"/>
        <w:ind w:firstLine="720"/>
        <w:jc w:val="both"/>
        <w:rPr>
          <w:rFonts w:ascii="Times New Roman" w:eastAsia="Calibri" w:hAnsi="Times New Roman" w:cs="Times New Roman"/>
          <w:color w:val="000000"/>
          <w:sz w:val="24"/>
          <w:szCs w:val="24"/>
        </w:rPr>
      </w:pPr>
    </w:p>
    <w:p w:rsidR="00B40952" w:rsidRPr="00B40952" w:rsidRDefault="00B40952" w:rsidP="002121E4">
      <w:pPr>
        <w:spacing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Deficīta atkāpes finansējums 2017.</w:t>
      </w:r>
      <w:r w:rsidR="001F65E2" w:rsidRPr="001F65E2">
        <w:t xml:space="preserve"> </w:t>
      </w:r>
      <w:r w:rsidR="001F65E2" w:rsidRPr="001F65E2">
        <w:rPr>
          <w:rFonts w:ascii="Times New Roman" w:eastAsia="Calibri" w:hAnsi="Times New Roman" w:cs="Times New Roman"/>
          <w:color w:val="000000"/>
          <w:sz w:val="24"/>
          <w:szCs w:val="24"/>
        </w:rPr>
        <w:t>–</w:t>
      </w:r>
      <w:r w:rsidR="001F65E2">
        <w:rPr>
          <w:rFonts w:ascii="Times New Roman" w:eastAsia="Calibri" w:hAnsi="Times New Roman" w:cs="Times New Roman"/>
          <w:color w:val="000000"/>
          <w:sz w:val="24"/>
          <w:szCs w:val="24"/>
        </w:rPr>
        <w:t xml:space="preserve"> </w:t>
      </w:r>
      <w:r w:rsidRPr="00B40952">
        <w:rPr>
          <w:rFonts w:ascii="Times New Roman" w:eastAsia="Calibri" w:hAnsi="Times New Roman" w:cs="Times New Roman"/>
          <w:color w:val="000000"/>
          <w:sz w:val="24"/>
          <w:szCs w:val="24"/>
        </w:rPr>
        <w:t xml:space="preserve">2019.gada periodam, kas ir pieejams sakarā ar veselības aprūpes reformas īstenošanu – “Sabiedrības veselības pamatnostādņu 2014.-2020. gadam īstenošanu” – tiek izmantots noteiktu veselības aprūpes pasākumu grupai, kas izriet no </w:t>
      </w:r>
      <w:r w:rsidRPr="00B40952">
        <w:rPr>
          <w:rFonts w:ascii="Times New Roman" w:eastAsia="Times New Roman" w:hAnsi="Times New Roman" w:cs="Times New Roman"/>
          <w:sz w:val="24"/>
          <w:szCs w:val="24"/>
        </w:rPr>
        <w:t>Sabiedrības veselības pamatnostādnēm 2014.</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2020.gadam</w:t>
      </w:r>
      <w:r w:rsidRPr="00B40952">
        <w:rPr>
          <w:rFonts w:ascii="Times New Roman" w:eastAsia="Calibri" w:hAnsi="Times New Roman" w:cs="Times New Roman"/>
          <w:color w:val="000000"/>
          <w:sz w:val="24"/>
          <w:szCs w:val="24"/>
        </w:rPr>
        <w:t xml:space="preserve">. Šī pasākumu grupa ir nodalīta no pārējiem veselības aprūpes uzlabošanas pasākumiem, paredzot īpašu resursu piešķiršanas un izmantošanas uzraudzības kārtību. </w:t>
      </w:r>
    </w:p>
    <w:p w:rsidR="00B40952" w:rsidRPr="00B40952" w:rsidRDefault="00B40952" w:rsidP="002121E4">
      <w:pPr>
        <w:spacing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Vienlaicīgi jāatzīmē, ka izvēloties tos veselības reformas pasākumus, kuriem tiek izmantots deficīta atkāpes finansējums, tiek izvirzīti šādi kritēriji:</w:t>
      </w:r>
    </w:p>
    <w:p w:rsidR="00B40952" w:rsidRPr="00B40952" w:rsidRDefault="00B40952" w:rsidP="002121E4">
      <w:pPr>
        <w:numPr>
          <w:ilvl w:val="0"/>
          <w:numId w:val="35"/>
        </w:numPr>
        <w:spacing w:after="0" w:line="240" w:lineRule="auto"/>
        <w:ind w:left="1276"/>
        <w:contextualSpacing/>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 xml:space="preserve">Pasākumam ir jābūt atbilstošam </w:t>
      </w:r>
      <w:r w:rsidRPr="00B40952">
        <w:rPr>
          <w:rFonts w:ascii="Times New Roman" w:eastAsia="Times New Roman" w:hAnsi="Times New Roman" w:cs="Times New Roman"/>
          <w:sz w:val="24"/>
          <w:szCs w:val="24"/>
        </w:rPr>
        <w:t>“Sabiedrības veselības pamatnostādnēm 2014.</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2020.gadam”</w:t>
      </w:r>
      <w:r w:rsidRPr="00B40952">
        <w:rPr>
          <w:rFonts w:ascii="Times New Roman" w:eastAsia="Calibri" w:hAnsi="Times New Roman" w:cs="Times New Roman"/>
          <w:color w:val="000000"/>
          <w:sz w:val="24"/>
          <w:szCs w:val="24"/>
        </w:rPr>
        <w:t>.</w:t>
      </w:r>
    </w:p>
    <w:p w:rsidR="00B40952" w:rsidRPr="00B40952" w:rsidRDefault="00B40952" w:rsidP="002121E4">
      <w:pPr>
        <w:numPr>
          <w:ilvl w:val="0"/>
          <w:numId w:val="35"/>
        </w:numPr>
        <w:spacing w:after="0" w:line="240" w:lineRule="auto"/>
        <w:ind w:left="1276"/>
        <w:contextualSpacing/>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Pasākuma rezultātam, kas finansēts no deficīta atkāpes finansējuma 2017.</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Calibri" w:hAnsi="Times New Roman" w:cs="Times New Roman"/>
          <w:color w:val="000000"/>
          <w:sz w:val="24"/>
          <w:szCs w:val="24"/>
        </w:rPr>
        <w:t>2019.gada periodā, ir jāatrisina, vai būtiski jāsamazina  noteikta veselības aprūpes sistēmā identificēta problēma. Nevar finansēt tādus pasākumus, kuri dod nebūtisku efektu problēmas atrisināšanā – šāda intervence nav uzskatāma par reformu.</w:t>
      </w:r>
    </w:p>
    <w:p w:rsidR="00B40952" w:rsidRPr="00B40952" w:rsidRDefault="00B40952" w:rsidP="002121E4">
      <w:pPr>
        <w:numPr>
          <w:ilvl w:val="0"/>
          <w:numId w:val="35"/>
        </w:numPr>
        <w:spacing w:after="0" w:line="240" w:lineRule="auto"/>
        <w:ind w:left="1276"/>
        <w:contextualSpacing/>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Risināmai problēmai ir jābūt atzītai kā veselības aprūpes problēmai EK analītiskajos dokumentos.</w:t>
      </w:r>
    </w:p>
    <w:p w:rsidR="00B40952" w:rsidRPr="00B40952" w:rsidRDefault="00B40952" w:rsidP="002121E4">
      <w:pPr>
        <w:numPr>
          <w:ilvl w:val="0"/>
          <w:numId w:val="35"/>
        </w:numPr>
        <w:spacing w:after="0" w:line="240" w:lineRule="auto"/>
        <w:ind w:left="1276"/>
        <w:contextualSpacing/>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Ir iespējams izveidot izsekojamu ieguldījumu – iznākumu – rezultāta rādītāju sistēmu.</w:t>
      </w:r>
    </w:p>
    <w:p w:rsidR="00B40952" w:rsidRPr="00B40952" w:rsidRDefault="00B40952" w:rsidP="002121E4">
      <w:pPr>
        <w:numPr>
          <w:ilvl w:val="0"/>
          <w:numId w:val="35"/>
        </w:numPr>
        <w:spacing w:after="0" w:line="240" w:lineRule="auto"/>
        <w:ind w:left="1276"/>
        <w:contextualSpacing/>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lastRenderedPageBreak/>
        <w:t xml:space="preserve">Risināma problēma dod ieguldījumu kopējā </w:t>
      </w:r>
      <w:r w:rsidRPr="00B40952">
        <w:rPr>
          <w:rFonts w:ascii="Times New Roman" w:eastAsia="Times New Roman" w:hAnsi="Times New Roman" w:cs="Times New Roman"/>
          <w:sz w:val="24"/>
          <w:szCs w:val="24"/>
        </w:rPr>
        <w:t>“Sabiedrības veselības pamatnostādnes 2014.</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2020.gadam”</w:t>
      </w:r>
      <w:r w:rsidRPr="00B40952">
        <w:rPr>
          <w:rFonts w:ascii="Times New Roman" w:eastAsia="Calibri" w:hAnsi="Times New Roman" w:cs="Times New Roman"/>
          <w:color w:val="000000"/>
          <w:sz w:val="24"/>
          <w:szCs w:val="24"/>
        </w:rPr>
        <w:t xml:space="preserve"> pozit</w:t>
      </w:r>
      <w:r w:rsidR="00AF6513">
        <w:rPr>
          <w:rFonts w:ascii="Times New Roman" w:eastAsia="Calibri" w:hAnsi="Times New Roman" w:cs="Times New Roman"/>
          <w:color w:val="000000"/>
          <w:sz w:val="24"/>
          <w:szCs w:val="24"/>
        </w:rPr>
        <w:t>īvā fiskālā efekta sasniegšanā.</w:t>
      </w:r>
    </w:p>
    <w:p w:rsidR="00B40952" w:rsidRPr="00B40952" w:rsidRDefault="00B40952" w:rsidP="002121E4">
      <w:pPr>
        <w:spacing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Piešķirtais deficīta atkāpes finansējums 2017.</w:t>
      </w:r>
      <w:r w:rsidR="00AF6513" w:rsidRPr="00AF6513">
        <w:rPr>
          <w:rFonts w:ascii="Times New Roman" w:eastAsia="Calibri" w:hAnsi="Times New Roman" w:cs="Times New Roman"/>
          <w:sz w:val="24"/>
          <w:szCs w:val="24"/>
        </w:rPr>
        <w:t xml:space="preserve"> </w:t>
      </w:r>
      <w:r w:rsidR="00AF6513" w:rsidRPr="00F14E08">
        <w:rPr>
          <w:rFonts w:ascii="Times New Roman" w:eastAsia="Calibri" w:hAnsi="Times New Roman" w:cs="Times New Roman"/>
          <w:sz w:val="24"/>
          <w:szCs w:val="24"/>
        </w:rPr>
        <w:t>–</w:t>
      </w:r>
      <w:r w:rsidR="00AF6513">
        <w:rPr>
          <w:rFonts w:ascii="Times New Roman" w:eastAsia="Calibri" w:hAnsi="Times New Roman" w:cs="Times New Roman"/>
          <w:sz w:val="24"/>
          <w:szCs w:val="24"/>
        </w:rPr>
        <w:t xml:space="preserve"> </w:t>
      </w:r>
      <w:r w:rsidRPr="00B40952">
        <w:rPr>
          <w:rFonts w:ascii="Times New Roman" w:eastAsia="Calibri" w:hAnsi="Times New Roman" w:cs="Times New Roman"/>
          <w:color w:val="000000"/>
          <w:sz w:val="24"/>
          <w:szCs w:val="24"/>
        </w:rPr>
        <w:t>2019.gadam attiecīgā gada valsts budžeta likumā tiek nodalīts atsevišķā budžeta programmā, kā gadskārtējā valsts budžeta izpildes rezultātā pārdalāmais finansējums. Tikai pēc tam, kad Veselības ministrijas priekšlikumi par finansējuma izmantošanu tiek apstiprināti MK, rezervētais finansējums tiek pārdalīts veselības reformas īstenošanai.</w:t>
      </w:r>
    </w:p>
    <w:p w:rsidR="00B40952" w:rsidRPr="00B40952" w:rsidRDefault="00B40952" w:rsidP="00685E75">
      <w:pPr>
        <w:spacing w:after="12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 xml:space="preserve">2017.gada deficīta atkāpes finansējums 0,13% no IKP (34 milj. </w:t>
      </w:r>
      <w:r w:rsidRPr="00B40952">
        <w:rPr>
          <w:rFonts w:ascii="Times New Roman" w:eastAsia="Calibri" w:hAnsi="Times New Roman" w:cs="Times New Roman"/>
          <w:i/>
          <w:color w:val="000000"/>
          <w:sz w:val="24"/>
          <w:szCs w:val="24"/>
        </w:rPr>
        <w:t>euro</w:t>
      </w:r>
      <w:r w:rsidRPr="00B40952">
        <w:rPr>
          <w:rFonts w:ascii="Times New Roman" w:eastAsia="Calibri" w:hAnsi="Times New Roman" w:cs="Times New Roman"/>
          <w:color w:val="000000"/>
          <w:sz w:val="24"/>
          <w:szCs w:val="24"/>
        </w:rPr>
        <w:t>) Veselības ministrijai tika pārdalīts divos posmos – 2016.gada 20.decembrī un 2017.gada 14.februārī ar atsevišķiem MK lēmumiem, pamatojoties uz informatīvajiem ziņojumiem, kas saskaņoti ar FM un kuros ir norādīti iznākuma un rezultāta rādītāji. MK protokola lēmumi paredzēja, ka Veselības ministrija kontrolē informatīvajā ziņojumā noteikto iznākuma rādītāju izpildi un informāciju par progresu iznākuma rādītāju izpildi 2017.gadā līdz 2018.gada 1.martam. Vienlaikus Veselības ministrija veic datu uzkrāšanu, lai nodrošinātu audita izsekojamību iznākuma rādītāju izpildei. Tālāk tekstā tiek sniegta informācija par veselības reformas īstenošanu 2017.gadā.</w:t>
      </w:r>
    </w:p>
    <w:p w:rsidR="00B40952" w:rsidRPr="00B40952" w:rsidRDefault="00B40952" w:rsidP="001F65E2">
      <w:pPr>
        <w:numPr>
          <w:ilvl w:val="0"/>
          <w:numId w:val="37"/>
        </w:numPr>
        <w:spacing w:before="120" w:after="120" w:line="240" w:lineRule="auto"/>
        <w:ind w:left="1077" w:hanging="357"/>
        <w:contextualSpacing/>
        <w:jc w:val="both"/>
        <w:rPr>
          <w:rFonts w:ascii="Times New Roman" w:eastAsia="Calibri" w:hAnsi="Times New Roman" w:cs="Times New Roman"/>
          <w:b/>
          <w:color w:val="000000"/>
          <w:sz w:val="24"/>
          <w:szCs w:val="24"/>
          <w:u w:val="single"/>
        </w:rPr>
      </w:pPr>
      <w:r w:rsidRPr="00B40952">
        <w:rPr>
          <w:rFonts w:ascii="Times New Roman" w:eastAsia="Calibri" w:hAnsi="Times New Roman" w:cs="Times New Roman"/>
          <w:b/>
          <w:color w:val="000000"/>
          <w:sz w:val="24"/>
          <w:szCs w:val="24"/>
          <w:u w:val="single"/>
        </w:rPr>
        <w:t>pasākums. Onkoloģisko saslimšanu diagnostika un ārstēšanas pieejamības uzlabošana</w:t>
      </w:r>
    </w:p>
    <w:p w:rsidR="00B40952" w:rsidRPr="00B40952" w:rsidRDefault="00B40952" w:rsidP="00AF6513">
      <w:pPr>
        <w:spacing w:before="240"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Reformas onkoloģijas jomā paredz ātrāku pacientu izmeklēšanu un pieeju speciālistiem jeb “zaļo koridoru” biežāko lokalizāciju onkoloģisko saslimšanu vai aizdomu gadījumā uz onkoloģ</w:t>
      </w:r>
      <w:r w:rsidR="00AF6513">
        <w:rPr>
          <w:rFonts w:ascii="Times New Roman" w:eastAsia="Calibri" w:hAnsi="Times New Roman" w:cs="Times New Roman"/>
          <w:color w:val="000000"/>
          <w:sz w:val="24"/>
          <w:szCs w:val="24"/>
        </w:rPr>
        <w:t xml:space="preserve">isko saslimšanu </w:t>
      </w:r>
      <w:r w:rsidRPr="00B40952">
        <w:rPr>
          <w:rFonts w:ascii="Times New Roman" w:eastAsia="Calibri" w:hAnsi="Times New Roman" w:cs="Times New Roman"/>
          <w:color w:val="000000"/>
          <w:sz w:val="24"/>
          <w:szCs w:val="24"/>
        </w:rPr>
        <w:t xml:space="preserve">gadījumos. 2017.gada sākumā uzsāktās reformas gada laikā nodrošināja primārās diagnostikas algoritmu ieviešanu 72 ārstniecības iestādēs, speciālistu konsultāciju izmaksu pieaugumu onkoloģijā atbilstoši noteiktajiem algoritmiem un sekundāro diagnostikas, izmeklēšanas  algoritmu ieviešanu 5 ārstniecības iestādēs, onkoloģisko pacientu skaita un prognozēto ārstēšanas izmaksu pieaugumu ambulatori 6 ārstniecības iestādēs, un  onkoloģisko pacientu skaita un prognozētās ārstēšanas izmaksu pieaugumu 7 stacionāros, kā arī kompensējamo medikamentu segumu unikālo pacientu skaita pieaugumam. </w:t>
      </w:r>
    </w:p>
    <w:p w:rsidR="00B40952" w:rsidRPr="00B40952" w:rsidRDefault="00B40952" w:rsidP="00685E75">
      <w:pPr>
        <w:spacing w:before="120" w:after="0" w:line="240" w:lineRule="auto"/>
        <w:ind w:left="720"/>
        <w:jc w:val="both"/>
        <w:rPr>
          <w:rFonts w:ascii="Times New Roman" w:eastAsia="Calibri" w:hAnsi="Times New Roman" w:cs="Times New Roman"/>
          <w:color w:val="000000"/>
          <w:sz w:val="24"/>
          <w:szCs w:val="24"/>
          <w:u w:val="single"/>
        </w:rPr>
      </w:pPr>
      <w:r w:rsidRPr="00B40952">
        <w:rPr>
          <w:rFonts w:ascii="Times New Roman" w:eastAsia="Calibri" w:hAnsi="Times New Roman" w:cs="Times New Roman"/>
          <w:color w:val="000000"/>
          <w:sz w:val="24"/>
          <w:szCs w:val="24"/>
          <w:u w:val="single"/>
        </w:rPr>
        <w:t>Primārā diagnostika</w:t>
      </w:r>
    </w:p>
    <w:p w:rsidR="00B40952" w:rsidRPr="00B40952" w:rsidRDefault="00B40952" w:rsidP="002121E4">
      <w:pPr>
        <w:spacing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2017.gadā tika prognozēts, ka papildus 2</w:t>
      </w:r>
      <w:r w:rsidR="005C03DF">
        <w:rPr>
          <w:rFonts w:ascii="Times New Roman" w:eastAsia="Calibri" w:hAnsi="Times New Roman" w:cs="Times New Roman"/>
          <w:color w:val="000000"/>
          <w:sz w:val="24"/>
          <w:szCs w:val="24"/>
        </w:rPr>
        <w:t>2 tūkst. pacientiem tiks veikti</w:t>
      </w:r>
      <w:r w:rsidRPr="00B40952">
        <w:rPr>
          <w:rFonts w:ascii="Times New Roman" w:eastAsia="Calibri" w:hAnsi="Times New Roman" w:cs="Times New Roman"/>
          <w:color w:val="000000"/>
          <w:sz w:val="24"/>
          <w:szCs w:val="24"/>
        </w:rPr>
        <w:t xml:space="preserve"> onkoloģisko slimību primārās diagnostikas algoritmos iekļautie izmeklējumi ļaundabīgo audzēju prioritārai diagnostikai no</w:t>
      </w:r>
      <w:r w:rsidR="00AF6513">
        <w:rPr>
          <w:rFonts w:ascii="Times New Roman" w:eastAsia="Calibri" w:hAnsi="Times New Roman" w:cs="Times New Roman"/>
          <w:color w:val="000000"/>
          <w:sz w:val="24"/>
          <w:szCs w:val="24"/>
        </w:rPr>
        <w:t>teiktās lokalizācijās. No 2017.gada 1.</w:t>
      </w:r>
      <w:r w:rsidRPr="00B40952">
        <w:rPr>
          <w:rFonts w:ascii="Times New Roman" w:eastAsia="Calibri" w:hAnsi="Times New Roman" w:cs="Times New Roman"/>
          <w:color w:val="000000"/>
          <w:sz w:val="24"/>
          <w:szCs w:val="24"/>
        </w:rPr>
        <w:t>janvāra tika ieviesti primārās diagnostikas algoritmi 11 izplatītākajās lokalizācijās, k</w:t>
      </w:r>
      <w:r w:rsidR="00AF6513">
        <w:rPr>
          <w:rFonts w:ascii="Times New Roman" w:eastAsia="Calibri" w:hAnsi="Times New Roman" w:cs="Times New Roman"/>
          <w:color w:val="000000"/>
          <w:sz w:val="24"/>
          <w:szCs w:val="24"/>
        </w:rPr>
        <w:t>uras tika papildinātas no 2017.</w:t>
      </w:r>
      <w:r w:rsidRPr="00B40952">
        <w:rPr>
          <w:rFonts w:ascii="Times New Roman" w:eastAsia="Calibri" w:hAnsi="Times New Roman" w:cs="Times New Roman"/>
          <w:color w:val="000000"/>
          <w:sz w:val="24"/>
          <w:szCs w:val="24"/>
        </w:rPr>
        <w:t>gada 3.novembra ar citām lokalizācijām.</w:t>
      </w:r>
    </w:p>
    <w:p w:rsidR="00B40952" w:rsidRPr="001E2C89" w:rsidRDefault="00B40952" w:rsidP="00AF6513">
      <w:pPr>
        <w:spacing w:before="120" w:after="0"/>
        <w:jc w:val="right"/>
        <w:rPr>
          <w:rFonts w:ascii="Times New Roman" w:eastAsia="Times New Roman" w:hAnsi="Times New Roman" w:cs="Times New Roman"/>
          <w:b/>
          <w:color w:val="414142"/>
          <w:sz w:val="24"/>
          <w:szCs w:val="24"/>
        </w:rPr>
      </w:pPr>
      <w:r w:rsidRPr="005C03DF">
        <w:rPr>
          <w:rFonts w:ascii="Times New Roman" w:eastAsia="Times New Roman" w:hAnsi="Times New Roman" w:cs="Times New Roman"/>
          <w:b/>
          <w:sz w:val="24"/>
          <w:szCs w:val="24"/>
        </w:rPr>
        <w:t>3.</w:t>
      </w:r>
      <w:r w:rsidR="005C03DF" w:rsidRPr="005C03DF">
        <w:rPr>
          <w:rFonts w:ascii="Times New Roman" w:eastAsia="Times New Roman" w:hAnsi="Times New Roman" w:cs="Times New Roman"/>
          <w:b/>
          <w:sz w:val="24"/>
          <w:szCs w:val="24"/>
        </w:rPr>
        <w:t>1</w:t>
      </w:r>
      <w:r w:rsidRPr="005C03DF">
        <w:rPr>
          <w:rFonts w:ascii="Times New Roman" w:eastAsia="Times New Roman" w:hAnsi="Times New Roman" w:cs="Times New Roman"/>
          <w:b/>
          <w:sz w:val="24"/>
          <w:szCs w:val="24"/>
        </w:rPr>
        <w:t xml:space="preserve">0.tabula. </w:t>
      </w:r>
      <w:r w:rsidRPr="001E2C89">
        <w:rPr>
          <w:rFonts w:ascii="Times New Roman" w:eastAsia="Times New Roman" w:hAnsi="Times New Roman" w:cs="Times New Roman"/>
          <w:b/>
          <w:color w:val="000000"/>
          <w:sz w:val="24"/>
          <w:szCs w:val="24"/>
        </w:rPr>
        <w:t>Primārās diagnostikas algoritmu ieviešanas izpilde</w:t>
      </w:r>
    </w:p>
    <w:tbl>
      <w:tblPr>
        <w:tblW w:w="9351" w:type="dxa"/>
        <w:jc w:val="center"/>
        <w:tblLook w:val="04A0" w:firstRow="1" w:lastRow="0" w:firstColumn="1" w:lastColumn="0" w:noHBand="0" w:noVBand="1"/>
      </w:tblPr>
      <w:tblGrid>
        <w:gridCol w:w="1574"/>
        <w:gridCol w:w="1275"/>
        <w:gridCol w:w="1418"/>
        <w:gridCol w:w="1134"/>
        <w:gridCol w:w="1257"/>
        <w:gridCol w:w="1417"/>
        <w:gridCol w:w="1276"/>
      </w:tblGrid>
      <w:tr w:rsidR="00B40952" w:rsidRPr="00533787" w:rsidTr="00533787">
        <w:trPr>
          <w:trHeight w:val="600"/>
          <w:jc w:val="center"/>
        </w:trPr>
        <w:tc>
          <w:tcPr>
            <w:tcW w:w="157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b/>
                <w:bCs/>
                <w:color w:val="000000"/>
                <w:sz w:val="20"/>
              </w:rPr>
            </w:pPr>
            <w:r w:rsidRPr="00533787">
              <w:rPr>
                <w:rFonts w:ascii="Times New Roman" w:eastAsia="Times New Roman" w:hAnsi="Times New Roman" w:cs="Times New Roman"/>
                <w:b/>
                <w:bCs/>
                <w:color w:val="000000"/>
                <w:sz w:val="20"/>
              </w:rPr>
              <w:t>Primārās diagnostikas algoritmu ieviešana</w:t>
            </w:r>
          </w:p>
        </w:tc>
        <w:tc>
          <w:tcPr>
            <w:tcW w:w="3827"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ārstējamo unikālo onkoloģisko pacientu apjoms</w:t>
            </w:r>
          </w:p>
        </w:tc>
        <w:tc>
          <w:tcPr>
            <w:tcW w:w="3950"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Faktiskā izpilde ārstējamo unikālo onkoloģisko pacientu apjomam</w:t>
            </w:r>
          </w:p>
        </w:tc>
      </w:tr>
      <w:tr w:rsidR="00B40952" w:rsidRPr="00533787" w:rsidTr="00533787">
        <w:trPr>
          <w:trHeight w:val="1004"/>
          <w:jc w:val="center"/>
        </w:trPr>
        <w:tc>
          <w:tcPr>
            <w:tcW w:w="1574"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120" w:line="240" w:lineRule="auto"/>
              <w:rPr>
                <w:rFonts w:ascii="Times New Roman" w:eastAsia="Times New Roman" w:hAnsi="Times New Roman" w:cs="Times New Roman"/>
                <w:b/>
                <w:bCs/>
                <w:color w:val="000000"/>
                <w:sz w:val="20"/>
              </w:rPr>
            </w:pPr>
          </w:p>
        </w:tc>
        <w:tc>
          <w:tcPr>
            <w:tcW w:w="127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pacientu skaits gadā</w:t>
            </w:r>
          </w:p>
        </w:tc>
        <w:tc>
          <w:tcPr>
            <w:tcW w:w="141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c>
          <w:tcPr>
            <w:tcW w:w="125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Pacientu skaita pieaugums 2017.gadā</w:t>
            </w:r>
          </w:p>
        </w:tc>
        <w:tc>
          <w:tcPr>
            <w:tcW w:w="141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276" w:type="dxa"/>
            <w:tcBorders>
              <w:top w:val="nil"/>
              <w:left w:val="single" w:sz="4" w:space="0" w:color="auto"/>
              <w:bottom w:val="single" w:sz="8" w:space="0" w:color="auto"/>
              <w:right w:val="single" w:sz="8"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r>
      <w:tr w:rsidR="00B40952" w:rsidRPr="00533787" w:rsidTr="00BB293D">
        <w:trPr>
          <w:trHeight w:val="315"/>
          <w:jc w:val="center"/>
        </w:trPr>
        <w:tc>
          <w:tcPr>
            <w:tcW w:w="157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72 ārstniecības iestādes</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22</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000</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659</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885</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29,99</w:t>
            </w:r>
          </w:p>
        </w:tc>
        <w:tc>
          <w:tcPr>
            <w:tcW w:w="1257"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22</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422</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637</w:t>
            </w:r>
            <w:r w:rsidR="002121E4" w:rsidRPr="00533787">
              <w:rPr>
                <w:sz w:val="20"/>
              </w:rPr>
              <w:t> </w:t>
            </w:r>
            <w:r w:rsidRPr="00533787">
              <w:rPr>
                <w:rFonts w:ascii="Times New Roman" w:eastAsia="Times New Roman" w:hAnsi="Times New Roman" w:cs="Times New Roman"/>
                <w:color w:val="000000"/>
                <w:sz w:val="20"/>
              </w:rPr>
              <w:t>850</w:t>
            </w:r>
          </w:p>
        </w:tc>
        <w:tc>
          <w:tcPr>
            <w:tcW w:w="1276" w:type="dxa"/>
            <w:tcBorders>
              <w:top w:val="nil"/>
              <w:left w:val="nil"/>
              <w:bottom w:val="single" w:sz="8" w:space="0" w:color="auto"/>
              <w:right w:val="single" w:sz="8" w:space="0" w:color="auto"/>
            </w:tcBorders>
            <w:shd w:val="clear" w:color="auto" w:fill="auto"/>
            <w:noWrap/>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28,45</w:t>
            </w:r>
          </w:p>
        </w:tc>
      </w:tr>
    </w:tbl>
    <w:p w:rsidR="00B40952" w:rsidRPr="00533787" w:rsidRDefault="00B40952" w:rsidP="00B40952">
      <w:pPr>
        <w:jc w:val="both"/>
        <w:rPr>
          <w:rFonts w:ascii="Times New Roman" w:eastAsia="Times New Roman" w:hAnsi="Times New Roman" w:cs="Times New Roman"/>
          <w:i/>
          <w:sz w:val="20"/>
          <w:szCs w:val="24"/>
        </w:rPr>
      </w:pPr>
      <w:r w:rsidRPr="00533787">
        <w:rPr>
          <w:rFonts w:ascii="Times New Roman" w:eastAsia="Times New Roman" w:hAnsi="Times New Roman" w:cs="Times New Roman"/>
          <w:i/>
          <w:sz w:val="20"/>
          <w:szCs w:val="24"/>
        </w:rPr>
        <w:t>Avots: NVD</w:t>
      </w:r>
    </w:p>
    <w:p w:rsidR="00B40952" w:rsidRPr="00B40952" w:rsidRDefault="00B40952" w:rsidP="00B40952">
      <w:pPr>
        <w:spacing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 xml:space="preserve">Onkoloģisko slimību primārā diagnostika notiek ģimenes ārstu praksēs, kur pacientiem tiek atpazītas sūdzības un simptomi, kas var liecināt par onkoloģisku slimību un nozīmēti pirmie izmeklējumi, kas var apstiprināt aizdomas par onkoloģiskajām slimībām. Šie </w:t>
      </w:r>
      <w:r w:rsidRPr="00B40952">
        <w:rPr>
          <w:rFonts w:ascii="Times New Roman" w:eastAsia="Calibri" w:hAnsi="Times New Roman" w:cs="Times New Roman"/>
          <w:color w:val="000000"/>
          <w:sz w:val="24"/>
          <w:szCs w:val="24"/>
        </w:rPr>
        <w:lastRenderedPageBreak/>
        <w:t>sniegtie pakalpojumi tiek apmaksāti prioritārā kārtībā, no šim mērķiem paredzētiem finanšu līdzekļiem. Praksē bieži veidojās situācija, ka pacientiem tiek nozīmēti izmeklējumi saistībā ar citām slimī</w:t>
      </w:r>
      <w:r w:rsidR="00AF6513">
        <w:rPr>
          <w:rFonts w:ascii="Times New Roman" w:eastAsia="Calibri" w:hAnsi="Times New Roman" w:cs="Times New Roman"/>
          <w:color w:val="000000"/>
          <w:sz w:val="24"/>
          <w:szCs w:val="24"/>
        </w:rPr>
        <w:t xml:space="preserve">bām, bet izmeklējuma rezultāts </w:t>
      </w:r>
      <w:r w:rsidRPr="00B40952">
        <w:rPr>
          <w:rFonts w:ascii="Times New Roman" w:eastAsia="Calibri" w:hAnsi="Times New Roman" w:cs="Times New Roman"/>
          <w:color w:val="000000"/>
          <w:sz w:val="24"/>
          <w:szCs w:val="24"/>
        </w:rPr>
        <w:t xml:space="preserve">norāda uz aizdomām par onkoloģisku slimību. Šajos gadījumos pirmie izmeklējumi ir veikti ārpus “zaļā koridora”, bet pacients tiek ievirzīts “zaļā koridorā” ar jau kādu veiktu izmeklējumu vispārīgā kārtībā. Šādu iemeslu dēļ samazinās plānotā finanšu līdzekļu apguve pret plānoto finansējumu primārā diagnostikā. Papildu līdzekļu apguvi ietekmēja </w:t>
      </w:r>
      <w:r w:rsidR="00AF6513">
        <w:rPr>
          <w:rFonts w:ascii="Times New Roman" w:eastAsia="Calibri" w:hAnsi="Times New Roman" w:cs="Times New Roman"/>
          <w:color w:val="000000"/>
          <w:sz w:val="24"/>
          <w:szCs w:val="24"/>
        </w:rPr>
        <w:t>faktors, ka ģimenes ārsti 2017.</w:t>
      </w:r>
      <w:r w:rsidRPr="00B40952">
        <w:rPr>
          <w:rFonts w:ascii="Times New Roman" w:eastAsia="Calibri" w:hAnsi="Times New Roman" w:cs="Times New Roman"/>
          <w:color w:val="000000"/>
          <w:sz w:val="24"/>
          <w:szCs w:val="24"/>
        </w:rPr>
        <w:t>gada laikā pakāpeniski apguva izpratni un uzticību “zaļā koridora” darbības principiem.</w:t>
      </w:r>
    </w:p>
    <w:p w:rsidR="00B40952" w:rsidRPr="00B40952" w:rsidRDefault="00B40952" w:rsidP="00B40952">
      <w:pPr>
        <w:spacing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Atbilstoši 2017.gada faktiskajai izpildei un reformas ietvarā izstrādātajiem algoritmiem primārajā veselības aprūpē ar ģimenes ārsta nosūtījumu, un vēlāk, 2017.gada otrajā pusē, papildinot ar citu tiešo speciālistu nosūtījumu, tika veikti 72</w:t>
      </w:r>
      <w:r w:rsidR="00540C4E">
        <w:rPr>
          <w:rFonts w:ascii="Times New Roman" w:eastAsia="Calibri" w:hAnsi="Times New Roman" w:cs="Times New Roman"/>
          <w:color w:val="000000"/>
          <w:sz w:val="24"/>
          <w:szCs w:val="24"/>
        </w:rPr>
        <w:t> </w:t>
      </w:r>
      <w:r w:rsidRPr="00B40952">
        <w:rPr>
          <w:rFonts w:ascii="Times New Roman" w:eastAsia="Calibri" w:hAnsi="Times New Roman" w:cs="Times New Roman"/>
          <w:color w:val="000000"/>
          <w:sz w:val="24"/>
          <w:szCs w:val="24"/>
        </w:rPr>
        <w:t xml:space="preserve">849 primārās diagnostikas izmeklējumi 22 422 unikālajiem pacientiem, kur vidējās izmaksas primāro diagnostikas algoritmu ieviešanai ir par 5% zemākas kā plānotās. Kopumā primārās diagnostikas vidējās izmaksa ir zemākas, jo no visiem izmeklējumiem, kas tika veikti, 88,18% sastāda laboratoriskie izmeklējumi, kam ir zemākas izmaksas nekā diagnostiskajiem izmeklējumiem, kuru īpatsvars kopējā veikto izmeklējumu apjomā sastāda vien 11,82%. </w:t>
      </w:r>
    </w:p>
    <w:p w:rsidR="00B40952" w:rsidRPr="00B40952" w:rsidRDefault="00B40952" w:rsidP="00685E75">
      <w:pPr>
        <w:spacing w:before="120"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u w:val="single"/>
        </w:rPr>
        <w:t>Speciālistu konsultācijas</w:t>
      </w:r>
      <w:r w:rsidR="00533787" w:rsidRPr="00533787">
        <w:rPr>
          <w:rFonts w:ascii="Times New Roman" w:eastAsia="Calibri" w:hAnsi="Times New Roman" w:cs="Times New Roman"/>
          <w:color w:val="000000"/>
          <w:sz w:val="24"/>
          <w:szCs w:val="24"/>
        </w:rPr>
        <w:t xml:space="preserve"> </w:t>
      </w:r>
      <w:r w:rsidRPr="00B40952">
        <w:rPr>
          <w:rFonts w:ascii="Times New Roman" w:eastAsia="Calibri" w:hAnsi="Times New Roman" w:cs="Times New Roman"/>
          <w:color w:val="000000"/>
          <w:sz w:val="24"/>
          <w:szCs w:val="24"/>
        </w:rPr>
        <w:t xml:space="preserve">veicinātu agrīnu onkoloģisko slimību diagnostiku un ārstēšanu, pacientiem nepieciešamas savlaicīgas speciālistu konsultācijas. Līdz ar ko, onkoloģijas jomas reformu ietvaros plānots ievērojams speciālistu konsultāciju pieejamības pieaugums, paredzot attiecīgā speciālista (atbilstoši ļaundabīgā audzēja lokalizācijas vietai) pieejamību 10 darbdienu laikā no pacienta vēršanās ārstniecības iestādē vai konsultācijas pieteikšanas. </w:t>
      </w:r>
    </w:p>
    <w:p w:rsidR="00B40952" w:rsidRPr="00B40952" w:rsidRDefault="00B40952" w:rsidP="00B40952">
      <w:pPr>
        <w:spacing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Atbilstoši pieejamības tvērumam, 2017.gadā tika plānotas 11 tūkst</w:t>
      </w:r>
      <w:r w:rsidR="00AF6513">
        <w:rPr>
          <w:rFonts w:ascii="Times New Roman" w:eastAsia="Calibri" w:hAnsi="Times New Roman" w:cs="Times New Roman"/>
          <w:color w:val="000000"/>
          <w:sz w:val="24"/>
          <w:szCs w:val="24"/>
        </w:rPr>
        <w:t>. unikālo onkoloģisko pacientu,</w:t>
      </w:r>
      <w:r w:rsidRPr="00B40952">
        <w:rPr>
          <w:rFonts w:ascii="Times New Roman" w:eastAsia="Calibri" w:hAnsi="Times New Roman" w:cs="Times New Roman"/>
          <w:color w:val="000000"/>
          <w:sz w:val="24"/>
          <w:szCs w:val="24"/>
        </w:rPr>
        <w:t xml:space="preserve"> ar aizdomām uz onkoloģisku  saslimšanu un diagnosticēto slimību izmantos speciālista konsultācijas, t.sk. arī speciālistu konsīlijus ārstēšanas taktikas noteikšanai. Tāpat 2017.gada laikā tika paplašināts ārstu loks, kuri ir tiesīgi nosūtīt pacientu speciālista konsultāciju saņemšanai aizdomu gadījumā par ļaundabīgu saslimšanu. Šādu nosūtījumu var izsniegt ne tikai ģimenes ārsti, bet arī ginekologi (savas kompetences ietvaros) un ārsti</w:t>
      </w:r>
      <w:r w:rsidR="00AF6513" w:rsidRPr="00F14E08">
        <w:rPr>
          <w:rFonts w:ascii="Times New Roman" w:eastAsia="Calibri" w:hAnsi="Times New Roman" w:cs="Times New Roman"/>
          <w:sz w:val="24"/>
          <w:szCs w:val="24"/>
        </w:rPr>
        <w:t>–</w:t>
      </w:r>
      <w:r w:rsidRPr="00B40952">
        <w:rPr>
          <w:rFonts w:ascii="Times New Roman" w:eastAsia="Calibri" w:hAnsi="Times New Roman" w:cs="Times New Roman"/>
          <w:color w:val="000000"/>
          <w:sz w:val="24"/>
          <w:szCs w:val="24"/>
        </w:rPr>
        <w:t>speciālisti piecās specializētajās ārstniecības iestādēs.</w:t>
      </w:r>
    </w:p>
    <w:p w:rsidR="00B40952" w:rsidRPr="00B40952" w:rsidRDefault="00B40952" w:rsidP="00533787">
      <w:pPr>
        <w:spacing w:before="120" w:after="0" w:line="240" w:lineRule="auto"/>
        <w:jc w:val="right"/>
        <w:rPr>
          <w:rFonts w:ascii="Calibri" w:eastAsia="Times New Roman" w:hAnsi="Calibri" w:cs="Times New Roman"/>
          <w:color w:val="414142"/>
        </w:rPr>
      </w:pPr>
      <w:r w:rsidRPr="005C03DF">
        <w:rPr>
          <w:rFonts w:ascii="Times New Roman" w:eastAsia="Times New Roman" w:hAnsi="Times New Roman" w:cs="Times New Roman"/>
          <w:b/>
          <w:sz w:val="24"/>
          <w:szCs w:val="24"/>
        </w:rPr>
        <w:t>3.</w:t>
      </w:r>
      <w:r w:rsidR="005C03DF" w:rsidRPr="005C03DF">
        <w:rPr>
          <w:rFonts w:ascii="Times New Roman" w:eastAsia="Times New Roman" w:hAnsi="Times New Roman" w:cs="Times New Roman"/>
          <w:b/>
          <w:sz w:val="24"/>
          <w:szCs w:val="24"/>
        </w:rPr>
        <w:t>11</w:t>
      </w:r>
      <w:r w:rsidRPr="005C03DF">
        <w:rPr>
          <w:rFonts w:ascii="Times New Roman" w:eastAsia="Times New Roman" w:hAnsi="Times New Roman" w:cs="Times New Roman"/>
          <w:b/>
          <w:sz w:val="24"/>
          <w:szCs w:val="24"/>
        </w:rPr>
        <w:t>.tabula</w:t>
      </w:r>
      <w:r w:rsidRPr="005C03DF">
        <w:rPr>
          <w:rFonts w:ascii="Times New Roman" w:eastAsia="Times New Roman" w:hAnsi="Times New Roman" w:cs="Times New Roman"/>
          <w:b/>
          <w:color w:val="000000"/>
          <w:sz w:val="24"/>
          <w:szCs w:val="24"/>
        </w:rPr>
        <w:t xml:space="preserve">. </w:t>
      </w:r>
      <w:r w:rsidRPr="001E2C89">
        <w:rPr>
          <w:rFonts w:ascii="Times New Roman" w:eastAsia="Times New Roman" w:hAnsi="Times New Roman" w:cs="Times New Roman"/>
          <w:b/>
          <w:color w:val="000000"/>
          <w:sz w:val="24"/>
          <w:szCs w:val="24"/>
        </w:rPr>
        <w:t>Speciālistu konsultāciju izpilde</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418"/>
        <w:gridCol w:w="1329"/>
        <w:gridCol w:w="1303"/>
        <w:gridCol w:w="1337"/>
        <w:gridCol w:w="1329"/>
        <w:gridCol w:w="1222"/>
      </w:tblGrid>
      <w:tr w:rsidR="00B40952" w:rsidRPr="00533787" w:rsidTr="00B40952">
        <w:trPr>
          <w:trHeight w:val="600"/>
          <w:jc w:val="center"/>
        </w:trPr>
        <w:tc>
          <w:tcPr>
            <w:tcW w:w="1691" w:type="dxa"/>
            <w:vMerge w:val="restart"/>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b/>
                <w:bCs/>
                <w:color w:val="000000"/>
                <w:sz w:val="20"/>
              </w:rPr>
            </w:pPr>
            <w:r w:rsidRPr="00533787">
              <w:rPr>
                <w:rFonts w:ascii="Times New Roman" w:eastAsia="Times New Roman" w:hAnsi="Times New Roman" w:cs="Times New Roman"/>
                <w:b/>
                <w:bCs/>
                <w:color w:val="000000"/>
                <w:sz w:val="20"/>
              </w:rPr>
              <w:t xml:space="preserve">Speciālistu konsultācijas atbilstoši noteiktajiem algoritmiem </w:t>
            </w:r>
          </w:p>
        </w:tc>
        <w:tc>
          <w:tcPr>
            <w:tcW w:w="4050" w:type="dxa"/>
            <w:gridSpan w:val="3"/>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unikālo onkoloģisko pacientu apjoms</w:t>
            </w:r>
          </w:p>
        </w:tc>
        <w:tc>
          <w:tcPr>
            <w:tcW w:w="3888" w:type="dxa"/>
            <w:gridSpan w:val="3"/>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Faktisk</w:t>
            </w:r>
            <w:r w:rsidR="005C03DF" w:rsidRPr="00533787">
              <w:rPr>
                <w:rFonts w:ascii="Times New Roman" w:eastAsia="Times New Roman" w:hAnsi="Times New Roman" w:cs="Times New Roman"/>
                <w:color w:val="000000"/>
                <w:sz w:val="20"/>
              </w:rPr>
              <w:t>ā izpilde unikālo onkoloģisko</w:t>
            </w:r>
            <w:r w:rsidRPr="00533787">
              <w:rPr>
                <w:rFonts w:ascii="Times New Roman" w:eastAsia="Times New Roman" w:hAnsi="Times New Roman" w:cs="Times New Roman"/>
                <w:color w:val="000000"/>
                <w:sz w:val="20"/>
              </w:rPr>
              <w:t xml:space="preserve"> pacientu apjomam</w:t>
            </w:r>
          </w:p>
        </w:tc>
      </w:tr>
      <w:tr w:rsidR="00B40952" w:rsidRPr="00533787" w:rsidTr="00533787">
        <w:trPr>
          <w:trHeight w:val="1137"/>
          <w:jc w:val="center"/>
        </w:trPr>
        <w:tc>
          <w:tcPr>
            <w:tcW w:w="1691" w:type="dxa"/>
            <w:vMerge/>
            <w:shd w:val="clear" w:color="auto" w:fill="C6D9F1"/>
            <w:vAlign w:val="center"/>
            <w:hideMark/>
          </w:tcPr>
          <w:p w:rsidR="00B40952" w:rsidRPr="00533787" w:rsidRDefault="00B40952" w:rsidP="002121E4">
            <w:pPr>
              <w:spacing w:after="0"/>
              <w:rPr>
                <w:rFonts w:ascii="Times New Roman" w:eastAsia="Times New Roman" w:hAnsi="Times New Roman" w:cs="Times New Roman"/>
                <w:b/>
                <w:bCs/>
                <w:color w:val="000000"/>
                <w:sz w:val="20"/>
              </w:rPr>
            </w:pPr>
          </w:p>
        </w:tc>
        <w:tc>
          <w:tcPr>
            <w:tcW w:w="1418" w:type="dxa"/>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pacientu skaits gadā</w:t>
            </w:r>
          </w:p>
        </w:tc>
        <w:tc>
          <w:tcPr>
            <w:tcW w:w="1329" w:type="dxa"/>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303" w:type="dxa"/>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c>
          <w:tcPr>
            <w:tcW w:w="1337" w:type="dxa"/>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Pacientu skaita pieaugums 2017.gadā</w:t>
            </w:r>
          </w:p>
        </w:tc>
        <w:tc>
          <w:tcPr>
            <w:tcW w:w="1329" w:type="dxa"/>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222" w:type="dxa"/>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r>
      <w:tr w:rsidR="00B40952" w:rsidRPr="00533787" w:rsidTr="002121E4">
        <w:trPr>
          <w:trHeight w:val="315"/>
          <w:jc w:val="center"/>
        </w:trPr>
        <w:tc>
          <w:tcPr>
            <w:tcW w:w="1691" w:type="dxa"/>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5 ārstniecības iestādes</w:t>
            </w:r>
          </w:p>
        </w:tc>
        <w:tc>
          <w:tcPr>
            <w:tcW w:w="1418" w:type="dxa"/>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11</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000</w:t>
            </w:r>
          </w:p>
        </w:tc>
        <w:tc>
          <w:tcPr>
            <w:tcW w:w="1329" w:type="dxa"/>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6</w:t>
            </w:r>
            <w:r w:rsidR="002121E4" w:rsidRPr="00533787">
              <w:rPr>
                <w:rFonts w:ascii="Times New Roman" w:eastAsia="Times New Roman" w:hAnsi="Times New Roman" w:cs="Times New Roman"/>
                <w:color w:val="000000"/>
                <w:sz w:val="20"/>
              </w:rPr>
              <w:t>50 </w:t>
            </w:r>
            <w:r w:rsidRPr="00533787">
              <w:rPr>
                <w:rFonts w:ascii="Times New Roman" w:eastAsia="Times New Roman" w:hAnsi="Times New Roman" w:cs="Times New Roman"/>
                <w:color w:val="000000"/>
                <w:sz w:val="20"/>
              </w:rPr>
              <w:t>278</w:t>
            </w:r>
          </w:p>
        </w:tc>
        <w:tc>
          <w:tcPr>
            <w:tcW w:w="1303" w:type="dxa"/>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59,12</w:t>
            </w:r>
          </w:p>
        </w:tc>
        <w:tc>
          <w:tcPr>
            <w:tcW w:w="1337" w:type="dxa"/>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33</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683</w:t>
            </w:r>
          </w:p>
        </w:tc>
        <w:tc>
          <w:tcPr>
            <w:tcW w:w="1329" w:type="dxa"/>
            <w:shd w:val="clear" w:color="auto" w:fill="auto"/>
            <w:noWrap/>
            <w:vAlign w:val="center"/>
            <w:hideMark/>
          </w:tcPr>
          <w:p w:rsidR="00B40952" w:rsidRPr="00533787" w:rsidRDefault="002121E4"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658 </w:t>
            </w:r>
            <w:r w:rsidR="00B40952" w:rsidRPr="00533787">
              <w:rPr>
                <w:rFonts w:ascii="Times New Roman" w:eastAsia="Times New Roman" w:hAnsi="Times New Roman" w:cs="Times New Roman"/>
                <w:color w:val="000000"/>
                <w:sz w:val="20"/>
              </w:rPr>
              <w:t>720</w:t>
            </w:r>
          </w:p>
        </w:tc>
        <w:tc>
          <w:tcPr>
            <w:tcW w:w="1222" w:type="dxa"/>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19,56</w:t>
            </w:r>
          </w:p>
        </w:tc>
      </w:tr>
    </w:tbl>
    <w:p w:rsidR="00B40952" w:rsidRPr="00533787" w:rsidRDefault="00B40952" w:rsidP="00B40952">
      <w:pPr>
        <w:spacing w:after="0"/>
        <w:jc w:val="both"/>
        <w:rPr>
          <w:rFonts w:ascii="Times New Roman" w:eastAsia="Times New Roman" w:hAnsi="Times New Roman" w:cs="Times New Roman"/>
          <w:i/>
          <w:sz w:val="20"/>
        </w:rPr>
      </w:pPr>
      <w:r w:rsidRPr="00533787">
        <w:rPr>
          <w:rFonts w:ascii="Times New Roman" w:eastAsia="Times New Roman" w:hAnsi="Times New Roman" w:cs="Times New Roman"/>
          <w:i/>
          <w:sz w:val="20"/>
        </w:rPr>
        <w:t>Avots: NVD</w:t>
      </w:r>
    </w:p>
    <w:p w:rsidR="00B40952" w:rsidRPr="00B40952" w:rsidRDefault="00B40952" w:rsidP="00B9413F">
      <w:pPr>
        <w:spacing w:before="120" w:after="0" w:line="240" w:lineRule="auto"/>
        <w:ind w:firstLine="720"/>
        <w:jc w:val="both"/>
        <w:rPr>
          <w:rFonts w:ascii="Times New Roman" w:eastAsia="Calibri" w:hAnsi="Times New Roman" w:cs="Times New Roman"/>
          <w:color w:val="000000"/>
          <w:sz w:val="24"/>
          <w:szCs w:val="24"/>
        </w:rPr>
      </w:pPr>
      <w:r w:rsidRPr="00B40952">
        <w:rPr>
          <w:rFonts w:ascii="Times New Roman" w:eastAsia="Calibri" w:hAnsi="Times New Roman" w:cs="Times New Roman"/>
          <w:color w:val="000000"/>
          <w:sz w:val="24"/>
          <w:szCs w:val="24"/>
        </w:rPr>
        <w:t>2017.gadā onkoloģisko pacientu konsultāciju aptvere veidoja 306,21% no gada plānotā unikālo onkoloģisko pacientu apjoma, paplašinot “zaļā koridora” ļaundabīgo audzēju lokalizācijas, tādējādi turpinot palielināt arī pieejamību pie speciālistiem ar citām ļaundabīgo audzēju saslimšanām.</w:t>
      </w:r>
    </w:p>
    <w:p w:rsidR="00B40952" w:rsidRPr="00B40952" w:rsidRDefault="00B40952" w:rsidP="00B9413F">
      <w:pPr>
        <w:spacing w:before="120" w:after="0" w:line="240" w:lineRule="auto"/>
        <w:jc w:val="both"/>
        <w:rPr>
          <w:rFonts w:ascii="Times New Roman" w:eastAsia="Times New Roman" w:hAnsi="Times New Roman" w:cs="Times New Roman"/>
          <w:sz w:val="24"/>
          <w:szCs w:val="24"/>
          <w:u w:val="single"/>
        </w:rPr>
      </w:pPr>
      <w:r w:rsidRPr="00B40952">
        <w:rPr>
          <w:rFonts w:ascii="Times New Roman" w:eastAsia="Times New Roman" w:hAnsi="Times New Roman" w:cs="Times New Roman"/>
          <w:sz w:val="24"/>
          <w:szCs w:val="24"/>
          <w:u w:val="single"/>
        </w:rPr>
        <w:t>Sekund</w:t>
      </w:r>
      <w:r w:rsidR="00AF6513">
        <w:rPr>
          <w:rFonts w:ascii="Times New Roman" w:eastAsia="Times New Roman" w:hAnsi="Times New Roman" w:cs="Times New Roman"/>
          <w:sz w:val="24"/>
          <w:szCs w:val="24"/>
          <w:u w:val="single"/>
        </w:rPr>
        <w:t>ārā diagnostika un izmeklējumi</w:t>
      </w:r>
    </w:p>
    <w:p w:rsidR="00B40952" w:rsidRPr="00B40952" w:rsidRDefault="00B40952" w:rsidP="002121E4">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Ļaundabīgo audzēju sekundārās diagnostikas noteiktām lokalizācijām kārtība paredz ārstniecības iestādēm, kas specializējušās onkoloģisko slimību ārstēšanā, pēc speciālistu konsultācijas, primārā kārtībā veikt visus tālāk nepieciešamos izmeklējumus onkoloģisko </w:t>
      </w:r>
      <w:r w:rsidRPr="00B40952">
        <w:rPr>
          <w:rFonts w:ascii="Times New Roman" w:eastAsia="Times New Roman" w:hAnsi="Times New Roman" w:cs="Times New Roman"/>
          <w:sz w:val="24"/>
          <w:szCs w:val="24"/>
        </w:rPr>
        <w:lastRenderedPageBreak/>
        <w:t>pacientu sekundārai diagnostikai, kas nodrošina  onkoloģiskās slimības</w:t>
      </w:r>
      <w:r w:rsidR="00AF6513">
        <w:rPr>
          <w:rFonts w:ascii="Times New Roman" w:eastAsia="Times New Roman" w:hAnsi="Times New Roman" w:cs="Times New Roman"/>
          <w:sz w:val="24"/>
          <w:szCs w:val="24"/>
        </w:rPr>
        <w:t xml:space="preserve"> morfoloģisku apstiprināšanu un</w:t>
      </w:r>
      <w:r w:rsidRPr="00B40952">
        <w:rPr>
          <w:rFonts w:ascii="Times New Roman" w:eastAsia="Times New Roman" w:hAnsi="Times New Roman" w:cs="Times New Roman"/>
          <w:sz w:val="24"/>
          <w:szCs w:val="24"/>
        </w:rPr>
        <w:t xml:space="preserve"> tās izplatības noteikšanu.</w:t>
      </w:r>
    </w:p>
    <w:p w:rsidR="00B40952" w:rsidRPr="00B40952" w:rsidRDefault="00B40952" w:rsidP="002121E4">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2017.gadā bija plānoti 14,6 tūkst. sekundāro diagnostiku saņemošie onkoloģiskie pacienti, kuriem atbilstoši noteiktajiem algoritmiem tiktu veikta slimību morfoloģiska diagnostika, diferenciālā diagnostika, slimības izplatības novērtējums.</w:t>
      </w:r>
    </w:p>
    <w:p w:rsidR="00B40952" w:rsidRPr="00B40952" w:rsidRDefault="00B40952" w:rsidP="00533787">
      <w:pPr>
        <w:spacing w:before="120" w:after="0" w:line="240" w:lineRule="auto"/>
        <w:jc w:val="right"/>
        <w:rPr>
          <w:rFonts w:ascii="Calibri" w:eastAsia="Times New Roman" w:hAnsi="Calibri" w:cs="Times New Roman"/>
          <w:color w:val="414142"/>
        </w:rPr>
      </w:pPr>
      <w:r w:rsidRPr="005C03DF">
        <w:rPr>
          <w:rFonts w:ascii="Times New Roman" w:eastAsia="Times New Roman" w:hAnsi="Times New Roman" w:cs="Times New Roman"/>
          <w:b/>
          <w:sz w:val="24"/>
          <w:szCs w:val="24"/>
        </w:rPr>
        <w:t>3.</w:t>
      </w:r>
      <w:r w:rsidR="005C03DF" w:rsidRPr="005C03DF">
        <w:rPr>
          <w:rFonts w:ascii="Times New Roman" w:eastAsia="Times New Roman" w:hAnsi="Times New Roman" w:cs="Times New Roman"/>
          <w:b/>
          <w:sz w:val="24"/>
          <w:szCs w:val="24"/>
        </w:rPr>
        <w:t>12</w:t>
      </w:r>
      <w:r w:rsidRPr="005C03DF">
        <w:rPr>
          <w:rFonts w:ascii="Times New Roman" w:eastAsia="Times New Roman" w:hAnsi="Times New Roman" w:cs="Times New Roman"/>
          <w:b/>
          <w:sz w:val="24"/>
          <w:szCs w:val="24"/>
        </w:rPr>
        <w:t xml:space="preserve">.tabula. </w:t>
      </w:r>
      <w:r w:rsidRPr="001E2C89">
        <w:rPr>
          <w:rFonts w:ascii="Times New Roman" w:eastAsia="Times New Roman" w:hAnsi="Times New Roman" w:cs="Times New Roman"/>
          <w:b/>
          <w:color w:val="000000"/>
          <w:sz w:val="24"/>
          <w:szCs w:val="24"/>
        </w:rPr>
        <w:t>Sekundārās diagnostikas un izmeklējumu izpilde</w:t>
      </w:r>
    </w:p>
    <w:tbl>
      <w:tblPr>
        <w:tblW w:w="9511" w:type="dxa"/>
        <w:jc w:val="center"/>
        <w:tblLook w:val="04A0" w:firstRow="1" w:lastRow="0" w:firstColumn="1" w:lastColumn="0" w:noHBand="0" w:noVBand="1"/>
      </w:tblPr>
      <w:tblGrid>
        <w:gridCol w:w="1691"/>
        <w:gridCol w:w="1276"/>
        <w:gridCol w:w="1329"/>
        <w:gridCol w:w="1364"/>
        <w:gridCol w:w="1170"/>
        <w:gridCol w:w="1382"/>
        <w:gridCol w:w="1299"/>
      </w:tblGrid>
      <w:tr w:rsidR="00B40952" w:rsidRPr="00533787" w:rsidTr="00B40952">
        <w:trPr>
          <w:trHeight w:val="600"/>
          <w:jc w:val="center"/>
        </w:trPr>
        <w:tc>
          <w:tcPr>
            <w:tcW w:w="1691"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b/>
                <w:bCs/>
                <w:color w:val="000000"/>
                <w:sz w:val="20"/>
              </w:rPr>
            </w:pPr>
            <w:r w:rsidRPr="00533787">
              <w:rPr>
                <w:rFonts w:ascii="Times New Roman" w:eastAsia="Times New Roman" w:hAnsi="Times New Roman" w:cs="Times New Roman"/>
                <w:b/>
                <w:bCs/>
                <w:color w:val="000000"/>
                <w:sz w:val="20"/>
              </w:rPr>
              <w:t>Sekundārā diagnostika un izmeklējumi</w:t>
            </w:r>
          </w:p>
        </w:tc>
        <w:tc>
          <w:tcPr>
            <w:tcW w:w="3969"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ārstējamo unikālo onkoloģisko pacientu apjoms</w:t>
            </w:r>
          </w:p>
        </w:tc>
        <w:tc>
          <w:tcPr>
            <w:tcW w:w="3851"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Faktiskā izpilde ārstējamo unikālo onkoloģisko pacientu apjomam</w:t>
            </w:r>
          </w:p>
        </w:tc>
      </w:tr>
      <w:tr w:rsidR="00B40952" w:rsidRPr="00533787" w:rsidTr="00B40952">
        <w:trPr>
          <w:trHeight w:val="517"/>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rPr>
                <w:rFonts w:ascii="Times New Roman" w:eastAsia="Times New Roman" w:hAnsi="Times New Roman" w:cs="Times New Roman"/>
                <w:b/>
                <w:bCs/>
                <w:color w:val="000000"/>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pacientu skaits gadā</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color w:val="000000"/>
                <w:sz w:val="20"/>
              </w:rPr>
              <w:t>euro</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color w:val="000000"/>
                <w:sz w:val="20"/>
              </w:rPr>
              <w:t>euro</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Pacientu skaita pieaugums 2017.gadā</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color w:val="000000"/>
                <w:sz w:val="20"/>
              </w:rPr>
              <w:t>euro</w:t>
            </w:r>
          </w:p>
        </w:tc>
        <w:tc>
          <w:tcPr>
            <w:tcW w:w="1299" w:type="dxa"/>
            <w:vMerge w:val="restart"/>
            <w:tcBorders>
              <w:top w:val="nil"/>
              <w:left w:val="single" w:sz="4" w:space="0" w:color="auto"/>
              <w:bottom w:val="single" w:sz="8" w:space="0" w:color="000000"/>
              <w:right w:val="single" w:sz="8" w:space="0" w:color="auto"/>
            </w:tcBorders>
            <w:shd w:val="clear" w:color="auto" w:fill="C6D9F1"/>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color w:val="000000"/>
                <w:sz w:val="20"/>
              </w:rPr>
              <w:t>euro</w:t>
            </w:r>
          </w:p>
        </w:tc>
      </w:tr>
      <w:tr w:rsidR="00B40952" w:rsidRPr="00533787" w:rsidTr="00B40952">
        <w:trPr>
          <w:trHeight w:val="624"/>
          <w:jc w:val="center"/>
        </w:trPr>
        <w:tc>
          <w:tcPr>
            <w:tcW w:w="1691"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rPr>
                <w:rFonts w:ascii="Times New Roman" w:eastAsia="Times New Roman" w:hAnsi="Times New Roman" w:cs="Times New Roman"/>
                <w:b/>
                <w:bCs/>
                <w:color w:val="000000"/>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rPr>
                <w:rFonts w:ascii="Times New Roman" w:eastAsia="Times New Roman" w:hAnsi="Times New Roman" w:cs="Times New Roman"/>
                <w:color w:val="000000"/>
                <w:sz w:val="20"/>
              </w:rPr>
            </w:pPr>
          </w:p>
        </w:tc>
        <w:tc>
          <w:tcPr>
            <w:tcW w:w="1329"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rPr>
                <w:rFonts w:ascii="Times New Roman" w:eastAsia="Times New Roman" w:hAnsi="Times New Roman" w:cs="Times New Roman"/>
                <w:color w:val="000000"/>
                <w:sz w:val="20"/>
              </w:rPr>
            </w:pPr>
          </w:p>
        </w:tc>
        <w:tc>
          <w:tcPr>
            <w:tcW w:w="1364"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rPr>
                <w:rFonts w:ascii="Times New Roman" w:eastAsia="Times New Roman" w:hAnsi="Times New Roman" w:cs="Times New Roman"/>
                <w:color w:val="000000"/>
                <w:sz w:val="20"/>
              </w:rPr>
            </w:pPr>
          </w:p>
        </w:tc>
        <w:tc>
          <w:tcPr>
            <w:tcW w:w="1170"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rPr>
                <w:rFonts w:ascii="Times New Roman" w:eastAsia="Times New Roman" w:hAnsi="Times New Roman" w:cs="Times New Roman"/>
                <w:color w:val="000000"/>
                <w:sz w:val="20"/>
              </w:rPr>
            </w:pPr>
          </w:p>
        </w:tc>
        <w:tc>
          <w:tcPr>
            <w:tcW w:w="1382"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line="240" w:lineRule="auto"/>
              <w:rPr>
                <w:rFonts w:ascii="Times New Roman" w:eastAsia="Times New Roman" w:hAnsi="Times New Roman" w:cs="Times New Roman"/>
                <w:color w:val="000000"/>
                <w:sz w:val="20"/>
              </w:rPr>
            </w:pPr>
          </w:p>
        </w:tc>
        <w:tc>
          <w:tcPr>
            <w:tcW w:w="1299" w:type="dxa"/>
            <w:vMerge/>
            <w:tcBorders>
              <w:top w:val="nil"/>
              <w:left w:val="single" w:sz="4" w:space="0" w:color="auto"/>
              <w:bottom w:val="single" w:sz="8" w:space="0" w:color="000000"/>
              <w:right w:val="single" w:sz="8" w:space="0" w:color="auto"/>
            </w:tcBorders>
            <w:shd w:val="clear" w:color="auto" w:fill="C6D9F1"/>
            <w:vAlign w:val="center"/>
            <w:hideMark/>
          </w:tcPr>
          <w:p w:rsidR="00B40952" w:rsidRPr="00533787" w:rsidRDefault="00B40952" w:rsidP="002121E4">
            <w:pPr>
              <w:spacing w:after="0" w:line="240" w:lineRule="auto"/>
              <w:rPr>
                <w:rFonts w:ascii="Times New Roman" w:eastAsia="Times New Roman" w:hAnsi="Times New Roman" w:cs="Times New Roman"/>
                <w:color w:val="000000"/>
                <w:sz w:val="20"/>
              </w:rPr>
            </w:pPr>
          </w:p>
        </w:tc>
      </w:tr>
      <w:tr w:rsidR="00B40952" w:rsidRPr="00533787" w:rsidTr="00BB293D">
        <w:trPr>
          <w:trHeight w:val="315"/>
          <w:jc w:val="center"/>
        </w:trPr>
        <w:tc>
          <w:tcPr>
            <w:tcW w:w="169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5 ārstniecības iestādes</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14</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659</w:t>
            </w:r>
          </w:p>
        </w:tc>
        <w:tc>
          <w:tcPr>
            <w:tcW w:w="1329"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2</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332</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565</w:t>
            </w:r>
          </w:p>
        </w:tc>
        <w:tc>
          <w:tcPr>
            <w:tcW w:w="1364"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159,12</w:t>
            </w:r>
          </w:p>
        </w:tc>
        <w:tc>
          <w:tcPr>
            <w:tcW w:w="1170"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17</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880</w:t>
            </w:r>
          </w:p>
        </w:tc>
        <w:tc>
          <w:tcPr>
            <w:tcW w:w="1382"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2</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188</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921</w:t>
            </w:r>
          </w:p>
        </w:tc>
        <w:tc>
          <w:tcPr>
            <w:tcW w:w="1294" w:type="dxa"/>
            <w:tcBorders>
              <w:top w:val="nil"/>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122,42</w:t>
            </w:r>
          </w:p>
        </w:tc>
      </w:tr>
    </w:tbl>
    <w:p w:rsidR="00B40952" w:rsidRPr="00533787" w:rsidRDefault="00B40952" w:rsidP="002121E4">
      <w:pPr>
        <w:spacing w:line="240" w:lineRule="auto"/>
        <w:jc w:val="both"/>
        <w:rPr>
          <w:rFonts w:ascii="Times New Roman" w:eastAsia="Times New Roman" w:hAnsi="Times New Roman" w:cs="Times New Roman"/>
          <w:color w:val="FF0000"/>
          <w:sz w:val="20"/>
        </w:rPr>
      </w:pPr>
      <w:r w:rsidRPr="00533787">
        <w:rPr>
          <w:rFonts w:ascii="Times New Roman" w:eastAsia="Times New Roman" w:hAnsi="Times New Roman" w:cs="Times New Roman"/>
          <w:i/>
          <w:sz w:val="20"/>
        </w:rPr>
        <w:t>Avots: NVD</w:t>
      </w:r>
    </w:p>
    <w:p w:rsidR="00B40952" w:rsidRPr="00B40952" w:rsidRDefault="00B40952" w:rsidP="002121E4">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2017.gadā onkoloģisko pacientu aptvere sekundārajā diagnostikā un izmeklējumos sasniedza 121,97% no plānotā apjoma.</w:t>
      </w:r>
    </w:p>
    <w:p w:rsidR="00B40952" w:rsidRPr="00B40952" w:rsidRDefault="00B40952" w:rsidP="002121E4">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Sistēmu ieviešot, tās sākuma posmā, ne visos gadījumos veikta pilna plānoto pakalpojumu apguve. Attiecīgi, 2017.gada I pusgadā ārstēto onkoloģisko pacientu aptvere bija zemāka, jo bija nepieciešams laiks, lai adaptētu sistēmas izmaiņas, kā arī sākotnēji primārās diagnostikas algoritmu ieviešana tika attiecināta uz 11 biežākajām ļaundabīgo audzēju lokalizācijām, kuras, nodrošinot vienlīdzīgu pieeju, no 2017. gada nogales ir</w:t>
      </w:r>
      <w:r w:rsidR="00AF6513">
        <w:rPr>
          <w:rFonts w:ascii="Times New Roman" w:eastAsia="Times New Roman" w:hAnsi="Times New Roman" w:cs="Times New Roman"/>
          <w:sz w:val="24"/>
          <w:szCs w:val="24"/>
        </w:rPr>
        <w:t xml:space="preserve"> paplašinātas ar citām </w:t>
      </w:r>
      <w:r w:rsidRPr="00B40952">
        <w:rPr>
          <w:rFonts w:ascii="Times New Roman" w:eastAsia="Times New Roman" w:hAnsi="Times New Roman" w:cs="Times New Roman"/>
          <w:sz w:val="24"/>
          <w:szCs w:val="24"/>
        </w:rPr>
        <w:t>onkoloģiskajām saslimšanām. Papildus t</w:t>
      </w:r>
      <w:r w:rsidR="00AF6513">
        <w:rPr>
          <w:rFonts w:ascii="Times New Roman" w:eastAsia="Times New Roman" w:hAnsi="Times New Roman" w:cs="Times New Roman"/>
          <w:sz w:val="24"/>
          <w:szCs w:val="24"/>
        </w:rPr>
        <w:t>am, ieviestas izmaiņas primārās</w:t>
      </w:r>
      <w:r w:rsidRPr="00B40952">
        <w:rPr>
          <w:rFonts w:ascii="Times New Roman" w:eastAsia="Times New Roman" w:hAnsi="Times New Roman" w:cs="Times New Roman"/>
          <w:sz w:val="24"/>
          <w:szCs w:val="24"/>
        </w:rPr>
        <w:t xml:space="preserve"> un sekundārās diagnostikas pakalpojumu saņemšanā, uzlabojot pakalpojumu pieejamību. </w:t>
      </w:r>
    </w:p>
    <w:p w:rsidR="00B40952" w:rsidRPr="00B40952" w:rsidRDefault="00B40952" w:rsidP="00AF6513">
      <w:pPr>
        <w:spacing w:before="120" w:after="0" w:line="240" w:lineRule="auto"/>
        <w:jc w:val="both"/>
        <w:rPr>
          <w:rFonts w:ascii="Times New Roman" w:eastAsia="Times New Roman" w:hAnsi="Times New Roman" w:cs="Times New Roman"/>
          <w:sz w:val="24"/>
          <w:szCs w:val="24"/>
          <w:u w:val="single"/>
        </w:rPr>
      </w:pPr>
      <w:r w:rsidRPr="00B40952">
        <w:rPr>
          <w:rFonts w:ascii="Times New Roman" w:eastAsia="Times New Roman" w:hAnsi="Times New Roman" w:cs="Times New Roman"/>
          <w:sz w:val="24"/>
          <w:szCs w:val="24"/>
          <w:u w:val="single"/>
        </w:rPr>
        <w:t>Ambulatorā ārstēšana</w:t>
      </w:r>
    </w:p>
    <w:p w:rsidR="00B40952" w:rsidRPr="00B40952" w:rsidRDefault="00B40952" w:rsidP="002121E4">
      <w:pPr>
        <w:spacing w:after="0" w:line="240" w:lineRule="auto"/>
        <w:ind w:firstLine="709"/>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Onkoloģijas reformu ietvaros plānota ambulatora pacientu ārstēšana, izmantojot staru terapijas un ķīmijterapijas metodes. </w:t>
      </w:r>
      <w:r w:rsidRPr="00B40952">
        <w:rPr>
          <w:rFonts w:ascii="Times New Roman" w:eastAsia="Times New Roman" w:hAnsi="Times New Roman" w:cs="Times New Roman"/>
          <w:bCs/>
          <w:color w:val="000000"/>
          <w:sz w:val="24"/>
          <w:szCs w:val="24"/>
        </w:rPr>
        <w:t>Ķīmijterapijas mērķis</w:t>
      </w:r>
      <w:r w:rsidRPr="00B40952">
        <w:rPr>
          <w:rFonts w:ascii="Times New Roman" w:eastAsia="Times New Roman" w:hAnsi="Times New Roman" w:cs="Times New Roman"/>
          <w:b/>
          <w:bCs/>
          <w:color w:val="000000"/>
          <w:sz w:val="24"/>
          <w:szCs w:val="24"/>
        </w:rPr>
        <w:t xml:space="preserve"> </w:t>
      </w:r>
      <w:r w:rsidRPr="00B40952">
        <w:rPr>
          <w:rFonts w:ascii="Times New Roman" w:eastAsia="Times New Roman" w:hAnsi="Times New Roman" w:cs="Times New Roman"/>
          <w:color w:val="000000"/>
          <w:sz w:val="24"/>
          <w:szCs w:val="24"/>
        </w:rPr>
        <w:t>ir panākt pilnu vai iespējami ilgāku remisiju (slimības pierimšana un simptomu mazināšanās) audzēja attīstībā, vai arī, lai likvidētu organismā cirkulējošās atsevišķās audzēja šūnas (metastāžu novēršanai).</w:t>
      </w:r>
      <w:r w:rsidRPr="00B40952">
        <w:rPr>
          <w:rFonts w:ascii="Times New Roman" w:eastAsia="Times New Roman" w:hAnsi="Times New Roman" w:cs="Times New Roman"/>
          <w:sz w:val="24"/>
          <w:szCs w:val="24"/>
        </w:rPr>
        <w:t xml:space="preserve"> </w:t>
      </w:r>
      <w:r w:rsidRPr="00B40952">
        <w:rPr>
          <w:rFonts w:ascii="Times New Roman" w:eastAsia="Times New Roman" w:hAnsi="Times New Roman" w:cs="Times New Roman"/>
          <w:color w:val="000000"/>
          <w:sz w:val="24"/>
          <w:szCs w:val="24"/>
        </w:rPr>
        <w:t xml:space="preserve">Savukārt, staru terapija tiek pielietota apmēram pusei visu onkoloģisko slimnieku kādā no ārstēšanas etapiem. </w:t>
      </w:r>
      <w:r w:rsidRPr="00B40952">
        <w:rPr>
          <w:rFonts w:ascii="Times New Roman" w:eastAsia="Times New Roman" w:hAnsi="Times New Roman" w:cs="Times New Roman"/>
          <w:sz w:val="24"/>
          <w:szCs w:val="24"/>
        </w:rPr>
        <w:t>Staru terapija onkoloģijā ir ļoti pieprasīta ārstēšanas metode, kuras pamatā ir jonizētā starojuma graujošā iedarbība uz vēža šūnām.</w:t>
      </w:r>
    </w:p>
    <w:p w:rsidR="00B40952" w:rsidRPr="00B40952" w:rsidRDefault="00B40952" w:rsidP="002121E4">
      <w:pPr>
        <w:spacing w:after="0" w:line="240" w:lineRule="auto"/>
        <w:ind w:firstLine="709"/>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2017.gadā bija plānoti 3,3 tūkst. unikālo onkoloģisko pacientu, kuriem atbilstoši noteiktajiem algoritmiem tiks nodrošināta ambulatorā ārstēšana izmantojot staru terapiju un ķīmijterapiju.</w:t>
      </w:r>
    </w:p>
    <w:p w:rsidR="00B40952" w:rsidRPr="00B40952" w:rsidRDefault="00B40952" w:rsidP="00B40952">
      <w:pPr>
        <w:spacing w:after="0"/>
        <w:jc w:val="right"/>
        <w:rPr>
          <w:rFonts w:ascii="Times New Roman" w:eastAsia="Times New Roman" w:hAnsi="Times New Roman" w:cs="Times New Roman"/>
          <w:color w:val="000000"/>
          <w:sz w:val="24"/>
          <w:szCs w:val="24"/>
        </w:rPr>
      </w:pPr>
      <w:r w:rsidRPr="005C03DF">
        <w:rPr>
          <w:rFonts w:ascii="Times New Roman" w:eastAsia="Times New Roman" w:hAnsi="Times New Roman" w:cs="Times New Roman"/>
          <w:b/>
          <w:sz w:val="24"/>
          <w:szCs w:val="24"/>
        </w:rPr>
        <w:t>3.</w:t>
      </w:r>
      <w:r w:rsidR="005C03DF" w:rsidRPr="005C03DF">
        <w:rPr>
          <w:rFonts w:ascii="Times New Roman" w:eastAsia="Times New Roman" w:hAnsi="Times New Roman" w:cs="Times New Roman"/>
          <w:b/>
          <w:sz w:val="24"/>
          <w:szCs w:val="24"/>
        </w:rPr>
        <w:t>13</w:t>
      </w:r>
      <w:r w:rsidRPr="005C03DF">
        <w:rPr>
          <w:rFonts w:ascii="Times New Roman" w:eastAsia="Times New Roman" w:hAnsi="Times New Roman" w:cs="Times New Roman"/>
          <w:b/>
          <w:sz w:val="24"/>
          <w:szCs w:val="24"/>
        </w:rPr>
        <w:t xml:space="preserve">.tabula. </w:t>
      </w:r>
      <w:r w:rsidRPr="001E2C89">
        <w:rPr>
          <w:rFonts w:ascii="Times New Roman" w:eastAsia="Times New Roman" w:hAnsi="Times New Roman" w:cs="Times New Roman"/>
          <w:b/>
          <w:color w:val="000000"/>
          <w:sz w:val="24"/>
          <w:szCs w:val="24"/>
        </w:rPr>
        <w:t>Staru un ķīmijterapijas izpilde</w:t>
      </w:r>
    </w:p>
    <w:tbl>
      <w:tblPr>
        <w:tblW w:w="9494" w:type="dxa"/>
        <w:jc w:val="center"/>
        <w:tblLook w:val="04A0" w:firstRow="1" w:lastRow="0" w:firstColumn="1" w:lastColumn="0" w:noHBand="0" w:noVBand="1"/>
      </w:tblPr>
      <w:tblGrid>
        <w:gridCol w:w="2054"/>
        <w:gridCol w:w="1135"/>
        <w:gridCol w:w="1228"/>
        <w:gridCol w:w="1134"/>
        <w:gridCol w:w="1170"/>
        <w:gridCol w:w="1386"/>
        <w:gridCol w:w="1418"/>
      </w:tblGrid>
      <w:tr w:rsidR="00B40952" w:rsidRPr="00533787" w:rsidTr="00AF6513">
        <w:trPr>
          <w:trHeight w:val="600"/>
          <w:jc w:val="center"/>
        </w:trPr>
        <w:tc>
          <w:tcPr>
            <w:tcW w:w="2054"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b/>
                <w:bCs/>
                <w:color w:val="000000"/>
                <w:sz w:val="20"/>
              </w:rPr>
            </w:pPr>
            <w:r w:rsidRPr="00533787">
              <w:rPr>
                <w:rFonts w:ascii="Times New Roman" w:eastAsia="Times New Roman" w:hAnsi="Times New Roman" w:cs="Times New Roman"/>
                <w:b/>
                <w:bCs/>
                <w:color w:val="000000"/>
                <w:sz w:val="20"/>
              </w:rPr>
              <w:t>Staru un ķīmijterapija ambulatori</w:t>
            </w:r>
          </w:p>
        </w:tc>
        <w:tc>
          <w:tcPr>
            <w:tcW w:w="3466"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unikālo onkoloģisko pacientu apjoms</w:t>
            </w:r>
          </w:p>
        </w:tc>
        <w:tc>
          <w:tcPr>
            <w:tcW w:w="3974"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Faktiskā iz</w:t>
            </w:r>
            <w:r w:rsidR="00BC5F6B" w:rsidRPr="00533787">
              <w:rPr>
                <w:rFonts w:ascii="Times New Roman" w:eastAsia="Times New Roman" w:hAnsi="Times New Roman" w:cs="Times New Roman"/>
                <w:color w:val="000000"/>
                <w:sz w:val="20"/>
              </w:rPr>
              <w:t>pilde unikālo onkoloģisko</w:t>
            </w:r>
            <w:r w:rsidRPr="00533787">
              <w:rPr>
                <w:rFonts w:ascii="Times New Roman" w:eastAsia="Times New Roman" w:hAnsi="Times New Roman" w:cs="Times New Roman"/>
                <w:color w:val="000000"/>
                <w:sz w:val="20"/>
              </w:rPr>
              <w:t xml:space="preserve"> pacientu apjomam</w:t>
            </w:r>
          </w:p>
        </w:tc>
      </w:tr>
      <w:tr w:rsidR="00B40952" w:rsidRPr="00533787" w:rsidTr="00AF6513">
        <w:trPr>
          <w:trHeight w:val="1029"/>
          <w:jc w:val="center"/>
        </w:trPr>
        <w:tc>
          <w:tcPr>
            <w:tcW w:w="2054" w:type="dxa"/>
            <w:vMerge/>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rPr>
                <w:rFonts w:ascii="Times New Roman" w:eastAsia="Times New Roman" w:hAnsi="Times New Roman" w:cs="Times New Roman"/>
                <w:b/>
                <w:bCs/>
                <w:color w:val="000000"/>
                <w:sz w:val="20"/>
              </w:rPr>
            </w:pPr>
          </w:p>
        </w:tc>
        <w:tc>
          <w:tcPr>
            <w:tcW w:w="113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pacientu skaits gadā</w:t>
            </w:r>
          </w:p>
        </w:tc>
        <w:tc>
          <w:tcPr>
            <w:tcW w:w="119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533787">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c>
          <w:tcPr>
            <w:tcW w:w="117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Pacientu skaita pieaugums 2017.gadā</w:t>
            </w:r>
          </w:p>
        </w:tc>
        <w:tc>
          <w:tcPr>
            <w:tcW w:w="138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41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r>
      <w:tr w:rsidR="00B40952" w:rsidRPr="00533787" w:rsidTr="00AF6513">
        <w:trPr>
          <w:trHeight w:val="315"/>
          <w:jc w:val="center"/>
        </w:trPr>
        <w:tc>
          <w:tcPr>
            <w:tcW w:w="205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40952" w:rsidRPr="00533787" w:rsidRDefault="00B40952" w:rsidP="00533787">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6 ārstniecības iestādes</w:t>
            </w:r>
          </w:p>
        </w:tc>
        <w:tc>
          <w:tcPr>
            <w:tcW w:w="1135"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3</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306</w:t>
            </w:r>
          </w:p>
        </w:tc>
        <w:tc>
          <w:tcPr>
            <w:tcW w:w="1197"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178</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058</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356,34</w:t>
            </w:r>
          </w:p>
        </w:tc>
        <w:tc>
          <w:tcPr>
            <w:tcW w:w="1170"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996</w:t>
            </w:r>
          </w:p>
        </w:tc>
        <w:tc>
          <w:tcPr>
            <w:tcW w:w="1386"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164</w:t>
            </w:r>
            <w:r w:rsidR="002121E4" w:rsidRPr="00533787">
              <w:rPr>
                <w:sz w:val="20"/>
              </w:rPr>
              <w:t> </w:t>
            </w:r>
            <w:r w:rsidRPr="00533787">
              <w:rPr>
                <w:rFonts w:ascii="Times New Roman" w:eastAsia="Times New Roman" w:hAnsi="Times New Roman" w:cs="Times New Roman"/>
                <w:color w:val="000000"/>
                <w:sz w:val="20"/>
              </w:rPr>
              <w:t>114</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583,22</w:t>
            </w:r>
          </w:p>
        </w:tc>
      </w:tr>
    </w:tbl>
    <w:p w:rsidR="00B40952" w:rsidRPr="00533787" w:rsidRDefault="00B40952" w:rsidP="00B40952">
      <w:pPr>
        <w:jc w:val="both"/>
        <w:rPr>
          <w:rFonts w:ascii="Times New Roman" w:eastAsia="Times New Roman" w:hAnsi="Times New Roman" w:cs="Times New Roman"/>
          <w:sz w:val="20"/>
        </w:rPr>
      </w:pPr>
      <w:r w:rsidRPr="00533787">
        <w:rPr>
          <w:rFonts w:ascii="Times New Roman" w:eastAsia="Times New Roman" w:hAnsi="Times New Roman" w:cs="Times New Roman"/>
          <w:i/>
          <w:sz w:val="20"/>
        </w:rPr>
        <w:t>Avots: NVD</w:t>
      </w:r>
    </w:p>
    <w:p w:rsidR="00B40952" w:rsidRPr="00B40952" w:rsidRDefault="00B40952" w:rsidP="002121E4">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Atbilstoši 2017.gada faktiskajai izpildei, vidējās ārstēšanas izmaksas ambulatori palielinājušās par 63,67 % salīdzinot ar plānoto, jo pieauga ilgstoši ārstējamo pacientu skaits, kā arī palielinājās pacientu skaits staru terapijas ārstēšanas metodes pielietošanā, kas ir </w:t>
      </w:r>
      <w:r w:rsidRPr="00B40952">
        <w:rPr>
          <w:rFonts w:ascii="Times New Roman" w:eastAsia="Times New Roman" w:hAnsi="Times New Roman" w:cs="Times New Roman"/>
          <w:sz w:val="24"/>
          <w:szCs w:val="24"/>
        </w:rPr>
        <w:lastRenderedPageBreak/>
        <w:t>izmaksu ietilpīgāka ārstēšanas metode. 2017.gadā tika nodrošināta pieejama ārstēšana ar efekt</w:t>
      </w:r>
      <w:r w:rsidR="00685E75">
        <w:rPr>
          <w:rFonts w:ascii="Times New Roman" w:eastAsia="Times New Roman" w:hAnsi="Times New Roman" w:cs="Times New Roman"/>
          <w:sz w:val="24"/>
          <w:szCs w:val="24"/>
        </w:rPr>
        <w:t xml:space="preserve">īvāko ārstēšanas veidu, veicot </w:t>
      </w:r>
      <w:r w:rsidRPr="00B40952">
        <w:rPr>
          <w:rFonts w:ascii="Times New Roman" w:eastAsia="Times New Roman" w:hAnsi="Times New Roman" w:cs="Times New Roman"/>
          <w:sz w:val="24"/>
          <w:szCs w:val="24"/>
        </w:rPr>
        <w:t>138</w:t>
      </w:r>
      <w:r w:rsidR="002121E4">
        <w:rPr>
          <w:rFonts w:ascii="Times New Roman" w:eastAsia="Times New Roman" w:hAnsi="Times New Roman" w:cs="Times New Roman"/>
          <w:sz w:val="24"/>
          <w:szCs w:val="24"/>
        </w:rPr>
        <w:t> </w:t>
      </w:r>
      <w:r w:rsidRPr="00B40952">
        <w:rPr>
          <w:rFonts w:ascii="Times New Roman" w:eastAsia="Times New Roman" w:hAnsi="Times New Roman" w:cs="Times New Roman"/>
          <w:sz w:val="24"/>
          <w:szCs w:val="24"/>
        </w:rPr>
        <w:t>911</w:t>
      </w:r>
      <w:r w:rsidRPr="00B40952">
        <w:rPr>
          <w:rFonts w:ascii="Times New Roman" w:eastAsia="Times New Roman" w:hAnsi="Times New Roman" w:cs="Times New Roman"/>
          <w:color w:val="000000"/>
          <w:sz w:val="24"/>
          <w:szCs w:val="24"/>
        </w:rPr>
        <w:t xml:space="preserve"> manipulācijas 1</w:t>
      </w:r>
      <w:r w:rsidR="002121E4">
        <w:rPr>
          <w:rFonts w:ascii="Times New Roman" w:eastAsia="Times New Roman" w:hAnsi="Times New Roman" w:cs="Times New Roman"/>
          <w:color w:val="000000"/>
          <w:sz w:val="24"/>
          <w:szCs w:val="24"/>
        </w:rPr>
        <w:t> </w:t>
      </w:r>
      <w:r w:rsidRPr="00B40952">
        <w:rPr>
          <w:rFonts w:ascii="Times New Roman" w:eastAsia="Times New Roman" w:hAnsi="Times New Roman" w:cs="Times New Roman"/>
          <w:color w:val="000000"/>
          <w:sz w:val="24"/>
          <w:szCs w:val="24"/>
        </w:rPr>
        <w:t>996 unikālajiem pacientiem</w:t>
      </w:r>
      <w:r w:rsidRPr="00B40952">
        <w:rPr>
          <w:rFonts w:ascii="Times New Roman" w:eastAsia="Times New Roman" w:hAnsi="Times New Roman" w:cs="Times New Roman"/>
          <w:sz w:val="24"/>
          <w:szCs w:val="24"/>
        </w:rPr>
        <w:t xml:space="preserve">. </w:t>
      </w:r>
    </w:p>
    <w:p w:rsidR="00B40952" w:rsidRPr="00B40952" w:rsidRDefault="00B40952" w:rsidP="00685E75">
      <w:pPr>
        <w:spacing w:before="120" w:after="0" w:line="240" w:lineRule="auto"/>
        <w:jc w:val="both"/>
        <w:rPr>
          <w:rFonts w:ascii="Times New Roman" w:eastAsia="Times New Roman" w:hAnsi="Times New Roman" w:cs="Times New Roman"/>
          <w:sz w:val="24"/>
          <w:szCs w:val="24"/>
          <w:u w:val="single"/>
        </w:rPr>
      </w:pPr>
      <w:r w:rsidRPr="00B40952">
        <w:rPr>
          <w:rFonts w:ascii="Times New Roman" w:eastAsia="Times New Roman" w:hAnsi="Times New Roman" w:cs="Times New Roman"/>
          <w:sz w:val="24"/>
          <w:szCs w:val="24"/>
          <w:u w:val="single"/>
        </w:rPr>
        <w:t>Stacionārā ārstēšana</w:t>
      </w:r>
    </w:p>
    <w:p w:rsidR="00B40952" w:rsidRPr="00B40952" w:rsidRDefault="00B40952" w:rsidP="002121E4">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Onkoloģijas reformu ietvaros plānota onkoloģisko saslimšanu ārstēšana stacionārā, nodrošinot savlaicīgas operācijas. Lai esošā stacionāra finansējuma ietvaros īstenotu ātrāku onkoloģisko operāciju veikšanu, sākot ar 2017.gada 1.aprīli noteikta piemaksa par sarežģītas primāras onko</w:t>
      </w:r>
      <w:r w:rsidR="00685E75" w:rsidRPr="00F14E08">
        <w:rPr>
          <w:rFonts w:ascii="Times New Roman" w:eastAsia="Calibri" w:hAnsi="Times New Roman" w:cs="Times New Roman"/>
          <w:sz w:val="24"/>
          <w:szCs w:val="24"/>
        </w:rPr>
        <w:t>–</w:t>
      </w:r>
      <w:r w:rsidRPr="00B40952">
        <w:rPr>
          <w:rFonts w:ascii="Times New Roman" w:eastAsia="Times New Roman" w:hAnsi="Times New Roman" w:cs="Times New Roman"/>
          <w:sz w:val="24"/>
          <w:szCs w:val="24"/>
        </w:rPr>
        <w:t>operācijas veikšanu pēc ārstu konsīlija lēmuma.</w:t>
      </w:r>
    </w:p>
    <w:p w:rsidR="00B40952" w:rsidRPr="00B40952" w:rsidRDefault="00B40952" w:rsidP="002121E4">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2017.gadā tika plānotas 6 000 piemaksu ārstniecības iestādēs par sarežģītas primāras onkoloģiskas operācijas veikšanu pacientiem ar pirmreizēji diagnosticētu onkoloģisko slimību.</w:t>
      </w:r>
    </w:p>
    <w:p w:rsidR="00B40952" w:rsidRPr="001E2C89" w:rsidRDefault="00B40952" w:rsidP="00533787">
      <w:pPr>
        <w:spacing w:before="120" w:after="0" w:line="240" w:lineRule="auto"/>
        <w:jc w:val="right"/>
        <w:rPr>
          <w:rFonts w:ascii="Times New Roman" w:eastAsia="Times New Roman" w:hAnsi="Times New Roman" w:cs="Times New Roman"/>
          <w:b/>
          <w:color w:val="414142"/>
          <w:sz w:val="24"/>
          <w:szCs w:val="24"/>
        </w:rPr>
      </w:pPr>
      <w:r w:rsidRPr="00BC5F6B">
        <w:rPr>
          <w:rFonts w:ascii="Times New Roman" w:eastAsia="Times New Roman" w:hAnsi="Times New Roman" w:cs="Times New Roman"/>
          <w:b/>
          <w:sz w:val="24"/>
          <w:szCs w:val="24"/>
        </w:rPr>
        <w:t>3.</w:t>
      </w:r>
      <w:r w:rsidR="005C03DF" w:rsidRPr="00BC5F6B">
        <w:rPr>
          <w:rFonts w:ascii="Times New Roman" w:eastAsia="Times New Roman" w:hAnsi="Times New Roman" w:cs="Times New Roman"/>
          <w:b/>
          <w:sz w:val="24"/>
          <w:szCs w:val="24"/>
        </w:rPr>
        <w:t>14</w:t>
      </w:r>
      <w:r w:rsidRPr="00BC5F6B">
        <w:rPr>
          <w:rFonts w:ascii="Times New Roman" w:eastAsia="Times New Roman" w:hAnsi="Times New Roman" w:cs="Times New Roman"/>
          <w:b/>
          <w:sz w:val="24"/>
          <w:szCs w:val="24"/>
        </w:rPr>
        <w:t xml:space="preserve">.tabula. </w:t>
      </w:r>
      <w:r w:rsidRPr="001E2C89">
        <w:rPr>
          <w:rFonts w:ascii="Times New Roman" w:eastAsia="Times New Roman" w:hAnsi="Times New Roman" w:cs="Times New Roman"/>
          <w:b/>
          <w:color w:val="000000"/>
          <w:sz w:val="24"/>
          <w:szCs w:val="24"/>
        </w:rPr>
        <w:t>Stacionārā ārstēto onkoloģisko pacientu izpilde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11"/>
        <w:gridCol w:w="1381"/>
        <w:gridCol w:w="1276"/>
        <w:gridCol w:w="1276"/>
        <w:gridCol w:w="1417"/>
        <w:gridCol w:w="1277"/>
      </w:tblGrid>
      <w:tr w:rsidR="00B40952" w:rsidRPr="00533787" w:rsidTr="00B40952">
        <w:trPr>
          <w:trHeight w:val="600"/>
          <w:jc w:val="center"/>
        </w:trPr>
        <w:tc>
          <w:tcPr>
            <w:tcW w:w="1555" w:type="dxa"/>
            <w:vMerge w:val="restart"/>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b/>
                <w:bCs/>
                <w:color w:val="000000"/>
                <w:sz w:val="20"/>
              </w:rPr>
            </w:pPr>
            <w:r w:rsidRPr="00533787">
              <w:rPr>
                <w:rFonts w:ascii="Times New Roman" w:eastAsia="Times New Roman" w:hAnsi="Times New Roman" w:cs="Times New Roman"/>
                <w:b/>
                <w:bCs/>
                <w:color w:val="000000"/>
                <w:sz w:val="20"/>
              </w:rPr>
              <w:t>Ārstēšana stacionāri</w:t>
            </w:r>
          </w:p>
        </w:tc>
        <w:tc>
          <w:tcPr>
            <w:tcW w:w="3968" w:type="dxa"/>
            <w:gridSpan w:val="3"/>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ārstējamo unikālo onkoloģisko pacientu apjoms</w:t>
            </w:r>
          </w:p>
        </w:tc>
        <w:tc>
          <w:tcPr>
            <w:tcW w:w="3970" w:type="dxa"/>
            <w:gridSpan w:val="3"/>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Faktiskā izpilde ārstējamo unikālo onkoloģisko pacientu apjomam</w:t>
            </w:r>
          </w:p>
        </w:tc>
      </w:tr>
      <w:tr w:rsidR="00B40952" w:rsidRPr="00533787" w:rsidTr="00533787">
        <w:trPr>
          <w:trHeight w:val="996"/>
          <w:jc w:val="center"/>
        </w:trPr>
        <w:tc>
          <w:tcPr>
            <w:tcW w:w="1555" w:type="dxa"/>
            <w:vMerge/>
            <w:shd w:val="clear" w:color="auto" w:fill="C6D9F1"/>
            <w:vAlign w:val="center"/>
            <w:hideMark/>
          </w:tcPr>
          <w:p w:rsidR="00B40952" w:rsidRPr="00533787" w:rsidRDefault="00B40952" w:rsidP="00BC5F6B">
            <w:pPr>
              <w:spacing w:after="0" w:line="240" w:lineRule="auto"/>
              <w:rPr>
                <w:rFonts w:ascii="Times New Roman" w:eastAsia="Times New Roman" w:hAnsi="Times New Roman" w:cs="Times New Roman"/>
                <w:b/>
                <w:bCs/>
                <w:color w:val="000000"/>
                <w:sz w:val="20"/>
              </w:rPr>
            </w:pPr>
          </w:p>
        </w:tc>
        <w:tc>
          <w:tcPr>
            <w:tcW w:w="1311"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pacientu skaits gadā</w:t>
            </w:r>
          </w:p>
        </w:tc>
        <w:tc>
          <w:tcPr>
            <w:tcW w:w="1381" w:type="dxa"/>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276"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c>
          <w:tcPr>
            <w:tcW w:w="1276"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Pacientu skaita pieaugums 2017.gadā</w:t>
            </w:r>
          </w:p>
        </w:tc>
        <w:tc>
          <w:tcPr>
            <w:tcW w:w="1417"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277"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r>
      <w:tr w:rsidR="00B40952" w:rsidRPr="00533787" w:rsidTr="00BB293D">
        <w:trPr>
          <w:trHeight w:val="315"/>
          <w:jc w:val="center"/>
        </w:trPr>
        <w:tc>
          <w:tcPr>
            <w:tcW w:w="1555"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7 ārstniecības iestādes</w:t>
            </w:r>
          </w:p>
        </w:tc>
        <w:tc>
          <w:tcPr>
            <w:tcW w:w="1311"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6</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000</w:t>
            </w:r>
          </w:p>
        </w:tc>
        <w:tc>
          <w:tcPr>
            <w:tcW w:w="1381"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2</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463</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058</w:t>
            </w:r>
          </w:p>
        </w:tc>
        <w:tc>
          <w:tcPr>
            <w:tcW w:w="1276"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410,51</w:t>
            </w:r>
          </w:p>
        </w:tc>
        <w:tc>
          <w:tcPr>
            <w:tcW w:w="1276"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5</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633</w:t>
            </w:r>
          </w:p>
        </w:tc>
        <w:tc>
          <w:tcPr>
            <w:tcW w:w="1417"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2</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312</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402</w:t>
            </w:r>
          </w:p>
        </w:tc>
        <w:tc>
          <w:tcPr>
            <w:tcW w:w="1277"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410,51</w:t>
            </w:r>
          </w:p>
        </w:tc>
      </w:tr>
    </w:tbl>
    <w:p w:rsidR="00B40952" w:rsidRPr="00533787" w:rsidRDefault="00B40952" w:rsidP="002121E4">
      <w:pPr>
        <w:spacing w:after="0" w:line="240" w:lineRule="auto"/>
        <w:jc w:val="both"/>
        <w:rPr>
          <w:rFonts w:ascii="Times New Roman" w:eastAsia="Times New Roman" w:hAnsi="Times New Roman" w:cs="Times New Roman"/>
          <w:sz w:val="20"/>
        </w:rPr>
      </w:pPr>
      <w:r w:rsidRPr="00533787">
        <w:rPr>
          <w:rFonts w:ascii="Times New Roman" w:eastAsia="Times New Roman" w:hAnsi="Times New Roman" w:cs="Times New Roman"/>
          <w:i/>
          <w:sz w:val="20"/>
        </w:rPr>
        <w:t>Avots: NVD</w:t>
      </w:r>
    </w:p>
    <w:p w:rsidR="00B40952" w:rsidRPr="00B40952" w:rsidRDefault="00B40952" w:rsidP="002121E4">
      <w:pPr>
        <w:spacing w:after="0" w:line="240" w:lineRule="auto"/>
        <w:ind w:firstLine="720"/>
        <w:contextualSpacing/>
        <w:jc w:val="both"/>
        <w:rPr>
          <w:rFonts w:ascii="Calibri" w:eastAsia="Times New Roman" w:hAnsi="Calibri" w:cs="Times New Roman"/>
        </w:rPr>
      </w:pPr>
    </w:p>
    <w:p w:rsidR="00B40952" w:rsidRPr="001E2C89" w:rsidRDefault="00B40952" w:rsidP="002121E4">
      <w:pPr>
        <w:spacing w:after="0" w:line="240" w:lineRule="auto"/>
        <w:ind w:firstLine="720"/>
        <w:contextualSpacing/>
        <w:jc w:val="both"/>
        <w:rPr>
          <w:rFonts w:ascii="Times New Roman" w:eastAsia="Times New Roman" w:hAnsi="Times New Roman" w:cs="Times New Roman"/>
          <w:color w:val="000000" w:themeColor="text1"/>
          <w:sz w:val="24"/>
          <w:szCs w:val="24"/>
        </w:rPr>
      </w:pPr>
      <w:r w:rsidRPr="001E2C89">
        <w:rPr>
          <w:rFonts w:ascii="Times New Roman" w:eastAsia="Times New Roman" w:hAnsi="Times New Roman" w:cs="Times New Roman"/>
          <w:color w:val="000000" w:themeColor="text1"/>
          <w:sz w:val="24"/>
          <w:szCs w:val="24"/>
          <w:shd w:val="clear" w:color="auto" w:fill="FFFFFF"/>
        </w:rPr>
        <w:t>Analizējot faktisko izpildi, 2017.gada 31.oktobrī stājoties spēkā Ministru kabineta noteikumiem Nr.645 “Grozījumi Ministru kabineta 2013.gada 17.decembra noteikumos Nr.1529 "Veselības aprūpes organizēšanas un finansēšanas kārtība",</w:t>
      </w:r>
      <w:r w:rsidR="001E2C89" w:rsidRPr="001E2C89">
        <w:rPr>
          <w:rFonts w:ascii="Times New Roman" w:eastAsia="Times New Roman" w:hAnsi="Times New Roman" w:cs="Times New Roman"/>
          <w:color w:val="000000" w:themeColor="text1"/>
          <w:sz w:val="24"/>
          <w:szCs w:val="24"/>
          <w:shd w:val="clear" w:color="auto" w:fill="FFFFFF"/>
        </w:rPr>
        <w:t xml:space="preserve"> </w:t>
      </w:r>
      <w:r w:rsidRPr="001E2C89">
        <w:rPr>
          <w:rFonts w:ascii="Times New Roman" w:eastAsia="Times New Roman" w:hAnsi="Times New Roman" w:cs="Times New Roman"/>
          <w:color w:val="000000" w:themeColor="text1"/>
          <w:sz w:val="24"/>
          <w:szCs w:val="24"/>
          <w:shd w:val="clear" w:color="auto" w:fill="FFFFFF"/>
        </w:rPr>
        <w:t>piemaksas tika aprēķinātas par sarežģītas onkoloģiskas operācijas veikšanu arī gadījumos, kad tiek veikta atkārtota, sarežģīta operācija vai arī sarežģīta operācija pacientam, kura noris vairākos etapos, pirmajā operācijā veicot tikai zināmus sagatavošanās darbus tālākajai. Atbilstoši 2017.gada faktiskajai izpildei, piemaksas nodrošinātas 93,88 % apmērā no gada plānotās onkoloģisko pacientu aptveres, kas skaidrojama ar to, ka ārstniecības iestādēm bija nepieciešams adaptācijas periods, lai atpazītu gadījumus</w:t>
      </w:r>
      <w:r w:rsidRPr="001E2C89">
        <w:rPr>
          <w:rFonts w:ascii="Times New Roman" w:eastAsia="Times New Roman" w:hAnsi="Times New Roman" w:cs="Times New Roman"/>
          <w:color w:val="000000" w:themeColor="text1"/>
          <w:sz w:val="24"/>
          <w:szCs w:val="24"/>
        </w:rPr>
        <w:t>.</w:t>
      </w:r>
    </w:p>
    <w:p w:rsidR="00B40952" w:rsidRPr="001E2C89" w:rsidRDefault="00B40952" w:rsidP="001E2C89">
      <w:pPr>
        <w:spacing w:before="120" w:after="0" w:line="240" w:lineRule="auto"/>
        <w:jc w:val="both"/>
        <w:rPr>
          <w:rFonts w:ascii="Times New Roman" w:eastAsia="Times New Roman" w:hAnsi="Times New Roman" w:cs="Times New Roman"/>
          <w:color w:val="000000" w:themeColor="text1"/>
          <w:sz w:val="24"/>
          <w:szCs w:val="24"/>
          <w:u w:val="single"/>
        </w:rPr>
      </w:pPr>
      <w:r w:rsidRPr="001E2C89">
        <w:rPr>
          <w:rFonts w:ascii="Times New Roman" w:eastAsia="Times New Roman" w:hAnsi="Times New Roman" w:cs="Times New Roman"/>
          <w:color w:val="000000" w:themeColor="text1"/>
          <w:sz w:val="24"/>
          <w:szCs w:val="24"/>
          <w:u w:val="single"/>
        </w:rPr>
        <w:t>Kompensējamie medikamenti</w:t>
      </w:r>
    </w:p>
    <w:p w:rsidR="00B40952" w:rsidRPr="001E2C89" w:rsidRDefault="00B40952" w:rsidP="002121E4">
      <w:pPr>
        <w:spacing w:after="0" w:line="240" w:lineRule="auto"/>
        <w:ind w:firstLine="720"/>
        <w:contextualSpacing/>
        <w:jc w:val="both"/>
        <w:rPr>
          <w:rFonts w:ascii="Times New Roman" w:eastAsia="Times New Roman" w:hAnsi="Times New Roman" w:cs="Times New Roman"/>
          <w:color w:val="000000" w:themeColor="text1"/>
          <w:sz w:val="24"/>
          <w:szCs w:val="24"/>
        </w:rPr>
      </w:pPr>
      <w:r w:rsidRPr="001E2C89">
        <w:rPr>
          <w:rFonts w:ascii="Times New Roman" w:eastAsia="Times New Roman" w:hAnsi="Times New Roman" w:cs="Times New Roman"/>
          <w:color w:val="000000" w:themeColor="text1"/>
          <w:sz w:val="24"/>
          <w:szCs w:val="24"/>
        </w:rPr>
        <w:t xml:space="preserve">Onkoloģijas reformu ietvaros plānota onkoloģisko saslimšanu ārstēšana ārpus ambulatorām un stacionārām ārstniecības iestādēm, palielinot pieejamību pacientiem,  atbilstoši noteiktajiem algoritmiem, kompensējamo medikamentu saņemšanai.  </w:t>
      </w:r>
    </w:p>
    <w:p w:rsidR="00B40952" w:rsidRPr="001E2C89" w:rsidRDefault="00B40952" w:rsidP="002121E4">
      <w:pPr>
        <w:spacing w:after="0" w:line="240" w:lineRule="auto"/>
        <w:ind w:firstLine="720"/>
        <w:jc w:val="both"/>
        <w:rPr>
          <w:rFonts w:ascii="Times New Roman" w:eastAsia="Times New Roman" w:hAnsi="Times New Roman" w:cs="Times New Roman"/>
          <w:color w:val="000000" w:themeColor="text1"/>
          <w:sz w:val="24"/>
          <w:szCs w:val="24"/>
        </w:rPr>
      </w:pPr>
      <w:r w:rsidRPr="001E2C89">
        <w:rPr>
          <w:rFonts w:ascii="Times New Roman" w:eastAsia="Times New Roman" w:hAnsi="Times New Roman" w:cs="Times New Roman"/>
          <w:color w:val="000000" w:themeColor="text1"/>
          <w:sz w:val="24"/>
          <w:szCs w:val="24"/>
        </w:rPr>
        <w:t xml:space="preserve">2017.gadā plānots kompensējamo medikamentu pieaugums 4,4 tūkst. onkoloģijas pacientu, kas uzsākuši terapijas saņemšanu 2017.gadā. </w:t>
      </w:r>
    </w:p>
    <w:p w:rsidR="00B40952" w:rsidRPr="001E2C89" w:rsidRDefault="00B40952" w:rsidP="001E2C89">
      <w:pPr>
        <w:spacing w:before="120" w:after="0" w:line="240" w:lineRule="auto"/>
        <w:jc w:val="right"/>
        <w:rPr>
          <w:rFonts w:ascii="Times New Roman" w:eastAsia="Times New Roman" w:hAnsi="Times New Roman" w:cs="Times New Roman"/>
          <w:b/>
          <w:color w:val="414142"/>
          <w:sz w:val="24"/>
          <w:szCs w:val="24"/>
        </w:rPr>
      </w:pPr>
      <w:r w:rsidRPr="00BC5F6B">
        <w:rPr>
          <w:rFonts w:ascii="Times New Roman" w:eastAsia="Times New Roman" w:hAnsi="Times New Roman" w:cs="Times New Roman"/>
          <w:b/>
          <w:sz w:val="24"/>
          <w:szCs w:val="24"/>
        </w:rPr>
        <w:t>3.</w:t>
      </w:r>
      <w:r w:rsidR="00BC5F6B" w:rsidRPr="00BC5F6B">
        <w:rPr>
          <w:rFonts w:ascii="Times New Roman" w:eastAsia="Times New Roman" w:hAnsi="Times New Roman" w:cs="Times New Roman"/>
          <w:b/>
          <w:sz w:val="24"/>
          <w:szCs w:val="24"/>
        </w:rPr>
        <w:t>15</w:t>
      </w:r>
      <w:r w:rsidRPr="00BC5F6B">
        <w:rPr>
          <w:rFonts w:ascii="Times New Roman" w:eastAsia="Times New Roman" w:hAnsi="Times New Roman" w:cs="Times New Roman"/>
          <w:b/>
          <w:sz w:val="24"/>
          <w:szCs w:val="24"/>
        </w:rPr>
        <w:t>.tabula.</w:t>
      </w:r>
      <w:r w:rsidRPr="001E2C89">
        <w:rPr>
          <w:rFonts w:ascii="Times New Roman" w:eastAsia="Times New Roman" w:hAnsi="Times New Roman" w:cs="Times New Roman"/>
          <w:b/>
          <w:sz w:val="24"/>
          <w:szCs w:val="24"/>
        </w:rPr>
        <w:t xml:space="preserve"> </w:t>
      </w:r>
      <w:r w:rsidRPr="001E2C89">
        <w:rPr>
          <w:rFonts w:ascii="Times New Roman" w:eastAsia="Times New Roman" w:hAnsi="Times New Roman" w:cs="Times New Roman"/>
          <w:b/>
          <w:color w:val="000000"/>
          <w:sz w:val="24"/>
          <w:szCs w:val="24"/>
        </w:rPr>
        <w:t>Kompensējamo medikamentu izpilde</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276"/>
        <w:gridCol w:w="1330"/>
        <w:gridCol w:w="1296"/>
        <w:gridCol w:w="1397"/>
        <w:gridCol w:w="1417"/>
        <w:gridCol w:w="1296"/>
      </w:tblGrid>
      <w:tr w:rsidR="00B40952" w:rsidRPr="00533787" w:rsidTr="00C756E1">
        <w:trPr>
          <w:trHeight w:val="600"/>
          <w:jc w:val="center"/>
        </w:trPr>
        <w:tc>
          <w:tcPr>
            <w:tcW w:w="1784" w:type="dxa"/>
            <w:vMerge w:val="restart"/>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b/>
                <w:bCs/>
                <w:color w:val="000000"/>
                <w:sz w:val="20"/>
              </w:rPr>
            </w:pPr>
            <w:r w:rsidRPr="00533787">
              <w:rPr>
                <w:rFonts w:ascii="Times New Roman" w:eastAsia="Times New Roman" w:hAnsi="Times New Roman" w:cs="Times New Roman"/>
                <w:b/>
                <w:bCs/>
                <w:color w:val="000000"/>
                <w:sz w:val="20"/>
              </w:rPr>
              <w:t>Kompensējamie medikamenti</w:t>
            </w:r>
          </w:p>
        </w:tc>
        <w:tc>
          <w:tcPr>
            <w:tcW w:w="3902" w:type="dxa"/>
            <w:gridSpan w:val="3"/>
            <w:shd w:val="clear" w:color="auto" w:fill="C6D9F1"/>
            <w:vAlign w:val="center"/>
            <w:hideMark/>
          </w:tcPr>
          <w:p w:rsidR="00B40952" w:rsidRPr="00533787" w:rsidRDefault="00BC5F6B"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unikālo</w:t>
            </w:r>
            <w:r w:rsidR="00B40952" w:rsidRPr="00533787">
              <w:rPr>
                <w:rFonts w:ascii="Times New Roman" w:eastAsia="Times New Roman" w:hAnsi="Times New Roman" w:cs="Times New Roman"/>
                <w:color w:val="000000"/>
                <w:sz w:val="20"/>
              </w:rPr>
              <w:t xml:space="preserve"> onkoloģisko pacientu apjoms</w:t>
            </w:r>
          </w:p>
        </w:tc>
        <w:tc>
          <w:tcPr>
            <w:tcW w:w="4110" w:type="dxa"/>
            <w:gridSpan w:val="3"/>
            <w:shd w:val="clear" w:color="auto" w:fill="C6D9F1"/>
            <w:vAlign w:val="center"/>
            <w:hideMark/>
          </w:tcPr>
          <w:p w:rsidR="00B40952" w:rsidRPr="00533787" w:rsidRDefault="00BC5F6B"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Faktiskā izpilde unikālo onkoloģisko</w:t>
            </w:r>
            <w:r w:rsidR="00B40952" w:rsidRPr="00533787">
              <w:rPr>
                <w:rFonts w:ascii="Times New Roman" w:eastAsia="Times New Roman" w:hAnsi="Times New Roman" w:cs="Times New Roman"/>
                <w:color w:val="000000"/>
                <w:sz w:val="20"/>
              </w:rPr>
              <w:t xml:space="preserve"> pacientu apjomam</w:t>
            </w:r>
          </w:p>
        </w:tc>
      </w:tr>
      <w:tr w:rsidR="00B40952" w:rsidRPr="00533787" w:rsidTr="00C756E1">
        <w:trPr>
          <w:trHeight w:val="974"/>
          <w:jc w:val="center"/>
        </w:trPr>
        <w:tc>
          <w:tcPr>
            <w:tcW w:w="1784" w:type="dxa"/>
            <w:vMerge/>
            <w:shd w:val="clear" w:color="auto" w:fill="C6D9F1"/>
            <w:vAlign w:val="center"/>
            <w:hideMark/>
          </w:tcPr>
          <w:p w:rsidR="00B40952" w:rsidRPr="00533787" w:rsidRDefault="00B40952" w:rsidP="00BC5F6B">
            <w:pPr>
              <w:spacing w:after="0" w:line="240" w:lineRule="auto"/>
              <w:rPr>
                <w:rFonts w:ascii="Times New Roman" w:eastAsia="Times New Roman" w:hAnsi="Times New Roman" w:cs="Times New Roman"/>
                <w:b/>
                <w:bCs/>
                <w:color w:val="000000"/>
                <w:sz w:val="20"/>
              </w:rPr>
            </w:pPr>
          </w:p>
        </w:tc>
        <w:tc>
          <w:tcPr>
            <w:tcW w:w="1276"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Plānotais pacientu skaits gadā</w:t>
            </w:r>
          </w:p>
        </w:tc>
        <w:tc>
          <w:tcPr>
            <w:tcW w:w="1330" w:type="dxa"/>
            <w:shd w:val="clear" w:color="auto" w:fill="C6D9F1"/>
            <w:vAlign w:val="center"/>
            <w:hideMark/>
          </w:tcPr>
          <w:p w:rsidR="00B40952" w:rsidRPr="00533787" w:rsidRDefault="00B40952" w:rsidP="00533787">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296"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c>
          <w:tcPr>
            <w:tcW w:w="1397"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Pacientu skaita pieaugums 2017.gadā</w:t>
            </w:r>
          </w:p>
        </w:tc>
        <w:tc>
          <w:tcPr>
            <w:tcW w:w="1417"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Finansējums 2017.gadā </w:t>
            </w:r>
            <w:r w:rsidRPr="00533787">
              <w:rPr>
                <w:rFonts w:ascii="Times New Roman" w:eastAsia="Times New Roman" w:hAnsi="Times New Roman" w:cs="Times New Roman"/>
                <w:i/>
                <w:iCs/>
                <w:color w:val="000000"/>
                <w:sz w:val="20"/>
              </w:rPr>
              <w:t>euro</w:t>
            </w:r>
          </w:p>
        </w:tc>
        <w:tc>
          <w:tcPr>
            <w:tcW w:w="1296" w:type="dxa"/>
            <w:shd w:val="clear" w:color="auto" w:fill="C6D9F1"/>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 xml:space="preserve">Vidējā izmaksa 2017.gadā </w:t>
            </w:r>
            <w:r w:rsidRPr="00533787">
              <w:rPr>
                <w:rFonts w:ascii="Times New Roman" w:eastAsia="Times New Roman" w:hAnsi="Times New Roman" w:cs="Times New Roman"/>
                <w:i/>
                <w:iCs/>
                <w:color w:val="000000"/>
                <w:sz w:val="20"/>
              </w:rPr>
              <w:t>euro</w:t>
            </w:r>
          </w:p>
        </w:tc>
      </w:tr>
      <w:tr w:rsidR="00B40952" w:rsidRPr="00533787" w:rsidTr="00C756E1">
        <w:trPr>
          <w:trHeight w:val="915"/>
          <w:jc w:val="center"/>
        </w:trPr>
        <w:tc>
          <w:tcPr>
            <w:tcW w:w="1784" w:type="dxa"/>
            <w:shd w:val="clear" w:color="auto" w:fill="auto"/>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Onkoloģiskie pacienti atbilstoši noteiktajiem algoritmiem</w:t>
            </w:r>
          </w:p>
        </w:tc>
        <w:tc>
          <w:tcPr>
            <w:tcW w:w="1276"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4</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494</w:t>
            </w:r>
          </w:p>
        </w:tc>
        <w:tc>
          <w:tcPr>
            <w:tcW w:w="1330"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4</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978</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416</w:t>
            </w:r>
          </w:p>
        </w:tc>
        <w:tc>
          <w:tcPr>
            <w:tcW w:w="1296"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1</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107,79</w:t>
            </w:r>
          </w:p>
        </w:tc>
        <w:tc>
          <w:tcPr>
            <w:tcW w:w="1397"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7</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084</w:t>
            </w:r>
          </w:p>
        </w:tc>
        <w:tc>
          <w:tcPr>
            <w:tcW w:w="1417"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5</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043</w:t>
            </w:r>
            <w:r w:rsidR="002121E4" w:rsidRPr="00533787">
              <w:rPr>
                <w:rFonts w:ascii="Times New Roman" w:eastAsia="Times New Roman" w:hAnsi="Times New Roman" w:cs="Times New Roman"/>
                <w:color w:val="000000"/>
                <w:sz w:val="20"/>
              </w:rPr>
              <w:t> </w:t>
            </w:r>
            <w:r w:rsidRPr="00533787">
              <w:rPr>
                <w:rFonts w:ascii="Times New Roman" w:eastAsia="Times New Roman" w:hAnsi="Times New Roman" w:cs="Times New Roman"/>
                <w:color w:val="000000"/>
                <w:sz w:val="20"/>
              </w:rPr>
              <w:t>171</w:t>
            </w:r>
          </w:p>
        </w:tc>
        <w:tc>
          <w:tcPr>
            <w:tcW w:w="1296" w:type="dxa"/>
            <w:shd w:val="clear" w:color="auto" w:fill="auto"/>
            <w:noWrap/>
            <w:vAlign w:val="center"/>
            <w:hideMark/>
          </w:tcPr>
          <w:p w:rsidR="00B40952" w:rsidRPr="00533787" w:rsidRDefault="00B40952" w:rsidP="00BC5F6B">
            <w:pPr>
              <w:spacing w:after="0" w:line="240" w:lineRule="auto"/>
              <w:jc w:val="center"/>
              <w:rPr>
                <w:rFonts w:ascii="Times New Roman" w:eastAsia="Times New Roman" w:hAnsi="Times New Roman" w:cs="Times New Roman"/>
                <w:color w:val="000000"/>
                <w:sz w:val="20"/>
              </w:rPr>
            </w:pPr>
            <w:r w:rsidRPr="00533787">
              <w:rPr>
                <w:rFonts w:ascii="Times New Roman" w:eastAsia="Times New Roman" w:hAnsi="Times New Roman" w:cs="Times New Roman"/>
                <w:color w:val="000000"/>
                <w:sz w:val="20"/>
              </w:rPr>
              <w:t>711,91</w:t>
            </w:r>
          </w:p>
        </w:tc>
      </w:tr>
    </w:tbl>
    <w:p w:rsidR="00B40952" w:rsidRPr="00533787" w:rsidRDefault="00B40952" w:rsidP="002121E4">
      <w:pPr>
        <w:spacing w:line="240" w:lineRule="auto"/>
        <w:jc w:val="both"/>
        <w:rPr>
          <w:rFonts w:ascii="Times New Roman" w:eastAsia="Times New Roman" w:hAnsi="Times New Roman" w:cs="Times New Roman"/>
          <w:sz w:val="20"/>
        </w:rPr>
      </w:pPr>
      <w:r w:rsidRPr="00533787">
        <w:rPr>
          <w:rFonts w:ascii="Times New Roman" w:eastAsia="Times New Roman" w:hAnsi="Times New Roman" w:cs="Times New Roman"/>
          <w:i/>
          <w:sz w:val="20"/>
        </w:rPr>
        <w:t>Avots: NVD</w:t>
      </w:r>
    </w:p>
    <w:p w:rsidR="00B40952" w:rsidRPr="00B40952" w:rsidRDefault="00B40952" w:rsidP="002121E4">
      <w:pPr>
        <w:spacing w:after="0" w:line="240" w:lineRule="auto"/>
        <w:ind w:firstLine="720"/>
        <w:jc w:val="both"/>
        <w:rPr>
          <w:rFonts w:ascii="Times New Roman" w:eastAsia="Times New Roman" w:hAnsi="Times New Roman" w:cs="Times New Roman"/>
          <w:color w:val="000000"/>
          <w:sz w:val="24"/>
          <w:szCs w:val="24"/>
        </w:rPr>
      </w:pPr>
      <w:r w:rsidRPr="00B40952">
        <w:rPr>
          <w:rFonts w:ascii="Times New Roman" w:eastAsia="Times New Roman" w:hAnsi="Times New Roman" w:cs="Times New Roman"/>
          <w:sz w:val="24"/>
          <w:szCs w:val="24"/>
        </w:rPr>
        <w:lastRenderedPageBreak/>
        <w:t>Ņemot vērā to, ka papildus kompensējamiem medikamentiem tika pārdalīts finansējums no primārās diagnostikas algoritmu ieviešanas, tad atbilstoši 2017.gada faktiskajai izpildei vidējās kompensējamo medikamentu izmaksas unikālo o</w:t>
      </w:r>
      <w:r w:rsidRPr="00B40952">
        <w:rPr>
          <w:rFonts w:ascii="Times New Roman" w:eastAsia="Times New Roman" w:hAnsi="Times New Roman" w:cs="Times New Roman"/>
          <w:color w:val="000000"/>
          <w:sz w:val="24"/>
          <w:szCs w:val="24"/>
        </w:rPr>
        <w:t xml:space="preserve">nkoloģisko pacientu, atbilstoši noteiktajiem algoritmiem, pieaugumam īstenotas 101,3 % apmērā no gada plānoto vidējo izmaksu apjoma. Ņemot vērā to, ka 1.pusgadā terapiju uzsākušie pacienti turpināja terapiju arī 2.pusgadā, papildus tam nāca klāt jauni pacienti, tā rezultātā tika realizēts vidējo izmaksu samazinājums no gadā sākumā plānotā apmēra. </w:t>
      </w:r>
    </w:p>
    <w:p w:rsidR="00B40952" w:rsidRPr="00B40952" w:rsidRDefault="00D81AF8" w:rsidP="002121E4">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v-LV"/>
        </w:rPr>
        <w:pict>
          <v:shape id="Text Box 13" o:spid="_x0000_s1031" type="#_x0000_t202" style="position:absolute;left:0;text-align:left;margin-left:0;margin-top:55.25pt;width:464pt;height:53pt;z-index:25168179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rKJQIAAE0EAAAOAAAAZHJzL2Uyb0RvYy54bWysVNuO2yAQfa/Uf0C8N3ayyW5ixVlts01V&#10;aXuRdvsBGOMYFRgKJHb69R2wN01vL1X9gGaY4TBzDuP1ba8VOQrnJZiSTic5JcJwqKXZl/Tz0+7V&#10;khIfmKmZAiNKehKe3m5evlh3thAzaEHVwhEEMb7obEnbEGyRZZ63QjM/ASsMBhtwmgV03T6rHesQ&#10;XatslufXWQeutg648B5374cg3ST8phE8fGwaLwJRJcXaQlpdWqu4Zps1K/aO2VbysQz2D1VoJg1e&#10;eoa6Z4GRg5O/QWnJHXhowoSDzqBpJBepB+xmmv/SzWPLrEi9IDnenmny/w+Wfzh+ckTWqN0VJYZp&#10;1OhJ9IG8hp7gFvLTWV9g2qPFxNDjPuamXr19AP7FEwPblpm9uHMOulawGuubxpPZxdEBx0eQqnsP&#10;Nd7DDgESUN84HclDOgiio06nszaxFo6bi+VqtswxxDF2fXM1RTtewYrn09b58FaAJtEoqUPtEzo7&#10;PvgwpD6nxMs8KFnvpFLJcftqqxw5Mnwnu/SN6D+lKUO6kq4Ws8VAwF8h8vT9CULLgA9eSV1SbAe/&#10;mMSKSNsbUyc7MKkGG7tTZuQxUjeQGPqqT5Kd5amgPiGxDob3jfOIRgvuGyUdvu2S+q8H5gQl6p1B&#10;cVbT+TwOQ3Lmi5sZOu4yUl1GmOEIVdJAyWBuQxqgWLaBOxSxkYnfqPZQyVgyvtmk0DhfcSgu/ZT1&#10;4y+w+Q4AAP//AwBQSwMEFAAGAAgAAAAhADkUXbPeAAAACAEAAA8AAABkcnMvZG93bnJldi54bWxM&#10;j8FOwzAQRO9I/IO1SFwQdRJoSEOcCiGB6A0Kgqsbb5OIeB1sNw1/z3KC486MZt9U69kOYkIfekcK&#10;0kUCAqlxpqdWwdvrw2UBIkRNRg+OUME3BljXpyeVLo070gtO29gKLqFQagVdjGMpZWg6tDos3IjE&#10;3t55qyOfvpXG6yOX20FmSZJLq3viD50e8b7D5nN7sAqK66fpI2yunt+bfD+s4sXN9PjllTo/m+9u&#10;QUSc418YfvEZHWpm2rkDmSAGBTwkspomSxBsr7KClZ2CLM2XIOtK/h9Q/wAAAP//AwBQSwECLQAU&#10;AAYACAAAACEAtoM4kv4AAADhAQAAEwAAAAAAAAAAAAAAAAAAAAAAW0NvbnRlbnRfVHlwZXNdLnht&#10;bFBLAQItABQABgAIAAAAIQA4/SH/1gAAAJQBAAALAAAAAAAAAAAAAAAAAC8BAABfcmVscy8ucmVs&#10;c1BLAQItABQABgAIAAAAIQAZH6rKJQIAAE0EAAAOAAAAAAAAAAAAAAAAAC4CAABkcnMvZTJvRG9j&#10;LnhtbFBLAQItABQABgAIAAAAIQA5FF2z3gAAAAgBAAAPAAAAAAAAAAAAAAAAAH8EAABkcnMvZG93&#10;bnJldi54bWxQSwUGAAAAAAQABADzAAAAigUAAAAA&#10;">
            <v:textbox>
              <w:txbxContent>
                <w:p w:rsidR="00D81AF8" w:rsidRDefault="00D81AF8" w:rsidP="00B40952">
                  <w:pPr>
                    <w:autoSpaceDE w:val="0"/>
                    <w:autoSpaceDN w:val="0"/>
                    <w:adjustRightInd w:val="0"/>
                    <w:spacing w:line="293" w:lineRule="atLeast"/>
                    <w:ind w:firstLine="425"/>
                    <w:jc w:val="both"/>
                    <w:rPr>
                      <w:rFonts w:ascii="Times New Roman" w:hAnsi="Times New Roman"/>
                      <w:b/>
                      <w:bCs/>
                      <w:sz w:val="24"/>
                      <w:szCs w:val="24"/>
                    </w:rPr>
                  </w:pPr>
                  <w:r>
                    <w:rPr>
                      <w:rFonts w:ascii="Times New Roman" w:hAnsi="Times New Roman"/>
                      <w:b/>
                      <w:bCs/>
                      <w:sz w:val="24"/>
                      <w:szCs w:val="24"/>
                    </w:rPr>
                    <w:t>Secināms, ka atbalstoši 2017.gada izpildes datiem onkoloģijas rezultatīvie radītāji ir sasniegti un atsevišķos gadījumos pat pārsniegti, tādējādi īstenotie pasākumi tiks turpināti arī 2018.gadā.</w:t>
                  </w:r>
                </w:p>
                <w:p w:rsidR="00D81AF8" w:rsidRDefault="00D81AF8" w:rsidP="00B40952"/>
              </w:txbxContent>
            </v:textbox>
            <w10:wrap type="square" anchorx="margin"/>
          </v:shape>
        </w:pict>
      </w:r>
      <w:r w:rsidR="00B40952" w:rsidRPr="00B40952">
        <w:rPr>
          <w:rFonts w:ascii="Times New Roman" w:eastAsia="Times New Roman" w:hAnsi="Times New Roman" w:cs="Times New Roman"/>
          <w:color w:val="000000"/>
          <w:sz w:val="24"/>
          <w:szCs w:val="24"/>
        </w:rPr>
        <w:t>Jāatzīmē, ka kompensējamos medikamentus saņēmušo onkoloģisko pacientu tvērums sasniedza 157,63% no plānotā onkoloģisko pacientu skaita pieauguma gadā, kas daļēji tika finansēts arī no sistēmas iekšējiem resursiem.</w:t>
      </w:r>
    </w:p>
    <w:p w:rsidR="00B40952" w:rsidRPr="00B40952" w:rsidRDefault="00B40952" w:rsidP="00B40952">
      <w:pPr>
        <w:spacing w:after="0" w:line="240" w:lineRule="auto"/>
        <w:ind w:firstLine="720"/>
        <w:jc w:val="both"/>
        <w:rPr>
          <w:rFonts w:ascii="Times New Roman" w:eastAsia="Calibri" w:hAnsi="Times New Roman" w:cs="Times New Roman"/>
          <w:color w:val="000000"/>
          <w:sz w:val="24"/>
          <w:szCs w:val="24"/>
        </w:rPr>
      </w:pPr>
    </w:p>
    <w:p w:rsidR="00B40952" w:rsidRPr="00B40952" w:rsidRDefault="00B40952" w:rsidP="00F4636D">
      <w:pPr>
        <w:numPr>
          <w:ilvl w:val="0"/>
          <w:numId w:val="37"/>
        </w:numPr>
        <w:spacing w:after="120" w:line="240" w:lineRule="auto"/>
        <w:ind w:left="1077" w:hanging="357"/>
        <w:contextualSpacing/>
        <w:jc w:val="both"/>
        <w:rPr>
          <w:rFonts w:ascii="Times New Roman" w:eastAsia="Calibri" w:hAnsi="Times New Roman" w:cs="Times New Roman"/>
          <w:b/>
          <w:color w:val="000000"/>
          <w:sz w:val="24"/>
          <w:szCs w:val="24"/>
          <w:u w:val="single"/>
        </w:rPr>
      </w:pPr>
      <w:r w:rsidRPr="00B40952">
        <w:rPr>
          <w:rFonts w:ascii="Times New Roman" w:eastAsia="Calibri" w:hAnsi="Times New Roman" w:cs="Times New Roman"/>
          <w:b/>
          <w:color w:val="000000"/>
          <w:sz w:val="24"/>
          <w:szCs w:val="24"/>
          <w:u w:val="single"/>
        </w:rPr>
        <w:t>pasākums. Sekundārās ambulatorās aprūpes pieejamība</w:t>
      </w:r>
    </w:p>
    <w:p w:rsidR="00B40952" w:rsidRPr="00B40952" w:rsidRDefault="00B40952" w:rsidP="00533787">
      <w:pPr>
        <w:spacing w:before="24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Reformas rindu mazināšanai pie speciālistiem, uz diagnostiskajiem izmeklējumiem, dienas stacionārā un ambulatorajā rehabilitācijā uzsāktas no 2017.gada marta. Lai īstenotu plānoto rindu samazinājumu, Nacionālais veselības dienests noslēdza līgumus ar 262 ārstniecības iestādēm par valsts apmaksātu papildus veselības aprūpes pakalpojumu sniegšanu. </w:t>
      </w:r>
    </w:p>
    <w:p w:rsidR="00B40952" w:rsidRPr="00B40952" w:rsidRDefault="00B40952" w:rsidP="00BC5F6B">
      <w:pPr>
        <w:spacing w:after="0" w:line="240" w:lineRule="auto"/>
        <w:jc w:val="both"/>
        <w:rPr>
          <w:rFonts w:ascii="Times New Roman" w:eastAsia="Times New Roman" w:hAnsi="Times New Roman" w:cs="Times New Roman"/>
          <w:sz w:val="24"/>
          <w:szCs w:val="24"/>
          <w:u w:val="single"/>
        </w:rPr>
      </w:pPr>
      <w:r w:rsidRPr="00B40952">
        <w:rPr>
          <w:rFonts w:ascii="Times New Roman" w:eastAsia="Times New Roman" w:hAnsi="Times New Roman" w:cs="Times New Roman"/>
          <w:sz w:val="24"/>
          <w:szCs w:val="24"/>
          <w:u w:val="single"/>
        </w:rPr>
        <w:t>Speciālistu konsultācijas</w:t>
      </w:r>
    </w:p>
    <w:p w:rsidR="00B40952" w:rsidRPr="00B40952" w:rsidRDefault="00B40952" w:rsidP="00BC5F6B">
      <w:pPr>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Lai palielinātu pieejamību sekundāro ambulatoro veselības aprūpes pakalpojumu saņemšanā pēc ģimenes ārsta vai speciālista nosūtījuma, kā arī pieejamību bez nosūtījuma pie noteiktiem speciālistiem 2017.gadā tika plānots speciālistu konsultāciju pieaugums 270,2 tūkst. konsultāciju apmērā. </w:t>
      </w:r>
    </w:p>
    <w:p w:rsidR="00B40952" w:rsidRPr="00B40952" w:rsidRDefault="00B40952" w:rsidP="00BC5F6B">
      <w:pPr>
        <w:spacing w:after="0" w:line="240" w:lineRule="auto"/>
        <w:ind w:firstLine="720"/>
        <w:jc w:val="both"/>
        <w:rPr>
          <w:rFonts w:ascii="Times New Roman" w:eastAsia="Times New Roman" w:hAnsi="Times New Roman" w:cs="Times New Roman"/>
          <w:sz w:val="24"/>
          <w:szCs w:val="24"/>
        </w:rPr>
      </w:pPr>
    </w:p>
    <w:p w:rsidR="00B40952" w:rsidRPr="00B40952" w:rsidRDefault="00B40952" w:rsidP="002121E4">
      <w:pPr>
        <w:spacing w:after="0"/>
        <w:jc w:val="right"/>
        <w:rPr>
          <w:rFonts w:ascii="Times New Roman" w:eastAsia="Times New Roman" w:hAnsi="Times New Roman" w:cs="Times New Roman"/>
          <w:color w:val="000000"/>
          <w:sz w:val="24"/>
          <w:szCs w:val="24"/>
        </w:rPr>
      </w:pPr>
      <w:r w:rsidRPr="00BC5F6B">
        <w:rPr>
          <w:rFonts w:ascii="Times New Roman" w:eastAsia="Times New Roman" w:hAnsi="Times New Roman" w:cs="Times New Roman"/>
          <w:b/>
          <w:sz w:val="24"/>
          <w:szCs w:val="24"/>
        </w:rPr>
        <w:t>3.</w:t>
      </w:r>
      <w:r w:rsidR="00BC5F6B" w:rsidRPr="00BC5F6B">
        <w:rPr>
          <w:rFonts w:ascii="Times New Roman" w:eastAsia="Times New Roman" w:hAnsi="Times New Roman" w:cs="Times New Roman"/>
          <w:b/>
          <w:sz w:val="24"/>
          <w:szCs w:val="24"/>
        </w:rPr>
        <w:t>16</w:t>
      </w:r>
      <w:r w:rsidRPr="00BC5F6B">
        <w:rPr>
          <w:rFonts w:ascii="Times New Roman" w:eastAsia="Times New Roman" w:hAnsi="Times New Roman" w:cs="Times New Roman"/>
          <w:b/>
          <w:sz w:val="24"/>
          <w:szCs w:val="24"/>
        </w:rPr>
        <w:t xml:space="preserve">.tabula. </w:t>
      </w:r>
      <w:r w:rsidRPr="00B40952">
        <w:rPr>
          <w:rFonts w:ascii="Times New Roman" w:eastAsia="Times New Roman" w:hAnsi="Times New Roman" w:cs="Times New Roman"/>
          <w:b/>
          <w:color w:val="000000"/>
          <w:sz w:val="24"/>
          <w:szCs w:val="24"/>
        </w:rPr>
        <w:t>Speciālistu ambulatoro konsultāciju izpilde</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85"/>
        <w:gridCol w:w="770"/>
        <w:gridCol w:w="1134"/>
        <w:gridCol w:w="992"/>
        <w:gridCol w:w="709"/>
        <w:gridCol w:w="708"/>
        <w:gridCol w:w="851"/>
        <w:gridCol w:w="992"/>
        <w:gridCol w:w="851"/>
        <w:gridCol w:w="1134"/>
      </w:tblGrid>
      <w:tr w:rsidR="00B40952" w:rsidRPr="00B40952" w:rsidTr="002121E4">
        <w:trPr>
          <w:trHeight w:val="511"/>
          <w:jc w:val="center"/>
        </w:trPr>
        <w:tc>
          <w:tcPr>
            <w:tcW w:w="1134"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Speciālistu konsultācijas</w:t>
            </w:r>
          </w:p>
        </w:tc>
        <w:tc>
          <w:tcPr>
            <w:tcW w:w="785"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Vidējais plānotais konsultāciju skaits</w:t>
            </w:r>
          </w:p>
        </w:tc>
        <w:tc>
          <w:tcPr>
            <w:tcW w:w="770"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Faktiskais konsultāciju skaits 2017.gadā</w:t>
            </w:r>
          </w:p>
        </w:tc>
        <w:tc>
          <w:tcPr>
            <w:tcW w:w="1134"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Plānotais finansējums  </w:t>
            </w:r>
            <w:r w:rsidRPr="00B40952">
              <w:rPr>
                <w:rFonts w:ascii="Times New Roman" w:eastAsia="Times New Roman" w:hAnsi="Times New Roman" w:cs="Times New Roman"/>
                <w:i/>
                <w:iCs/>
                <w:color w:val="000000"/>
                <w:sz w:val="16"/>
                <w:szCs w:val="16"/>
              </w:rPr>
              <w:t>euro</w:t>
            </w:r>
          </w:p>
        </w:tc>
        <w:tc>
          <w:tcPr>
            <w:tcW w:w="992"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Finanšu izlietojums 2017.gadā </w:t>
            </w:r>
            <w:r w:rsidRPr="00B40952">
              <w:rPr>
                <w:rFonts w:ascii="Times New Roman" w:eastAsia="Times New Roman" w:hAnsi="Times New Roman" w:cs="Times New Roman"/>
                <w:i/>
                <w:iCs/>
                <w:color w:val="000000"/>
                <w:sz w:val="16"/>
                <w:szCs w:val="16"/>
              </w:rPr>
              <w:t>euro</w:t>
            </w:r>
          </w:p>
        </w:tc>
        <w:tc>
          <w:tcPr>
            <w:tcW w:w="2268" w:type="dxa"/>
            <w:gridSpan w:val="3"/>
            <w:shd w:val="clear" w:color="auto" w:fill="C6D9F1"/>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Vidējais rindu garums dienās</w:t>
            </w:r>
          </w:p>
        </w:tc>
        <w:tc>
          <w:tcPr>
            <w:tcW w:w="992"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2017.gadā %</w:t>
            </w:r>
          </w:p>
        </w:tc>
        <w:tc>
          <w:tcPr>
            <w:tcW w:w="851"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Rindas garums  ar pacientu uzvedības maiņu 2017.gadā</w:t>
            </w:r>
          </w:p>
        </w:tc>
        <w:tc>
          <w:tcPr>
            <w:tcW w:w="1134"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sz w:val="16"/>
                <w:szCs w:val="16"/>
              </w:rPr>
            </w:pPr>
            <w:r w:rsidRPr="00B40952">
              <w:rPr>
                <w:rFonts w:ascii="Times New Roman" w:eastAsia="Times New Roman" w:hAnsi="Times New Roman" w:cs="Times New Roman"/>
                <w:sz w:val="16"/>
                <w:szCs w:val="16"/>
              </w:rPr>
              <w:t>Rindu samazinājums ar pacientu uzvedības maiņu 2017.gadā</w:t>
            </w:r>
          </w:p>
        </w:tc>
      </w:tr>
      <w:tr w:rsidR="00B40952" w:rsidRPr="00B40952" w:rsidTr="002121E4">
        <w:trPr>
          <w:cantSplit/>
          <w:trHeight w:val="1134"/>
          <w:jc w:val="center"/>
        </w:trPr>
        <w:tc>
          <w:tcPr>
            <w:tcW w:w="1134" w:type="dxa"/>
            <w:vMerge/>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785" w:type="dxa"/>
            <w:vMerge/>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770" w:type="dxa"/>
            <w:vMerge/>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1134" w:type="dxa"/>
            <w:vMerge/>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992" w:type="dxa"/>
            <w:vMerge/>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709"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Pirms reformu īstenošanas</w:t>
            </w:r>
          </w:p>
        </w:tc>
        <w:tc>
          <w:tcPr>
            <w:tcW w:w="708"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Uz 2018.gada 1.janvāri</w:t>
            </w:r>
          </w:p>
        </w:tc>
        <w:tc>
          <w:tcPr>
            <w:tcW w:w="851"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2017.gadā</w:t>
            </w:r>
          </w:p>
        </w:tc>
        <w:tc>
          <w:tcPr>
            <w:tcW w:w="992" w:type="dxa"/>
            <w:vMerge/>
            <w:shd w:val="clear" w:color="000000" w:fill="FCE4D6"/>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851" w:type="dxa"/>
            <w:vMerge/>
            <w:shd w:val="clear" w:color="000000" w:fill="FCE4D6"/>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1134" w:type="dxa"/>
            <w:vMerge/>
            <w:shd w:val="clear" w:color="000000" w:fill="FCE4D6"/>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r>
      <w:tr w:rsidR="00B40952" w:rsidRPr="00B40952" w:rsidTr="002121E4">
        <w:trPr>
          <w:trHeight w:val="306"/>
          <w:jc w:val="center"/>
        </w:trPr>
        <w:tc>
          <w:tcPr>
            <w:tcW w:w="1134"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Ārstniecības iestādes</w:t>
            </w:r>
          </w:p>
        </w:tc>
        <w:tc>
          <w:tcPr>
            <w:tcW w:w="785" w:type="dxa"/>
            <w:shd w:val="clear" w:color="auto" w:fill="FFFFFF"/>
            <w:noWrap/>
            <w:vAlign w:val="center"/>
            <w:hideMark/>
          </w:tcPr>
          <w:p w:rsidR="00B40952" w:rsidRPr="00533787" w:rsidRDefault="00B40952" w:rsidP="00BC5F6B">
            <w:pPr>
              <w:spacing w:after="0"/>
              <w:jc w:val="center"/>
              <w:rPr>
                <w:rFonts w:ascii="Times New Roman" w:eastAsia="Times New Roman" w:hAnsi="Times New Roman" w:cs="Times New Roman"/>
                <w:sz w:val="16"/>
                <w:szCs w:val="16"/>
              </w:rPr>
            </w:pPr>
            <w:r w:rsidRPr="00533787">
              <w:rPr>
                <w:rFonts w:ascii="Times New Roman" w:eastAsia="Times New Roman" w:hAnsi="Times New Roman" w:cs="Times New Roman"/>
                <w:sz w:val="16"/>
                <w:szCs w:val="16"/>
              </w:rPr>
              <w:t>270</w:t>
            </w:r>
            <w:r w:rsidR="00BC5F6B" w:rsidRPr="00533787">
              <w:rPr>
                <w:rFonts w:ascii="Times New Roman" w:eastAsia="Times New Roman" w:hAnsi="Times New Roman" w:cs="Times New Roman"/>
                <w:sz w:val="16"/>
                <w:szCs w:val="16"/>
              </w:rPr>
              <w:t> </w:t>
            </w:r>
            <w:r w:rsidRPr="00533787">
              <w:rPr>
                <w:rFonts w:ascii="Times New Roman" w:eastAsia="Times New Roman" w:hAnsi="Times New Roman" w:cs="Times New Roman"/>
                <w:sz w:val="16"/>
                <w:szCs w:val="16"/>
              </w:rPr>
              <w:t>246</w:t>
            </w:r>
          </w:p>
        </w:tc>
        <w:tc>
          <w:tcPr>
            <w:tcW w:w="770" w:type="dxa"/>
            <w:shd w:val="clear" w:color="auto" w:fill="FFFFFF"/>
            <w:vAlign w:val="center"/>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177</w:t>
            </w:r>
            <w:r w:rsidR="00BC5F6B" w:rsidRPr="00533787">
              <w:rPr>
                <w:rFonts w:ascii="Times New Roman" w:eastAsia="Times New Roman" w:hAnsi="Times New Roman" w:cs="Times New Roman"/>
                <w:sz w:val="16"/>
                <w:szCs w:val="16"/>
              </w:rPr>
              <w:t> </w:t>
            </w:r>
            <w:r w:rsidRPr="00533787">
              <w:rPr>
                <w:rFonts w:ascii="Times New Roman" w:eastAsia="Times New Roman" w:hAnsi="Times New Roman" w:cs="Times New Roman"/>
                <w:color w:val="000000"/>
                <w:sz w:val="16"/>
                <w:szCs w:val="16"/>
              </w:rPr>
              <w:t>317</w:t>
            </w:r>
          </w:p>
        </w:tc>
        <w:tc>
          <w:tcPr>
            <w:tcW w:w="1134" w:type="dxa"/>
            <w:shd w:val="clear" w:color="auto" w:fill="FFFFFF"/>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3</w:t>
            </w:r>
            <w:r w:rsidR="00BC5F6B" w:rsidRPr="00533787">
              <w:rPr>
                <w:rFonts w:ascii="Times New Roman" w:eastAsia="Times New Roman" w:hAnsi="Times New Roman" w:cs="Times New Roman"/>
                <w:sz w:val="16"/>
                <w:szCs w:val="16"/>
              </w:rPr>
              <w:t> </w:t>
            </w:r>
            <w:r w:rsidRPr="00533787">
              <w:rPr>
                <w:rFonts w:ascii="Times New Roman" w:eastAsia="Times New Roman" w:hAnsi="Times New Roman" w:cs="Times New Roman"/>
                <w:color w:val="000000"/>
                <w:sz w:val="16"/>
                <w:szCs w:val="16"/>
              </w:rPr>
              <w:t>386</w:t>
            </w:r>
            <w:r w:rsidR="00BC5F6B" w:rsidRPr="00533787">
              <w:rPr>
                <w:rFonts w:ascii="Times New Roman" w:eastAsia="Times New Roman" w:hAnsi="Times New Roman" w:cs="Times New Roman"/>
                <w:sz w:val="16"/>
                <w:szCs w:val="16"/>
              </w:rPr>
              <w:t> </w:t>
            </w:r>
            <w:r w:rsidRPr="00533787">
              <w:rPr>
                <w:rFonts w:ascii="Times New Roman" w:eastAsia="Times New Roman" w:hAnsi="Times New Roman" w:cs="Times New Roman"/>
                <w:color w:val="000000"/>
                <w:sz w:val="16"/>
                <w:szCs w:val="16"/>
              </w:rPr>
              <w:t>187</w:t>
            </w:r>
          </w:p>
        </w:tc>
        <w:tc>
          <w:tcPr>
            <w:tcW w:w="992" w:type="dxa"/>
            <w:shd w:val="clear" w:color="auto" w:fill="FFFFFF"/>
            <w:noWrap/>
            <w:vAlign w:val="center"/>
            <w:hideMark/>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3</w:t>
            </w:r>
            <w:r w:rsidR="00BC5F6B" w:rsidRPr="00533787">
              <w:rPr>
                <w:rFonts w:ascii="Times New Roman" w:eastAsia="Times New Roman" w:hAnsi="Times New Roman" w:cs="Times New Roman"/>
                <w:sz w:val="16"/>
                <w:szCs w:val="16"/>
              </w:rPr>
              <w:t> </w:t>
            </w:r>
            <w:r w:rsidRPr="00533787">
              <w:rPr>
                <w:rFonts w:ascii="Times New Roman" w:eastAsia="Times New Roman" w:hAnsi="Times New Roman" w:cs="Times New Roman"/>
                <w:color w:val="000000"/>
                <w:sz w:val="16"/>
                <w:szCs w:val="16"/>
              </w:rPr>
              <w:t>288</w:t>
            </w:r>
            <w:r w:rsidR="00BC5F6B" w:rsidRPr="00533787">
              <w:rPr>
                <w:rFonts w:ascii="Times New Roman" w:eastAsia="Times New Roman" w:hAnsi="Times New Roman" w:cs="Times New Roman"/>
                <w:sz w:val="16"/>
                <w:szCs w:val="16"/>
              </w:rPr>
              <w:t> </w:t>
            </w:r>
            <w:r w:rsidRPr="00533787">
              <w:rPr>
                <w:rFonts w:ascii="Times New Roman" w:eastAsia="Times New Roman" w:hAnsi="Times New Roman" w:cs="Times New Roman"/>
                <w:color w:val="000000"/>
                <w:sz w:val="16"/>
                <w:szCs w:val="16"/>
              </w:rPr>
              <w:t>372</w:t>
            </w:r>
          </w:p>
        </w:tc>
        <w:tc>
          <w:tcPr>
            <w:tcW w:w="709" w:type="dxa"/>
            <w:shd w:val="clear" w:color="auto" w:fill="FFFFFF"/>
            <w:vAlign w:val="center"/>
            <w:hideMark/>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100,48</w:t>
            </w:r>
          </w:p>
        </w:tc>
        <w:tc>
          <w:tcPr>
            <w:tcW w:w="708" w:type="dxa"/>
            <w:shd w:val="clear" w:color="auto" w:fill="FFFFFF"/>
            <w:vAlign w:val="center"/>
            <w:hideMark/>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58,23</w:t>
            </w:r>
          </w:p>
        </w:tc>
        <w:tc>
          <w:tcPr>
            <w:tcW w:w="851" w:type="dxa"/>
            <w:shd w:val="clear" w:color="auto" w:fill="FFFFFF"/>
            <w:vAlign w:val="center"/>
            <w:hideMark/>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42,25</w:t>
            </w:r>
          </w:p>
        </w:tc>
        <w:tc>
          <w:tcPr>
            <w:tcW w:w="992" w:type="dxa"/>
            <w:shd w:val="clear" w:color="auto" w:fill="FFFFFF"/>
            <w:vAlign w:val="center"/>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42,05</w:t>
            </w:r>
          </w:p>
        </w:tc>
        <w:tc>
          <w:tcPr>
            <w:tcW w:w="851" w:type="dxa"/>
            <w:shd w:val="clear" w:color="auto" w:fill="FFFFFF"/>
            <w:vAlign w:val="center"/>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50,13</w:t>
            </w:r>
          </w:p>
        </w:tc>
        <w:tc>
          <w:tcPr>
            <w:tcW w:w="1134" w:type="dxa"/>
            <w:shd w:val="clear" w:color="auto" w:fill="FFFFFF"/>
            <w:vAlign w:val="center"/>
          </w:tcPr>
          <w:p w:rsidR="00B40952" w:rsidRPr="00533787" w:rsidRDefault="00B40952" w:rsidP="002121E4">
            <w:pPr>
              <w:spacing w:after="0"/>
              <w:jc w:val="center"/>
              <w:rPr>
                <w:rFonts w:ascii="Times New Roman" w:eastAsia="Times New Roman" w:hAnsi="Times New Roman" w:cs="Times New Roman"/>
                <w:color w:val="000000"/>
                <w:sz w:val="16"/>
                <w:szCs w:val="16"/>
              </w:rPr>
            </w:pPr>
            <w:r w:rsidRPr="00533787">
              <w:rPr>
                <w:rFonts w:ascii="Times New Roman" w:eastAsia="Times New Roman" w:hAnsi="Times New Roman" w:cs="Times New Roman"/>
                <w:color w:val="000000"/>
                <w:sz w:val="16"/>
                <w:szCs w:val="16"/>
              </w:rPr>
              <w:t>50,35</w:t>
            </w:r>
          </w:p>
        </w:tc>
      </w:tr>
    </w:tbl>
    <w:p w:rsidR="00B40952" w:rsidRPr="00B40952" w:rsidRDefault="00B40952" w:rsidP="00B40952">
      <w:pPr>
        <w:autoSpaceDE w:val="0"/>
        <w:autoSpaceDN w:val="0"/>
        <w:adjustRightInd w:val="0"/>
        <w:spacing w:after="0" w:line="293" w:lineRule="atLeast"/>
        <w:jc w:val="both"/>
        <w:rPr>
          <w:rFonts w:ascii="Times New Roman" w:eastAsia="Times New Roman" w:hAnsi="Times New Roman" w:cs="Times New Roman"/>
          <w:i/>
          <w:sz w:val="16"/>
          <w:szCs w:val="16"/>
        </w:rPr>
      </w:pPr>
      <w:r w:rsidRPr="00B40952">
        <w:rPr>
          <w:rFonts w:ascii="Times New Roman" w:eastAsia="Times New Roman" w:hAnsi="Times New Roman" w:cs="Times New Roman"/>
          <w:i/>
          <w:sz w:val="16"/>
          <w:szCs w:val="16"/>
        </w:rPr>
        <w:t>Avots: NVD</w:t>
      </w:r>
    </w:p>
    <w:p w:rsidR="00B40952" w:rsidRPr="00B40952" w:rsidRDefault="00B40952" w:rsidP="00B40952">
      <w:pPr>
        <w:spacing w:after="0"/>
        <w:ind w:firstLine="720"/>
        <w:jc w:val="right"/>
        <w:rPr>
          <w:rFonts w:ascii="Times New Roman" w:eastAsia="Times New Roman" w:hAnsi="Times New Roman" w:cs="Times New Roman"/>
          <w:i/>
          <w:sz w:val="16"/>
          <w:szCs w:val="16"/>
        </w:rPr>
      </w:pPr>
    </w:p>
    <w:p w:rsidR="00B40952" w:rsidRPr="00B40952" w:rsidRDefault="00B40952" w:rsidP="002121E4">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Atbilstoši 2017.gada faktiskajai izpildei, speciālistu konsultāciju pieaugums īstenots 65,61% apmērā no gada plānotā konsultāciju pieauguma apjoma. Līdz ar minēto secināms, ka laika periodā no 2017.gada marta līdz decembrim rindu samazinājums nodrošināts ārstniecības iestāžu iespēju robežās, atbilstoši pieejamiem speciālistu resursiem, vidēji samazinot rindu garumu uz speciālistu pakalpojumiem par 42,05%. Vienlaicīgi jāmin, ka katrā ārstniecības iestādē un pakalpojuma veidā rindu samazinājuma dinamika ir atšķirīga.</w:t>
      </w:r>
    </w:p>
    <w:p w:rsidR="00B40952" w:rsidRPr="00B40952" w:rsidRDefault="00B40952" w:rsidP="002121E4">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2017.gadā laikā novērots, ka rindu garumu ir iespējams mazināt ārstniecības iestādēs, kur bija pieejami attiecīgie speciālistu resursi, bet atsevišķu specialitāšu apgrūtināta </w:t>
      </w:r>
      <w:r w:rsidRPr="00B40952">
        <w:rPr>
          <w:rFonts w:ascii="Times New Roman" w:eastAsia="Times New Roman" w:hAnsi="Times New Roman" w:cs="Times New Roman"/>
          <w:sz w:val="24"/>
          <w:szCs w:val="24"/>
        </w:rPr>
        <w:lastRenderedPageBreak/>
        <w:t>pieejamība joprojām ir saglabājusies un to nosaka ierobežo speciālistu skaits, kas sniedz konsultācijas.</w:t>
      </w:r>
    </w:p>
    <w:p w:rsidR="00B40952" w:rsidRPr="00BC5F6B" w:rsidRDefault="00B40952" w:rsidP="00685E75">
      <w:pPr>
        <w:autoSpaceDE w:val="0"/>
        <w:autoSpaceDN w:val="0"/>
        <w:adjustRightInd w:val="0"/>
        <w:spacing w:before="120" w:after="0" w:line="240" w:lineRule="auto"/>
        <w:jc w:val="both"/>
        <w:rPr>
          <w:rFonts w:ascii="Times New Roman" w:eastAsia="Times New Roman" w:hAnsi="Times New Roman" w:cs="Times New Roman"/>
          <w:sz w:val="24"/>
          <w:szCs w:val="24"/>
          <w:u w:val="single"/>
          <w:lang w:bidi="lo-LA"/>
        </w:rPr>
      </w:pPr>
      <w:r w:rsidRPr="00BC5F6B">
        <w:rPr>
          <w:rFonts w:ascii="Times New Roman" w:eastAsia="Times New Roman" w:hAnsi="Times New Roman" w:cs="Times New Roman"/>
          <w:sz w:val="24"/>
          <w:szCs w:val="24"/>
          <w:u w:val="single"/>
          <w:lang w:bidi="lo-LA"/>
        </w:rPr>
        <w:t>Ambulatorie izmeklējumi</w:t>
      </w:r>
    </w:p>
    <w:p w:rsidR="00B40952" w:rsidRPr="00B40952" w:rsidRDefault="00B40952" w:rsidP="002121E4">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Ambulatorie izmeklējumi ir viens no svarīgākajiem ārstēšanas procesiem slimību un to izmaiņu diagnosticēšanai un to norises uzraudzībai. Lai palielinātu pacientu pieejamību minēto valsts apmaksāto ambulatoro izmeklējumu saņemšanai 2017.gadā bija plānots pakalpojuma apjoma pieaugums par 328 tūkstošiem pakalpojumu. </w:t>
      </w:r>
    </w:p>
    <w:p w:rsidR="00B40952" w:rsidRPr="00B40952" w:rsidRDefault="00B40952" w:rsidP="00685E75">
      <w:pPr>
        <w:spacing w:before="120" w:after="0"/>
        <w:jc w:val="right"/>
        <w:rPr>
          <w:rFonts w:ascii="Times New Roman" w:eastAsia="Times New Roman" w:hAnsi="Times New Roman" w:cs="Times New Roman"/>
          <w:color w:val="414142"/>
          <w:sz w:val="24"/>
          <w:szCs w:val="24"/>
        </w:rPr>
      </w:pPr>
      <w:r w:rsidRPr="00BC5F6B">
        <w:rPr>
          <w:rFonts w:ascii="Times New Roman" w:eastAsia="Times New Roman" w:hAnsi="Times New Roman" w:cs="Times New Roman"/>
          <w:b/>
          <w:sz w:val="24"/>
          <w:szCs w:val="24"/>
        </w:rPr>
        <w:t>3.</w:t>
      </w:r>
      <w:r w:rsidR="00BC5F6B" w:rsidRPr="00BC5F6B">
        <w:rPr>
          <w:rFonts w:ascii="Times New Roman" w:eastAsia="Times New Roman" w:hAnsi="Times New Roman" w:cs="Times New Roman"/>
          <w:b/>
          <w:sz w:val="24"/>
          <w:szCs w:val="24"/>
        </w:rPr>
        <w:t>17</w:t>
      </w:r>
      <w:r w:rsidRPr="00BC5F6B">
        <w:rPr>
          <w:rFonts w:ascii="Times New Roman" w:eastAsia="Times New Roman" w:hAnsi="Times New Roman" w:cs="Times New Roman"/>
          <w:b/>
          <w:sz w:val="24"/>
          <w:szCs w:val="24"/>
        </w:rPr>
        <w:t xml:space="preserve">.tabula. </w:t>
      </w:r>
      <w:r w:rsidRPr="001E2C89">
        <w:rPr>
          <w:rFonts w:ascii="Times New Roman" w:eastAsia="Times New Roman" w:hAnsi="Times New Roman" w:cs="Times New Roman"/>
          <w:b/>
          <w:sz w:val="24"/>
          <w:szCs w:val="24"/>
          <w:lang w:bidi="lo-LA"/>
        </w:rPr>
        <w:t>Veikto izmeklējumu 2017.gada izpilde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814"/>
        <w:gridCol w:w="989"/>
        <w:gridCol w:w="993"/>
        <w:gridCol w:w="992"/>
        <w:gridCol w:w="848"/>
        <w:gridCol w:w="581"/>
        <w:gridCol w:w="840"/>
        <w:gridCol w:w="709"/>
        <w:gridCol w:w="850"/>
        <w:gridCol w:w="1134"/>
      </w:tblGrid>
      <w:tr w:rsidR="00B40952" w:rsidRPr="00B40952" w:rsidTr="002121E4">
        <w:trPr>
          <w:trHeight w:val="290"/>
          <w:jc w:val="center"/>
        </w:trPr>
        <w:tc>
          <w:tcPr>
            <w:tcW w:w="1026"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Ambulatorie izmeklējumi</w:t>
            </w:r>
          </w:p>
        </w:tc>
        <w:tc>
          <w:tcPr>
            <w:tcW w:w="814"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Vidējais plānotais izmeklējumu skaits</w:t>
            </w:r>
          </w:p>
        </w:tc>
        <w:tc>
          <w:tcPr>
            <w:tcW w:w="989"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Faktiskais izmeklējumu skaits 2017.gadā</w:t>
            </w:r>
          </w:p>
        </w:tc>
        <w:tc>
          <w:tcPr>
            <w:tcW w:w="993"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Plānotais finansējums  </w:t>
            </w:r>
            <w:r w:rsidRPr="00B40952">
              <w:rPr>
                <w:rFonts w:ascii="Times New Roman" w:eastAsia="Times New Roman" w:hAnsi="Times New Roman" w:cs="Times New Roman"/>
                <w:i/>
                <w:iCs/>
                <w:color w:val="000000"/>
                <w:sz w:val="16"/>
                <w:szCs w:val="16"/>
              </w:rPr>
              <w:t>euro</w:t>
            </w:r>
          </w:p>
        </w:tc>
        <w:tc>
          <w:tcPr>
            <w:tcW w:w="992"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Finanšu izlietojums 2017.gadā </w:t>
            </w:r>
            <w:r w:rsidRPr="00B40952">
              <w:rPr>
                <w:rFonts w:ascii="Times New Roman" w:eastAsia="Times New Roman" w:hAnsi="Times New Roman" w:cs="Times New Roman"/>
                <w:i/>
                <w:iCs/>
                <w:color w:val="000000"/>
                <w:sz w:val="16"/>
                <w:szCs w:val="16"/>
              </w:rPr>
              <w:t>euro</w:t>
            </w:r>
          </w:p>
        </w:tc>
        <w:tc>
          <w:tcPr>
            <w:tcW w:w="2269" w:type="dxa"/>
            <w:gridSpan w:val="3"/>
            <w:shd w:val="clear" w:color="auto" w:fill="C6D9F1"/>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Vidējais rindu garums dienās</w:t>
            </w:r>
          </w:p>
        </w:tc>
        <w:tc>
          <w:tcPr>
            <w:tcW w:w="709"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2017.gadā %</w:t>
            </w:r>
          </w:p>
        </w:tc>
        <w:tc>
          <w:tcPr>
            <w:tcW w:w="850"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Rindas garums  ar pacientu uzvedības maiņu 2017.gadā</w:t>
            </w:r>
          </w:p>
        </w:tc>
        <w:tc>
          <w:tcPr>
            <w:tcW w:w="1134"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ar pacientu uzvedības maiņu 2017.gadā</w:t>
            </w:r>
          </w:p>
        </w:tc>
      </w:tr>
      <w:tr w:rsidR="00B40952" w:rsidRPr="00B40952" w:rsidTr="002121E4">
        <w:trPr>
          <w:cantSplit/>
          <w:trHeight w:val="1134"/>
          <w:jc w:val="center"/>
        </w:trPr>
        <w:tc>
          <w:tcPr>
            <w:tcW w:w="1026" w:type="dxa"/>
            <w:vMerge/>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814" w:type="dxa"/>
            <w:vMerge/>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989" w:type="dxa"/>
            <w:vMerge/>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993" w:type="dxa"/>
            <w:vMerge/>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992" w:type="dxa"/>
            <w:vMerge/>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848"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Pirms reformu īstenošanas</w:t>
            </w:r>
          </w:p>
        </w:tc>
        <w:tc>
          <w:tcPr>
            <w:tcW w:w="581"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Uz 2018.gada 1.janvāri</w:t>
            </w:r>
          </w:p>
        </w:tc>
        <w:tc>
          <w:tcPr>
            <w:tcW w:w="840"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2017.gadā</w:t>
            </w:r>
          </w:p>
        </w:tc>
        <w:tc>
          <w:tcPr>
            <w:tcW w:w="709" w:type="dxa"/>
            <w:vMerge/>
            <w:shd w:val="clear" w:color="000000" w:fill="FCE4D6"/>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850" w:type="dxa"/>
            <w:vMerge/>
            <w:shd w:val="clear" w:color="000000" w:fill="FCE4D6"/>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1134" w:type="dxa"/>
            <w:vMerge/>
            <w:shd w:val="clear" w:color="000000" w:fill="FCE4D6"/>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r>
      <w:tr w:rsidR="00B40952" w:rsidRPr="00B40952" w:rsidTr="002121E4">
        <w:trPr>
          <w:trHeight w:val="290"/>
          <w:jc w:val="center"/>
        </w:trPr>
        <w:tc>
          <w:tcPr>
            <w:tcW w:w="1026"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Ārstniecības iestādes</w:t>
            </w:r>
          </w:p>
        </w:tc>
        <w:tc>
          <w:tcPr>
            <w:tcW w:w="814"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sz w:val="16"/>
                <w:szCs w:val="16"/>
              </w:rPr>
            </w:pPr>
            <w:r w:rsidRPr="00B40952">
              <w:rPr>
                <w:rFonts w:ascii="Times New Roman" w:eastAsia="Times New Roman" w:hAnsi="Times New Roman" w:cs="Times New Roman"/>
                <w:sz w:val="16"/>
                <w:szCs w:val="16"/>
              </w:rPr>
              <w:t>328</w:t>
            </w:r>
            <w:r w:rsidR="002121E4">
              <w:rPr>
                <w:rFonts w:ascii="Times New Roman" w:eastAsia="Times New Roman" w:hAnsi="Times New Roman" w:cs="Times New Roman"/>
                <w:color w:val="000000"/>
              </w:rPr>
              <w:t> </w:t>
            </w:r>
            <w:r w:rsidRPr="00B40952">
              <w:rPr>
                <w:rFonts w:ascii="Times New Roman" w:eastAsia="Times New Roman" w:hAnsi="Times New Roman" w:cs="Times New Roman"/>
                <w:sz w:val="16"/>
                <w:szCs w:val="16"/>
              </w:rPr>
              <w:t>076</w:t>
            </w:r>
          </w:p>
        </w:tc>
        <w:tc>
          <w:tcPr>
            <w:tcW w:w="989" w:type="dxa"/>
            <w:shd w:val="clear" w:color="auto" w:fill="FFFFFF"/>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300</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856</w:t>
            </w:r>
          </w:p>
        </w:tc>
        <w:tc>
          <w:tcPr>
            <w:tcW w:w="993"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7</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541</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491</w:t>
            </w:r>
          </w:p>
        </w:tc>
        <w:tc>
          <w:tcPr>
            <w:tcW w:w="992"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7</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557</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039</w:t>
            </w:r>
          </w:p>
        </w:tc>
        <w:tc>
          <w:tcPr>
            <w:tcW w:w="848" w:type="dxa"/>
            <w:shd w:val="clear" w:color="auto" w:fill="FFFFFF"/>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40,39</w:t>
            </w:r>
          </w:p>
        </w:tc>
        <w:tc>
          <w:tcPr>
            <w:tcW w:w="581" w:type="dxa"/>
            <w:shd w:val="clear" w:color="auto" w:fill="FFFFFF"/>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27,10</w:t>
            </w:r>
          </w:p>
        </w:tc>
        <w:tc>
          <w:tcPr>
            <w:tcW w:w="840" w:type="dxa"/>
            <w:shd w:val="clear" w:color="auto" w:fill="FFFFFF"/>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13,29</w:t>
            </w:r>
          </w:p>
        </w:tc>
        <w:tc>
          <w:tcPr>
            <w:tcW w:w="709" w:type="dxa"/>
            <w:shd w:val="clear" w:color="auto" w:fill="FFFFFF"/>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32,90</w:t>
            </w:r>
          </w:p>
        </w:tc>
        <w:tc>
          <w:tcPr>
            <w:tcW w:w="850" w:type="dxa"/>
            <w:shd w:val="clear" w:color="auto" w:fill="FFFFFF"/>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23,33</w:t>
            </w:r>
          </w:p>
        </w:tc>
        <w:tc>
          <w:tcPr>
            <w:tcW w:w="1134" w:type="dxa"/>
            <w:shd w:val="clear" w:color="auto" w:fill="FFFFFF"/>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17,06</w:t>
            </w:r>
          </w:p>
        </w:tc>
      </w:tr>
    </w:tbl>
    <w:p w:rsidR="00B40952" w:rsidRPr="00B40952" w:rsidRDefault="00B40952" w:rsidP="002121E4">
      <w:pPr>
        <w:autoSpaceDE w:val="0"/>
        <w:autoSpaceDN w:val="0"/>
        <w:adjustRightInd w:val="0"/>
        <w:spacing w:after="0" w:line="240" w:lineRule="auto"/>
        <w:jc w:val="both"/>
        <w:rPr>
          <w:rFonts w:ascii="Times New Roman" w:eastAsia="Times New Roman" w:hAnsi="Times New Roman" w:cs="Times New Roman"/>
          <w:sz w:val="16"/>
          <w:szCs w:val="16"/>
          <w:lang w:bidi="lo-LA"/>
        </w:rPr>
      </w:pPr>
      <w:r w:rsidRPr="00B40952">
        <w:rPr>
          <w:rFonts w:ascii="Times New Roman" w:eastAsia="Times New Roman" w:hAnsi="Times New Roman" w:cs="Times New Roman"/>
          <w:i/>
          <w:sz w:val="16"/>
          <w:szCs w:val="16"/>
        </w:rPr>
        <w:t>Avots: NVD</w:t>
      </w:r>
    </w:p>
    <w:p w:rsidR="00B40952" w:rsidRPr="00B40952" w:rsidRDefault="00B40952" w:rsidP="00685E75">
      <w:pPr>
        <w:autoSpaceDE w:val="0"/>
        <w:autoSpaceDN w:val="0"/>
        <w:adjustRightInd w:val="0"/>
        <w:spacing w:before="120"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Atbilstoši 2017.gada gada faktiskajai izpildei </w:t>
      </w:r>
      <w:r w:rsidRPr="00B40952">
        <w:rPr>
          <w:rFonts w:ascii="Times New Roman" w:eastAsia="Times New Roman" w:hAnsi="Times New Roman" w:cs="Times New Roman"/>
          <w:sz w:val="24"/>
          <w:szCs w:val="24"/>
          <w:lang w:bidi="lo-LA"/>
        </w:rPr>
        <w:t xml:space="preserve">ambulatoro izmeklējumu </w:t>
      </w:r>
      <w:r w:rsidRPr="00B40952">
        <w:rPr>
          <w:rFonts w:ascii="Times New Roman" w:eastAsia="Times New Roman" w:hAnsi="Times New Roman" w:cs="Times New Roman"/>
          <w:sz w:val="24"/>
          <w:szCs w:val="24"/>
        </w:rPr>
        <w:t xml:space="preserve">pieaugums īstenots 91,70% apmērā no gada plānotā </w:t>
      </w:r>
      <w:r w:rsidRPr="00B40952">
        <w:rPr>
          <w:rFonts w:ascii="Times New Roman" w:eastAsia="Times New Roman" w:hAnsi="Times New Roman" w:cs="Times New Roman"/>
          <w:sz w:val="24"/>
          <w:szCs w:val="24"/>
          <w:lang w:bidi="lo-LA"/>
        </w:rPr>
        <w:t>izmeklējumu</w:t>
      </w:r>
      <w:r w:rsidRPr="00B40952">
        <w:rPr>
          <w:rFonts w:ascii="Times New Roman" w:eastAsia="Times New Roman" w:hAnsi="Times New Roman" w:cs="Times New Roman"/>
          <w:sz w:val="24"/>
          <w:szCs w:val="24"/>
        </w:rPr>
        <w:t xml:space="preserve"> pieauguma apjoma. Līdz ar minēto secināms, ka laika periodā no 2017.gada marta līdz decembrim rindu samazinājums nodrošināts ārstniecības iestāžu iespēju robežās, vidēji samazinot rindu garumu uz izmeklējumiem par 32,90 %.</w:t>
      </w:r>
    </w:p>
    <w:p w:rsidR="00B40952" w:rsidRPr="00B40952" w:rsidRDefault="00B40952" w:rsidP="002121E4">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Jāvērš uzmanību, ka palielinot pieejamo pakalpojumu apjomu būtiskākajā ambulatoro pakalpojumu sadaļā – ambulatorajos izmeklējumos, pieauga arī faktiskais pieprasījums no pacientiem, kuri iepriekš, ņemot vērā pakalpojuma nepieejamību, uz pakalpojumiem nepieteicās. Tāpat būtisks faktors papildu izmeklējumu pakalpojumu pieaugumam saistāms ar speciālistu konsultāciju pieaugumu, kuri tālāk pacientus nosūta uz izmeklējumiem, palielinot to apjomu. Vienlaicīgi, ņemot vērā to, ka pacienti 2017.gadā tika nosūtīti uz izmaksu ietilpīgākiem izmeklējumiem, faktiskais izmeklējumu skaits ir mazāks nekā plānotais apjoms.</w:t>
      </w:r>
    </w:p>
    <w:p w:rsidR="00B40952" w:rsidRPr="00B40952" w:rsidRDefault="00B40952" w:rsidP="00685E75">
      <w:pPr>
        <w:autoSpaceDE w:val="0"/>
        <w:autoSpaceDN w:val="0"/>
        <w:adjustRightInd w:val="0"/>
        <w:spacing w:before="120" w:after="0" w:line="240" w:lineRule="auto"/>
        <w:jc w:val="both"/>
        <w:rPr>
          <w:rFonts w:ascii="Times New Roman" w:eastAsia="Times New Roman" w:hAnsi="Times New Roman" w:cs="Times New Roman"/>
          <w:sz w:val="24"/>
          <w:szCs w:val="24"/>
          <w:u w:val="single"/>
          <w:lang w:bidi="lo-LA"/>
        </w:rPr>
      </w:pPr>
      <w:r w:rsidRPr="00B40952">
        <w:rPr>
          <w:rFonts w:ascii="Times New Roman" w:eastAsia="Times New Roman" w:hAnsi="Times New Roman" w:cs="Times New Roman"/>
          <w:sz w:val="24"/>
          <w:szCs w:val="24"/>
          <w:u w:val="single"/>
          <w:lang w:bidi="lo-LA"/>
        </w:rPr>
        <w:t>Dienas stacionārs</w:t>
      </w:r>
    </w:p>
    <w:p w:rsidR="00B40952" w:rsidRPr="00B40952" w:rsidRDefault="00B40952" w:rsidP="002121E4">
      <w:pPr>
        <w:spacing w:after="0" w:line="240" w:lineRule="auto"/>
        <w:ind w:firstLine="720"/>
        <w:jc w:val="both"/>
        <w:rPr>
          <w:rFonts w:ascii="Times New Roman" w:eastAsia="Calibri" w:hAnsi="Times New Roman" w:cs="Times New Roman"/>
          <w:color w:val="000000"/>
          <w:sz w:val="24"/>
          <w:szCs w:val="24"/>
        </w:rPr>
      </w:pPr>
      <w:r w:rsidRPr="00B40952">
        <w:rPr>
          <w:rFonts w:ascii="Times New Roman" w:eastAsia="Times New Roman" w:hAnsi="Times New Roman" w:cs="Times New Roman"/>
          <w:color w:val="000000"/>
          <w:sz w:val="24"/>
          <w:szCs w:val="24"/>
          <w:lang w:bidi="lo-LA"/>
        </w:rPr>
        <w:t>Dienas stacionāra pakalpojums ir ārstniecības vai diagnostikas pakalpojums ārstniecības iestādē, kur pacientam ārstēšanu un veselības aprūpi nodrošina nepilnu diennakti un sniedz ārstniecības pakalpojumus, kurus to sarežģītības, risku vai laikietilpības dēļ nav iespējams sniegt ambulatori.</w:t>
      </w:r>
    </w:p>
    <w:p w:rsidR="00B40952" w:rsidRPr="00B40952" w:rsidRDefault="00B40952" w:rsidP="002121E4">
      <w:pPr>
        <w:spacing w:after="0" w:line="240" w:lineRule="auto"/>
        <w:ind w:firstLine="720"/>
        <w:jc w:val="both"/>
        <w:rPr>
          <w:rFonts w:ascii="Times New Roman" w:eastAsia="Times New Roman" w:hAnsi="Times New Roman" w:cs="Times New Roman"/>
          <w:color w:val="000000"/>
          <w:sz w:val="24"/>
          <w:szCs w:val="24"/>
          <w:lang w:bidi="lo-LA"/>
        </w:rPr>
      </w:pPr>
      <w:r w:rsidRPr="00B40952">
        <w:rPr>
          <w:rFonts w:ascii="Times New Roman" w:eastAsia="Times New Roman" w:hAnsi="Times New Roman" w:cs="Times New Roman"/>
          <w:color w:val="000000"/>
          <w:sz w:val="24"/>
          <w:szCs w:val="24"/>
          <w:lang w:bidi="lo-LA"/>
        </w:rPr>
        <w:t>Lai palielinātu pacientu pieejamību valsts apmaksāto dienas stacionāra pakalpojumu saņemšanā, 2017.gadā plānots pakalpojuma apjoma pieaugums par 62,4 tūkstošiem pakalpojumu.</w:t>
      </w:r>
    </w:p>
    <w:p w:rsidR="00B40952" w:rsidRPr="001E2C89" w:rsidRDefault="00B40952" w:rsidP="002121E4">
      <w:pPr>
        <w:spacing w:after="0"/>
        <w:jc w:val="right"/>
        <w:rPr>
          <w:rFonts w:ascii="Times New Roman" w:eastAsia="Times New Roman" w:hAnsi="Times New Roman" w:cs="Times New Roman"/>
          <w:b/>
          <w:color w:val="414142"/>
          <w:sz w:val="24"/>
          <w:szCs w:val="24"/>
        </w:rPr>
      </w:pPr>
      <w:r w:rsidRPr="00BC5F6B">
        <w:rPr>
          <w:rFonts w:ascii="Times New Roman" w:eastAsia="Times New Roman" w:hAnsi="Times New Roman" w:cs="Times New Roman"/>
          <w:b/>
          <w:sz w:val="24"/>
          <w:szCs w:val="24"/>
        </w:rPr>
        <w:t>3.</w:t>
      </w:r>
      <w:r w:rsidR="00BC5F6B" w:rsidRPr="00BC5F6B">
        <w:rPr>
          <w:rFonts w:ascii="Times New Roman" w:eastAsia="Times New Roman" w:hAnsi="Times New Roman" w:cs="Times New Roman"/>
          <w:b/>
          <w:sz w:val="24"/>
          <w:szCs w:val="24"/>
        </w:rPr>
        <w:t>18</w:t>
      </w:r>
      <w:r w:rsidRPr="00BC5F6B">
        <w:rPr>
          <w:rFonts w:ascii="Times New Roman" w:eastAsia="Times New Roman" w:hAnsi="Times New Roman" w:cs="Times New Roman"/>
          <w:b/>
          <w:sz w:val="24"/>
          <w:szCs w:val="24"/>
        </w:rPr>
        <w:t>.tabula</w:t>
      </w:r>
      <w:r w:rsidRPr="001E2C89">
        <w:rPr>
          <w:rFonts w:ascii="Times New Roman" w:eastAsia="Times New Roman" w:hAnsi="Times New Roman" w:cs="Times New Roman"/>
          <w:b/>
          <w:sz w:val="24"/>
          <w:szCs w:val="24"/>
        </w:rPr>
        <w:t xml:space="preserve">. </w:t>
      </w:r>
      <w:r w:rsidRPr="001E2C89">
        <w:rPr>
          <w:rFonts w:ascii="Times New Roman" w:eastAsia="Times New Roman" w:hAnsi="Times New Roman" w:cs="Times New Roman"/>
          <w:b/>
          <w:sz w:val="24"/>
          <w:szCs w:val="24"/>
          <w:lang w:bidi="lo-LA"/>
        </w:rPr>
        <w:t>Dienas stacionārā veikto pakalpojumu</w:t>
      </w:r>
      <w:r w:rsidRPr="001E2C89">
        <w:rPr>
          <w:rFonts w:ascii="Times New Roman" w:eastAsia="Times New Roman" w:hAnsi="Times New Roman" w:cs="Times New Roman"/>
          <w:b/>
          <w:color w:val="000000"/>
          <w:sz w:val="24"/>
          <w:szCs w:val="24"/>
        </w:rPr>
        <w:t xml:space="preserve"> izpilde</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64"/>
        <w:gridCol w:w="709"/>
        <w:gridCol w:w="992"/>
        <w:gridCol w:w="987"/>
        <w:gridCol w:w="714"/>
        <w:gridCol w:w="709"/>
        <w:gridCol w:w="850"/>
        <w:gridCol w:w="709"/>
        <w:gridCol w:w="850"/>
        <w:gridCol w:w="1134"/>
      </w:tblGrid>
      <w:tr w:rsidR="00B40952" w:rsidRPr="00B40952" w:rsidTr="002121E4">
        <w:trPr>
          <w:trHeight w:val="216"/>
          <w:jc w:val="center"/>
        </w:trPr>
        <w:tc>
          <w:tcPr>
            <w:tcW w:w="1163"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Dienas stacionāra pakalpojumi</w:t>
            </w:r>
          </w:p>
        </w:tc>
        <w:tc>
          <w:tcPr>
            <w:tcW w:w="964"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Vidējais plānotais pakalpojumu skaits </w:t>
            </w:r>
          </w:p>
        </w:tc>
        <w:tc>
          <w:tcPr>
            <w:tcW w:w="709"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Faktiskais pakalpojumu skaits 2017.gadā </w:t>
            </w:r>
          </w:p>
        </w:tc>
        <w:tc>
          <w:tcPr>
            <w:tcW w:w="992"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Plānotais finansējums  </w:t>
            </w:r>
            <w:r w:rsidRPr="00B40952">
              <w:rPr>
                <w:rFonts w:ascii="Times New Roman" w:eastAsia="Times New Roman" w:hAnsi="Times New Roman" w:cs="Times New Roman"/>
                <w:i/>
                <w:iCs/>
                <w:color w:val="000000"/>
                <w:sz w:val="16"/>
                <w:szCs w:val="16"/>
              </w:rPr>
              <w:t>euro</w:t>
            </w:r>
          </w:p>
        </w:tc>
        <w:tc>
          <w:tcPr>
            <w:tcW w:w="987" w:type="dxa"/>
            <w:vMerge w:val="restart"/>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Finanšu izlietojums 2017.gadā </w:t>
            </w:r>
            <w:r w:rsidRPr="00B40952">
              <w:rPr>
                <w:rFonts w:ascii="Times New Roman" w:eastAsia="Times New Roman" w:hAnsi="Times New Roman" w:cs="Times New Roman"/>
                <w:i/>
                <w:iCs/>
                <w:color w:val="000000"/>
                <w:sz w:val="16"/>
                <w:szCs w:val="16"/>
              </w:rPr>
              <w:t>euro</w:t>
            </w:r>
          </w:p>
        </w:tc>
        <w:tc>
          <w:tcPr>
            <w:tcW w:w="2273" w:type="dxa"/>
            <w:gridSpan w:val="3"/>
            <w:shd w:val="clear" w:color="auto" w:fill="C6D9F1"/>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Vidējais rindu garums dienās</w:t>
            </w:r>
          </w:p>
        </w:tc>
        <w:tc>
          <w:tcPr>
            <w:tcW w:w="709"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2017.gadā %</w:t>
            </w:r>
          </w:p>
        </w:tc>
        <w:tc>
          <w:tcPr>
            <w:tcW w:w="850"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Rindas garums ar pacientu uzvedības maiņu 2017.gadā</w:t>
            </w:r>
          </w:p>
        </w:tc>
        <w:tc>
          <w:tcPr>
            <w:tcW w:w="1134" w:type="dxa"/>
            <w:vMerge w:val="restart"/>
            <w:shd w:val="clear" w:color="auto" w:fill="C6D9F1"/>
            <w:textDirection w:val="btLr"/>
            <w:vAlign w:val="center"/>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ar pacientu uzvedības maiņu 2017.gadā</w:t>
            </w:r>
          </w:p>
        </w:tc>
      </w:tr>
      <w:tr w:rsidR="00B40952" w:rsidRPr="00B40952" w:rsidTr="002121E4">
        <w:trPr>
          <w:cantSplit/>
          <w:trHeight w:val="1134"/>
          <w:jc w:val="center"/>
        </w:trPr>
        <w:tc>
          <w:tcPr>
            <w:tcW w:w="1163" w:type="dxa"/>
            <w:vMerge/>
            <w:vAlign w:val="center"/>
            <w:hideMark/>
          </w:tcPr>
          <w:p w:rsidR="00B40952" w:rsidRPr="00B40952" w:rsidRDefault="00B40952" w:rsidP="002121E4">
            <w:pPr>
              <w:spacing w:after="0"/>
              <w:rPr>
                <w:rFonts w:ascii="Times New Roman" w:eastAsia="Times New Roman" w:hAnsi="Times New Roman" w:cs="Times New Roman"/>
                <w:color w:val="000000"/>
                <w:sz w:val="16"/>
                <w:szCs w:val="16"/>
              </w:rPr>
            </w:pPr>
          </w:p>
        </w:tc>
        <w:tc>
          <w:tcPr>
            <w:tcW w:w="964" w:type="dxa"/>
            <w:vMerge/>
            <w:vAlign w:val="center"/>
            <w:hideMark/>
          </w:tcPr>
          <w:p w:rsidR="00B40952" w:rsidRPr="00B40952" w:rsidRDefault="00B40952" w:rsidP="002121E4">
            <w:pPr>
              <w:spacing w:after="0"/>
              <w:rPr>
                <w:rFonts w:ascii="Times New Roman" w:eastAsia="Times New Roman" w:hAnsi="Times New Roman" w:cs="Times New Roman"/>
                <w:color w:val="000000"/>
                <w:sz w:val="16"/>
                <w:szCs w:val="16"/>
              </w:rPr>
            </w:pPr>
          </w:p>
        </w:tc>
        <w:tc>
          <w:tcPr>
            <w:tcW w:w="709" w:type="dxa"/>
            <w:vMerge/>
            <w:vAlign w:val="center"/>
          </w:tcPr>
          <w:p w:rsidR="00B40952" w:rsidRPr="00B40952" w:rsidRDefault="00B40952" w:rsidP="002121E4">
            <w:pPr>
              <w:spacing w:after="0"/>
              <w:rPr>
                <w:rFonts w:ascii="Times New Roman" w:eastAsia="Times New Roman" w:hAnsi="Times New Roman" w:cs="Times New Roman"/>
                <w:color w:val="000000"/>
                <w:sz w:val="16"/>
                <w:szCs w:val="16"/>
              </w:rPr>
            </w:pPr>
          </w:p>
        </w:tc>
        <w:tc>
          <w:tcPr>
            <w:tcW w:w="992" w:type="dxa"/>
            <w:vMerge/>
            <w:vAlign w:val="center"/>
            <w:hideMark/>
          </w:tcPr>
          <w:p w:rsidR="00B40952" w:rsidRPr="00B40952" w:rsidRDefault="00B40952" w:rsidP="002121E4">
            <w:pPr>
              <w:spacing w:after="0"/>
              <w:rPr>
                <w:rFonts w:ascii="Times New Roman" w:eastAsia="Times New Roman" w:hAnsi="Times New Roman" w:cs="Times New Roman"/>
                <w:color w:val="000000"/>
                <w:sz w:val="16"/>
                <w:szCs w:val="16"/>
              </w:rPr>
            </w:pPr>
          </w:p>
        </w:tc>
        <w:tc>
          <w:tcPr>
            <w:tcW w:w="987" w:type="dxa"/>
            <w:vMerge/>
            <w:vAlign w:val="center"/>
            <w:hideMark/>
          </w:tcPr>
          <w:p w:rsidR="00B40952" w:rsidRPr="00B40952" w:rsidRDefault="00B40952" w:rsidP="002121E4">
            <w:pPr>
              <w:spacing w:after="0"/>
              <w:rPr>
                <w:rFonts w:ascii="Times New Roman" w:eastAsia="Times New Roman" w:hAnsi="Times New Roman" w:cs="Times New Roman"/>
                <w:color w:val="000000"/>
                <w:sz w:val="16"/>
                <w:szCs w:val="16"/>
              </w:rPr>
            </w:pPr>
          </w:p>
        </w:tc>
        <w:tc>
          <w:tcPr>
            <w:tcW w:w="714"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Pirms reformu īstenošanas</w:t>
            </w:r>
          </w:p>
        </w:tc>
        <w:tc>
          <w:tcPr>
            <w:tcW w:w="709"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Uz 2018.gada 1.janvāri</w:t>
            </w:r>
          </w:p>
        </w:tc>
        <w:tc>
          <w:tcPr>
            <w:tcW w:w="850" w:type="dxa"/>
            <w:shd w:val="clear" w:color="auto" w:fill="C6D9F1"/>
            <w:textDirection w:val="btLr"/>
            <w:vAlign w:val="center"/>
            <w:hideMark/>
          </w:tcPr>
          <w:p w:rsidR="00B40952" w:rsidRPr="00B40952" w:rsidRDefault="00B40952" w:rsidP="002121E4">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2017.gadā</w:t>
            </w:r>
          </w:p>
        </w:tc>
        <w:tc>
          <w:tcPr>
            <w:tcW w:w="709" w:type="dxa"/>
            <w:vMerge/>
            <w:shd w:val="clear" w:color="000000" w:fill="FCE4D6"/>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850" w:type="dxa"/>
            <w:vMerge/>
            <w:shd w:val="clear" w:color="000000" w:fill="FCE4D6"/>
          </w:tcPr>
          <w:p w:rsidR="00B40952" w:rsidRPr="00B40952" w:rsidRDefault="00B40952" w:rsidP="002121E4">
            <w:pPr>
              <w:spacing w:after="0"/>
              <w:jc w:val="center"/>
              <w:rPr>
                <w:rFonts w:ascii="Times New Roman" w:eastAsia="Times New Roman" w:hAnsi="Times New Roman" w:cs="Times New Roman"/>
                <w:color w:val="000000"/>
                <w:sz w:val="16"/>
                <w:szCs w:val="16"/>
              </w:rPr>
            </w:pPr>
          </w:p>
        </w:tc>
        <w:tc>
          <w:tcPr>
            <w:tcW w:w="1134" w:type="dxa"/>
            <w:vMerge/>
            <w:shd w:val="clear" w:color="000000" w:fill="FCE4D6"/>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p>
        </w:tc>
      </w:tr>
      <w:tr w:rsidR="00B40952" w:rsidRPr="00B40952" w:rsidTr="002121E4">
        <w:trPr>
          <w:trHeight w:val="216"/>
          <w:jc w:val="center"/>
        </w:trPr>
        <w:tc>
          <w:tcPr>
            <w:tcW w:w="1163"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Ārstniecības iestādes</w:t>
            </w:r>
          </w:p>
        </w:tc>
        <w:tc>
          <w:tcPr>
            <w:tcW w:w="964"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sz w:val="16"/>
                <w:szCs w:val="16"/>
              </w:rPr>
            </w:pPr>
            <w:r w:rsidRPr="00B40952">
              <w:rPr>
                <w:rFonts w:ascii="Times New Roman" w:eastAsia="Times New Roman" w:hAnsi="Times New Roman" w:cs="Times New Roman"/>
                <w:sz w:val="16"/>
                <w:szCs w:val="16"/>
              </w:rPr>
              <w:t>62</w:t>
            </w:r>
            <w:r w:rsidR="002121E4">
              <w:rPr>
                <w:rFonts w:ascii="Times New Roman" w:eastAsia="Times New Roman" w:hAnsi="Times New Roman" w:cs="Times New Roman"/>
                <w:color w:val="000000"/>
              </w:rPr>
              <w:t> </w:t>
            </w:r>
            <w:r w:rsidRPr="00B40952">
              <w:rPr>
                <w:rFonts w:ascii="Times New Roman" w:eastAsia="Times New Roman" w:hAnsi="Times New Roman" w:cs="Times New Roman"/>
                <w:sz w:val="16"/>
                <w:szCs w:val="16"/>
              </w:rPr>
              <w:t>472</w:t>
            </w:r>
          </w:p>
        </w:tc>
        <w:tc>
          <w:tcPr>
            <w:tcW w:w="709" w:type="dxa"/>
            <w:shd w:val="clear" w:color="auto" w:fill="FFFFFF"/>
            <w:vAlign w:val="center"/>
          </w:tcPr>
          <w:p w:rsidR="00B40952" w:rsidRPr="00B40952" w:rsidRDefault="002121E4" w:rsidP="002121E4">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w:t>
            </w:r>
            <w:r>
              <w:rPr>
                <w:rFonts w:ascii="Times New Roman" w:eastAsia="Times New Roman" w:hAnsi="Times New Roman" w:cs="Times New Roman"/>
                <w:color w:val="000000"/>
              </w:rPr>
              <w:t> </w:t>
            </w:r>
            <w:r w:rsidR="00B40952" w:rsidRPr="00B40952">
              <w:rPr>
                <w:rFonts w:ascii="Times New Roman" w:eastAsia="Times New Roman" w:hAnsi="Times New Roman" w:cs="Times New Roman"/>
                <w:color w:val="000000"/>
                <w:sz w:val="16"/>
                <w:szCs w:val="16"/>
              </w:rPr>
              <w:t>551</w:t>
            </w:r>
          </w:p>
        </w:tc>
        <w:tc>
          <w:tcPr>
            <w:tcW w:w="992"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5</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163</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159</w:t>
            </w:r>
          </w:p>
        </w:tc>
        <w:tc>
          <w:tcPr>
            <w:tcW w:w="987" w:type="dxa"/>
            <w:shd w:val="clear" w:color="auto" w:fill="FFFFFF"/>
            <w:noWrap/>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5</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177</w:t>
            </w:r>
            <w:r w:rsidR="002121E4">
              <w:rPr>
                <w:rFonts w:ascii="Times New Roman" w:eastAsia="Times New Roman" w:hAnsi="Times New Roman" w:cs="Times New Roman"/>
                <w:color w:val="000000"/>
              </w:rPr>
              <w:t> </w:t>
            </w:r>
            <w:r w:rsidRPr="00B40952">
              <w:rPr>
                <w:rFonts w:ascii="Times New Roman" w:eastAsia="Times New Roman" w:hAnsi="Times New Roman" w:cs="Times New Roman"/>
                <w:color w:val="000000"/>
                <w:sz w:val="16"/>
                <w:szCs w:val="16"/>
              </w:rPr>
              <w:t>349</w:t>
            </w:r>
          </w:p>
        </w:tc>
        <w:tc>
          <w:tcPr>
            <w:tcW w:w="714" w:type="dxa"/>
            <w:shd w:val="clear" w:color="auto" w:fill="FFFFFF"/>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407,00</w:t>
            </w:r>
          </w:p>
        </w:tc>
        <w:tc>
          <w:tcPr>
            <w:tcW w:w="709" w:type="dxa"/>
            <w:shd w:val="clear" w:color="auto" w:fill="FFFFFF"/>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132,10</w:t>
            </w:r>
          </w:p>
        </w:tc>
        <w:tc>
          <w:tcPr>
            <w:tcW w:w="850" w:type="dxa"/>
            <w:shd w:val="clear" w:color="auto" w:fill="FFFFFF"/>
            <w:vAlign w:val="center"/>
            <w:hideMark/>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274,9</w:t>
            </w:r>
          </w:p>
        </w:tc>
        <w:tc>
          <w:tcPr>
            <w:tcW w:w="709" w:type="dxa"/>
            <w:shd w:val="clear" w:color="auto" w:fill="FFFFFF"/>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67,54</w:t>
            </w:r>
          </w:p>
        </w:tc>
        <w:tc>
          <w:tcPr>
            <w:tcW w:w="850" w:type="dxa"/>
            <w:shd w:val="clear" w:color="auto" w:fill="FFFFFF"/>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116,04</w:t>
            </w:r>
          </w:p>
        </w:tc>
        <w:tc>
          <w:tcPr>
            <w:tcW w:w="1134" w:type="dxa"/>
            <w:shd w:val="clear" w:color="auto" w:fill="FFFFFF"/>
            <w:vAlign w:val="center"/>
          </w:tcPr>
          <w:p w:rsidR="00B40952" w:rsidRPr="00B40952" w:rsidRDefault="00B40952" w:rsidP="002121E4">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290,96</w:t>
            </w:r>
          </w:p>
        </w:tc>
      </w:tr>
    </w:tbl>
    <w:p w:rsidR="00B40952" w:rsidRPr="00B40952" w:rsidRDefault="00B40952" w:rsidP="00B40952">
      <w:pPr>
        <w:spacing w:after="0" w:line="240" w:lineRule="auto"/>
        <w:ind w:firstLine="720"/>
        <w:jc w:val="both"/>
        <w:rPr>
          <w:rFonts w:ascii="Times New Roman" w:eastAsia="Calibri" w:hAnsi="Times New Roman" w:cs="Times New Roman"/>
          <w:color w:val="000000"/>
          <w:sz w:val="24"/>
          <w:szCs w:val="24"/>
        </w:rPr>
      </w:pPr>
    </w:p>
    <w:p w:rsidR="00B40952" w:rsidRPr="001E2C89" w:rsidRDefault="00B40952" w:rsidP="002121E4">
      <w:pPr>
        <w:spacing w:after="0" w:line="240" w:lineRule="auto"/>
        <w:ind w:firstLine="720"/>
        <w:jc w:val="both"/>
        <w:rPr>
          <w:rFonts w:ascii="Times New Roman" w:eastAsia="Times New Roman" w:hAnsi="Times New Roman" w:cs="Times New Roman"/>
          <w:color w:val="000000" w:themeColor="text1"/>
          <w:sz w:val="24"/>
          <w:szCs w:val="24"/>
        </w:rPr>
      </w:pPr>
      <w:r w:rsidRPr="00B40952">
        <w:rPr>
          <w:rFonts w:ascii="Times New Roman" w:eastAsia="Times New Roman" w:hAnsi="Times New Roman" w:cs="Times New Roman"/>
          <w:sz w:val="24"/>
          <w:szCs w:val="24"/>
        </w:rPr>
        <w:t xml:space="preserve">Atbilstoši 2017.gada faktiskajai izpildei valsts sniegto pakalpojumu apjoms dienas stacionārā īstenots 44,10% apmērā no gada plānotā dienas stacionāra pieauguma apjoma. Līdz ar minēto, secināms, ka laika periodā no 2017.gada marta līdz decembrim rindu samazinājums </w:t>
      </w:r>
      <w:r w:rsidRPr="00B40952">
        <w:rPr>
          <w:rFonts w:ascii="Times New Roman" w:eastAsia="Times New Roman" w:hAnsi="Times New Roman" w:cs="Times New Roman"/>
          <w:sz w:val="24"/>
          <w:szCs w:val="24"/>
        </w:rPr>
        <w:lastRenderedPageBreak/>
        <w:t xml:space="preserve">nodrošināts ārstniecības iestāžu iespēju robežās, vidēji samazinot rindu garumu uz dienas </w:t>
      </w:r>
      <w:r w:rsidRPr="001E2C89">
        <w:rPr>
          <w:rFonts w:ascii="Times New Roman" w:eastAsia="Times New Roman" w:hAnsi="Times New Roman" w:cs="Times New Roman"/>
          <w:color w:val="000000" w:themeColor="text1"/>
          <w:sz w:val="24"/>
          <w:szCs w:val="24"/>
        </w:rPr>
        <w:t>stacionāra pakalpojumiem par 67,54%. Katrā ārstniecības iestādē un pakalpojuma veidā rindu samazinājuma dinamika ir atšķirīga.</w:t>
      </w:r>
    </w:p>
    <w:p w:rsidR="00B40952" w:rsidRPr="001E2C89" w:rsidRDefault="00B40952" w:rsidP="00C756E1">
      <w:pPr>
        <w:autoSpaceDE w:val="0"/>
        <w:autoSpaceDN w:val="0"/>
        <w:adjustRightInd w:val="0"/>
        <w:spacing w:before="120" w:after="0" w:line="240" w:lineRule="auto"/>
        <w:jc w:val="both"/>
        <w:rPr>
          <w:rFonts w:ascii="Times New Roman" w:eastAsia="Times New Roman" w:hAnsi="Times New Roman" w:cs="Times New Roman"/>
          <w:color w:val="000000" w:themeColor="text1"/>
          <w:sz w:val="24"/>
          <w:szCs w:val="24"/>
          <w:u w:val="single"/>
          <w:lang w:bidi="lo-LA"/>
        </w:rPr>
      </w:pPr>
      <w:r w:rsidRPr="001E2C89">
        <w:rPr>
          <w:rFonts w:ascii="Times New Roman" w:eastAsia="Times New Roman" w:hAnsi="Times New Roman" w:cs="Times New Roman"/>
          <w:color w:val="000000" w:themeColor="text1"/>
          <w:sz w:val="24"/>
          <w:szCs w:val="24"/>
          <w:u w:val="single"/>
          <w:lang w:bidi="lo-LA"/>
        </w:rPr>
        <w:t>Ambulatorā rehabilitācija</w:t>
      </w:r>
    </w:p>
    <w:p w:rsidR="00B40952" w:rsidRPr="001E2C89" w:rsidRDefault="00B40952" w:rsidP="002121E4">
      <w:pPr>
        <w:numPr>
          <w:ilvl w:val="0"/>
          <w:numId w:val="2"/>
        </w:numPr>
        <w:shd w:val="clear" w:color="auto" w:fill="FFFFFF"/>
        <w:spacing w:after="0" w:line="240" w:lineRule="auto"/>
        <w:ind w:left="0" w:firstLine="720"/>
        <w:jc w:val="both"/>
        <w:textAlignment w:val="baseline"/>
        <w:rPr>
          <w:rFonts w:ascii="Times New Roman" w:eastAsia="Times New Roman" w:hAnsi="Times New Roman" w:cs="Times New Roman"/>
          <w:color w:val="000000" w:themeColor="text1"/>
          <w:sz w:val="24"/>
          <w:szCs w:val="24"/>
          <w:lang w:eastAsia="lv-LV"/>
        </w:rPr>
      </w:pPr>
      <w:r w:rsidRPr="001E2C89">
        <w:rPr>
          <w:rFonts w:ascii="Times New Roman" w:eastAsia="Times New Roman" w:hAnsi="Times New Roman" w:cs="Times New Roman"/>
          <w:color w:val="000000" w:themeColor="text1"/>
          <w:sz w:val="24"/>
          <w:szCs w:val="24"/>
          <w:lang w:eastAsia="lv-LV"/>
        </w:rPr>
        <w:t xml:space="preserve">Ambulatorā rehabilitācija ir pakalpojumu kopums, kuras mērķis ir nodrošināt personām ar noteiktiem funkcionāliem ierobežojumiem šo ierobežojumu mazināšanu vai novēršanu, kā arī komplikāciju riska novērtēšanu un mazināšanu. </w:t>
      </w:r>
    </w:p>
    <w:p w:rsidR="00B40952" w:rsidRPr="001E2C89" w:rsidRDefault="00B40952" w:rsidP="002121E4">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1E2C89">
        <w:rPr>
          <w:rFonts w:ascii="Times New Roman" w:eastAsia="Times New Roman" w:hAnsi="Times New Roman" w:cs="Times New Roman"/>
          <w:color w:val="000000" w:themeColor="text1"/>
          <w:sz w:val="24"/>
          <w:szCs w:val="24"/>
        </w:rPr>
        <w:t xml:space="preserve">Lai palielinātu pacientu pieejamību ambulatorajā rehabilitācijā 2017.gadā tika plānots pakalpojuma apjoma pieaugums par 70 tūkst. pakalpojumu. </w:t>
      </w:r>
    </w:p>
    <w:p w:rsidR="00B40952" w:rsidRPr="00B40952" w:rsidRDefault="00B40952" w:rsidP="00C756E1">
      <w:pPr>
        <w:spacing w:before="120" w:after="0"/>
        <w:jc w:val="right"/>
        <w:rPr>
          <w:rFonts w:ascii="Calibri" w:eastAsia="Times New Roman" w:hAnsi="Calibri" w:cs="Times New Roman"/>
          <w:color w:val="414142"/>
        </w:rPr>
      </w:pPr>
      <w:r w:rsidRPr="00BC5F6B">
        <w:rPr>
          <w:rFonts w:ascii="Times New Roman" w:eastAsia="Times New Roman" w:hAnsi="Times New Roman" w:cs="Times New Roman"/>
          <w:b/>
          <w:sz w:val="24"/>
          <w:szCs w:val="24"/>
        </w:rPr>
        <w:t>3.</w:t>
      </w:r>
      <w:r w:rsidR="00BC5F6B" w:rsidRPr="00BC5F6B">
        <w:rPr>
          <w:rFonts w:ascii="Times New Roman" w:eastAsia="Times New Roman" w:hAnsi="Times New Roman" w:cs="Times New Roman"/>
          <w:b/>
          <w:sz w:val="24"/>
          <w:szCs w:val="24"/>
        </w:rPr>
        <w:t>19</w:t>
      </w:r>
      <w:r w:rsidRPr="00BC5F6B">
        <w:rPr>
          <w:rFonts w:ascii="Times New Roman" w:eastAsia="Times New Roman" w:hAnsi="Times New Roman" w:cs="Times New Roman"/>
          <w:b/>
          <w:sz w:val="24"/>
          <w:szCs w:val="24"/>
        </w:rPr>
        <w:t xml:space="preserve">.tabula. </w:t>
      </w:r>
      <w:r w:rsidRPr="001E2C89">
        <w:rPr>
          <w:rFonts w:ascii="Times New Roman" w:eastAsia="Times New Roman" w:hAnsi="Times New Roman" w:cs="Times New Roman"/>
          <w:b/>
          <w:sz w:val="24"/>
          <w:szCs w:val="24"/>
          <w:lang w:bidi="lo-LA"/>
        </w:rPr>
        <w:t>Ambulatorās rehabilitācijas izpilde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656"/>
        <w:gridCol w:w="737"/>
        <w:gridCol w:w="769"/>
        <w:gridCol w:w="769"/>
        <w:gridCol w:w="656"/>
        <w:gridCol w:w="656"/>
        <w:gridCol w:w="713"/>
        <w:gridCol w:w="628"/>
        <w:gridCol w:w="769"/>
        <w:gridCol w:w="910"/>
      </w:tblGrid>
      <w:tr w:rsidR="00B40952" w:rsidRPr="00B40952" w:rsidTr="00B40952">
        <w:trPr>
          <w:trHeight w:val="61"/>
          <w:jc w:val="center"/>
        </w:trPr>
        <w:tc>
          <w:tcPr>
            <w:tcW w:w="1798" w:type="dxa"/>
            <w:vMerge w:val="restart"/>
            <w:shd w:val="clear" w:color="auto" w:fill="C6D9F1"/>
            <w:textDirection w:val="btLr"/>
            <w:vAlign w:val="center"/>
            <w:hideMark/>
          </w:tcPr>
          <w:p w:rsidR="00B40952" w:rsidRPr="00B40952" w:rsidRDefault="00B40952" w:rsidP="00B40952">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Ambulatorās rehabilitācijas pakalpojumi</w:t>
            </w:r>
          </w:p>
        </w:tc>
        <w:tc>
          <w:tcPr>
            <w:tcW w:w="656" w:type="dxa"/>
            <w:vMerge w:val="restart"/>
            <w:shd w:val="clear" w:color="auto" w:fill="C6D9F1"/>
            <w:textDirection w:val="btLr"/>
            <w:vAlign w:val="center"/>
            <w:hideMark/>
          </w:tcPr>
          <w:p w:rsidR="00B40952" w:rsidRPr="00B40952" w:rsidRDefault="00B40952" w:rsidP="00B40952">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Vidējais plānotais pakalpojumu skaits</w:t>
            </w:r>
          </w:p>
        </w:tc>
        <w:tc>
          <w:tcPr>
            <w:tcW w:w="737" w:type="dxa"/>
            <w:vMerge w:val="restart"/>
            <w:shd w:val="clear" w:color="auto" w:fill="C6D9F1"/>
            <w:textDirection w:val="btLr"/>
            <w:vAlign w:val="center"/>
          </w:tcPr>
          <w:p w:rsidR="00B40952" w:rsidRPr="00B40952" w:rsidRDefault="00B40952" w:rsidP="00B40952">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Faktiskais pakalpoju-mu skaits 2017.gadā</w:t>
            </w:r>
          </w:p>
        </w:tc>
        <w:tc>
          <w:tcPr>
            <w:tcW w:w="769" w:type="dxa"/>
            <w:vMerge w:val="restart"/>
            <w:shd w:val="clear" w:color="auto" w:fill="C6D9F1"/>
            <w:textDirection w:val="btLr"/>
            <w:vAlign w:val="center"/>
            <w:hideMark/>
          </w:tcPr>
          <w:p w:rsidR="00B40952" w:rsidRPr="00B40952" w:rsidRDefault="00B40952" w:rsidP="00B40952">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Plānotais finansēj-ums  </w:t>
            </w:r>
            <w:r w:rsidRPr="00B40952">
              <w:rPr>
                <w:rFonts w:ascii="Times New Roman" w:eastAsia="Times New Roman" w:hAnsi="Times New Roman" w:cs="Times New Roman"/>
                <w:i/>
                <w:iCs/>
                <w:color w:val="000000"/>
                <w:sz w:val="16"/>
                <w:szCs w:val="16"/>
              </w:rPr>
              <w:t>euro</w:t>
            </w:r>
          </w:p>
        </w:tc>
        <w:tc>
          <w:tcPr>
            <w:tcW w:w="769" w:type="dxa"/>
            <w:vMerge w:val="restart"/>
            <w:shd w:val="clear" w:color="auto" w:fill="C6D9F1"/>
            <w:textDirection w:val="btLr"/>
            <w:vAlign w:val="center"/>
            <w:hideMark/>
          </w:tcPr>
          <w:p w:rsidR="00B40952" w:rsidRPr="00B40952" w:rsidRDefault="00B40952" w:rsidP="00B40952">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 xml:space="preserve">Finanšu izlietojums 2017.gadā </w:t>
            </w:r>
            <w:r w:rsidRPr="00B40952">
              <w:rPr>
                <w:rFonts w:ascii="Times New Roman" w:eastAsia="Times New Roman" w:hAnsi="Times New Roman" w:cs="Times New Roman"/>
                <w:i/>
                <w:iCs/>
                <w:color w:val="000000"/>
                <w:sz w:val="16"/>
                <w:szCs w:val="16"/>
              </w:rPr>
              <w:t>euro</w:t>
            </w:r>
          </w:p>
        </w:tc>
        <w:tc>
          <w:tcPr>
            <w:tcW w:w="2025" w:type="dxa"/>
            <w:gridSpan w:val="3"/>
            <w:shd w:val="clear" w:color="auto" w:fill="C6D9F1"/>
            <w:vAlign w:val="center"/>
            <w:hideMark/>
          </w:tcPr>
          <w:p w:rsidR="00B40952" w:rsidRPr="00B40952" w:rsidRDefault="00B40952" w:rsidP="00B40952">
            <w:pPr>
              <w:spacing w:after="0"/>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Vidējais rindu garums dienās</w:t>
            </w:r>
          </w:p>
        </w:tc>
        <w:tc>
          <w:tcPr>
            <w:tcW w:w="628" w:type="dxa"/>
            <w:vMerge w:val="restart"/>
            <w:shd w:val="clear" w:color="auto" w:fill="C6D9F1"/>
            <w:textDirection w:val="btLr"/>
            <w:vAlign w:val="center"/>
          </w:tcPr>
          <w:p w:rsidR="00B40952" w:rsidRPr="00B40952" w:rsidRDefault="00B40952" w:rsidP="00B40952">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2017.gadā %</w:t>
            </w:r>
          </w:p>
        </w:tc>
        <w:tc>
          <w:tcPr>
            <w:tcW w:w="769" w:type="dxa"/>
            <w:vMerge w:val="restart"/>
            <w:shd w:val="clear" w:color="auto" w:fill="C6D9F1"/>
            <w:textDirection w:val="btLr"/>
            <w:vAlign w:val="center"/>
          </w:tcPr>
          <w:p w:rsidR="00B40952" w:rsidRPr="00B40952" w:rsidRDefault="00B40952" w:rsidP="00B40952">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Rindas garums  ar pacientu uzvedības maiņu 2017.gadā</w:t>
            </w:r>
          </w:p>
        </w:tc>
        <w:tc>
          <w:tcPr>
            <w:tcW w:w="910" w:type="dxa"/>
            <w:vMerge w:val="restart"/>
            <w:shd w:val="clear" w:color="auto" w:fill="C6D9F1"/>
            <w:textDirection w:val="btLr"/>
            <w:vAlign w:val="center"/>
          </w:tcPr>
          <w:p w:rsidR="00B40952" w:rsidRPr="00B40952" w:rsidRDefault="00B40952" w:rsidP="00B40952">
            <w:pPr>
              <w:spacing w:after="0"/>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ar pacientu uzvedības maiņu 2017.gadā</w:t>
            </w:r>
          </w:p>
        </w:tc>
      </w:tr>
      <w:tr w:rsidR="00B40952" w:rsidRPr="00B40952" w:rsidTr="00B40952">
        <w:trPr>
          <w:cantSplit/>
          <w:trHeight w:val="1163"/>
          <w:jc w:val="center"/>
        </w:trPr>
        <w:tc>
          <w:tcPr>
            <w:tcW w:w="1798" w:type="dxa"/>
            <w:vMerge/>
            <w:vAlign w:val="center"/>
            <w:hideMark/>
          </w:tcPr>
          <w:p w:rsidR="00B40952" w:rsidRPr="00B40952" w:rsidRDefault="00B40952" w:rsidP="00B40952">
            <w:pPr>
              <w:jc w:val="center"/>
              <w:rPr>
                <w:rFonts w:ascii="Times New Roman" w:eastAsia="Times New Roman" w:hAnsi="Times New Roman" w:cs="Times New Roman"/>
                <w:color w:val="000000"/>
                <w:sz w:val="16"/>
                <w:szCs w:val="16"/>
              </w:rPr>
            </w:pPr>
          </w:p>
        </w:tc>
        <w:tc>
          <w:tcPr>
            <w:tcW w:w="656" w:type="dxa"/>
            <w:vMerge/>
            <w:vAlign w:val="center"/>
            <w:hideMark/>
          </w:tcPr>
          <w:p w:rsidR="00B40952" w:rsidRPr="00B40952" w:rsidRDefault="00B40952" w:rsidP="00B40952">
            <w:pPr>
              <w:rPr>
                <w:rFonts w:ascii="Times New Roman" w:eastAsia="Times New Roman" w:hAnsi="Times New Roman" w:cs="Times New Roman"/>
                <w:color w:val="000000"/>
                <w:sz w:val="16"/>
                <w:szCs w:val="16"/>
              </w:rPr>
            </w:pPr>
          </w:p>
        </w:tc>
        <w:tc>
          <w:tcPr>
            <w:tcW w:w="737" w:type="dxa"/>
            <w:vMerge/>
          </w:tcPr>
          <w:p w:rsidR="00B40952" w:rsidRPr="00B40952" w:rsidRDefault="00B40952" w:rsidP="00B40952">
            <w:pPr>
              <w:rPr>
                <w:rFonts w:ascii="Times New Roman" w:eastAsia="Times New Roman" w:hAnsi="Times New Roman" w:cs="Times New Roman"/>
                <w:color w:val="000000"/>
                <w:sz w:val="16"/>
                <w:szCs w:val="16"/>
              </w:rPr>
            </w:pPr>
          </w:p>
        </w:tc>
        <w:tc>
          <w:tcPr>
            <w:tcW w:w="769" w:type="dxa"/>
            <w:vMerge/>
            <w:vAlign w:val="center"/>
            <w:hideMark/>
          </w:tcPr>
          <w:p w:rsidR="00B40952" w:rsidRPr="00B40952" w:rsidRDefault="00B40952" w:rsidP="00B40952">
            <w:pPr>
              <w:rPr>
                <w:rFonts w:ascii="Times New Roman" w:eastAsia="Times New Roman" w:hAnsi="Times New Roman" w:cs="Times New Roman"/>
                <w:color w:val="000000"/>
                <w:sz w:val="16"/>
                <w:szCs w:val="16"/>
              </w:rPr>
            </w:pPr>
          </w:p>
        </w:tc>
        <w:tc>
          <w:tcPr>
            <w:tcW w:w="769" w:type="dxa"/>
            <w:vMerge/>
            <w:vAlign w:val="center"/>
            <w:hideMark/>
          </w:tcPr>
          <w:p w:rsidR="00B40952" w:rsidRPr="00B40952" w:rsidRDefault="00B40952" w:rsidP="00B40952">
            <w:pPr>
              <w:rPr>
                <w:rFonts w:ascii="Times New Roman" w:eastAsia="Times New Roman" w:hAnsi="Times New Roman" w:cs="Times New Roman"/>
                <w:color w:val="000000"/>
                <w:sz w:val="16"/>
                <w:szCs w:val="16"/>
              </w:rPr>
            </w:pPr>
          </w:p>
        </w:tc>
        <w:tc>
          <w:tcPr>
            <w:tcW w:w="656" w:type="dxa"/>
            <w:shd w:val="clear" w:color="auto" w:fill="C6D9F1"/>
            <w:textDirection w:val="btLr"/>
            <w:vAlign w:val="center"/>
            <w:hideMark/>
          </w:tcPr>
          <w:p w:rsidR="00B40952" w:rsidRPr="00B40952" w:rsidRDefault="00B40952" w:rsidP="00B40952">
            <w:pPr>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Pirms reformu īstenošanas</w:t>
            </w:r>
          </w:p>
        </w:tc>
        <w:tc>
          <w:tcPr>
            <w:tcW w:w="656" w:type="dxa"/>
            <w:shd w:val="clear" w:color="auto" w:fill="C6D9F1"/>
            <w:textDirection w:val="btLr"/>
            <w:vAlign w:val="center"/>
            <w:hideMark/>
          </w:tcPr>
          <w:p w:rsidR="00B40952" w:rsidRPr="00B40952" w:rsidRDefault="00B40952" w:rsidP="00B40952">
            <w:pPr>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Uz 2018.gada 1.janvāri</w:t>
            </w:r>
          </w:p>
        </w:tc>
        <w:tc>
          <w:tcPr>
            <w:tcW w:w="713" w:type="dxa"/>
            <w:shd w:val="clear" w:color="auto" w:fill="C6D9F1"/>
            <w:textDirection w:val="btLr"/>
            <w:vAlign w:val="center"/>
            <w:hideMark/>
          </w:tcPr>
          <w:p w:rsidR="00B40952" w:rsidRPr="00B40952" w:rsidRDefault="00B40952" w:rsidP="00B40952">
            <w:pPr>
              <w:ind w:left="113" w:right="113"/>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Rindu samazi-nājums 2017.gadā</w:t>
            </w:r>
          </w:p>
        </w:tc>
        <w:tc>
          <w:tcPr>
            <w:tcW w:w="628" w:type="dxa"/>
            <w:vMerge/>
            <w:shd w:val="clear" w:color="000000" w:fill="FCE4D6"/>
          </w:tcPr>
          <w:p w:rsidR="00B40952" w:rsidRPr="00B40952" w:rsidRDefault="00B40952" w:rsidP="00B40952">
            <w:pPr>
              <w:jc w:val="center"/>
              <w:rPr>
                <w:rFonts w:ascii="Times New Roman" w:eastAsia="Times New Roman" w:hAnsi="Times New Roman" w:cs="Times New Roman"/>
                <w:color w:val="000000"/>
                <w:sz w:val="16"/>
                <w:szCs w:val="16"/>
              </w:rPr>
            </w:pPr>
          </w:p>
        </w:tc>
        <w:tc>
          <w:tcPr>
            <w:tcW w:w="769" w:type="dxa"/>
            <w:vMerge/>
            <w:shd w:val="clear" w:color="000000" w:fill="FCE4D6"/>
          </w:tcPr>
          <w:p w:rsidR="00B40952" w:rsidRPr="00B40952" w:rsidRDefault="00B40952" w:rsidP="00B40952">
            <w:pPr>
              <w:jc w:val="center"/>
              <w:rPr>
                <w:rFonts w:ascii="Times New Roman" w:eastAsia="Times New Roman" w:hAnsi="Times New Roman" w:cs="Times New Roman"/>
                <w:color w:val="000000"/>
                <w:sz w:val="16"/>
                <w:szCs w:val="16"/>
              </w:rPr>
            </w:pPr>
          </w:p>
        </w:tc>
        <w:tc>
          <w:tcPr>
            <w:tcW w:w="910" w:type="dxa"/>
            <w:vMerge/>
            <w:shd w:val="clear" w:color="000000" w:fill="FCE4D6"/>
            <w:vAlign w:val="center"/>
          </w:tcPr>
          <w:p w:rsidR="00B40952" w:rsidRPr="00B40952" w:rsidRDefault="00B40952" w:rsidP="00B40952">
            <w:pPr>
              <w:jc w:val="center"/>
              <w:rPr>
                <w:rFonts w:ascii="Times New Roman" w:eastAsia="Times New Roman" w:hAnsi="Times New Roman" w:cs="Times New Roman"/>
                <w:color w:val="000000"/>
                <w:sz w:val="16"/>
                <w:szCs w:val="16"/>
              </w:rPr>
            </w:pPr>
          </w:p>
        </w:tc>
      </w:tr>
      <w:tr w:rsidR="00B40952" w:rsidRPr="00B40952" w:rsidTr="00B40952">
        <w:trPr>
          <w:trHeight w:val="61"/>
          <w:jc w:val="center"/>
        </w:trPr>
        <w:tc>
          <w:tcPr>
            <w:tcW w:w="1798" w:type="dxa"/>
            <w:shd w:val="clear" w:color="auto" w:fill="FFFFFF"/>
            <w:noWrap/>
            <w:vAlign w:val="bottom"/>
            <w:hideMark/>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252 ārstniecības iestādes</w:t>
            </w:r>
          </w:p>
        </w:tc>
        <w:tc>
          <w:tcPr>
            <w:tcW w:w="656" w:type="dxa"/>
            <w:shd w:val="clear" w:color="auto" w:fill="FFFFFF"/>
            <w:noWrap/>
            <w:vAlign w:val="center"/>
            <w:hideMark/>
          </w:tcPr>
          <w:p w:rsidR="00B40952" w:rsidRPr="00B40952" w:rsidRDefault="00B40952" w:rsidP="00B40952">
            <w:pPr>
              <w:jc w:val="center"/>
              <w:rPr>
                <w:rFonts w:ascii="Times New Roman" w:eastAsia="Times New Roman" w:hAnsi="Times New Roman" w:cs="Times New Roman"/>
                <w:sz w:val="16"/>
                <w:szCs w:val="16"/>
              </w:rPr>
            </w:pPr>
            <w:r w:rsidRPr="00B40952">
              <w:rPr>
                <w:rFonts w:ascii="Times New Roman" w:eastAsia="Times New Roman" w:hAnsi="Times New Roman" w:cs="Times New Roman"/>
                <w:sz w:val="16"/>
                <w:szCs w:val="16"/>
              </w:rPr>
              <w:t>70</w:t>
            </w:r>
            <w:r w:rsidR="00BC5F6B">
              <w:rPr>
                <w:rFonts w:ascii="Times New Roman" w:eastAsia="Times New Roman" w:hAnsi="Times New Roman" w:cs="Times New Roman"/>
                <w:sz w:val="16"/>
                <w:szCs w:val="16"/>
              </w:rPr>
              <w:t> </w:t>
            </w:r>
            <w:r w:rsidRPr="00B40952">
              <w:rPr>
                <w:rFonts w:ascii="Times New Roman" w:eastAsia="Times New Roman" w:hAnsi="Times New Roman" w:cs="Times New Roman"/>
                <w:sz w:val="16"/>
                <w:szCs w:val="16"/>
              </w:rPr>
              <w:t>028</w:t>
            </w:r>
          </w:p>
        </w:tc>
        <w:tc>
          <w:tcPr>
            <w:tcW w:w="737" w:type="dxa"/>
            <w:shd w:val="clear" w:color="auto" w:fill="FFFFFF"/>
            <w:vAlign w:val="center"/>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58</w:t>
            </w:r>
            <w:r w:rsidR="00BC5F6B">
              <w:rPr>
                <w:rFonts w:ascii="Times New Roman" w:eastAsia="Times New Roman" w:hAnsi="Times New Roman" w:cs="Times New Roman"/>
                <w:sz w:val="16"/>
                <w:szCs w:val="16"/>
              </w:rPr>
              <w:t> </w:t>
            </w:r>
            <w:r w:rsidRPr="00B40952">
              <w:rPr>
                <w:rFonts w:ascii="Times New Roman" w:eastAsia="Times New Roman" w:hAnsi="Times New Roman" w:cs="Times New Roman"/>
                <w:color w:val="000000"/>
                <w:sz w:val="16"/>
                <w:szCs w:val="16"/>
              </w:rPr>
              <w:t>356</w:t>
            </w:r>
          </w:p>
        </w:tc>
        <w:tc>
          <w:tcPr>
            <w:tcW w:w="769" w:type="dxa"/>
            <w:shd w:val="clear" w:color="auto" w:fill="FFFFFF"/>
            <w:noWrap/>
            <w:vAlign w:val="center"/>
            <w:hideMark/>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508</w:t>
            </w:r>
            <w:r w:rsidR="00BC5F6B">
              <w:rPr>
                <w:rFonts w:ascii="Times New Roman" w:eastAsia="Times New Roman" w:hAnsi="Times New Roman" w:cs="Times New Roman"/>
                <w:sz w:val="16"/>
                <w:szCs w:val="16"/>
              </w:rPr>
              <w:t> </w:t>
            </w:r>
            <w:r w:rsidRPr="00B40952">
              <w:rPr>
                <w:rFonts w:ascii="Times New Roman" w:eastAsia="Times New Roman" w:hAnsi="Times New Roman" w:cs="Times New Roman"/>
                <w:color w:val="000000"/>
                <w:sz w:val="16"/>
                <w:szCs w:val="16"/>
              </w:rPr>
              <w:t>470</w:t>
            </w:r>
          </w:p>
        </w:tc>
        <w:tc>
          <w:tcPr>
            <w:tcW w:w="769" w:type="dxa"/>
            <w:shd w:val="clear" w:color="auto" w:fill="FFFFFF"/>
            <w:noWrap/>
            <w:vAlign w:val="center"/>
            <w:hideMark/>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b/>
                <w:color w:val="000000"/>
                <w:sz w:val="16"/>
                <w:szCs w:val="16"/>
              </w:rPr>
              <w:t>541</w:t>
            </w:r>
            <w:r w:rsidR="00BC5F6B">
              <w:rPr>
                <w:rFonts w:ascii="Times New Roman" w:eastAsia="Times New Roman" w:hAnsi="Times New Roman" w:cs="Times New Roman"/>
                <w:sz w:val="16"/>
                <w:szCs w:val="16"/>
              </w:rPr>
              <w:t> </w:t>
            </w:r>
            <w:r w:rsidRPr="00B40952">
              <w:rPr>
                <w:rFonts w:ascii="Times New Roman" w:eastAsia="Times New Roman" w:hAnsi="Times New Roman" w:cs="Times New Roman"/>
                <w:b/>
                <w:color w:val="000000"/>
                <w:sz w:val="16"/>
                <w:szCs w:val="16"/>
              </w:rPr>
              <w:t>225</w:t>
            </w:r>
          </w:p>
        </w:tc>
        <w:tc>
          <w:tcPr>
            <w:tcW w:w="656" w:type="dxa"/>
            <w:shd w:val="clear" w:color="auto" w:fill="FFFFFF"/>
            <w:vAlign w:val="center"/>
            <w:hideMark/>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500,20</w:t>
            </w:r>
          </w:p>
        </w:tc>
        <w:tc>
          <w:tcPr>
            <w:tcW w:w="656" w:type="dxa"/>
            <w:shd w:val="clear" w:color="auto" w:fill="FFFFFF"/>
            <w:vAlign w:val="center"/>
            <w:hideMark/>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471,80</w:t>
            </w:r>
          </w:p>
        </w:tc>
        <w:tc>
          <w:tcPr>
            <w:tcW w:w="713" w:type="dxa"/>
            <w:shd w:val="clear" w:color="auto" w:fill="FFFFFF"/>
            <w:vAlign w:val="center"/>
            <w:hideMark/>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28,40</w:t>
            </w:r>
          </w:p>
        </w:tc>
        <w:tc>
          <w:tcPr>
            <w:tcW w:w="628" w:type="dxa"/>
            <w:shd w:val="clear" w:color="auto" w:fill="FFFFFF"/>
            <w:vAlign w:val="center"/>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5,68</w:t>
            </w:r>
          </w:p>
        </w:tc>
        <w:tc>
          <w:tcPr>
            <w:tcW w:w="769" w:type="dxa"/>
            <w:shd w:val="clear" w:color="auto" w:fill="FFFFFF"/>
            <w:vAlign w:val="center"/>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406,16</w:t>
            </w:r>
          </w:p>
        </w:tc>
        <w:tc>
          <w:tcPr>
            <w:tcW w:w="910" w:type="dxa"/>
            <w:shd w:val="clear" w:color="auto" w:fill="FFFFFF"/>
            <w:vAlign w:val="center"/>
          </w:tcPr>
          <w:p w:rsidR="00B40952" w:rsidRPr="00B40952" w:rsidRDefault="00B40952" w:rsidP="00B40952">
            <w:pPr>
              <w:jc w:val="center"/>
              <w:rPr>
                <w:rFonts w:ascii="Times New Roman" w:eastAsia="Times New Roman" w:hAnsi="Times New Roman" w:cs="Times New Roman"/>
                <w:color w:val="000000"/>
                <w:sz w:val="16"/>
                <w:szCs w:val="16"/>
              </w:rPr>
            </w:pPr>
            <w:r w:rsidRPr="00B40952">
              <w:rPr>
                <w:rFonts w:ascii="Times New Roman" w:eastAsia="Times New Roman" w:hAnsi="Times New Roman" w:cs="Times New Roman"/>
                <w:color w:val="000000"/>
                <w:sz w:val="16"/>
                <w:szCs w:val="16"/>
              </w:rPr>
              <w:t>94,04</w:t>
            </w:r>
          </w:p>
        </w:tc>
      </w:tr>
    </w:tbl>
    <w:p w:rsidR="00B40952" w:rsidRPr="00B40952" w:rsidRDefault="00B40952" w:rsidP="00685E75">
      <w:pPr>
        <w:spacing w:before="120" w:after="0" w:line="240" w:lineRule="auto"/>
        <w:ind w:firstLine="720"/>
        <w:jc w:val="both"/>
        <w:rPr>
          <w:rFonts w:ascii="Times New Roman" w:eastAsia="Calibri" w:hAnsi="Times New Roman" w:cs="Times New Roman"/>
          <w:color w:val="000000"/>
          <w:sz w:val="24"/>
          <w:szCs w:val="24"/>
        </w:rPr>
      </w:pPr>
      <w:r w:rsidRPr="00B40952">
        <w:rPr>
          <w:rFonts w:ascii="Times New Roman" w:eastAsia="Times New Roman" w:hAnsi="Times New Roman" w:cs="Times New Roman"/>
          <w:sz w:val="24"/>
          <w:szCs w:val="24"/>
        </w:rPr>
        <w:t xml:space="preserve">Atbilstoši 2017.gada gada faktiskajai izpildei </w:t>
      </w:r>
      <w:r w:rsidRPr="00B40952">
        <w:rPr>
          <w:rFonts w:ascii="Times New Roman" w:eastAsia="Times New Roman" w:hAnsi="Times New Roman" w:cs="Times New Roman"/>
          <w:sz w:val="24"/>
          <w:szCs w:val="24"/>
          <w:lang w:bidi="lo-LA"/>
        </w:rPr>
        <w:t xml:space="preserve">ambulatorās rehabilitācijas </w:t>
      </w:r>
      <w:r w:rsidRPr="00B40952">
        <w:rPr>
          <w:rFonts w:ascii="Times New Roman" w:eastAsia="Times New Roman" w:hAnsi="Times New Roman" w:cs="Times New Roman"/>
          <w:sz w:val="24"/>
          <w:szCs w:val="24"/>
        </w:rPr>
        <w:t>pieaugums īstenots 83,33% apmērā no gada plānotā pieauguma apjoma rehabilitācijā. Līdz ar minēto secināms, ka laika periodā no 2017.gada marta līdz decembrim rindu samazinājums nodrošināts ārstniecības iestāžu iespēju un pieejamā finansējuma robežās, vidēji samazinot rindu garumu uz rehabilitācijas pakalpojumiem par 5,68%. Papildus atzīmējam, ka ne visas ārstniecības iestādes nodrošina ambulatoro rehabilitāciju, kā rezultātā rindu samazinājums par 6% vidēji ir vērtējams kā būtisks.</w:t>
      </w:r>
    </w:p>
    <w:p w:rsidR="00B40952" w:rsidRDefault="00D81AF8" w:rsidP="00BC5F6B">
      <w:pPr>
        <w:autoSpaceDE w:val="0"/>
        <w:autoSpaceDN w:val="0"/>
        <w:adjustRightInd w:val="0"/>
        <w:spacing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pict>
          <v:shape id="Text Box 2" o:spid="_x0000_s1032" type="#_x0000_t202" style="position:absolute;left:0;text-align:left;margin-left:2086.4pt;margin-top:83.55pt;width:464pt;height:55.5pt;z-index:25168076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FGKAIAAE0EAAAOAAAAZHJzL2Uyb0RvYy54bWysVNuO2yAQfa/Uf0C8N3aspEmsOKtttqkq&#10;bS/Sbj8AYxyjAkOBxE6/vgPOZqNt+1LVD4hhhsOZMzNe3wxakaNwXoKp6HSSUyIMh0aafUW/Pe7e&#10;LCnxgZmGKTCioifh6c3m9at1b0tRQAeqEY4giPFlbyvahWDLLPO8E5r5CVhh0NmC0yyg6fZZ41iP&#10;6FplRZ6/zXpwjXXAhfd4ejc66Sbht63g4UvbehGIqihyC2l1aa3jmm3WrNw7ZjvJzzTYP7DQTBp8&#10;9AJ1xwIjByd/g9KSO/DQhgkHnUHbSi5SDpjNNH+RzUPHrEi5oDjeXmTy/w+Wfz5+dUQ2FS2mC0oM&#10;01ikRzEE8g4GUkR9eutLDHuwGBgGPMY6p1y9vQf+3RMD246Zvbh1DvpOsAb5TePN7OrqiOMjSN1/&#10;ggafYYcACWhonY7ioRwE0bFOp0ttIhWOh/Plqljm6OLoW+Sz5TwVL2Pl023rfPggQJO4qajD2id0&#10;drz3IbJh5VNIfMyDks1OKpUMt6+3ypEjwz7ZpS8l8CJMGdJXdDUv5qMAf4XI0/cnCC0DNrySuqKY&#10;Dn4xiJVRtvemSfvApBr3SFmZs45RulHEMNRDKtks3o0a19CcUFgHY3/jPOKmA/eTkh57u6L+x4E5&#10;QYn6aLA4q+lsFochGbP5okDDXXvqaw8zHKEqGigZt9uQBijSNnCLRWxl0veZyZky9myS/TxfcSiu&#10;7RT1/BfY/AIAAP//AwBQSwMEFAAGAAgAAAAhAPfINf/eAAAACAEAAA8AAABkcnMvZG93bnJldi54&#10;bWxMj0FPhDAQhe8m/odmTLwYt4AGWKRsjIlGb7oavXbpLBDpFNsui//e8aTHee/lzffqzWJHMaMP&#10;gyMF6SoBgdQ6M1Cn4O31/rIEEaImo0dHqOAbA2ya05NaV8Yd6QXnbewEl1CotII+xqmSMrQ9Wh1W&#10;bkJib++81ZFP30nj9ZHL7SizJMml1QPxh15PeNdj+7k9WAXl9eP8EZ6unt/bfD+u40UxP3x5pc7P&#10;ltsbEBGX+BeGX3xGh4aZdu5AJohRAQ+JrOZFCoLtdVayslOQFWUKsqnl/wHNDwAAAP//AwBQSwEC&#10;LQAUAAYACAAAACEAtoM4kv4AAADhAQAAEwAAAAAAAAAAAAAAAAAAAAAAW0NvbnRlbnRfVHlwZXNd&#10;LnhtbFBLAQItABQABgAIAAAAIQA4/SH/1gAAAJQBAAALAAAAAAAAAAAAAAAAAC8BAABfcmVscy8u&#10;cmVsc1BLAQItABQABgAIAAAAIQA9PWFGKAIAAE0EAAAOAAAAAAAAAAAAAAAAAC4CAABkcnMvZTJv&#10;RG9jLnhtbFBLAQItABQABgAIAAAAIQD3yDX/3gAAAAgBAAAPAAAAAAAAAAAAAAAAAIIEAABkcnMv&#10;ZG93bnJldi54bWxQSwUGAAAAAAQABADzAAAAjQUAAAAA&#10;">
            <v:textbox>
              <w:txbxContent>
                <w:p w:rsidR="00D81AF8" w:rsidRDefault="00D81AF8" w:rsidP="00533787">
                  <w:pPr>
                    <w:autoSpaceDE w:val="0"/>
                    <w:autoSpaceDN w:val="0"/>
                    <w:adjustRightInd w:val="0"/>
                    <w:spacing w:after="120" w:line="293" w:lineRule="atLeast"/>
                    <w:ind w:firstLine="425"/>
                    <w:jc w:val="both"/>
                    <w:rPr>
                      <w:rFonts w:ascii="Times New Roman" w:hAnsi="Times New Roman"/>
                      <w:b/>
                      <w:bCs/>
                      <w:sz w:val="24"/>
                      <w:szCs w:val="24"/>
                    </w:rPr>
                  </w:pPr>
                  <w:r>
                    <w:rPr>
                      <w:rFonts w:ascii="Times New Roman" w:hAnsi="Times New Roman"/>
                      <w:b/>
                      <w:bCs/>
                      <w:sz w:val="24"/>
                      <w:szCs w:val="24"/>
                    </w:rPr>
                    <w:t xml:space="preserve">Secināms, ka </w:t>
                  </w:r>
                  <w:r w:rsidRPr="0012317D">
                    <w:rPr>
                      <w:rFonts w:ascii="Times New Roman" w:hAnsi="Times New Roman"/>
                      <w:b/>
                      <w:bCs/>
                      <w:sz w:val="24"/>
                      <w:szCs w:val="24"/>
                    </w:rPr>
                    <w:t xml:space="preserve">reformas </w:t>
                  </w:r>
                  <w:r>
                    <w:rPr>
                      <w:rFonts w:ascii="Times New Roman" w:hAnsi="Times New Roman"/>
                      <w:b/>
                      <w:bCs/>
                      <w:sz w:val="24"/>
                      <w:szCs w:val="24"/>
                    </w:rPr>
                    <w:t>2017.gadā ambulatorajā aprūpe tika veiksmīgi īstenotas un tādējādi tās ir turpināmas,</w:t>
                  </w:r>
                  <w:r w:rsidRPr="0012317D">
                    <w:rPr>
                      <w:rFonts w:ascii="Times New Roman" w:hAnsi="Times New Roman"/>
                      <w:b/>
                      <w:bCs/>
                      <w:sz w:val="24"/>
                      <w:szCs w:val="24"/>
                    </w:rPr>
                    <w:t xml:space="preserve"> lai nodrošinātu, ka līdz 2019.gada beigām </w:t>
                  </w:r>
                  <w:r>
                    <w:rPr>
                      <w:rFonts w:ascii="Times New Roman" w:hAnsi="Times New Roman"/>
                      <w:b/>
                      <w:bCs/>
                      <w:sz w:val="24"/>
                      <w:szCs w:val="24"/>
                    </w:rPr>
                    <w:t xml:space="preserve">vidējais </w:t>
                  </w:r>
                  <w:r w:rsidRPr="0012317D">
                    <w:rPr>
                      <w:rFonts w:ascii="Times New Roman" w:hAnsi="Times New Roman"/>
                      <w:b/>
                      <w:bCs/>
                      <w:sz w:val="24"/>
                      <w:szCs w:val="24"/>
                    </w:rPr>
                    <w:t xml:space="preserve">rindu apjoms ambulatorā aprūpē samazinās par 50%, </w:t>
                  </w:r>
                  <w:r>
                    <w:rPr>
                      <w:rFonts w:ascii="Times New Roman" w:hAnsi="Times New Roman"/>
                      <w:b/>
                      <w:bCs/>
                      <w:sz w:val="24"/>
                      <w:szCs w:val="24"/>
                    </w:rPr>
                    <w:t xml:space="preserve">pasākums </w:t>
                  </w:r>
                </w:p>
                <w:p w:rsidR="00D81AF8" w:rsidRDefault="00D81AF8" w:rsidP="00533787">
                  <w:pPr>
                    <w:autoSpaceDE w:val="0"/>
                    <w:autoSpaceDN w:val="0"/>
                    <w:adjustRightInd w:val="0"/>
                    <w:spacing w:after="120" w:line="293" w:lineRule="atLeast"/>
                    <w:jc w:val="both"/>
                    <w:rPr>
                      <w:rFonts w:ascii="Times New Roman" w:hAnsi="Times New Roman" w:cs="Times New Roman"/>
                      <w:sz w:val="24"/>
                      <w:szCs w:val="24"/>
                    </w:rPr>
                  </w:pPr>
                </w:p>
                <w:p w:rsidR="00D81AF8" w:rsidRDefault="00D81AF8" w:rsidP="00533787">
                  <w:pPr>
                    <w:spacing w:after="120"/>
                  </w:pPr>
                </w:p>
              </w:txbxContent>
            </v:textbox>
            <w10:wrap type="square" anchorx="margin"/>
          </v:shape>
        </w:pict>
      </w:r>
      <w:r w:rsidR="00B40952" w:rsidRPr="00B40952">
        <w:rPr>
          <w:rFonts w:ascii="Times New Roman" w:eastAsia="Times New Roman" w:hAnsi="Times New Roman" w:cs="Times New Roman"/>
          <w:sz w:val="24"/>
          <w:szCs w:val="24"/>
        </w:rPr>
        <w:t xml:space="preserve">Ņemot vērā to, ka pacienti ārstniecības iestādēs nonākuši sarežģītāku diagnožu dēļ, kam atbilstoši bija nepieciešams ilgāks rehabilitācijas process ar izmaksu ietilpīgākiem pakalpojumiem, tā rezultātā faktiski realizētais pakalpojumu apjoms ir mazāks nekā sākotnēji tika plānots. Jāvērš uzmanību, ka būtiskākās rindas veidojot pakalpojumos kuros pieejamība ir atkarīga no ārstniecības iestāžu un speciālistu kapacitātes. </w:t>
      </w:r>
    </w:p>
    <w:p w:rsidR="00533787" w:rsidRPr="00B40952" w:rsidRDefault="00533787" w:rsidP="00533787">
      <w:pPr>
        <w:autoSpaceDE w:val="0"/>
        <w:autoSpaceDN w:val="0"/>
        <w:adjustRightInd w:val="0"/>
        <w:spacing w:after="0" w:line="240" w:lineRule="auto"/>
        <w:ind w:firstLine="851"/>
        <w:jc w:val="both"/>
        <w:rPr>
          <w:rFonts w:ascii="Times New Roman" w:eastAsia="Times New Roman" w:hAnsi="Times New Roman" w:cs="Times New Roman"/>
          <w:sz w:val="24"/>
          <w:szCs w:val="24"/>
        </w:rPr>
      </w:pPr>
    </w:p>
    <w:p w:rsidR="00B40952" w:rsidRPr="00B40952" w:rsidRDefault="00B40952" w:rsidP="00533787">
      <w:pPr>
        <w:numPr>
          <w:ilvl w:val="0"/>
          <w:numId w:val="37"/>
        </w:numPr>
        <w:spacing w:before="240" w:after="0" w:line="240" w:lineRule="auto"/>
        <w:ind w:left="1077" w:hanging="357"/>
        <w:contextualSpacing/>
        <w:jc w:val="both"/>
        <w:rPr>
          <w:rFonts w:ascii="Times New Roman" w:eastAsia="Calibri" w:hAnsi="Times New Roman" w:cs="Times New Roman"/>
          <w:b/>
          <w:color w:val="000000"/>
          <w:sz w:val="24"/>
          <w:szCs w:val="24"/>
          <w:u w:val="single"/>
        </w:rPr>
      </w:pPr>
      <w:r w:rsidRPr="00B40952">
        <w:rPr>
          <w:rFonts w:ascii="Times New Roman" w:eastAsia="Calibri" w:hAnsi="Times New Roman" w:cs="Times New Roman"/>
          <w:b/>
          <w:color w:val="000000"/>
          <w:sz w:val="24"/>
          <w:szCs w:val="24"/>
          <w:u w:val="single"/>
        </w:rPr>
        <w:t>pasākums. Valsts kompensējamo medikamentu nodrošinājums VHC pacientiem F3-F4 stadijā</w:t>
      </w:r>
    </w:p>
    <w:p w:rsidR="00B40952" w:rsidRPr="001E2C89" w:rsidRDefault="00B40952" w:rsidP="00533787">
      <w:pPr>
        <w:spacing w:before="120" w:after="0" w:line="240" w:lineRule="auto"/>
        <w:ind w:firstLine="720"/>
        <w:jc w:val="both"/>
        <w:rPr>
          <w:rFonts w:ascii="Times New Roman" w:eastAsia="Calibri" w:hAnsi="Times New Roman" w:cs="Times New Roman"/>
          <w:color w:val="000000" w:themeColor="text1"/>
          <w:sz w:val="24"/>
          <w:szCs w:val="24"/>
        </w:rPr>
      </w:pPr>
      <w:r w:rsidRPr="001E2C89">
        <w:rPr>
          <w:rFonts w:ascii="Times New Roman" w:eastAsia="Calibri" w:hAnsi="Times New Roman" w:cs="Times New Roman"/>
          <w:color w:val="000000" w:themeColor="text1"/>
          <w:sz w:val="24"/>
          <w:szCs w:val="24"/>
        </w:rPr>
        <w:t xml:space="preserve">Lai mazinātu VHC izplatību un veicinātu inficēto personu izārstēšanos, tiek īstenots </w:t>
      </w:r>
      <w:r w:rsidRPr="001E2C89">
        <w:rPr>
          <w:rFonts w:ascii="Times New Roman" w:eastAsia="Times New Roman" w:hAnsi="Times New Roman" w:cs="Times New Roman"/>
          <w:color w:val="000000" w:themeColor="text1"/>
          <w:sz w:val="24"/>
          <w:szCs w:val="24"/>
        </w:rPr>
        <w:t>kompensējamo medikamentu C hepatīta ārstēšanai F3</w:t>
      </w:r>
      <w:r w:rsidR="00685E75" w:rsidRPr="001E2C89">
        <w:rPr>
          <w:rFonts w:ascii="Times New Roman" w:eastAsia="Calibri" w:hAnsi="Times New Roman" w:cs="Times New Roman"/>
          <w:color w:val="000000" w:themeColor="text1"/>
          <w:sz w:val="24"/>
          <w:szCs w:val="24"/>
        </w:rPr>
        <w:t>–</w:t>
      </w:r>
      <w:r w:rsidRPr="001E2C89">
        <w:rPr>
          <w:rFonts w:ascii="Times New Roman" w:eastAsia="Times New Roman" w:hAnsi="Times New Roman" w:cs="Times New Roman"/>
          <w:color w:val="000000" w:themeColor="text1"/>
          <w:sz w:val="24"/>
          <w:szCs w:val="24"/>
        </w:rPr>
        <w:t>F4 aknu bojājuma stadijā pakalpojuma apjoma pieaugums.</w:t>
      </w:r>
    </w:p>
    <w:p w:rsidR="00B40952" w:rsidRPr="001E2C89" w:rsidRDefault="00B40952" w:rsidP="00B40952">
      <w:pPr>
        <w:spacing w:after="0"/>
        <w:jc w:val="right"/>
        <w:rPr>
          <w:rFonts w:ascii="Calibri" w:eastAsia="Times New Roman" w:hAnsi="Calibri" w:cs="Times New Roman"/>
          <w:b/>
          <w:color w:val="414142"/>
        </w:rPr>
      </w:pPr>
      <w:r w:rsidRPr="00BC5F6B">
        <w:rPr>
          <w:rFonts w:ascii="Times New Roman" w:eastAsia="Times New Roman" w:hAnsi="Times New Roman" w:cs="Times New Roman"/>
          <w:b/>
          <w:sz w:val="24"/>
          <w:szCs w:val="24"/>
        </w:rPr>
        <w:t xml:space="preserve">3.20.tabula. </w:t>
      </w:r>
      <w:r w:rsidRPr="001E2C89">
        <w:rPr>
          <w:rFonts w:ascii="Times New Roman" w:eastAsia="Times New Roman" w:hAnsi="Times New Roman" w:cs="Times New Roman"/>
          <w:b/>
          <w:color w:val="000000"/>
          <w:sz w:val="24"/>
          <w:szCs w:val="24"/>
        </w:rPr>
        <w:t>VHC pacientiem F3</w:t>
      </w:r>
      <w:r w:rsidR="00685E75" w:rsidRPr="001E2C89">
        <w:rPr>
          <w:rFonts w:ascii="Times New Roman" w:eastAsia="Calibri" w:hAnsi="Times New Roman" w:cs="Times New Roman"/>
          <w:b/>
          <w:sz w:val="24"/>
          <w:szCs w:val="24"/>
        </w:rPr>
        <w:t>–</w:t>
      </w:r>
      <w:r w:rsidRPr="001E2C89">
        <w:rPr>
          <w:rFonts w:ascii="Times New Roman" w:eastAsia="Times New Roman" w:hAnsi="Times New Roman" w:cs="Times New Roman"/>
          <w:b/>
          <w:color w:val="000000"/>
          <w:sz w:val="24"/>
          <w:szCs w:val="24"/>
        </w:rPr>
        <w:t>F4 stadijā izpilde</w:t>
      </w:r>
    </w:p>
    <w:tbl>
      <w:tblPr>
        <w:tblW w:w="9290" w:type="dxa"/>
        <w:jc w:val="center"/>
        <w:tblLook w:val="04A0" w:firstRow="1" w:lastRow="0" w:firstColumn="1" w:lastColumn="0" w:noHBand="0" w:noVBand="1"/>
      </w:tblPr>
      <w:tblGrid>
        <w:gridCol w:w="3681"/>
        <w:gridCol w:w="1365"/>
        <w:gridCol w:w="1470"/>
        <w:gridCol w:w="1365"/>
        <w:gridCol w:w="1409"/>
      </w:tblGrid>
      <w:tr w:rsidR="00B40952" w:rsidRPr="00B40952" w:rsidTr="00B40952">
        <w:trPr>
          <w:trHeight w:val="458"/>
          <w:jc w:val="center"/>
        </w:trPr>
        <w:tc>
          <w:tcPr>
            <w:tcW w:w="3681" w:type="dxa"/>
            <w:vMerge w:val="restart"/>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jc w:val="center"/>
              <w:rPr>
                <w:rFonts w:ascii="Times New Roman" w:eastAsia="Times New Roman" w:hAnsi="Times New Roman" w:cs="Times New Roman"/>
                <w:color w:val="000000"/>
              </w:rPr>
            </w:pPr>
            <w:r w:rsidRPr="00B40952">
              <w:rPr>
                <w:rFonts w:ascii="Times New Roman" w:eastAsia="Times New Roman" w:hAnsi="Times New Roman" w:cs="Times New Roman"/>
                <w:color w:val="000000"/>
              </w:rPr>
              <w:t xml:space="preserve">Kompensējamie medikamenti VHC ārstēšanai F3-F4 stadijā </w:t>
            </w:r>
          </w:p>
        </w:tc>
        <w:tc>
          <w:tcPr>
            <w:tcW w:w="1365" w:type="dxa"/>
            <w:vMerge w:val="restart"/>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jc w:val="center"/>
              <w:rPr>
                <w:rFonts w:ascii="Times New Roman" w:eastAsia="Times New Roman" w:hAnsi="Times New Roman" w:cs="Times New Roman"/>
                <w:color w:val="000000"/>
              </w:rPr>
            </w:pPr>
            <w:r w:rsidRPr="00B40952">
              <w:rPr>
                <w:rFonts w:ascii="Times New Roman" w:eastAsia="Times New Roman" w:hAnsi="Times New Roman" w:cs="Times New Roman"/>
                <w:color w:val="000000"/>
              </w:rPr>
              <w:t xml:space="preserve">Plānotais pakalpojumu skaits </w:t>
            </w:r>
          </w:p>
        </w:tc>
        <w:tc>
          <w:tcPr>
            <w:tcW w:w="1470" w:type="dxa"/>
            <w:vMerge w:val="restart"/>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jc w:val="center"/>
              <w:rPr>
                <w:rFonts w:ascii="Times New Roman" w:eastAsia="Times New Roman" w:hAnsi="Times New Roman" w:cs="Times New Roman"/>
                <w:color w:val="000000"/>
              </w:rPr>
            </w:pPr>
            <w:r w:rsidRPr="00B40952">
              <w:rPr>
                <w:rFonts w:ascii="Times New Roman" w:eastAsia="Times New Roman" w:hAnsi="Times New Roman" w:cs="Times New Roman"/>
                <w:color w:val="000000"/>
              </w:rPr>
              <w:t xml:space="preserve">Plānotais finansējums  </w:t>
            </w:r>
            <w:r w:rsidRPr="00B40952">
              <w:rPr>
                <w:rFonts w:ascii="Times New Roman" w:eastAsia="Times New Roman" w:hAnsi="Times New Roman" w:cs="Times New Roman"/>
                <w:i/>
                <w:iCs/>
                <w:color w:val="000000"/>
              </w:rPr>
              <w:t>euro</w:t>
            </w:r>
          </w:p>
        </w:tc>
        <w:tc>
          <w:tcPr>
            <w:tcW w:w="1365" w:type="dxa"/>
            <w:vMerge w:val="restart"/>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jc w:val="center"/>
              <w:rPr>
                <w:rFonts w:ascii="Times New Roman" w:eastAsia="Times New Roman" w:hAnsi="Times New Roman" w:cs="Times New Roman"/>
                <w:color w:val="000000"/>
              </w:rPr>
            </w:pPr>
            <w:r w:rsidRPr="00B40952">
              <w:rPr>
                <w:rFonts w:ascii="Times New Roman" w:eastAsia="Times New Roman" w:hAnsi="Times New Roman" w:cs="Times New Roman"/>
                <w:color w:val="000000"/>
              </w:rPr>
              <w:t>Faktiskais pakalpojumu skaits</w:t>
            </w:r>
          </w:p>
        </w:tc>
        <w:tc>
          <w:tcPr>
            <w:tcW w:w="1409" w:type="dxa"/>
            <w:vMerge w:val="restart"/>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jc w:val="center"/>
              <w:rPr>
                <w:rFonts w:ascii="Times New Roman" w:eastAsia="Times New Roman" w:hAnsi="Times New Roman" w:cs="Times New Roman"/>
                <w:color w:val="000000"/>
              </w:rPr>
            </w:pPr>
            <w:r w:rsidRPr="00B40952">
              <w:rPr>
                <w:rFonts w:ascii="Times New Roman" w:eastAsia="Times New Roman" w:hAnsi="Times New Roman" w:cs="Times New Roman"/>
                <w:color w:val="000000"/>
              </w:rPr>
              <w:t xml:space="preserve">Finanšu izlietojums  </w:t>
            </w:r>
            <w:r w:rsidRPr="00B40952">
              <w:rPr>
                <w:rFonts w:ascii="Times New Roman" w:eastAsia="Times New Roman" w:hAnsi="Times New Roman" w:cs="Times New Roman"/>
                <w:i/>
                <w:iCs/>
                <w:color w:val="000000"/>
              </w:rPr>
              <w:t>euro</w:t>
            </w:r>
          </w:p>
        </w:tc>
      </w:tr>
      <w:tr w:rsidR="00B40952" w:rsidRPr="00B40952" w:rsidTr="00B40952">
        <w:trPr>
          <w:trHeight w:val="645"/>
          <w:jc w:val="center"/>
        </w:trPr>
        <w:tc>
          <w:tcPr>
            <w:tcW w:w="3681" w:type="dxa"/>
            <w:vMerge/>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rPr>
                <w:rFonts w:ascii="Times New Roman" w:eastAsia="Times New Roman" w:hAnsi="Times New Roman" w:cs="Times New Roman"/>
                <w:color w:val="000000"/>
              </w:rPr>
            </w:pPr>
          </w:p>
        </w:tc>
        <w:tc>
          <w:tcPr>
            <w:tcW w:w="1365" w:type="dxa"/>
            <w:vMerge/>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rPr>
                <w:rFonts w:ascii="Times New Roman" w:eastAsia="Times New Roman" w:hAnsi="Times New Roman" w:cs="Times New Roman"/>
                <w:color w:val="000000"/>
              </w:rPr>
            </w:pPr>
          </w:p>
        </w:tc>
        <w:tc>
          <w:tcPr>
            <w:tcW w:w="1470" w:type="dxa"/>
            <w:vMerge/>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rPr>
                <w:rFonts w:ascii="Times New Roman" w:eastAsia="Times New Roman" w:hAnsi="Times New Roman" w:cs="Times New Roman"/>
                <w:color w:val="000000"/>
              </w:rPr>
            </w:pPr>
          </w:p>
        </w:tc>
        <w:tc>
          <w:tcPr>
            <w:tcW w:w="1365" w:type="dxa"/>
            <w:vMerge/>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rPr>
                <w:rFonts w:ascii="Times New Roman" w:eastAsia="Times New Roman" w:hAnsi="Times New Roman" w:cs="Times New Roman"/>
                <w:color w:val="000000"/>
              </w:rPr>
            </w:pPr>
          </w:p>
        </w:tc>
        <w:tc>
          <w:tcPr>
            <w:tcW w:w="1409" w:type="dxa"/>
            <w:vMerge/>
            <w:tcBorders>
              <w:top w:val="single" w:sz="4" w:space="0" w:color="auto"/>
              <w:left w:val="single" w:sz="4" w:space="0" w:color="auto"/>
              <w:bottom w:val="single" w:sz="4" w:space="0" w:color="000000"/>
              <w:right w:val="single" w:sz="4" w:space="0" w:color="auto"/>
            </w:tcBorders>
            <w:shd w:val="clear" w:color="auto" w:fill="C6D9F1"/>
            <w:vAlign w:val="center"/>
            <w:hideMark/>
          </w:tcPr>
          <w:p w:rsidR="00B40952" w:rsidRPr="00B40952" w:rsidRDefault="00B40952" w:rsidP="00DB2217">
            <w:pPr>
              <w:spacing w:after="0"/>
              <w:rPr>
                <w:rFonts w:ascii="Times New Roman" w:eastAsia="Times New Roman" w:hAnsi="Times New Roman" w:cs="Times New Roman"/>
                <w:color w:val="000000"/>
              </w:rPr>
            </w:pPr>
          </w:p>
        </w:tc>
      </w:tr>
      <w:tr w:rsidR="00B40952" w:rsidRPr="00B40952" w:rsidTr="00BB293D">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B40952" w:rsidRPr="00B40952" w:rsidRDefault="00B40952" w:rsidP="00DB2217">
            <w:pPr>
              <w:spacing w:after="0"/>
              <w:rPr>
                <w:rFonts w:ascii="Times New Roman" w:eastAsia="Times New Roman" w:hAnsi="Times New Roman" w:cs="Times New Roman"/>
                <w:color w:val="000000"/>
              </w:rPr>
            </w:pPr>
            <w:r w:rsidRPr="00B40952">
              <w:rPr>
                <w:rFonts w:ascii="Times New Roman" w:eastAsia="Times New Roman" w:hAnsi="Times New Roman" w:cs="Times New Roman"/>
                <w:color w:val="000000"/>
              </w:rPr>
              <w:t>Ārstniecības iestādes</w:t>
            </w:r>
          </w:p>
        </w:tc>
        <w:tc>
          <w:tcPr>
            <w:tcW w:w="1365" w:type="dxa"/>
            <w:tcBorders>
              <w:top w:val="nil"/>
              <w:left w:val="nil"/>
              <w:bottom w:val="single" w:sz="4" w:space="0" w:color="auto"/>
              <w:right w:val="single" w:sz="4" w:space="0" w:color="auto"/>
            </w:tcBorders>
            <w:shd w:val="clear" w:color="auto" w:fill="auto"/>
            <w:noWrap/>
            <w:vAlign w:val="bottom"/>
            <w:hideMark/>
          </w:tcPr>
          <w:p w:rsidR="00B40952" w:rsidRPr="00B40952" w:rsidRDefault="00B40952" w:rsidP="00DB2217">
            <w:pPr>
              <w:spacing w:after="0"/>
              <w:jc w:val="center"/>
              <w:rPr>
                <w:rFonts w:ascii="Times New Roman" w:eastAsia="Times New Roman" w:hAnsi="Times New Roman" w:cs="Times New Roman"/>
              </w:rPr>
            </w:pPr>
            <w:r w:rsidRPr="00B40952">
              <w:rPr>
                <w:rFonts w:ascii="Times New Roman" w:eastAsia="Times New Roman" w:hAnsi="Times New Roman" w:cs="Times New Roman"/>
              </w:rPr>
              <w:t>203</w:t>
            </w:r>
          </w:p>
        </w:tc>
        <w:tc>
          <w:tcPr>
            <w:tcW w:w="1470" w:type="dxa"/>
            <w:tcBorders>
              <w:top w:val="nil"/>
              <w:left w:val="nil"/>
              <w:bottom w:val="single" w:sz="4" w:space="0" w:color="auto"/>
              <w:right w:val="single" w:sz="4" w:space="0" w:color="auto"/>
            </w:tcBorders>
            <w:shd w:val="clear" w:color="auto" w:fill="auto"/>
            <w:noWrap/>
            <w:vAlign w:val="bottom"/>
            <w:hideMark/>
          </w:tcPr>
          <w:p w:rsidR="00B40952" w:rsidRPr="00B40952" w:rsidRDefault="00B40952" w:rsidP="00DB2217">
            <w:pPr>
              <w:spacing w:after="0"/>
              <w:jc w:val="center"/>
              <w:rPr>
                <w:rFonts w:ascii="Times New Roman" w:eastAsia="Times New Roman" w:hAnsi="Times New Roman" w:cs="Times New Roman"/>
                <w:color w:val="000000"/>
              </w:rPr>
            </w:pPr>
            <w:r w:rsidRPr="00B40952">
              <w:rPr>
                <w:rFonts w:ascii="Times New Roman" w:eastAsia="Times New Roman" w:hAnsi="Times New Roman" w:cs="Times New Roman"/>
                <w:color w:val="000000"/>
              </w:rPr>
              <w:t>5</w:t>
            </w:r>
            <w:r w:rsidR="00BC5F6B">
              <w:rPr>
                <w:rFonts w:ascii="Times New Roman" w:eastAsia="Times New Roman" w:hAnsi="Times New Roman" w:cs="Times New Roman"/>
                <w:sz w:val="16"/>
                <w:szCs w:val="16"/>
              </w:rPr>
              <w:t> </w:t>
            </w:r>
            <w:r w:rsidRPr="00B40952">
              <w:rPr>
                <w:rFonts w:ascii="Times New Roman" w:eastAsia="Times New Roman" w:hAnsi="Times New Roman" w:cs="Times New Roman"/>
                <w:color w:val="000000"/>
              </w:rPr>
              <w:t>462</w:t>
            </w:r>
            <w:r w:rsidR="00BC5F6B">
              <w:rPr>
                <w:rFonts w:ascii="Times New Roman" w:eastAsia="Times New Roman" w:hAnsi="Times New Roman" w:cs="Times New Roman"/>
                <w:sz w:val="16"/>
                <w:szCs w:val="16"/>
              </w:rPr>
              <w:t> </w:t>
            </w:r>
            <w:r w:rsidRPr="00B40952">
              <w:rPr>
                <w:rFonts w:ascii="Times New Roman" w:eastAsia="Times New Roman" w:hAnsi="Times New Roman" w:cs="Times New Roman"/>
                <w:color w:val="000000"/>
              </w:rPr>
              <w:t>883</w:t>
            </w:r>
          </w:p>
        </w:tc>
        <w:tc>
          <w:tcPr>
            <w:tcW w:w="1365" w:type="dxa"/>
            <w:tcBorders>
              <w:top w:val="nil"/>
              <w:left w:val="nil"/>
              <w:bottom w:val="single" w:sz="4" w:space="0" w:color="auto"/>
              <w:right w:val="single" w:sz="4" w:space="0" w:color="auto"/>
            </w:tcBorders>
            <w:shd w:val="clear" w:color="auto" w:fill="auto"/>
            <w:noWrap/>
            <w:vAlign w:val="bottom"/>
            <w:hideMark/>
          </w:tcPr>
          <w:p w:rsidR="00B40952" w:rsidRPr="00B40952" w:rsidRDefault="00B40952" w:rsidP="00DB2217">
            <w:pPr>
              <w:spacing w:after="0"/>
              <w:jc w:val="center"/>
              <w:rPr>
                <w:rFonts w:ascii="Times New Roman" w:eastAsia="Times New Roman" w:hAnsi="Times New Roman" w:cs="Times New Roman"/>
                <w:color w:val="000000"/>
              </w:rPr>
            </w:pPr>
            <w:r w:rsidRPr="00B40952">
              <w:rPr>
                <w:rFonts w:ascii="Times New Roman" w:eastAsia="Times New Roman" w:hAnsi="Times New Roman" w:cs="Times New Roman"/>
                <w:color w:val="000000"/>
              </w:rPr>
              <w:t>400</w:t>
            </w:r>
          </w:p>
        </w:tc>
        <w:tc>
          <w:tcPr>
            <w:tcW w:w="1409" w:type="dxa"/>
            <w:tcBorders>
              <w:top w:val="nil"/>
              <w:left w:val="nil"/>
              <w:bottom w:val="single" w:sz="4" w:space="0" w:color="auto"/>
              <w:right w:val="single" w:sz="4" w:space="0" w:color="auto"/>
            </w:tcBorders>
            <w:shd w:val="clear" w:color="auto" w:fill="auto"/>
            <w:noWrap/>
            <w:vAlign w:val="bottom"/>
            <w:hideMark/>
          </w:tcPr>
          <w:p w:rsidR="00B40952" w:rsidRPr="00B40952" w:rsidRDefault="00B40952" w:rsidP="00DB2217">
            <w:pPr>
              <w:spacing w:after="0"/>
              <w:jc w:val="center"/>
              <w:rPr>
                <w:rFonts w:ascii="Times New Roman" w:eastAsia="Times New Roman" w:hAnsi="Times New Roman" w:cs="Times New Roman"/>
                <w:color w:val="000000"/>
              </w:rPr>
            </w:pPr>
            <w:r w:rsidRPr="00B40952">
              <w:rPr>
                <w:rFonts w:ascii="Times New Roman" w:eastAsia="Times New Roman" w:hAnsi="Times New Roman" w:cs="Times New Roman"/>
                <w:color w:val="000000"/>
              </w:rPr>
              <w:t>5</w:t>
            </w:r>
            <w:r w:rsidR="00BC5F6B">
              <w:rPr>
                <w:rFonts w:ascii="Times New Roman" w:eastAsia="Times New Roman" w:hAnsi="Times New Roman" w:cs="Times New Roman"/>
                <w:sz w:val="16"/>
                <w:szCs w:val="16"/>
              </w:rPr>
              <w:t> </w:t>
            </w:r>
            <w:r w:rsidRPr="00B40952">
              <w:rPr>
                <w:rFonts w:ascii="Times New Roman" w:eastAsia="Times New Roman" w:hAnsi="Times New Roman" w:cs="Times New Roman"/>
                <w:color w:val="000000"/>
              </w:rPr>
              <w:t>462</w:t>
            </w:r>
            <w:r w:rsidR="00BC5F6B">
              <w:rPr>
                <w:rFonts w:ascii="Times New Roman" w:eastAsia="Times New Roman" w:hAnsi="Times New Roman" w:cs="Times New Roman"/>
                <w:sz w:val="16"/>
                <w:szCs w:val="16"/>
              </w:rPr>
              <w:t> </w:t>
            </w:r>
            <w:r w:rsidRPr="00B40952">
              <w:rPr>
                <w:rFonts w:ascii="Times New Roman" w:eastAsia="Times New Roman" w:hAnsi="Times New Roman" w:cs="Times New Roman"/>
                <w:color w:val="000000"/>
              </w:rPr>
              <w:t>883</w:t>
            </w:r>
          </w:p>
        </w:tc>
      </w:tr>
    </w:tbl>
    <w:p w:rsidR="00B40952" w:rsidRPr="00B40952" w:rsidRDefault="00B40952" w:rsidP="00DB2217">
      <w:pPr>
        <w:autoSpaceDE w:val="0"/>
        <w:autoSpaceDN w:val="0"/>
        <w:adjustRightInd w:val="0"/>
        <w:spacing w:after="0" w:line="293" w:lineRule="atLeast"/>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lastRenderedPageBreak/>
        <w:t>Atbilstoši 2017.gada faktiskajai izpildei, nodrošinājums ar jaunās paaudzes medikamentiem un atbilstoša ārstēšana VHC pacientiem F3</w:t>
      </w:r>
      <w:r w:rsidR="00685E75" w:rsidRPr="00F14E08">
        <w:rPr>
          <w:rFonts w:ascii="Times New Roman" w:eastAsia="Calibri" w:hAnsi="Times New Roman" w:cs="Times New Roman"/>
          <w:sz w:val="24"/>
          <w:szCs w:val="24"/>
        </w:rPr>
        <w:t>–</w:t>
      </w:r>
      <w:r w:rsidRPr="00B40952">
        <w:rPr>
          <w:rFonts w:ascii="Times New Roman" w:eastAsia="Times New Roman" w:hAnsi="Times New Roman" w:cs="Times New Roman"/>
          <w:sz w:val="24"/>
          <w:szCs w:val="24"/>
        </w:rPr>
        <w:t xml:space="preserve">F4 stadijā īstenota 197 % apmērā no gada plānotā pieejamības pieauguma apjoma. Minētais pieaugums nodrošināts no 2017.gada marta līdz decembrim. </w:t>
      </w:r>
    </w:p>
    <w:p w:rsidR="00B40952" w:rsidRPr="00B40952" w:rsidRDefault="00B40952" w:rsidP="00B40952">
      <w:pPr>
        <w:spacing w:after="0"/>
        <w:ind w:firstLine="567"/>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Veselības reformas pasākumu ietvarā 2017.gadā valsts zāļu kompensācijas sistēmas ietvarā ambulatorajai ārstēšanai nepieciešamās zāl</w:t>
      </w:r>
      <w:r w:rsidR="00685E75">
        <w:rPr>
          <w:rFonts w:ascii="Times New Roman" w:eastAsia="Times New Roman" w:hAnsi="Times New Roman" w:cs="Times New Roman"/>
          <w:sz w:val="24"/>
          <w:szCs w:val="24"/>
        </w:rPr>
        <w:t>es papildus saņēma 400 personas</w:t>
      </w:r>
      <w:r w:rsidRPr="00B40952">
        <w:rPr>
          <w:rFonts w:ascii="Times New Roman" w:eastAsia="Times New Roman" w:hAnsi="Times New Roman" w:cs="Times New Roman"/>
          <w:sz w:val="24"/>
          <w:szCs w:val="24"/>
        </w:rPr>
        <w:t xml:space="preserve"> ar C hepatītu – lielākā daļa no šīm personām ir ar 2017.gadā pirmreizēji reģistrētu C hepatītu, kā arī 2016. gadā fiksētie pacienti F3</w:t>
      </w:r>
      <w:r w:rsidR="00685E75" w:rsidRPr="00F14E08">
        <w:rPr>
          <w:rFonts w:ascii="Times New Roman" w:eastAsia="Calibri" w:hAnsi="Times New Roman" w:cs="Times New Roman"/>
          <w:sz w:val="24"/>
          <w:szCs w:val="24"/>
        </w:rPr>
        <w:t>–</w:t>
      </w:r>
      <w:r w:rsidRPr="00B40952">
        <w:rPr>
          <w:rFonts w:ascii="Times New Roman" w:eastAsia="Times New Roman" w:hAnsi="Times New Roman" w:cs="Times New Roman"/>
          <w:sz w:val="24"/>
          <w:szCs w:val="24"/>
        </w:rPr>
        <w:t>F4 stadijā,  kas saņēma tiešās darbības pretvīrusu preparātus.</w:t>
      </w:r>
    </w:p>
    <w:p w:rsidR="00B40952" w:rsidRPr="00B40952" w:rsidRDefault="00D81AF8" w:rsidP="00B40952">
      <w:pPr>
        <w:spacing w:after="0" w:line="240" w:lineRule="auto"/>
        <w:ind w:firstLine="720"/>
        <w:jc w:val="both"/>
        <w:rPr>
          <w:rFonts w:ascii="Times New Roman" w:eastAsia="Calibri" w:hAnsi="Times New Roman" w:cs="Times New Roman"/>
          <w:color w:val="000000"/>
          <w:sz w:val="24"/>
          <w:szCs w:val="24"/>
        </w:rPr>
      </w:pPr>
      <w:r>
        <w:rPr>
          <w:rFonts w:ascii="Times New Roman" w:eastAsia="Times New Roman" w:hAnsi="Times New Roman" w:cs="Times New Roman"/>
          <w:noProof/>
          <w:sz w:val="24"/>
          <w:szCs w:val="24"/>
          <w:lang w:eastAsia="lv-LV"/>
        </w:rPr>
        <w:pict>
          <v:shape id="_x0000_s1033" type="#_x0000_t202" style="position:absolute;left:0;text-align:left;margin-left:5pt;margin-top:94.4pt;width:449.25pt;height:53pt;z-index:2516828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p1JwIAAEwEAAAOAAAAZHJzL2Uyb0RvYy54bWysVNtu2zAMfR+wfxD0vtjJ4qY14hRdugwD&#10;ugvQ7gNkWY6FSaImKbGzry8lJ1nQbS/D/CCIInVEnkN6eTtoRfbCeQmmotNJTokwHBppthX99rR5&#10;c02JD8w0TIERFT0IT29Xr18te1uKGXSgGuEIghhf9raiXQi2zDLPO6GZn4AVBp0tOM0Cmm6bNY71&#10;iK5VNsvzq6wH11gHXHiPp/ejk64SftsKHr60rReBqIpibiGtLq11XLPVkpVbx2wn+TEN9g9ZaCYN&#10;PnqGumeBkZ2Tv0FpyR14aMOEg86gbSUXqQasZpq/qOaxY1akWpAcb880+f8Hyz/vvzoiG9RuQYlh&#10;GjV6EkMg72Ags0hPb32JUY8W48KAxxiaSvX2Afh3TwysO2a24s456DvBGkxvGm9mF1dHHB9B6v4T&#10;NPgM2wVIQEPrdOQO2SCIjjIdztLEVDgeFou8mC8KSjj6rhZvp3nSLmPl6bZ1PnwQoEncVNSh9Amd&#10;7R98iNmw8hQSH/OgZLORSiXDbeu1cmTPsE026UsFvAhThvQVvSlmxUjAXyHy9P0JQsuA/a6kruj1&#10;OYiVkbb3pkndGJhU4x5TVubIY6RuJDEM9ZAUK07y1NAckFgHY3vjOOKmA/eTkh5bu6L+x445QYn6&#10;aFCcm+l8HmchGfNiMUPDXXrqSw8zHKEqGigZt+uQ5ifyZuAORWxl4jeqPWZyTBlbNtF+HK84E5d2&#10;ivr1E1g9AwAA//8DAFBLAwQUAAYACAAAACEAscI3nd8AAAAIAQAADwAAAGRycy9kb3ducmV2Lnht&#10;bEyPzU7DMBCE70i8g7VIXBB1KG3ihjgVQgLBDdoKrm68TSL8E2w3DW/PcoLj7KxmvqnWkzVsxBB7&#10;7yTczDJg6Bqve9dK2G0frwWwmJTTyniHEr4xwro+P6tUqf3JveG4SS2jEBdLJaFLaSg5j02HVsWZ&#10;H9CRd/DBqkQytFwHdaJwa/g8y3JuVe+ooVMDPnTYfG6OVoJYPI8f8eX29b3JD2aVrorx6StIeXkx&#10;3d8BSzilv2f4xSd0qIlp749OR2Yk0JBE16UogJEtVmIJbC9hni8K4HXF/w+ofwAAAP//AwBQSwEC&#10;LQAUAAYACAAAACEAtoM4kv4AAADhAQAAEwAAAAAAAAAAAAAAAAAAAAAAW0NvbnRlbnRfVHlwZXNd&#10;LnhtbFBLAQItABQABgAIAAAAIQA4/SH/1gAAAJQBAAALAAAAAAAAAAAAAAAAAC8BAABfcmVscy8u&#10;cmVsc1BLAQItABQABgAIAAAAIQCzCgp1JwIAAEwEAAAOAAAAAAAAAAAAAAAAAC4CAABkcnMvZTJv&#10;RG9jLnhtbFBLAQItABQABgAIAAAAIQCxwjed3wAAAAgBAAAPAAAAAAAAAAAAAAAAAIEEAABkcnMv&#10;ZG93bnJldi54bWxQSwUGAAAAAAQABADzAAAAjQUAAAAA&#10;">
            <v:textbox>
              <w:txbxContent>
                <w:p w:rsidR="00D81AF8" w:rsidRDefault="00D81AF8" w:rsidP="00B40952">
                  <w:pPr>
                    <w:autoSpaceDE w:val="0"/>
                    <w:autoSpaceDN w:val="0"/>
                    <w:adjustRightInd w:val="0"/>
                    <w:spacing w:after="0" w:line="293" w:lineRule="atLeast"/>
                    <w:ind w:firstLine="425"/>
                    <w:jc w:val="both"/>
                    <w:rPr>
                      <w:rFonts w:ascii="Times New Roman" w:hAnsi="Times New Roman"/>
                      <w:b/>
                      <w:bCs/>
                      <w:sz w:val="24"/>
                      <w:szCs w:val="24"/>
                    </w:rPr>
                  </w:pPr>
                  <w:r>
                    <w:rPr>
                      <w:rFonts w:ascii="Times New Roman" w:hAnsi="Times New Roman"/>
                      <w:b/>
                      <w:bCs/>
                      <w:sz w:val="24"/>
                      <w:szCs w:val="24"/>
                    </w:rPr>
                    <w:t>Secināms, ka reformas pasākums, valsts kompensējamo medikamentu nodrošinājums VHC pacientiem F2</w:t>
                  </w:r>
                  <w:r w:rsidRPr="00F14E08">
                    <w:rPr>
                      <w:rFonts w:ascii="Times New Roman" w:eastAsia="Calibri" w:hAnsi="Times New Roman" w:cs="Times New Roman"/>
                      <w:sz w:val="24"/>
                      <w:szCs w:val="24"/>
                    </w:rPr>
                    <w:t>–</w:t>
                  </w:r>
                  <w:r>
                    <w:rPr>
                      <w:rFonts w:ascii="Times New Roman" w:hAnsi="Times New Roman"/>
                      <w:b/>
                      <w:bCs/>
                      <w:sz w:val="24"/>
                      <w:szCs w:val="24"/>
                    </w:rPr>
                    <w:t>F4 stadijā, tiek veiksmīgi īstenots un tas ir turpināms 2018.gadā.</w:t>
                  </w:r>
                </w:p>
                <w:p w:rsidR="00D81AF8" w:rsidRDefault="00D81AF8" w:rsidP="00B40952">
                  <w:pPr>
                    <w:autoSpaceDE w:val="0"/>
                    <w:autoSpaceDN w:val="0"/>
                    <w:adjustRightInd w:val="0"/>
                    <w:spacing w:line="293" w:lineRule="atLeast"/>
                    <w:ind w:firstLine="425"/>
                    <w:jc w:val="both"/>
                    <w:rPr>
                      <w:rFonts w:ascii="Times New Roman" w:hAnsi="Times New Roman" w:cs="Times New Roman"/>
                      <w:sz w:val="24"/>
                      <w:szCs w:val="24"/>
                    </w:rPr>
                  </w:pPr>
                  <w:r>
                    <w:rPr>
                      <w:rFonts w:ascii="Times New Roman" w:hAnsi="Times New Roman"/>
                      <w:b/>
                      <w:bCs/>
                      <w:sz w:val="24"/>
                      <w:szCs w:val="24"/>
                    </w:rPr>
                    <w:t xml:space="preserve"> </w:t>
                  </w:r>
                </w:p>
                <w:p w:rsidR="00D81AF8" w:rsidRDefault="00D81AF8" w:rsidP="00B40952"/>
              </w:txbxContent>
            </v:textbox>
            <w10:wrap type="topAndBottom" anchorx="margin"/>
          </v:shape>
        </w:pict>
      </w:r>
      <w:r w:rsidR="00B40952" w:rsidRPr="00B40952">
        <w:rPr>
          <w:rFonts w:ascii="Times New Roman" w:eastAsia="Times New Roman" w:hAnsi="Times New Roman" w:cs="Times New Roman"/>
          <w:sz w:val="24"/>
          <w:szCs w:val="24"/>
        </w:rPr>
        <w:t>2017.gadā 395 personas ir pabeigušas ārstēšanas kursu un uzsākušas dinamisko novērošanu. No kurām kopumā 3 mēnešu dinamisko novērošanu ir pabeigušas 217 personas un 88% no ārstēšanu saņēmušajiem ir atbrīvoti no C hepatīta vīrusa. Tajā skaitā 3 mēnešu dinamisko novērošanu ir pabeigušas 143 personas, kas saņēma tiešās darbības pretvīrusu preparātus, un 140 personas ir atbrīvotas no vīrusa, kas liecina, ka ārstēšanas efektivitāte ir 98%.</w:t>
      </w:r>
    </w:p>
    <w:p w:rsidR="00B9413F" w:rsidRDefault="00B9413F" w:rsidP="00B40952">
      <w:pPr>
        <w:spacing w:after="0" w:line="240" w:lineRule="auto"/>
        <w:ind w:firstLine="709"/>
        <w:jc w:val="both"/>
        <w:rPr>
          <w:rFonts w:ascii="Times New Roman" w:eastAsia="Times New Roman" w:hAnsi="Times New Roman" w:cs="Times New Roman"/>
          <w:color w:val="000000"/>
          <w:sz w:val="24"/>
          <w:szCs w:val="24"/>
          <w:lang w:eastAsia="lv-LV"/>
        </w:rPr>
      </w:pPr>
    </w:p>
    <w:p w:rsidR="00B40952" w:rsidRPr="00B40952" w:rsidRDefault="00B40952" w:rsidP="00B40952">
      <w:pPr>
        <w:spacing w:after="0" w:line="240" w:lineRule="auto"/>
        <w:ind w:firstLine="709"/>
        <w:jc w:val="both"/>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color w:val="000000"/>
          <w:sz w:val="24"/>
          <w:szCs w:val="24"/>
          <w:lang w:eastAsia="lv-LV"/>
        </w:rPr>
        <w:t>Balstoties uz sekmīgi īstenoto veselības aprūpes reformu, uzsāktās intervences tiks turpinātas, savukārt to paplašināšanai un jaunu reformu uzsākšanai papildus 2017.gadā piešķirtajam finansējumam, 2018.gadā pieejams finansējums 79</w:t>
      </w:r>
      <w:r w:rsidR="00793734">
        <w:rPr>
          <w:rFonts w:ascii="Times New Roman" w:eastAsia="Times New Roman" w:hAnsi="Times New Roman" w:cs="Times New Roman"/>
          <w:color w:val="000000"/>
          <w:sz w:val="24"/>
          <w:szCs w:val="24"/>
          <w:lang w:eastAsia="lv-LV"/>
        </w:rPr>
        <w:t xml:space="preserve"> </w:t>
      </w:r>
      <w:r w:rsidRPr="00B40952">
        <w:rPr>
          <w:rFonts w:ascii="Times New Roman" w:eastAsia="Times New Roman" w:hAnsi="Times New Roman" w:cs="Times New Roman"/>
          <w:color w:val="000000"/>
          <w:sz w:val="24"/>
          <w:szCs w:val="24"/>
          <w:lang w:eastAsia="lv-LV"/>
        </w:rPr>
        <w:t xml:space="preserve">milj. </w:t>
      </w:r>
      <w:r w:rsidRPr="00B40952">
        <w:rPr>
          <w:rFonts w:ascii="Times New Roman" w:eastAsia="Times New Roman" w:hAnsi="Times New Roman" w:cs="Times New Roman"/>
          <w:i/>
          <w:iCs/>
          <w:color w:val="000000"/>
          <w:sz w:val="24"/>
          <w:szCs w:val="24"/>
          <w:lang w:eastAsia="lv-LV"/>
        </w:rPr>
        <w:t>euro</w:t>
      </w:r>
      <w:r w:rsidRPr="00B40952">
        <w:rPr>
          <w:rFonts w:ascii="Times New Roman" w:eastAsia="Times New Roman" w:hAnsi="Times New Roman" w:cs="Times New Roman"/>
          <w:color w:val="000000"/>
          <w:sz w:val="24"/>
          <w:szCs w:val="24"/>
          <w:lang w:eastAsia="lv-LV"/>
        </w:rPr>
        <w:t xml:space="preserve"> apmērā, kuru atbalstoši MK 2017.gada 19.decembrī izskatītajam informatīvajam ziņojumam “</w:t>
      </w:r>
      <w:r w:rsidRPr="00B40952">
        <w:rPr>
          <w:rFonts w:ascii="Times New Roman" w:eastAsia="Times New Roman" w:hAnsi="Times New Roman" w:cs="Times New Roman"/>
          <w:sz w:val="24"/>
          <w:szCs w:val="24"/>
        </w:rPr>
        <w:t>Par veselības reformas pasākumu īstenošanu 2018.gadā</w:t>
      </w:r>
      <w:r w:rsidRPr="00B40952">
        <w:rPr>
          <w:rFonts w:ascii="Times New Roman" w:eastAsia="Times New Roman" w:hAnsi="Times New Roman" w:cs="Times New Roman"/>
          <w:color w:val="000000"/>
          <w:sz w:val="24"/>
          <w:szCs w:val="24"/>
          <w:lang w:eastAsia="lv-LV"/>
        </w:rPr>
        <w:t>”, plānots izmantot, turpinot veselības aprūpes reformu īstenošanu šādās jomās:</w:t>
      </w:r>
    </w:p>
    <w:p w:rsidR="00B40952" w:rsidRPr="00B40952" w:rsidRDefault="00B40952" w:rsidP="00DB2217">
      <w:pPr>
        <w:numPr>
          <w:ilvl w:val="0"/>
          <w:numId w:val="39"/>
        </w:numPr>
        <w:spacing w:after="0" w:line="240" w:lineRule="auto"/>
        <w:ind w:hanging="420"/>
        <w:contextualSpacing/>
        <w:jc w:val="both"/>
        <w:rPr>
          <w:rFonts w:ascii="Times New Roman" w:eastAsia="Times New Roman" w:hAnsi="Times New Roman" w:cs="Times New Roman"/>
          <w:sz w:val="24"/>
          <w:szCs w:val="24"/>
          <w:lang w:eastAsia="lv-LV"/>
        </w:rPr>
      </w:pPr>
      <w:r w:rsidRPr="00B40952">
        <w:rPr>
          <w:rFonts w:ascii="Times New Roman" w:eastAsia="Times New Roman" w:hAnsi="Times New Roman" w:cs="Times New Roman"/>
          <w:b/>
          <w:sz w:val="24"/>
          <w:szCs w:val="24"/>
          <w:lang w:eastAsia="lv-LV"/>
        </w:rPr>
        <w:t>Veselības aprūpes pakalpojumu pieejamības uzlabošanai  un rindu mazināšanai</w:t>
      </w:r>
      <w:r w:rsidRPr="00B40952">
        <w:rPr>
          <w:rFonts w:ascii="Times New Roman" w:eastAsia="Times New Roman" w:hAnsi="Times New Roman" w:cs="Times New Roman"/>
          <w:sz w:val="24"/>
          <w:szCs w:val="24"/>
          <w:lang w:eastAsia="lv-LV"/>
        </w:rPr>
        <w:t xml:space="preserve"> (t.sk. turpinot </w:t>
      </w:r>
      <w:r w:rsidRPr="00B40952">
        <w:rPr>
          <w:rFonts w:ascii="Times New Roman" w:eastAsia="Times New Roman" w:hAnsi="Times New Roman" w:cs="Times New Roman"/>
          <w:color w:val="000000"/>
          <w:sz w:val="24"/>
          <w:szCs w:val="24"/>
          <w:lang w:eastAsia="lv-LV"/>
        </w:rPr>
        <w:t>2017.gadā uzsākto rindu mazināšanu pie speciālistiem, uz diagnostiskajiem izmeklējumiem, dienas stacionārā</w:t>
      </w:r>
      <w:r w:rsidRPr="00B40952">
        <w:rPr>
          <w:rFonts w:ascii="Times New Roman" w:eastAsia="Times New Roman" w:hAnsi="Times New Roman" w:cs="Times New Roman"/>
          <w:sz w:val="24"/>
          <w:szCs w:val="24"/>
          <w:lang w:eastAsia="lv-LV"/>
        </w:rPr>
        <w:t xml:space="preserve"> un ambulatorajā rehabilitācijā);</w:t>
      </w:r>
    </w:p>
    <w:p w:rsidR="00B40952" w:rsidRPr="00B40952" w:rsidRDefault="00B40952" w:rsidP="00DB2217">
      <w:pPr>
        <w:numPr>
          <w:ilvl w:val="0"/>
          <w:numId w:val="39"/>
        </w:numPr>
        <w:spacing w:after="0" w:line="240" w:lineRule="auto"/>
        <w:ind w:hanging="420"/>
        <w:contextualSpacing/>
        <w:jc w:val="both"/>
        <w:rPr>
          <w:rFonts w:ascii="Times New Roman" w:eastAsia="Times New Roman" w:hAnsi="Times New Roman" w:cs="Times New Roman"/>
          <w:sz w:val="24"/>
          <w:szCs w:val="24"/>
          <w:lang w:eastAsia="lv-LV"/>
        </w:rPr>
      </w:pPr>
      <w:r w:rsidRPr="00B40952">
        <w:rPr>
          <w:rFonts w:ascii="Times New Roman" w:eastAsia="Times New Roman" w:hAnsi="Times New Roman" w:cs="Times New Roman"/>
          <w:b/>
          <w:color w:val="000000"/>
          <w:sz w:val="24"/>
          <w:szCs w:val="24"/>
          <w:lang w:eastAsia="lv-LV"/>
        </w:rPr>
        <w:t>Onkoloģisko saslimšanu diagnostikas un ārstēšanas pieejamības uzlabošanai</w:t>
      </w:r>
      <w:r w:rsidRPr="00B40952">
        <w:rPr>
          <w:rFonts w:ascii="Times New Roman" w:eastAsia="Times New Roman" w:hAnsi="Times New Roman" w:cs="Times New Roman"/>
          <w:color w:val="000000"/>
          <w:sz w:val="24"/>
          <w:szCs w:val="24"/>
          <w:lang w:eastAsia="lv-LV"/>
        </w:rPr>
        <w:t xml:space="preserve"> (t.sk. turpinot un paplašinot 2017.gadā uzsāktās aktivitātes);</w:t>
      </w:r>
    </w:p>
    <w:p w:rsidR="00B40952" w:rsidRPr="00B40952" w:rsidRDefault="00B40952" w:rsidP="00DB2217">
      <w:pPr>
        <w:numPr>
          <w:ilvl w:val="0"/>
          <w:numId w:val="39"/>
        </w:numPr>
        <w:spacing w:after="0" w:line="240" w:lineRule="auto"/>
        <w:ind w:hanging="420"/>
        <w:contextualSpacing/>
        <w:jc w:val="both"/>
        <w:rPr>
          <w:rFonts w:ascii="Times New Roman" w:eastAsia="Times New Roman" w:hAnsi="Times New Roman" w:cs="Times New Roman"/>
          <w:sz w:val="24"/>
          <w:szCs w:val="24"/>
          <w:lang w:eastAsia="lv-LV"/>
        </w:rPr>
      </w:pPr>
      <w:r w:rsidRPr="00B40952">
        <w:rPr>
          <w:rFonts w:ascii="Times New Roman" w:eastAsia="Times New Roman" w:hAnsi="Times New Roman" w:cs="Times New Roman"/>
          <w:b/>
          <w:sz w:val="24"/>
          <w:szCs w:val="24"/>
          <w:lang w:eastAsia="lv-LV"/>
        </w:rPr>
        <w:t>Infekcijas slimību izplatības mazināšanai</w:t>
      </w:r>
      <w:r w:rsidRPr="00B40952">
        <w:rPr>
          <w:rFonts w:ascii="Times New Roman" w:eastAsia="Times New Roman" w:hAnsi="Times New Roman" w:cs="Times New Roman"/>
          <w:sz w:val="24"/>
          <w:szCs w:val="24"/>
          <w:lang w:eastAsia="lv-LV"/>
        </w:rPr>
        <w:t xml:space="preserve"> (t.sk. turpinot 2017.gadā uzsāktās r</w:t>
      </w:r>
      <w:r w:rsidRPr="00B40952">
        <w:rPr>
          <w:rFonts w:ascii="Times New Roman" w:eastAsia="Times New Roman" w:hAnsi="Times New Roman" w:cs="Times New Roman"/>
          <w:color w:val="000000"/>
          <w:sz w:val="24"/>
          <w:szCs w:val="24"/>
          <w:lang w:eastAsia="lv-LV"/>
        </w:rPr>
        <w:t>eformas valsts kompensējamo medikamentu nodrošinājumam VHC pacientiem F3</w:t>
      </w:r>
      <w:r w:rsidR="00685E75" w:rsidRPr="00F14E08">
        <w:rPr>
          <w:rFonts w:ascii="Times New Roman" w:eastAsia="Calibri" w:hAnsi="Times New Roman" w:cs="Times New Roman"/>
          <w:sz w:val="24"/>
          <w:szCs w:val="24"/>
        </w:rPr>
        <w:t>–</w:t>
      </w:r>
      <w:r w:rsidRPr="00B40952">
        <w:rPr>
          <w:rFonts w:ascii="Times New Roman" w:eastAsia="Times New Roman" w:hAnsi="Times New Roman" w:cs="Times New Roman"/>
          <w:color w:val="000000"/>
          <w:sz w:val="24"/>
          <w:szCs w:val="24"/>
          <w:lang w:eastAsia="lv-LV"/>
        </w:rPr>
        <w:t>F4 stadijā);</w:t>
      </w:r>
    </w:p>
    <w:p w:rsidR="00B40952" w:rsidRPr="00B40952" w:rsidRDefault="00B40952" w:rsidP="00DB2217">
      <w:pPr>
        <w:numPr>
          <w:ilvl w:val="0"/>
          <w:numId w:val="39"/>
        </w:numPr>
        <w:spacing w:after="0" w:line="240" w:lineRule="auto"/>
        <w:ind w:hanging="420"/>
        <w:contextualSpacing/>
        <w:jc w:val="both"/>
        <w:rPr>
          <w:rFonts w:ascii="Times New Roman" w:eastAsia="Times New Roman" w:hAnsi="Times New Roman" w:cs="Times New Roman"/>
          <w:sz w:val="24"/>
          <w:szCs w:val="24"/>
          <w:lang w:eastAsia="lv-LV"/>
        </w:rPr>
      </w:pPr>
      <w:r w:rsidRPr="00B40952">
        <w:rPr>
          <w:rFonts w:ascii="Times New Roman" w:eastAsia="Times New Roman" w:hAnsi="Times New Roman" w:cs="Times New Roman"/>
          <w:b/>
          <w:sz w:val="24"/>
          <w:szCs w:val="24"/>
          <w:lang w:eastAsia="lv-LV"/>
        </w:rPr>
        <w:t>Primārās veselības aprūpes sistēmas kvalitātes un pieejamības uzlabošanai</w:t>
      </w:r>
      <w:r w:rsidRPr="00B40952">
        <w:rPr>
          <w:rFonts w:ascii="Times New Roman" w:eastAsia="Times New Roman" w:hAnsi="Times New Roman" w:cs="Times New Roman"/>
          <w:sz w:val="24"/>
          <w:szCs w:val="24"/>
          <w:lang w:eastAsia="lv-LV"/>
        </w:rPr>
        <w:t>;</w:t>
      </w:r>
    </w:p>
    <w:p w:rsidR="00B40952" w:rsidRPr="00B40952" w:rsidRDefault="00B40952" w:rsidP="00B9413F">
      <w:pPr>
        <w:numPr>
          <w:ilvl w:val="0"/>
          <w:numId w:val="39"/>
        </w:numPr>
        <w:spacing w:after="120" w:line="240" w:lineRule="auto"/>
        <w:ind w:hanging="420"/>
        <w:contextualSpacing/>
        <w:jc w:val="both"/>
        <w:rPr>
          <w:rFonts w:ascii="Times New Roman" w:eastAsia="Times New Roman" w:hAnsi="Times New Roman" w:cs="Times New Roman"/>
          <w:sz w:val="24"/>
          <w:szCs w:val="24"/>
          <w:lang w:eastAsia="lv-LV"/>
        </w:rPr>
      </w:pPr>
      <w:r w:rsidRPr="00B40952">
        <w:rPr>
          <w:rFonts w:ascii="Times New Roman" w:eastAsia="Times New Roman" w:hAnsi="Times New Roman" w:cs="Times New Roman"/>
          <w:b/>
          <w:sz w:val="24"/>
          <w:szCs w:val="24"/>
          <w:lang w:eastAsia="lv-LV"/>
        </w:rPr>
        <w:t>Kardiovaskulārās saslimstības mazināšanai un slimību ārstēšanas efektivitātes uzlabošanai</w:t>
      </w:r>
      <w:r w:rsidRPr="00B40952">
        <w:rPr>
          <w:rFonts w:ascii="Times New Roman" w:eastAsia="Times New Roman" w:hAnsi="Times New Roman" w:cs="Times New Roman"/>
          <w:sz w:val="24"/>
          <w:szCs w:val="24"/>
          <w:lang w:eastAsia="lv-LV"/>
        </w:rPr>
        <w:t>.</w:t>
      </w:r>
    </w:p>
    <w:p w:rsidR="00B9413F" w:rsidRDefault="00B9413F" w:rsidP="00B9413F">
      <w:pPr>
        <w:spacing w:before="120" w:after="0" w:line="240" w:lineRule="auto"/>
        <w:contextualSpacing/>
        <w:jc w:val="right"/>
        <w:rPr>
          <w:rFonts w:ascii="Times New Roman" w:eastAsia="Times New Roman" w:hAnsi="Times New Roman" w:cs="Times New Roman"/>
          <w:b/>
          <w:sz w:val="24"/>
          <w:szCs w:val="24"/>
        </w:rPr>
      </w:pPr>
    </w:p>
    <w:p w:rsidR="00B40952" w:rsidRPr="00B40952" w:rsidRDefault="00B40952" w:rsidP="00B9413F">
      <w:pPr>
        <w:spacing w:before="120" w:after="0" w:line="240" w:lineRule="auto"/>
        <w:contextualSpacing/>
        <w:jc w:val="right"/>
        <w:rPr>
          <w:rFonts w:ascii="Times New Roman" w:eastAsia="Times New Roman" w:hAnsi="Times New Roman" w:cs="Times New Roman"/>
          <w:bCs/>
          <w:sz w:val="24"/>
          <w:szCs w:val="24"/>
          <w:lang w:eastAsia="lv-LV"/>
        </w:rPr>
      </w:pPr>
      <w:r w:rsidRPr="00793734">
        <w:rPr>
          <w:rFonts w:ascii="Times New Roman" w:eastAsia="Times New Roman" w:hAnsi="Times New Roman" w:cs="Times New Roman"/>
          <w:b/>
          <w:sz w:val="24"/>
          <w:szCs w:val="24"/>
        </w:rPr>
        <w:t>3.2</w:t>
      </w:r>
      <w:r w:rsidR="00793734" w:rsidRPr="00793734">
        <w:rPr>
          <w:rFonts w:ascii="Times New Roman" w:eastAsia="Times New Roman" w:hAnsi="Times New Roman" w:cs="Times New Roman"/>
          <w:b/>
          <w:sz w:val="24"/>
          <w:szCs w:val="24"/>
        </w:rPr>
        <w:t>1</w:t>
      </w:r>
      <w:r w:rsidRPr="00793734">
        <w:rPr>
          <w:rFonts w:ascii="Times New Roman" w:eastAsia="Times New Roman" w:hAnsi="Times New Roman" w:cs="Times New Roman"/>
          <w:b/>
          <w:sz w:val="24"/>
          <w:szCs w:val="24"/>
        </w:rPr>
        <w:t xml:space="preserve">.tabula. </w:t>
      </w:r>
      <w:r w:rsidRPr="00946603">
        <w:rPr>
          <w:rFonts w:ascii="Times New Roman" w:eastAsia="Times New Roman" w:hAnsi="Times New Roman" w:cs="Times New Roman"/>
          <w:b/>
          <w:bCs/>
          <w:sz w:val="24"/>
          <w:szCs w:val="24"/>
          <w:lang w:eastAsia="lv-LV"/>
        </w:rPr>
        <w:t>Veselības nozares reformu turpināšanai no Eiropas Komisijas pieļautā budžeta deficīta papildus piešķirtā finansējuma sadalījums 2018.gadam</w:t>
      </w:r>
    </w:p>
    <w:tbl>
      <w:tblPr>
        <w:tblW w:w="9035" w:type="dxa"/>
        <w:jc w:val="center"/>
        <w:tblLook w:val="04A0" w:firstRow="1" w:lastRow="0" w:firstColumn="1" w:lastColumn="0" w:noHBand="0" w:noVBand="1"/>
      </w:tblPr>
      <w:tblGrid>
        <w:gridCol w:w="674"/>
        <w:gridCol w:w="5699"/>
        <w:gridCol w:w="2662"/>
      </w:tblGrid>
      <w:tr w:rsidR="00B40952" w:rsidRPr="00B40952" w:rsidTr="00883A9E">
        <w:trPr>
          <w:trHeight w:val="572"/>
          <w:jc w:val="center"/>
        </w:trPr>
        <w:tc>
          <w:tcPr>
            <w:tcW w:w="674" w:type="dxa"/>
            <w:tcBorders>
              <w:top w:val="single" w:sz="4" w:space="0" w:color="auto"/>
              <w:left w:val="single" w:sz="4" w:space="0" w:color="auto"/>
              <w:bottom w:val="single" w:sz="4" w:space="0" w:color="auto"/>
              <w:right w:val="single" w:sz="4" w:space="0" w:color="auto"/>
            </w:tcBorders>
            <w:shd w:val="clear" w:color="auto" w:fill="C6D9F1"/>
          </w:tcPr>
          <w:p w:rsidR="00B40952" w:rsidRPr="00B40952" w:rsidRDefault="00B40952" w:rsidP="00B40952">
            <w:pPr>
              <w:spacing w:after="0" w:line="240" w:lineRule="auto"/>
              <w:jc w:val="center"/>
              <w:rPr>
                <w:rFonts w:ascii="Times New Roman" w:eastAsia="Times New Roman" w:hAnsi="Times New Roman" w:cs="Times New Roman"/>
                <w:b/>
                <w:color w:val="000000"/>
                <w:sz w:val="24"/>
                <w:szCs w:val="24"/>
                <w:lang w:eastAsia="lv-LV"/>
              </w:rPr>
            </w:pPr>
          </w:p>
          <w:p w:rsidR="00B40952" w:rsidRPr="00B40952" w:rsidRDefault="00B40952" w:rsidP="00B40952">
            <w:pPr>
              <w:spacing w:after="0" w:line="240" w:lineRule="auto"/>
              <w:jc w:val="center"/>
              <w:rPr>
                <w:rFonts w:ascii="Times New Roman" w:eastAsia="Times New Roman" w:hAnsi="Times New Roman" w:cs="Times New Roman"/>
                <w:b/>
                <w:color w:val="000000"/>
                <w:sz w:val="24"/>
                <w:szCs w:val="24"/>
                <w:lang w:eastAsia="lv-LV"/>
              </w:rPr>
            </w:pPr>
          </w:p>
        </w:tc>
        <w:tc>
          <w:tcPr>
            <w:tcW w:w="569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B40952" w:rsidRDefault="00B40952" w:rsidP="00B40952">
            <w:pPr>
              <w:spacing w:after="0" w:line="240" w:lineRule="auto"/>
              <w:jc w:val="center"/>
              <w:rPr>
                <w:rFonts w:ascii="Times New Roman" w:eastAsia="Times New Roman" w:hAnsi="Times New Roman" w:cs="Times New Roman"/>
                <w:b/>
                <w:bCs/>
                <w:color w:val="000000"/>
                <w:sz w:val="24"/>
                <w:szCs w:val="24"/>
                <w:lang w:eastAsia="lv-LV"/>
              </w:rPr>
            </w:pPr>
            <w:r w:rsidRPr="00B40952">
              <w:rPr>
                <w:rFonts w:ascii="Times New Roman" w:eastAsia="Times New Roman" w:hAnsi="Times New Roman" w:cs="Times New Roman"/>
                <w:b/>
                <w:bCs/>
                <w:color w:val="000000"/>
                <w:sz w:val="24"/>
                <w:szCs w:val="24"/>
                <w:lang w:eastAsia="lv-LV"/>
              </w:rPr>
              <w:t>Plānotais pasākums</w:t>
            </w:r>
          </w:p>
        </w:tc>
        <w:tc>
          <w:tcPr>
            <w:tcW w:w="2662" w:type="dxa"/>
            <w:tcBorders>
              <w:top w:val="single" w:sz="4" w:space="0" w:color="auto"/>
              <w:left w:val="single" w:sz="4" w:space="0" w:color="auto"/>
              <w:bottom w:val="single" w:sz="4" w:space="0" w:color="auto"/>
              <w:right w:val="single" w:sz="4" w:space="0" w:color="auto"/>
            </w:tcBorders>
            <w:shd w:val="clear" w:color="auto" w:fill="C6D9F1"/>
            <w:vAlign w:val="center"/>
          </w:tcPr>
          <w:p w:rsidR="00B40952" w:rsidRPr="00B40952" w:rsidRDefault="00B40952" w:rsidP="00B40952">
            <w:pPr>
              <w:spacing w:after="0" w:line="240" w:lineRule="auto"/>
              <w:jc w:val="center"/>
              <w:rPr>
                <w:rFonts w:ascii="Times New Roman" w:eastAsia="Times New Roman" w:hAnsi="Times New Roman" w:cs="Times New Roman"/>
                <w:b/>
                <w:bCs/>
                <w:color w:val="000000"/>
                <w:sz w:val="24"/>
                <w:szCs w:val="24"/>
                <w:lang w:eastAsia="lv-LV"/>
              </w:rPr>
            </w:pPr>
            <w:r w:rsidRPr="00B40952">
              <w:rPr>
                <w:rFonts w:ascii="Times New Roman" w:eastAsia="Times New Roman" w:hAnsi="Times New Roman" w:cs="Times New Roman"/>
                <w:b/>
                <w:bCs/>
                <w:color w:val="000000"/>
                <w:sz w:val="24"/>
                <w:szCs w:val="24"/>
                <w:lang w:eastAsia="lv-LV"/>
              </w:rPr>
              <w:t>Finansējums kopā</w:t>
            </w:r>
          </w:p>
          <w:p w:rsidR="00B40952" w:rsidRPr="00B40952" w:rsidRDefault="00B40952" w:rsidP="00B40952">
            <w:pPr>
              <w:spacing w:after="0" w:line="240" w:lineRule="auto"/>
              <w:jc w:val="center"/>
              <w:rPr>
                <w:rFonts w:ascii="Times New Roman" w:eastAsia="Times New Roman" w:hAnsi="Times New Roman" w:cs="Times New Roman"/>
                <w:b/>
                <w:i/>
                <w:color w:val="000000"/>
                <w:sz w:val="24"/>
                <w:szCs w:val="24"/>
                <w:lang w:eastAsia="lv-LV"/>
              </w:rPr>
            </w:pPr>
            <w:r w:rsidRPr="00B40952">
              <w:rPr>
                <w:rFonts w:ascii="Times New Roman" w:eastAsia="Times New Roman" w:hAnsi="Times New Roman" w:cs="Times New Roman"/>
                <w:b/>
                <w:i/>
                <w:color w:val="000000"/>
                <w:sz w:val="24"/>
                <w:szCs w:val="24"/>
                <w:lang w:eastAsia="lv-LV"/>
              </w:rPr>
              <w:t>(euro)</w:t>
            </w:r>
          </w:p>
        </w:tc>
      </w:tr>
      <w:tr w:rsidR="00B40952" w:rsidRPr="00B40952" w:rsidTr="00883A9E">
        <w:trPr>
          <w:trHeight w:val="572"/>
          <w:jc w:val="center"/>
        </w:trPr>
        <w:tc>
          <w:tcPr>
            <w:tcW w:w="674" w:type="dxa"/>
            <w:tcBorders>
              <w:top w:val="nil"/>
              <w:left w:val="single" w:sz="4" w:space="0" w:color="auto"/>
              <w:bottom w:val="single" w:sz="4" w:space="0" w:color="auto"/>
              <w:right w:val="single" w:sz="4" w:space="0" w:color="auto"/>
            </w:tcBorders>
            <w:vAlign w:val="center"/>
          </w:tcPr>
          <w:p w:rsidR="00B40952" w:rsidRPr="00883A9E" w:rsidRDefault="00B40952" w:rsidP="00B40952">
            <w:pPr>
              <w:spacing w:after="0" w:line="240" w:lineRule="auto"/>
              <w:jc w:val="center"/>
              <w:rPr>
                <w:rFonts w:ascii="Times New Roman" w:eastAsia="Times New Roman" w:hAnsi="Times New Roman" w:cs="Times New Roman"/>
                <w:color w:val="000000"/>
                <w:sz w:val="20"/>
                <w:szCs w:val="24"/>
                <w:lang w:eastAsia="lv-LV"/>
              </w:rPr>
            </w:pPr>
            <w:r w:rsidRPr="00883A9E">
              <w:rPr>
                <w:rFonts w:ascii="Times New Roman" w:eastAsia="Times New Roman" w:hAnsi="Times New Roman" w:cs="Times New Roman"/>
                <w:color w:val="000000"/>
                <w:sz w:val="20"/>
                <w:szCs w:val="24"/>
                <w:lang w:eastAsia="lv-LV"/>
              </w:rPr>
              <w:t>1.</w:t>
            </w:r>
          </w:p>
        </w:tc>
        <w:tc>
          <w:tcPr>
            <w:tcW w:w="5699" w:type="dxa"/>
            <w:tcBorders>
              <w:top w:val="nil"/>
              <w:left w:val="single" w:sz="4" w:space="0" w:color="auto"/>
              <w:bottom w:val="single" w:sz="4" w:space="0" w:color="auto"/>
              <w:right w:val="single" w:sz="4" w:space="0" w:color="auto"/>
            </w:tcBorders>
            <w:shd w:val="clear" w:color="auto" w:fill="auto"/>
            <w:vAlign w:val="center"/>
            <w:hideMark/>
          </w:tcPr>
          <w:p w:rsidR="00B40952" w:rsidRPr="00B40952" w:rsidRDefault="00B40952" w:rsidP="00883A9E">
            <w:pPr>
              <w:spacing w:after="0" w:line="240" w:lineRule="auto"/>
              <w:jc w:val="both"/>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sz w:val="24"/>
                <w:szCs w:val="24"/>
                <w:lang w:eastAsia="lv-LV"/>
              </w:rPr>
              <w:t>Veselības aprūpes pakalpojumu pieejamības uzlabošana</w:t>
            </w:r>
          </w:p>
        </w:tc>
        <w:tc>
          <w:tcPr>
            <w:tcW w:w="2662" w:type="dxa"/>
            <w:tcBorders>
              <w:top w:val="nil"/>
              <w:left w:val="single" w:sz="4" w:space="0" w:color="auto"/>
              <w:bottom w:val="single" w:sz="4" w:space="0" w:color="auto"/>
              <w:right w:val="single" w:sz="4" w:space="0" w:color="auto"/>
            </w:tcBorders>
            <w:vAlign w:val="center"/>
          </w:tcPr>
          <w:p w:rsidR="00B40952" w:rsidRPr="00B40952" w:rsidRDefault="00B40952" w:rsidP="00B40952">
            <w:pPr>
              <w:spacing w:after="0" w:line="240" w:lineRule="auto"/>
              <w:ind w:firstLineChars="100" w:firstLine="240"/>
              <w:jc w:val="center"/>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color w:val="000000"/>
                <w:sz w:val="24"/>
                <w:szCs w:val="24"/>
                <w:lang w:eastAsia="lv-LV"/>
              </w:rPr>
              <w:t>46</w:t>
            </w:r>
            <w:r w:rsidR="00044EB5">
              <w:rPr>
                <w:rFonts w:ascii="Times New Roman" w:eastAsia="Times New Roman" w:hAnsi="Times New Roman" w:cs="Times New Roman"/>
                <w:color w:val="000000"/>
                <w:sz w:val="24"/>
                <w:szCs w:val="24"/>
                <w:lang w:eastAsia="lv-LV"/>
              </w:rPr>
              <w:t> </w:t>
            </w:r>
            <w:r w:rsidRPr="00B40952">
              <w:rPr>
                <w:rFonts w:ascii="Times New Roman" w:eastAsia="Times New Roman" w:hAnsi="Times New Roman" w:cs="Times New Roman"/>
                <w:color w:val="000000"/>
                <w:sz w:val="24"/>
                <w:szCs w:val="24"/>
                <w:lang w:eastAsia="lv-LV"/>
              </w:rPr>
              <w:t>073</w:t>
            </w:r>
            <w:r w:rsidR="00044EB5">
              <w:rPr>
                <w:rFonts w:ascii="Times New Roman" w:hAnsi="Times New Roman" w:cs="Times New Roman"/>
                <w:sz w:val="20"/>
                <w:szCs w:val="20"/>
              </w:rPr>
              <w:t> </w:t>
            </w:r>
            <w:r w:rsidRPr="00B40952">
              <w:rPr>
                <w:rFonts w:ascii="Times New Roman" w:eastAsia="Times New Roman" w:hAnsi="Times New Roman" w:cs="Times New Roman"/>
                <w:color w:val="000000"/>
                <w:sz w:val="24"/>
                <w:szCs w:val="24"/>
                <w:lang w:eastAsia="lv-LV"/>
              </w:rPr>
              <w:t>209</w:t>
            </w:r>
          </w:p>
        </w:tc>
      </w:tr>
      <w:tr w:rsidR="00B40952" w:rsidRPr="00B40952" w:rsidTr="00883A9E">
        <w:trPr>
          <w:trHeight w:val="572"/>
          <w:jc w:val="center"/>
        </w:trPr>
        <w:tc>
          <w:tcPr>
            <w:tcW w:w="674" w:type="dxa"/>
            <w:tcBorders>
              <w:top w:val="single" w:sz="4" w:space="0" w:color="auto"/>
              <w:left w:val="single" w:sz="4" w:space="0" w:color="auto"/>
              <w:bottom w:val="single" w:sz="4" w:space="0" w:color="auto"/>
              <w:right w:val="single" w:sz="4" w:space="0" w:color="auto"/>
            </w:tcBorders>
            <w:vAlign w:val="center"/>
          </w:tcPr>
          <w:p w:rsidR="00B40952" w:rsidRPr="00883A9E" w:rsidRDefault="00B40952" w:rsidP="00B40952">
            <w:pPr>
              <w:spacing w:after="0" w:line="240" w:lineRule="auto"/>
              <w:jc w:val="center"/>
              <w:rPr>
                <w:rFonts w:ascii="Times New Roman" w:eastAsia="Times New Roman" w:hAnsi="Times New Roman" w:cs="Times New Roman"/>
                <w:color w:val="000000"/>
                <w:sz w:val="20"/>
                <w:szCs w:val="24"/>
                <w:lang w:eastAsia="lv-LV"/>
              </w:rPr>
            </w:pPr>
            <w:r w:rsidRPr="00883A9E">
              <w:rPr>
                <w:rFonts w:ascii="Times New Roman" w:eastAsia="Times New Roman" w:hAnsi="Times New Roman" w:cs="Times New Roman"/>
                <w:color w:val="000000"/>
                <w:sz w:val="20"/>
                <w:szCs w:val="24"/>
                <w:lang w:eastAsia="lv-LV"/>
              </w:rPr>
              <w:t>2.</w:t>
            </w:r>
          </w:p>
        </w:tc>
        <w:tc>
          <w:tcPr>
            <w:tcW w:w="5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952" w:rsidRPr="00B40952" w:rsidRDefault="00B40952" w:rsidP="00883A9E">
            <w:pPr>
              <w:spacing w:after="0" w:line="240" w:lineRule="auto"/>
              <w:jc w:val="both"/>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color w:val="000000"/>
                <w:sz w:val="24"/>
                <w:szCs w:val="24"/>
                <w:lang w:eastAsia="lv-LV"/>
              </w:rPr>
              <w:t>Onkoloģisko saslimšanu diagnostikas un ārstēšanas pieejamības uzlabošana</w:t>
            </w:r>
          </w:p>
        </w:tc>
        <w:tc>
          <w:tcPr>
            <w:tcW w:w="2662" w:type="dxa"/>
            <w:tcBorders>
              <w:top w:val="single" w:sz="4" w:space="0" w:color="auto"/>
              <w:left w:val="single" w:sz="4" w:space="0" w:color="auto"/>
              <w:bottom w:val="single" w:sz="4" w:space="0" w:color="auto"/>
              <w:right w:val="single" w:sz="4" w:space="0" w:color="auto"/>
            </w:tcBorders>
            <w:vAlign w:val="center"/>
          </w:tcPr>
          <w:p w:rsidR="00B40952" w:rsidRPr="00B40952" w:rsidRDefault="00B40952" w:rsidP="00B40952">
            <w:pPr>
              <w:spacing w:after="0" w:line="240" w:lineRule="auto"/>
              <w:ind w:firstLineChars="100" w:firstLine="240"/>
              <w:jc w:val="center"/>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color w:val="000000"/>
                <w:sz w:val="24"/>
                <w:szCs w:val="24"/>
                <w:lang w:eastAsia="lv-LV"/>
              </w:rPr>
              <w:t>29</w:t>
            </w:r>
            <w:r w:rsidR="00044EB5">
              <w:rPr>
                <w:rFonts w:ascii="Times New Roman" w:eastAsia="Times New Roman" w:hAnsi="Times New Roman" w:cs="Times New Roman"/>
                <w:color w:val="000000"/>
                <w:sz w:val="24"/>
                <w:szCs w:val="24"/>
                <w:lang w:eastAsia="lv-LV"/>
              </w:rPr>
              <w:t> </w:t>
            </w:r>
            <w:r w:rsidRPr="00B40952">
              <w:rPr>
                <w:rFonts w:ascii="Times New Roman" w:eastAsia="Times New Roman" w:hAnsi="Times New Roman" w:cs="Times New Roman"/>
                <w:color w:val="000000"/>
                <w:sz w:val="24"/>
                <w:szCs w:val="24"/>
                <w:lang w:eastAsia="lv-LV"/>
              </w:rPr>
              <w:t>896</w:t>
            </w:r>
            <w:r w:rsidR="00044EB5">
              <w:rPr>
                <w:rFonts w:ascii="Times New Roman" w:hAnsi="Times New Roman" w:cs="Times New Roman"/>
                <w:sz w:val="20"/>
                <w:szCs w:val="20"/>
              </w:rPr>
              <w:t> </w:t>
            </w:r>
            <w:r w:rsidRPr="00B40952">
              <w:rPr>
                <w:rFonts w:ascii="Times New Roman" w:eastAsia="Times New Roman" w:hAnsi="Times New Roman" w:cs="Times New Roman"/>
                <w:color w:val="000000"/>
                <w:sz w:val="24"/>
                <w:szCs w:val="24"/>
                <w:lang w:eastAsia="lv-LV"/>
              </w:rPr>
              <w:t>594</w:t>
            </w:r>
          </w:p>
        </w:tc>
      </w:tr>
      <w:tr w:rsidR="00B40952" w:rsidRPr="00B40952" w:rsidTr="00883A9E">
        <w:trPr>
          <w:trHeight w:val="572"/>
          <w:jc w:val="center"/>
        </w:trPr>
        <w:tc>
          <w:tcPr>
            <w:tcW w:w="674" w:type="dxa"/>
            <w:tcBorders>
              <w:top w:val="single" w:sz="4" w:space="0" w:color="auto"/>
              <w:left w:val="single" w:sz="4" w:space="0" w:color="auto"/>
              <w:bottom w:val="single" w:sz="4" w:space="0" w:color="auto"/>
              <w:right w:val="single" w:sz="4" w:space="0" w:color="auto"/>
            </w:tcBorders>
            <w:vAlign w:val="center"/>
          </w:tcPr>
          <w:p w:rsidR="00B40952" w:rsidRPr="00883A9E" w:rsidRDefault="00B40952" w:rsidP="00B40952">
            <w:pPr>
              <w:spacing w:after="0" w:line="240" w:lineRule="auto"/>
              <w:jc w:val="center"/>
              <w:rPr>
                <w:rFonts w:ascii="Times New Roman" w:eastAsia="Times New Roman" w:hAnsi="Times New Roman" w:cs="Times New Roman"/>
                <w:color w:val="000000"/>
                <w:sz w:val="20"/>
                <w:szCs w:val="24"/>
                <w:lang w:eastAsia="lv-LV"/>
              </w:rPr>
            </w:pPr>
            <w:r w:rsidRPr="00883A9E">
              <w:rPr>
                <w:rFonts w:ascii="Times New Roman" w:eastAsia="Times New Roman" w:hAnsi="Times New Roman" w:cs="Times New Roman"/>
                <w:color w:val="000000"/>
                <w:sz w:val="20"/>
                <w:szCs w:val="24"/>
                <w:lang w:eastAsia="lv-LV"/>
              </w:rPr>
              <w:lastRenderedPageBreak/>
              <w:t>3.</w:t>
            </w:r>
          </w:p>
        </w:tc>
        <w:tc>
          <w:tcPr>
            <w:tcW w:w="5699" w:type="dxa"/>
            <w:tcBorders>
              <w:top w:val="single" w:sz="4" w:space="0" w:color="auto"/>
              <w:left w:val="single" w:sz="4" w:space="0" w:color="auto"/>
              <w:bottom w:val="single" w:sz="4" w:space="0" w:color="auto"/>
              <w:right w:val="single" w:sz="4" w:space="0" w:color="auto"/>
            </w:tcBorders>
            <w:shd w:val="clear" w:color="auto" w:fill="auto"/>
            <w:vAlign w:val="center"/>
          </w:tcPr>
          <w:p w:rsidR="00B40952" w:rsidRPr="00B40952" w:rsidRDefault="00B40952" w:rsidP="00883A9E">
            <w:pPr>
              <w:spacing w:after="0" w:line="240" w:lineRule="auto"/>
              <w:jc w:val="both"/>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sz w:val="24"/>
                <w:szCs w:val="24"/>
                <w:lang w:eastAsia="lv-LV"/>
              </w:rPr>
              <w:t>Infekcijas slimību izplatības mazināšana</w:t>
            </w:r>
          </w:p>
        </w:tc>
        <w:tc>
          <w:tcPr>
            <w:tcW w:w="2662" w:type="dxa"/>
            <w:tcBorders>
              <w:top w:val="single" w:sz="4" w:space="0" w:color="auto"/>
              <w:left w:val="single" w:sz="4" w:space="0" w:color="auto"/>
              <w:bottom w:val="single" w:sz="4" w:space="0" w:color="auto"/>
              <w:right w:val="single" w:sz="4" w:space="0" w:color="auto"/>
            </w:tcBorders>
            <w:vAlign w:val="center"/>
          </w:tcPr>
          <w:p w:rsidR="00B40952" w:rsidRPr="00B40952" w:rsidRDefault="00B40952" w:rsidP="00B40952">
            <w:pPr>
              <w:spacing w:after="0" w:line="240" w:lineRule="auto"/>
              <w:ind w:firstLineChars="100" w:firstLine="240"/>
              <w:jc w:val="center"/>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color w:val="000000"/>
                <w:sz w:val="24"/>
                <w:szCs w:val="24"/>
                <w:lang w:eastAsia="lv-LV"/>
              </w:rPr>
              <w:t>16</w:t>
            </w:r>
            <w:r w:rsidR="00044EB5">
              <w:rPr>
                <w:rFonts w:ascii="Times New Roman" w:eastAsia="Times New Roman" w:hAnsi="Times New Roman" w:cs="Times New Roman"/>
                <w:color w:val="000000"/>
                <w:sz w:val="24"/>
                <w:szCs w:val="24"/>
                <w:lang w:eastAsia="lv-LV"/>
              </w:rPr>
              <w:t> </w:t>
            </w:r>
            <w:r w:rsidRPr="00B40952">
              <w:rPr>
                <w:rFonts w:ascii="Times New Roman" w:eastAsia="Times New Roman" w:hAnsi="Times New Roman" w:cs="Times New Roman"/>
                <w:color w:val="000000"/>
                <w:sz w:val="24"/>
                <w:szCs w:val="24"/>
                <w:lang w:eastAsia="lv-LV"/>
              </w:rPr>
              <w:t>740</w:t>
            </w:r>
            <w:r w:rsidR="00044EB5">
              <w:rPr>
                <w:rFonts w:ascii="Times New Roman" w:hAnsi="Times New Roman" w:cs="Times New Roman"/>
                <w:sz w:val="20"/>
                <w:szCs w:val="20"/>
              </w:rPr>
              <w:t> </w:t>
            </w:r>
            <w:r w:rsidRPr="00B40952">
              <w:rPr>
                <w:rFonts w:ascii="Times New Roman" w:eastAsia="Times New Roman" w:hAnsi="Times New Roman" w:cs="Times New Roman"/>
                <w:color w:val="000000"/>
                <w:sz w:val="24"/>
                <w:szCs w:val="24"/>
                <w:lang w:eastAsia="lv-LV"/>
              </w:rPr>
              <w:t>741</w:t>
            </w:r>
          </w:p>
        </w:tc>
      </w:tr>
      <w:tr w:rsidR="00B40952" w:rsidRPr="00B40952" w:rsidTr="00883A9E">
        <w:trPr>
          <w:trHeight w:val="572"/>
          <w:jc w:val="center"/>
        </w:trPr>
        <w:tc>
          <w:tcPr>
            <w:tcW w:w="674" w:type="dxa"/>
            <w:tcBorders>
              <w:top w:val="single" w:sz="4" w:space="0" w:color="auto"/>
              <w:left w:val="single" w:sz="4" w:space="0" w:color="auto"/>
              <w:bottom w:val="single" w:sz="4" w:space="0" w:color="auto"/>
              <w:right w:val="single" w:sz="4" w:space="0" w:color="auto"/>
            </w:tcBorders>
            <w:vAlign w:val="center"/>
          </w:tcPr>
          <w:p w:rsidR="00B40952" w:rsidRPr="00883A9E" w:rsidRDefault="00B40952" w:rsidP="00B40952">
            <w:pPr>
              <w:spacing w:after="0" w:line="240" w:lineRule="auto"/>
              <w:jc w:val="center"/>
              <w:rPr>
                <w:rFonts w:ascii="Times New Roman" w:eastAsia="Times New Roman" w:hAnsi="Times New Roman" w:cs="Times New Roman"/>
                <w:color w:val="000000"/>
                <w:sz w:val="20"/>
                <w:szCs w:val="24"/>
                <w:lang w:eastAsia="lv-LV"/>
              </w:rPr>
            </w:pPr>
            <w:r w:rsidRPr="00883A9E">
              <w:rPr>
                <w:rFonts w:ascii="Times New Roman" w:eastAsia="Times New Roman" w:hAnsi="Times New Roman" w:cs="Times New Roman"/>
                <w:color w:val="000000"/>
                <w:sz w:val="20"/>
                <w:szCs w:val="24"/>
                <w:lang w:eastAsia="lv-LV"/>
              </w:rPr>
              <w:t>4.</w:t>
            </w:r>
          </w:p>
        </w:tc>
        <w:tc>
          <w:tcPr>
            <w:tcW w:w="5699" w:type="dxa"/>
            <w:tcBorders>
              <w:top w:val="single" w:sz="4" w:space="0" w:color="auto"/>
              <w:left w:val="single" w:sz="4" w:space="0" w:color="auto"/>
              <w:bottom w:val="single" w:sz="4" w:space="0" w:color="auto"/>
              <w:right w:val="single" w:sz="4" w:space="0" w:color="auto"/>
            </w:tcBorders>
            <w:shd w:val="clear" w:color="auto" w:fill="auto"/>
            <w:vAlign w:val="center"/>
          </w:tcPr>
          <w:p w:rsidR="00B40952" w:rsidRPr="00B40952" w:rsidRDefault="00B40952" w:rsidP="00883A9E">
            <w:pPr>
              <w:spacing w:after="0" w:line="240" w:lineRule="auto"/>
              <w:jc w:val="both"/>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sz w:val="24"/>
                <w:szCs w:val="24"/>
                <w:lang w:eastAsia="lv-LV"/>
              </w:rPr>
              <w:t>Primārās veselības aprūpes sistēmas kvalitātes un pieejamības uzlabošana</w:t>
            </w:r>
          </w:p>
        </w:tc>
        <w:tc>
          <w:tcPr>
            <w:tcW w:w="2662" w:type="dxa"/>
            <w:tcBorders>
              <w:top w:val="single" w:sz="4" w:space="0" w:color="auto"/>
              <w:left w:val="single" w:sz="4" w:space="0" w:color="auto"/>
              <w:bottom w:val="single" w:sz="4" w:space="0" w:color="auto"/>
              <w:right w:val="single" w:sz="4" w:space="0" w:color="auto"/>
            </w:tcBorders>
            <w:vAlign w:val="center"/>
          </w:tcPr>
          <w:p w:rsidR="00B40952" w:rsidRPr="00B40952" w:rsidRDefault="00B40952" w:rsidP="00B40952">
            <w:pPr>
              <w:spacing w:after="0" w:line="240" w:lineRule="auto"/>
              <w:ind w:firstLineChars="100" w:firstLine="240"/>
              <w:jc w:val="center"/>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color w:val="000000"/>
                <w:sz w:val="24"/>
                <w:szCs w:val="24"/>
                <w:lang w:eastAsia="lv-LV"/>
              </w:rPr>
              <w:t>9</w:t>
            </w:r>
            <w:r w:rsidR="00044EB5">
              <w:rPr>
                <w:rFonts w:ascii="Times New Roman" w:eastAsia="Times New Roman" w:hAnsi="Times New Roman" w:cs="Times New Roman"/>
                <w:color w:val="000000"/>
                <w:sz w:val="24"/>
                <w:szCs w:val="24"/>
                <w:lang w:eastAsia="lv-LV"/>
              </w:rPr>
              <w:t> </w:t>
            </w:r>
            <w:r w:rsidRPr="00B40952">
              <w:rPr>
                <w:rFonts w:ascii="Times New Roman" w:eastAsia="Times New Roman" w:hAnsi="Times New Roman" w:cs="Times New Roman"/>
                <w:color w:val="000000"/>
                <w:sz w:val="24"/>
                <w:szCs w:val="24"/>
                <w:lang w:eastAsia="lv-LV"/>
              </w:rPr>
              <w:t>664</w:t>
            </w:r>
            <w:r w:rsidR="00044EB5">
              <w:rPr>
                <w:rFonts w:ascii="Times New Roman" w:hAnsi="Times New Roman" w:cs="Times New Roman"/>
                <w:sz w:val="20"/>
                <w:szCs w:val="20"/>
              </w:rPr>
              <w:t> </w:t>
            </w:r>
            <w:r w:rsidRPr="00B40952">
              <w:rPr>
                <w:rFonts w:ascii="Times New Roman" w:eastAsia="Times New Roman" w:hAnsi="Times New Roman" w:cs="Times New Roman"/>
                <w:color w:val="000000"/>
                <w:sz w:val="24"/>
                <w:szCs w:val="24"/>
                <w:lang w:eastAsia="lv-LV"/>
              </w:rPr>
              <w:t>036</w:t>
            </w:r>
          </w:p>
        </w:tc>
      </w:tr>
      <w:tr w:rsidR="00B40952" w:rsidRPr="00B40952" w:rsidTr="00883A9E">
        <w:trPr>
          <w:trHeight w:val="572"/>
          <w:jc w:val="center"/>
        </w:trPr>
        <w:tc>
          <w:tcPr>
            <w:tcW w:w="674" w:type="dxa"/>
            <w:tcBorders>
              <w:top w:val="single" w:sz="4" w:space="0" w:color="auto"/>
              <w:left w:val="single" w:sz="4" w:space="0" w:color="auto"/>
              <w:bottom w:val="single" w:sz="4" w:space="0" w:color="auto"/>
              <w:right w:val="single" w:sz="4" w:space="0" w:color="auto"/>
            </w:tcBorders>
            <w:vAlign w:val="center"/>
          </w:tcPr>
          <w:p w:rsidR="00B40952" w:rsidRPr="00883A9E" w:rsidRDefault="00B40952" w:rsidP="00B40952">
            <w:pPr>
              <w:spacing w:after="0" w:line="240" w:lineRule="auto"/>
              <w:jc w:val="center"/>
              <w:rPr>
                <w:rFonts w:ascii="Times New Roman" w:eastAsia="Times New Roman" w:hAnsi="Times New Roman" w:cs="Times New Roman"/>
                <w:color w:val="000000"/>
                <w:sz w:val="20"/>
                <w:szCs w:val="24"/>
                <w:lang w:eastAsia="lv-LV"/>
              </w:rPr>
            </w:pPr>
            <w:r w:rsidRPr="00883A9E">
              <w:rPr>
                <w:rFonts w:ascii="Times New Roman" w:eastAsia="Times New Roman" w:hAnsi="Times New Roman" w:cs="Times New Roman"/>
                <w:color w:val="000000"/>
                <w:sz w:val="20"/>
                <w:szCs w:val="24"/>
                <w:lang w:eastAsia="lv-LV"/>
              </w:rPr>
              <w:t>5.</w:t>
            </w:r>
          </w:p>
        </w:tc>
        <w:tc>
          <w:tcPr>
            <w:tcW w:w="5699" w:type="dxa"/>
            <w:tcBorders>
              <w:top w:val="single" w:sz="4" w:space="0" w:color="auto"/>
              <w:left w:val="single" w:sz="4" w:space="0" w:color="auto"/>
              <w:bottom w:val="single" w:sz="4" w:space="0" w:color="auto"/>
              <w:right w:val="single" w:sz="4" w:space="0" w:color="auto"/>
            </w:tcBorders>
            <w:shd w:val="clear" w:color="auto" w:fill="auto"/>
            <w:vAlign w:val="center"/>
          </w:tcPr>
          <w:p w:rsidR="00B40952" w:rsidRPr="00B40952" w:rsidRDefault="00B40952" w:rsidP="00883A9E">
            <w:pPr>
              <w:spacing w:after="0" w:line="240" w:lineRule="auto"/>
              <w:jc w:val="both"/>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sz w:val="24"/>
                <w:szCs w:val="24"/>
                <w:lang w:eastAsia="lv-LV"/>
              </w:rPr>
              <w:t>Kardiovaskulārās saslimstības mazināšana un slimību ārstēšanas efektivitātes uzlabošana</w:t>
            </w:r>
          </w:p>
        </w:tc>
        <w:tc>
          <w:tcPr>
            <w:tcW w:w="2662" w:type="dxa"/>
            <w:tcBorders>
              <w:top w:val="single" w:sz="4" w:space="0" w:color="auto"/>
              <w:left w:val="single" w:sz="4" w:space="0" w:color="auto"/>
              <w:bottom w:val="single" w:sz="4" w:space="0" w:color="auto"/>
              <w:right w:val="single" w:sz="4" w:space="0" w:color="auto"/>
            </w:tcBorders>
            <w:vAlign w:val="center"/>
          </w:tcPr>
          <w:p w:rsidR="00B40952" w:rsidRPr="00B40952" w:rsidRDefault="00B40952" w:rsidP="00B40952">
            <w:pPr>
              <w:spacing w:after="0" w:line="240" w:lineRule="auto"/>
              <w:ind w:firstLineChars="100" w:firstLine="240"/>
              <w:jc w:val="center"/>
              <w:rPr>
                <w:rFonts w:ascii="Times New Roman" w:eastAsia="Times New Roman" w:hAnsi="Times New Roman" w:cs="Times New Roman"/>
                <w:color w:val="000000"/>
                <w:sz w:val="24"/>
                <w:szCs w:val="24"/>
                <w:lang w:eastAsia="lv-LV"/>
              </w:rPr>
            </w:pPr>
            <w:r w:rsidRPr="00B40952">
              <w:rPr>
                <w:rFonts w:ascii="Times New Roman" w:eastAsia="Times New Roman" w:hAnsi="Times New Roman" w:cs="Times New Roman"/>
                <w:color w:val="000000"/>
                <w:sz w:val="24"/>
                <w:szCs w:val="24"/>
                <w:lang w:eastAsia="lv-LV"/>
              </w:rPr>
              <w:t>11</w:t>
            </w:r>
            <w:r w:rsidR="00044EB5">
              <w:rPr>
                <w:rFonts w:ascii="Times New Roman" w:hAnsi="Times New Roman" w:cs="Times New Roman"/>
                <w:sz w:val="20"/>
                <w:szCs w:val="20"/>
              </w:rPr>
              <w:t> </w:t>
            </w:r>
            <w:r w:rsidRPr="00B40952">
              <w:rPr>
                <w:rFonts w:ascii="Times New Roman" w:eastAsia="Times New Roman" w:hAnsi="Times New Roman" w:cs="Times New Roman"/>
                <w:color w:val="000000"/>
                <w:sz w:val="24"/>
                <w:szCs w:val="24"/>
                <w:lang w:eastAsia="lv-LV"/>
              </w:rPr>
              <w:t>025</w:t>
            </w:r>
            <w:r w:rsidR="00044EB5">
              <w:rPr>
                <w:rFonts w:ascii="Times New Roman" w:hAnsi="Times New Roman" w:cs="Times New Roman"/>
                <w:sz w:val="20"/>
                <w:szCs w:val="20"/>
              </w:rPr>
              <w:t> </w:t>
            </w:r>
            <w:r w:rsidRPr="00B40952">
              <w:rPr>
                <w:rFonts w:ascii="Times New Roman" w:eastAsia="Times New Roman" w:hAnsi="Times New Roman" w:cs="Times New Roman"/>
                <w:color w:val="000000"/>
                <w:sz w:val="24"/>
                <w:szCs w:val="24"/>
                <w:lang w:eastAsia="lv-LV"/>
              </w:rPr>
              <w:t>420</w:t>
            </w:r>
          </w:p>
        </w:tc>
      </w:tr>
      <w:tr w:rsidR="00B40952" w:rsidRPr="00B40952" w:rsidTr="00883A9E">
        <w:trPr>
          <w:trHeight w:val="428"/>
          <w:jc w:val="center"/>
        </w:trPr>
        <w:tc>
          <w:tcPr>
            <w:tcW w:w="674" w:type="dxa"/>
            <w:tcBorders>
              <w:top w:val="nil"/>
              <w:left w:val="single" w:sz="4" w:space="0" w:color="auto"/>
              <w:bottom w:val="single" w:sz="4" w:space="0" w:color="auto"/>
              <w:right w:val="single" w:sz="4" w:space="0" w:color="auto"/>
            </w:tcBorders>
            <w:shd w:val="clear" w:color="auto" w:fill="C6D9F1"/>
          </w:tcPr>
          <w:p w:rsidR="00B40952" w:rsidRPr="00B40952" w:rsidRDefault="00B40952" w:rsidP="00B40952">
            <w:pPr>
              <w:spacing w:after="0" w:line="240" w:lineRule="auto"/>
              <w:jc w:val="right"/>
              <w:rPr>
                <w:rFonts w:ascii="Times New Roman" w:eastAsia="Times New Roman" w:hAnsi="Times New Roman" w:cs="Times New Roman"/>
                <w:b/>
                <w:bCs/>
                <w:color w:val="000000"/>
                <w:sz w:val="24"/>
                <w:szCs w:val="24"/>
                <w:lang w:eastAsia="lv-LV"/>
              </w:rPr>
            </w:pPr>
          </w:p>
        </w:tc>
        <w:tc>
          <w:tcPr>
            <w:tcW w:w="5699" w:type="dxa"/>
            <w:tcBorders>
              <w:top w:val="nil"/>
              <w:left w:val="single" w:sz="4" w:space="0" w:color="auto"/>
              <w:bottom w:val="single" w:sz="4" w:space="0" w:color="auto"/>
              <w:right w:val="single" w:sz="4" w:space="0" w:color="auto"/>
            </w:tcBorders>
            <w:shd w:val="clear" w:color="auto" w:fill="C6D9F1"/>
            <w:vAlign w:val="center"/>
            <w:hideMark/>
          </w:tcPr>
          <w:p w:rsidR="00B40952" w:rsidRPr="00B40952" w:rsidRDefault="00B40952" w:rsidP="00B40952">
            <w:pPr>
              <w:spacing w:after="0" w:line="240" w:lineRule="auto"/>
              <w:jc w:val="right"/>
              <w:rPr>
                <w:rFonts w:ascii="Times New Roman" w:eastAsia="Times New Roman" w:hAnsi="Times New Roman" w:cs="Times New Roman"/>
                <w:b/>
                <w:bCs/>
                <w:color w:val="000000"/>
                <w:sz w:val="24"/>
                <w:szCs w:val="24"/>
                <w:lang w:eastAsia="lv-LV"/>
              </w:rPr>
            </w:pPr>
            <w:r w:rsidRPr="00B40952">
              <w:rPr>
                <w:rFonts w:ascii="Times New Roman" w:eastAsia="Times New Roman" w:hAnsi="Times New Roman" w:cs="Times New Roman"/>
                <w:b/>
                <w:bCs/>
                <w:color w:val="000000"/>
                <w:sz w:val="24"/>
                <w:szCs w:val="24"/>
                <w:lang w:eastAsia="lv-LV"/>
              </w:rPr>
              <w:t xml:space="preserve">Kopā: </w:t>
            </w:r>
          </w:p>
        </w:tc>
        <w:tc>
          <w:tcPr>
            <w:tcW w:w="2662" w:type="dxa"/>
            <w:tcBorders>
              <w:top w:val="nil"/>
              <w:left w:val="single" w:sz="4" w:space="0" w:color="auto"/>
              <w:bottom w:val="single" w:sz="4" w:space="0" w:color="auto"/>
              <w:right w:val="single" w:sz="4" w:space="0" w:color="auto"/>
            </w:tcBorders>
            <w:shd w:val="clear" w:color="auto" w:fill="C6D9F1"/>
            <w:vAlign w:val="center"/>
          </w:tcPr>
          <w:p w:rsidR="00B40952" w:rsidRPr="00B40952" w:rsidRDefault="00793734" w:rsidP="00B40952">
            <w:pPr>
              <w:numPr>
                <w:ilvl w:val="0"/>
                <w:numId w:val="40"/>
              </w:numPr>
              <w:spacing w:after="0" w:line="240" w:lineRule="auto"/>
              <w:contextualSpacing/>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sz w:val="16"/>
                <w:szCs w:val="16"/>
              </w:rPr>
              <w:t> </w:t>
            </w:r>
            <w:r w:rsidR="00B40952" w:rsidRPr="00B40952">
              <w:rPr>
                <w:rFonts w:ascii="Times New Roman" w:eastAsia="Times New Roman" w:hAnsi="Times New Roman" w:cs="Times New Roman"/>
                <w:b/>
                <w:bCs/>
                <w:color w:val="000000"/>
                <w:sz w:val="24"/>
                <w:szCs w:val="24"/>
                <w:lang w:eastAsia="lv-LV"/>
              </w:rPr>
              <w:t>400</w:t>
            </w:r>
            <w:r>
              <w:rPr>
                <w:rFonts w:ascii="Times New Roman" w:eastAsia="Times New Roman" w:hAnsi="Times New Roman" w:cs="Times New Roman"/>
                <w:sz w:val="16"/>
                <w:szCs w:val="16"/>
              </w:rPr>
              <w:t> </w:t>
            </w:r>
            <w:r w:rsidR="00B40952" w:rsidRPr="00B40952">
              <w:rPr>
                <w:rFonts w:ascii="Times New Roman" w:eastAsia="Times New Roman" w:hAnsi="Times New Roman" w:cs="Times New Roman"/>
                <w:b/>
                <w:bCs/>
                <w:color w:val="000000"/>
                <w:sz w:val="24"/>
                <w:szCs w:val="24"/>
                <w:lang w:eastAsia="lv-LV"/>
              </w:rPr>
              <w:t>000</w:t>
            </w:r>
          </w:p>
        </w:tc>
      </w:tr>
    </w:tbl>
    <w:p w:rsidR="00B40952" w:rsidRPr="00B40952" w:rsidRDefault="00B40952" w:rsidP="00DB2217">
      <w:pPr>
        <w:spacing w:after="0" w:line="240" w:lineRule="auto"/>
        <w:jc w:val="both"/>
        <w:rPr>
          <w:rFonts w:ascii="Times New Roman" w:eastAsia="Times New Roman" w:hAnsi="Times New Roman" w:cs="Times New Roman"/>
          <w:sz w:val="24"/>
          <w:szCs w:val="24"/>
          <w:lang w:eastAsia="lv-LV"/>
        </w:rPr>
      </w:pPr>
    </w:p>
    <w:p w:rsidR="00B40952" w:rsidRPr="00793734" w:rsidRDefault="00B40952" w:rsidP="00DB2217">
      <w:pPr>
        <w:shd w:val="clear" w:color="auto" w:fill="FFFFFF"/>
        <w:spacing w:after="0" w:line="240" w:lineRule="auto"/>
        <w:ind w:firstLine="720"/>
        <w:jc w:val="both"/>
        <w:rPr>
          <w:rFonts w:ascii="Times New Roman" w:eastAsia="Times New Roman" w:hAnsi="Times New Roman" w:cs="Times New Roman"/>
          <w:sz w:val="24"/>
          <w:szCs w:val="24"/>
        </w:rPr>
      </w:pPr>
      <w:r w:rsidRPr="00793734">
        <w:rPr>
          <w:rFonts w:ascii="Times New Roman" w:eastAsia="Times New Roman" w:hAnsi="Times New Roman" w:cs="Times New Roman"/>
          <w:sz w:val="24"/>
          <w:szCs w:val="24"/>
        </w:rPr>
        <w:t>Prognozējot potenciāli atgūtos (nezaudētos) mūža gadus gadījumā, ja ieguldījumi netiek veikti, domājams, ka pakāpeniski uzlabojoties iedzīvotāju veselībpratībai un ņemot vērā nelielos uzlabojumus iepriekšējos periodos, kā arī uzlabojoties ārstniecības procesa koordinācijai t.sk. e</w:t>
      </w:r>
      <w:r w:rsidR="00685E75" w:rsidRPr="00F14E08">
        <w:rPr>
          <w:rFonts w:ascii="Times New Roman" w:eastAsia="Calibri" w:hAnsi="Times New Roman" w:cs="Times New Roman"/>
          <w:sz w:val="24"/>
          <w:szCs w:val="24"/>
        </w:rPr>
        <w:t>–</w:t>
      </w:r>
      <w:r w:rsidRPr="00793734">
        <w:rPr>
          <w:rFonts w:ascii="Times New Roman" w:eastAsia="Times New Roman" w:hAnsi="Times New Roman" w:cs="Times New Roman"/>
          <w:sz w:val="24"/>
          <w:szCs w:val="24"/>
        </w:rPr>
        <w:t>veselības ieviešanas rezultātā, sagaidāma esošās situācijas neliela uzlabošanās, vienlaikus saglabājoties pieejamības problēmām it īpaši sociāli neaizsargātiem, kuri pie ārsta vērsīsies novēloti. Gala rezultātā minētie faktori datos atspoguļosies kā mirstības saglabāšanās vai pat neliela palielināšanās vecuma grupā līdz 65 gadiem un PZMG skaita minimāla lejupslīde vai pat stagnēšana. Savukārt veicot augstāk minētās reformas</w:t>
      </w:r>
      <w:r w:rsidR="00EE5443" w:rsidRPr="00793734">
        <w:rPr>
          <w:rFonts w:ascii="Times New Roman" w:eastAsia="Times New Roman" w:hAnsi="Times New Roman" w:cs="Times New Roman"/>
          <w:sz w:val="24"/>
          <w:szCs w:val="24"/>
        </w:rPr>
        <w:t>,</w:t>
      </w:r>
      <w:r w:rsidRPr="00793734">
        <w:rPr>
          <w:rFonts w:ascii="Times New Roman" w:eastAsia="Times New Roman" w:hAnsi="Times New Roman" w:cs="Times New Roman"/>
          <w:sz w:val="24"/>
          <w:szCs w:val="24"/>
        </w:rPr>
        <w:t xml:space="preserve"> samazināsies potenciāli zaudēto mūžaskaits, jo palielināsies iedzīvotāju dzīvildze un samazināsies priekšlaikus mirušo skaits (skat. 3.</w:t>
      </w:r>
      <w:r w:rsidR="00793734" w:rsidRPr="00793734">
        <w:rPr>
          <w:rFonts w:ascii="Times New Roman" w:eastAsia="Times New Roman" w:hAnsi="Times New Roman" w:cs="Times New Roman"/>
          <w:sz w:val="24"/>
          <w:szCs w:val="24"/>
        </w:rPr>
        <w:t>22</w:t>
      </w:r>
      <w:r w:rsidRPr="00793734">
        <w:rPr>
          <w:rFonts w:ascii="Times New Roman" w:eastAsia="Times New Roman" w:hAnsi="Times New Roman" w:cs="Times New Roman"/>
          <w:sz w:val="24"/>
          <w:szCs w:val="24"/>
        </w:rPr>
        <w:t xml:space="preserve">.tabulu). Ņemot vērā prognozes par PZMG samazinājumu, </w:t>
      </w:r>
      <w:r w:rsidRPr="00793734">
        <w:rPr>
          <w:rFonts w:ascii="Times New Roman" w:eastAsia="Times New Roman" w:hAnsi="Times New Roman" w:cs="Times New Roman"/>
          <w:b/>
          <w:sz w:val="24"/>
          <w:szCs w:val="24"/>
        </w:rPr>
        <w:t xml:space="preserve">secināms, ka tas atbilst </w:t>
      </w:r>
      <w:r w:rsidRPr="00793734">
        <w:rPr>
          <w:rFonts w:ascii="Times New Roman" w:eastAsia="Times New Roman" w:hAnsi="Times New Roman" w:cs="Times New Roman"/>
          <w:b/>
          <w:bCs/>
          <w:kern w:val="36"/>
          <w:sz w:val="24"/>
          <w:szCs w:val="24"/>
        </w:rPr>
        <w:t>pētījumā “Izvērtējums Sabiedrības veselības pamatnostādņu 2014.</w:t>
      </w:r>
      <w:r w:rsidR="00685E75">
        <w:rPr>
          <w:rFonts w:ascii="Times New Roman" w:eastAsia="Times New Roman" w:hAnsi="Times New Roman" w:cs="Times New Roman"/>
          <w:b/>
          <w:bCs/>
          <w:kern w:val="36"/>
          <w:sz w:val="24"/>
          <w:szCs w:val="24"/>
        </w:rPr>
        <w:t xml:space="preserve"> </w:t>
      </w:r>
      <w:r w:rsidRPr="00793734">
        <w:rPr>
          <w:rFonts w:ascii="Times New Roman" w:eastAsia="Times New Roman" w:hAnsi="Times New Roman" w:cs="Times New Roman"/>
          <w:b/>
          <w:bCs/>
          <w:kern w:val="36"/>
          <w:sz w:val="24"/>
          <w:szCs w:val="24"/>
        </w:rPr>
        <w:t>–</w:t>
      </w:r>
      <w:r w:rsidR="00685E75">
        <w:rPr>
          <w:rFonts w:ascii="Times New Roman" w:eastAsia="Times New Roman" w:hAnsi="Times New Roman" w:cs="Times New Roman"/>
          <w:b/>
          <w:bCs/>
          <w:kern w:val="36"/>
          <w:sz w:val="24"/>
          <w:szCs w:val="24"/>
        </w:rPr>
        <w:t xml:space="preserve"> </w:t>
      </w:r>
      <w:r w:rsidRPr="00793734">
        <w:rPr>
          <w:rFonts w:ascii="Times New Roman" w:eastAsia="Times New Roman" w:hAnsi="Times New Roman" w:cs="Times New Roman"/>
          <w:b/>
          <w:bCs/>
          <w:kern w:val="36"/>
          <w:sz w:val="24"/>
          <w:szCs w:val="24"/>
        </w:rPr>
        <w:t xml:space="preserve">2020.gadam izstrādei” </w:t>
      </w:r>
      <w:r w:rsidRPr="00793734">
        <w:rPr>
          <w:rFonts w:ascii="Times New Roman" w:eastAsia="Times New Roman" w:hAnsi="Times New Roman" w:cs="Times New Roman"/>
          <w:b/>
          <w:sz w:val="24"/>
          <w:szCs w:val="24"/>
        </w:rPr>
        <w:t>novērtētajam samazinājumam atbilstoši veiktajam finansējuma palielinājumam</w:t>
      </w:r>
      <w:r w:rsidRPr="00793734">
        <w:rPr>
          <w:rFonts w:ascii="Times New Roman" w:eastAsia="Times New Roman" w:hAnsi="Times New Roman" w:cs="Times New Roman"/>
          <w:sz w:val="24"/>
          <w:szCs w:val="24"/>
        </w:rPr>
        <w:t>.</w:t>
      </w:r>
    </w:p>
    <w:p w:rsidR="00B40952" w:rsidRPr="00946603" w:rsidRDefault="00B40952" w:rsidP="00C756E1">
      <w:pPr>
        <w:spacing w:before="120" w:after="0"/>
        <w:jc w:val="right"/>
        <w:rPr>
          <w:rFonts w:ascii="Times New Roman" w:eastAsia="Times New Roman" w:hAnsi="Times New Roman" w:cs="Times New Roman"/>
          <w:b/>
          <w:bCs/>
          <w:sz w:val="24"/>
          <w:szCs w:val="24"/>
        </w:rPr>
      </w:pPr>
      <w:r w:rsidRPr="00793734">
        <w:rPr>
          <w:rFonts w:ascii="Times New Roman" w:eastAsia="Times New Roman" w:hAnsi="Times New Roman" w:cs="Times New Roman"/>
          <w:b/>
          <w:sz w:val="24"/>
          <w:szCs w:val="24"/>
        </w:rPr>
        <w:t>3.</w:t>
      </w:r>
      <w:r w:rsidR="00793734" w:rsidRPr="00793734">
        <w:rPr>
          <w:rFonts w:ascii="Times New Roman" w:eastAsia="Times New Roman" w:hAnsi="Times New Roman" w:cs="Times New Roman"/>
          <w:b/>
          <w:sz w:val="24"/>
          <w:szCs w:val="24"/>
        </w:rPr>
        <w:t>22</w:t>
      </w:r>
      <w:r w:rsidRPr="00793734">
        <w:rPr>
          <w:rFonts w:ascii="Times New Roman" w:eastAsia="Times New Roman" w:hAnsi="Times New Roman" w:cs="Times New Roman"/>
          <w:b/>
          <w:sz w:val="24"/>
          <w:szCs w:val="24"/>
        </w:rPr>
        <w:t xml:space="preserve">.tabula. </w:t>
      </w:r>
      <w:r w:rsidRPr="00946603">
        <w:rPr>
          <w:rFonts w:ascii="Times New Roman" w:eastAsia="Times New Roman" w:hAnsi="Times New Roman" w:cs="Times New Roman"/>
          <w:b/>
          <w:bCs/>
          <w:sz w:val="24"/>
          <w:szCs w:val="24"/>
        </w:rPr>
        <w:t>Potenciāli zaudēto mūža gadu prognoze, ja ieguldījumi tiek veikti</w:t>
      </w:r>
    </w:p>
    <w:tbl>
      <w:tblPr>
        <w:tblW w:w="9634" w:type="dxa"/>
        <w:jc w:val="center"/>
        <w:tblLayout w:type="fixed"/>
        <w:tblLook w:val="04A0" w:firstRow="1" w:lastRow="0" w:firstColumn="1" w:lastColumn="0" w:noHBand="0" w:noVBand="1"/>
      </w:tblPr>
      <w:tblGrid>
        <w:gridCol w:w="3114"/>
        <w:gridCol w:w="795"/>
        <w:gridCol w:w="795"/>
        <w:gridCol w:w="795"/>
        <w:gridCol w:w="795"/>
        <w:gridCol w:w="794"/>
        <w:gridCol w:w="845"/>
        <w:gridCol w:w="851"/>
        <w:gridCol w:w="850"/>
      </w:tblGrid>
      <w:tr w:rsidR="00FE460E" w:rsidRPr="00793734" w:rsidTr="00883A9E">
        <w:trPr>
          <w:trHeight w:val="414"/>
          <w:jc w:val="center"/>
        </w:trPr>
        <w:tc>
          <w:tcPr>
            <w:tcW w:w="3114"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B40952" w:rsidRPr="00793734" w:rsidRDefault="00B40952" w:rsidP="00B40952">
            <w:pPr>
              <w:spacing w:after="0" w:line="240" w:lineRule="auto"/>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 </w:t>
            </w:r>
          </w:p>
        </w:tc>
        <w:tc>
          <w:tcPr>
            <w:tcW w:w="79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2013</w:t>
            </w:r>
          </w:p>
        </w:tc>
        <w:tc>
          <w:tcPr>
            <w:tcW w:w="795" w:type="dxa"/>
            <w:tcBorders>
              <w:top w:val="single" w:sz="4" w:space="0" w:color="auto"/>
              <w:left w:val="nil"/>
              <w:bottom w:val="single" w:sz="4" w:space="0" w:color="auto"/>
              <w:right w:val="single" w:sz="4" w:space="0" w:color="auto"/>
            </w:tcBorders>
            <w:shd w:val="clear" w:color="auto" w:fill="C6D9F1"/>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2014</w:t>
            </w:r>
          </w:p>
        </w:tc>
        <w:tc>
          <w:tcPr>
            <w:tcW w:w="795" w:type="dxa"/>
            <w:tcBorders>
              <w:top w:val="single" w:sz="4" w:space="0" w:color="auto"/>
              <w:left w:val="nil"/>
              <w:bottom w:val="single" w:sz="4" w:space="0" w:color="auto"/>
              <w:right w:val="single" w:sz="4" w:space="0" w:color="auto"/>
            </w:tcBorders>
            <w:shd w:val="clear" w:color="auto" w:fill="C6D9F1"/>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2015</w:t>
            </w:r>
          </w:p>
        </w:tc>
        <w:tc>
          <w:tcPr>
            <w:tcW w:w="795" w:type="dxa"/>
            <w:tcBorders>
              <w:top w:val="single" w:sz="4" w:space="0" w:color="auto"/>
              <w:left w:val="nil"/>
              <w:bottom w:val="single" w:sz="4" w:space="0" w:color="auto"/>
              <w:right w:val="single" w:sz="4" w:space="0" w:color="auto"/>
            </w:tcBorders>
            <w:shd w:val="clear" w:color="auto" w:fill="C6D9F1"/>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2016</w:t>
            </w:r>
          </w:p>
        </w:tc>
        <w:tc>
          <w:tcPr>
            <w:tcW w:w="794" w:type="dxa"/>
            <w:tcBorders>
              <w:top w:val="single" w:sz="4" w:space="0" w:color="auto"/>
              <w:left w:val="nil"/>
              <w:bottom w:val="single" w:sz="4" w:space="0" w:color="auto"/>
              <w:right w:val="single" w:sz="4" w:space="0" w:color="auto"/>
            </w:tcBorders>
            <w:shd w:val="clear" w:color="auto" w:fill="C6D9F1"/>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2017</w:t>
            </w:r>
          </w:p>
        </w:tc>
        <w:tc>
          <w:tcPr>
            <w:tcW w:w="845" w:type="dxa"/>
            <w:tcBorders>
              <w:top w:val="single" w:sz="4" w:space="0" w:color="auto"/>
              <w:left w:val="nil"/>
              <w:bottom w:val="single" w:sz="4" w:space="0" w:color="auto"/>
              <w:right w:val="single" w:sz="4" w:space="0" w:color="auto"/>
            </w:tcBorders>
            <w:shd w:val="clear" w:color="auto" w:fill="C6D9F1"/>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2018</w:t>
            </w:r>
          </w:p>
        </w:tc>
        <w:tc>
          <w:tcPr>
            <w:tcW w:w="851" w:type="dxa"/>
            <w:tcBorders>
              <w:top w:val="single" w:sz="4" w:space="0" w:color="auto"/>
              <w:left w:val="nil"/>
              <w:bottom w:val="single" w:sz="4" w:space="0" w:color="auto"/>
              <w:right w:val="single" w:sz="4" w:space="0" w:color="auto"/>
            </w:tcBorders>
            <w:shd w:val="clear" w:color="auto" w:fill="C6D9F1"/>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2019</w:t>
            </w:r>
          </w:p>
        </w:tc>
        <w:tc>
          <w:tcPr>
            <w:tcW w:w="850" w:type="dxa"/>
            <w:tcBorders>
              <w:top w:val="single" w:sz="4" w:space="0" w:color="auto"/>
              <w:left w:val="nil"/>
              <w:bottom w:val="single" w:sz="4" w:space="0" w:color="auto"/>
              <w:right w:val="single" w:sz="4" w:space="0" w:color="auto"/>
            </w:tcBorders>
            <w:shd w:val="clear" w:color="auto" w:fill="C6D9F1"/>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2020</w:t>
            </w:r>
          </w:p>
        </w:tc>
      </w:tr>
      <w:tr w:rsidR="00FE460E" w:rsidRPr="00793734" w:rsidTr="00883A9E">
        <w:trPr>
          <w:trHeight w:val="561"/>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40952" w:rsidRPr="00793734" w:rsidRDefault="00B40952" w:rsidP="00883A9E">
            <w:pPr>
              <w:spacing w:after="0" w:line="240" w:lineRule="auto"/>
              <w:jc w:val="both"/>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PZMG prognoze neveicot ieguldījumus</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96</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670</w:t>
            </w:r>
          </w:p>
        </w:tc>
        <w:tc>
          <w:tcPr>
            <w:tcW w:w="795"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93</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374</w:t>
            </w:r>
          </w:p>
        </w:tc>
        <w:tc>
          <w:tcPr>
            <w:tcW w:w="795"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88</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191</w:t>
            </w:r>
          </w:p>
        </w:tc>
        <w:tc>
          <w:tcPr>
            <w:tcW w:w="795"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88</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191</w:t>
            </w:r>
          </w:p>
        </w:tc>
        <w:tc>
          <w:tcPr>
            <w:tcW w:w="794"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87</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541</w:t>
            </w:r>
          </w:p>
        </w:tc>
        <w:tc>
          <w:tcPr>
            <w:tcW w:w="845"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86</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343</w:t>
            </w:r>
          </w:p>
        </w:tc>
        <w:tc>
          <w:tcPr>
            <w:tcW w:w="851"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85</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045</w:t>
            </w:r>
          </w:p>
        </w:tc>
        <w:tc>
          <w:tcPr>
            <w:tcW w:w="850"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83</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913</w:t>
            </w:r>
          </w:p>
        </w:tc>
      </w:tr>
      <w:tr w:rsidR="00FE460E" w:rsidRPr="00793734" w:rsidTr="00883A9E">
        <w:trPr>
          <w:trHeight w:val="555"/>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40952" w:rsidRPr="00793734" w:rsidRDefault="00B40952" w:rsidP="00883A9E">
            <w:pPr>
              <w:spacing w:after="0" w:line="240" w:lineRule="auto"/>
              <w:jc w:val="both"/>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PZMG prognoze veicot ieguldījumus</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84</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371</w:t>
            </w:r>
          </w:p>
        </w:tc>
        <w:tc>
          <w:tcPr>
            <w:tcW w:w="794"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84</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079</w:t>
            </w:r>
          </w:p>
        </w:tc>
        <w:tc>
          <w:tcPr>
            <w:tcW w:w="845"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83</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918</w:t>
            </w:r>
          </w:p>
        </w:tc>
        <w:tc>
          <w:tcPr>
            <w:tcW w:w="851"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81</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372</w:t>
            </w:r>
          </w:p>
        </w:tc>
        <w:tc>
          <w:tcPr>
            <w:tcW w:w="850" w:type="dxa"/>
            <w:tcBorders>
              <w:top w:val="nil"/>
              <w:left w:val="nil"/>
              <w:bottom w:val="single" w:sz="4" w:space="0" w:color="auto"/>
              <w:right w:val="single" w:sz="4" w:space="0" w:color="auto"/>
            </w:tcBorders>
            <w:shd w:val="clear" w:color="auto" w:fill="auto"/>
            <w:noWrap/>
            <w:vAlign w:val="center"/>
            <w:hideMark/>
          </w:tcPr>
          <w:p w:rsidR="00B40952" w:rsidRPr="00793734" w:rsidRDefault="00B40952" w:rsidP="00DB2217">
            <w:pPr>
              <w:spacing w:after="0" w:line="240" w:lineRule="auto"/>
              <w:jc w:val="center"/>
              <w:rPr>
                <w:rFonts w:ascii="Times New Roman" w:eastAsia="Times New Roman" w:hAnsi="Times New Roman" w:cs="Times New Roman"/>
                <w:sz w:val="20"/>
                <w:szCs w:val="20"/>
                <w:lang w:eastAsia="lv-LV"/>
              </w:rPr>
            </w:pPr>
            <w:r w:rsidRPr="00793734">
              <w:rPr>
                <w:rFonts w:ascii="Times New Roman" w:eastAsia="Times New Roman" w:hAnsi="Times New Roman" w:cs="Times New Roman"/>
                <w:sz w:val="20"/>
                <w:szCs w:val="20"/>
                <w:lang w:eastAsia="lv-LV"/>
              </w:rPr>
              <w:t>78</w:t>
            </w:r>
            <w:r w:rsidR="00DB2217" w:rsidRPr="00793734">
              <w:rPr>
                <w:rFonts w:ascii="Times New Roman" w:eastAsia="Times New Roman" w:hAnsi="Times New Roman" w:cs="Times New Roman"/>
              </w:rPr>
              <w:t> </w:t>
            </w:r>
            <w:r w:rsidRPr="00793734">
              <w:rPr>
                <w:rFonts w:ascii="Times New Roman" w:eastAsia="Times New Roman" w:hAnsi="Times New Roman" w:cs="Times New Roman"/>
                <w:sz w:val="20"/>
                <w:szCs w:val="20"/>
                <w:lang w:eastAsia="lv-LV"/>
              </w:rPr>
              <w:t>341</w:t>
            </w:r>
          </w:p>
        </w:tc>
      </w:tr>
      <w:tr w:rsidR="00FE460E" w:rsidRPr="00793734" w:rsidTr="00883A9E">
        <w:trPr>
          <w:trHeight w:val="406"/>
          <w:jc w:val="center"/>
        </w:trPr>
        <w:tc>
          <w:tcPr>
            <w:tcW w:w="3114" w:type="dxa"/>
            <w:tcBorders>
              <w:top w:val="nil"/>
              <w:left w:val="single" w:sz="4" w:space="0" w:color="auto"/>
              <w:bottom w:val="single" w:sz="4" w:space="0" w:color="auto"/>
              <w:right w:val="single" w:sz="4" w:space="0" w:color="auto"/>
            </w:tcBorders>
            <w:shd w:val="clear" w:color="auto" w:fill="DDEEFF"/>
            <w:noWrap/>
            <w:vAlign w:val="center"/>
            <w:hideMark/>
          </w:tcPr>
          <w:p w:rsidR="00B40952" w:rsidRPr="00793734" w:rsidRDefault="00B40952" w:rsidP="00883A9E">
            <w:pPr>
              <w:spacing w:after="0" w:line="240" w:lineRule="auto"/>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Iegūtie PZMG</w:t>
            </w:r>
          </w:p>
        </w:tc>
        <w:tc>
          <w:tcPr>
            <w:tcW w:w="795" w:type="dxa"/>
            <w:tcBorders>
              <w:top w:val="nil"/>
              <w:left w:val="single" w:sz="4" w:space="0" w:color="auto"/>
              <w:bottom w:val="single" w:sz="4" w:space="0" w:color="auto"/>
              <w:right w:val="single" w:sz="4" w:space="0" w:color="auto"/>
            </w:tcBorders>
            <w:shd w:val="clear" w:color="auto" w:fill="DDEEFF"/>
            <w:noWrap/>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p>
        </w:tc>
        <w:tc>
          <w:tcPr>
            <w:tcW w:w="795" w:type="dxa"/>
            <w:tcBorders>
              <w:top w:val="nil"/>
              <w:left w:val="nil"/>
              <w:bottom w:val="single" w:sz="4" w:space="0" w:color="auto"/>
              <w:right w:val="single" w:sz="4" w:space="0" w:color="auto"/>
            </w:tcBorders>
            <w:shd w:val="clear" w:color="auto" w:fill="DDEEFF"/>
            <w:noWrap/>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p>
        </w:tc>
        <w:tc>
          <w:tcPr>
            <w:tcW w:w="795" w:type="dxa"/>
            <w:tcBorders>
              <w:top w:val="nil"/>
              <w:left w:val="nil"/>
              <w:bottom w:val="single" w:sz="4" w:space="0" w:color="auto"/>
              <w:right w:val="single" w:sz="4" w:space="0" w:color="auto"/>
            </w:tcBorders>
            <w:shd w:val="clear" w:color="auto" w:fill="DDEEFF"/>
            <w:noWrap/>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p>
        </w:tc>
        <w:tc>
          <w:tcPr>
            <w:tcW w:w="795" w:type="dxa"/>
            <w:tcBorders>
              <w:top w:val="nil"/>
              <w:left w:val="nil"/>
              <w:bottom w:val="single" w:sz="4" w:space="0" w:color="auto"/>
              <w:right w:val="single" w:sz="4" w:space="0" w:color="auto"/>
            </w:tcBorders>
            <w:shd w:val="clear" w:color="auto" w:fill="DDEEFF"/>
            <w:noWrap/>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p>
        </w:tc>
        <w:tc>
          <w:tcPr>
            <w:tcW w:w="794" w:type="dxa"/>
            <w:tcBorders>
              <w:top w:val="nil"/>
              <w:left w:val="nil"/>
              <w:bottom w:val="single" w:sz="4" w:space="0" w:color="auto"/>
              <w:right w:val="single" w:sz="4" w:space="0" w:color="auto"/>
            </w:tcBorders>
            <w:shd w:val="clear" w:color="auto" w:fill="DDEEFF"/>
            <w:noWrap/>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p>
        </w:tc>
        <w:tc>
          <w:tcPr>
            <w:tcW w:w="845" w:type="dxa"/>
            <w:tcBorders>
              <w:top w:val="nil"/>
              <w:left w:val="nil"/>
              <w:bottom w:val="single" w:sz="4" w:space="0" w:color="auto"/>
              <w:right w:val="single" w:sz="4" w:space="0" w:color="auto"/>
            </w:tcBorders>
            <w:shd w:val="clear" w:color="auto" w:fill="DDEEFF"/>
            <w:noWrap/>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2</w:t>
            </w:r>
            <w:r w:rsidR="00DB2217" w:rsidRPr="00793734">
              <w:rPr>
                <w:rFonts w:ascii="Times New Roman" w:eastAsia="Times New Roman" w:hAnsi="Times New Roman" w:cs="Times New Roman"/>
              </w:rPr>
              <w:t> </w:t>
            </w:r>
            <w:r w:rsidRPr="00793734">
              <w:rPr>
                <w:rFonts w:ascii="Times New Roman" w:eastAsia="Times New Roman" w:hAnsi="Times New Roman" w:cs="Times New Roman"/>
                <w:b/>
                <w:bCs/>
                <w:sz w:val="20"/>
                <w:szCs w:val="20"/>
                <w:lang w:eastAsia="lv-LV"/>
              </w:rPr>
              <w:t>425</w:t>
            </w:r>
          </w:p>
        </w:tc>
        <w:tc>
          <w:tcPr>
            <w:tcW w:w="851" w:type="dxa"/>
            <w:tcBorders>
              <w:top w:val="nil"/>
              <w:left w:val="nil"/>
              <w:bottom w:val="single" w:sz="4" w:space="0" w:color="auto"/>
              <w:right w:val="single" w:sz="4" w:space="0" w:color="auto"/>
            </w:tcBorders>
            <w:shd w:val="clear" w:color="auto" w:fill="DDEEFF"/>
            <w:noWrap/>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3</w:t>
            </w:r>
            <w:r w:rsidR="00DB2217" w:rsidRPr="00793734">
              <w:rPr>
                <w:rFonts w:ascii="Times New Roman" w:eastAsia="Times New Roman" w:hAnsi="Times New Roman" w:cs="Times New Roman"/>
              </w:rPr>
              <w:t> </w:t>
            </w:r>
            <w:r w:rsidRPr="00793734">
              <w:rPr>
                <w:rFonts w:ascii="Times New Roman" w:eastAsia="Times New Roman" w:hAnsi="Times New Roman" w:cs="Times New Roman"/>
                <w:b/>
                <w:bCs/>
                <w:sz w:val="20"/>
                <w:szCs w:val="20"/>
                <w:lang w:eastAsia="lv-LV"/>
              </w:rPr>
              <w:t>673</w:t>
            </w:r>
          </w:p>
        </w:tc>
        <w:tc>
          <w:tcPr>
            <w:tcW w:w="850" w:type="dxa"/>
            <w:tcBorders>
              <w:top w:val="nil"/>
              <w:left w:val="nil"/>
              <w:bottom w:val="single" w:sz="4" w:space="0" w:color="auto"/>
              <w:right w:val="single" w:sz="4" w:space="0" w:color="auto"/>
            </w:tcBorders>
            <w:shd w:val="clear" w:color="auto" w:fill="DDEEFF"/>
            <w:noWrap/>
            <w:vAlign w:val="center"/>
            <w:hideMark/>
          </w:tcPr>
          <w:p w:rsidR="00B40952" w:rsidRPr="00793734" w:rsidRDefault="00B40952" w:rsidP="00DB2217">
            <w:pPr>
              <w:spacing w:after="0" w:line="240" w:lineRule="auto"/>
              <w:jc w:val="center"/>
              <w:rPr>
                <w:rFonts w:ascii="Times New Roman" w:eastAsia="Times New Roman" w:hAnsi="Times New Roman" w:cs="Times New Roman"/>
                <w:b/>
                <w:bCs/>
                <w:sz w:val="20"/>
                <w:szCs w:val="20"/>
                <w:lang w:eastAsia="lv-LV"/>
              </w:rPr>
            </w:pPr>
            <w:r w:rsidRPr="00793734">
              <w:rPr>
                <w:rFonts w:ascii="Times New Roman" w:eastAsia="Times New Roman" w:hAnsi="Times New Roman" w:cs="Times New Roman"/>
                <w:b/>
                <w:bCs/>
                <w:sz w:val="20"/>
                <w:szCs w:val="20"/>
                <w:lang w:eastAsia="lv-LV"/>
              </w:rPr>
              <w:t>5</w:t>
            </w:r>
            <w:r w:rsidR="00DB2217" w:rsidRPr="00793734">
              <w:rPr>
                <w:rFonts w:ascii="Times New Roman" w:eastAsia="Times New Roman" w:hAnsi="Times New Roman" w:cs="Times New Roman"/>
              </w:rPr>
              <w:t> </w:t>
            </w:r>
            <w:r w:rsidRPr="00793734">
              <w:rPr>
                <w:rFonts w:ascii="Times New Roman" w:eastAsia="Times New Roman" w:hAnsi="Times New Roman" w:cs="Times New Roman"/>
                <w:b/>
                <w:bCs/>
                <w:sz w:val="20"/>
                <w:szCs w:val="20"/>
                <w:lang w:eastAsia="lv-LV"/>
              </w:rPr>
              <w:t>572</w:t>
            </w:r>
          </w:p>
        </w:tc>
      </w:tr>
      <w:tr w:rsidR="00FE460E" w:rsidRPr="00793734" w:rsidTr="00883A9E">
        <w:trPr>
          <w:trHeight w:val="555"/>
          <w:jc w:val="center"/>
        </w:trPr>
        <w:tc>
          <w:tcPr>
            <w:tcW w:w="3114"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883A9E">
            <w:pPr>
              <w:spacing w:after="0" w:line="240" w:lineRule="auto"/>
              <w:jc w:val="right"/>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Veselības aprūpes pakalpojumu pieejamības uzlabošana</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4"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84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518</w:t>
            </w:r>
          </w:p>
        </w:tc>
        <w:tc>
          <w:tcPr>
            <w:tcW w:w="851"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904</w:t>
            </w:r>
          </w:p>
        </w:tc>
        <w:tc>
          <w:tcPr>
            <w:tcW w:w="850"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1</w:t>
            </w:r>
            <w:r w:rsidR="00DB2217" w:rsidRPr="00793734">
              <w:rPr>
                <w:rFonts w:ascii="Times New Roman" w:eastAsia="Times New Roman" w:hAnsi="Times New Roman" w:cs="Times New Roman"/>
              </w:rPr>
              <w:t> </w:t>
            </w:r>
            <w:r w:rsidRPr="00793734">
              <w:rPr>
                <w:rFonts w:ascii="Times New Roman" w:eastAsia="Times New Roman" w:hAnsi="Times New Roman" w:cs="Times New Roman"/>
                <w:i/>
                <w:iCs/>
                <w:sz w:val="20"/>
                <w:szCs w:val="20"/>
              </w:rPr>
              <w:t>587</w:t>
            </w:r>
          </w:p>
        </w:tc>
      </w:tr>
      <w:tr w:rsidR="00FE460E" w:rsidRPr="00793734" w:rsidTr="00883A9E">
        <w:trPr>
          <w:trHeight w:val="846"/>
          <w:jc w:val="center"/>
        </w:trPr>
        <w:tc>
          <w:tcPr>
            <w:tcW w:w="3114"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883A9E">
            <w:pPr>
              <w:spacing w:after="0" w:line="240" w:lineRule="auto"/>
              <w:jc w:val="right"/>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Onkoloģisko saslimšanu diagnostikas un ārstēšanas pieejamības uzlabošana</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4"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84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578</w:t>
            </w:r>
          </w:p>
        </w:tc>
        <w:tc>
          <w:tcPr>
            <w:tcW w:w="851"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687</w:t>
            </w:r>
          </w:p>
        </w:tc>
        <w:tc>
          <w:tcPr>
            <w:tcW w:w="850"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1</w:t>
            </w:r>
            <w:r w:rsidR="00DB2217" w:rsidRPr="00793734">
              <w:rPr>
                <w:rFonts w:ascii="Times New Roman" w:eastAsia="Times New Roman" w:hAnsi="Times New Roman" w:cs="Times New Roman"/>
              </w:rPr>
              <w:t> </w:t>
            </w:r>
            <w:r w:rsidRPr="00793734">
              <w:rPr>
                <w:rFonts w:ascii="Times New Roman" w:eastAsia="Times New Roman" w:hAnsi="Times New Roman" w:cs="Times New Roman"/>
                <w:i/>
                <w:iCs/>
                <w:sz w:val="20"/>
                <w:szCs w:val="20"/>
              </w:rPr>
              <w:t>246</w:t>
            </w:r>
          </w:p>
        </w:tc>
      </w:tr>
      <w:tr w:rsidR="00FE460E" w:rsidRPr="00793734" w:rsidTr="00883A9E">
        <w:trPr>
          <w:trHeight w:val="560"/>
          <w:jc w:val="center"/>
        </w:trPr>
        <w:tc>
          <w:tcPr>
            <w:tcW w:w="3114"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883A9E">
            <w:pPr>
              <w:spacing w:after="0" w:line="240" w:lineRule="auto"/>
              <w:jc w:val="right"/>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Infekcijas slimību izplatības mazināšana</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4"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84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534</w:t>
            </w:r>
          </w:p>
        </w:tc>
        <w:tc>
          <w:tcPr>
            <w:tcW w:w="851"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1</w:t>
            </w:r>
            <w:r w:rsidR="00DB2217" w:rsidRPr="00793734">
              <w:rPr>
                <w:rFonts w:ascii="Times New Roman" w:eastAsia="Times New Roman" w:hAnsi="Times New Roman" w:cs="Times New Roman"/>
              </w:rPr>
              <w:t> </w:t>
            </w:r>
            <w:r w:rsidRPr="00793734">
              <w:rPr>
                <w:rFonts w:ascii="Times New Roman" w:eastAsia="Times New Roman" w:hAnsi="Times New Roman" w:cs="Times New Roman"/>
                <w:i/>
                <w:iCs/>
                <w:sz w:val="20"/>
                <w:szCs w:val="20"/>
              </w:rPr>
              <w:t>181</w:t>
            </w:r>
          </w:p>
        </w:tc>
        <w:tc>
          <w:tcPr>
            <w:tcW w:w="850"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1</w:t>
            </w:r>
            <w:r w:rsidR="00DB2217" w:rsidRPr="00793734">
              <w:rPr>
                <w:rFonts w:ascii="Times New Roman" w:eastAsia="Times New Roman" w:hAnsi="Times New Roman" w:cs="Times New Roman"/>
              </w:rPr>
              <w:t> </w:t>
            </w:r>
            <w:r w:rsidRPr="00793734">
              <w:rPr>
                <w:rFonts w:ascii="Times New Roman" w:eastAsia="Times New Roman" w:hAnsi="Times New Roman" w:cs="Times New Roman"/>
                <w:i/>
                <w:iCs/>
                <w:sz w:val="20"/>
                <w:szCs w:val="20"/>
              </w:rPr>
              <w:t>645</w:t>
            </w:r>
          </w:p>
        </w:tc>
      </w:tr>
      <w:tr w:rsidR="00FE460E" w:rsidRPr="00793734" w:rsidTr="00883A9E">
        <w:trPr>
          <w:trHeight w:val="838"/>
          <w:jc w:val="center"/>
        </w:trPr>
        <w:tc>
          <w:tcPr>
            <w:tcW w:w="3114"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883A9E">
            <w:pPr>
              <w:spacing w:after="0" w:line="240" w:lineRule="auto"/>
              <w:jc w:val="right"/>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Primārās veselības aprūpes sistēmas kvalitātes un pieejamības uzlabošana</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4"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84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102</w:t>
            </w:r>
          </w:p>
        </w:tc>
        <w:tc>
          <w:tcPr>
            <w:tcW w:w="851"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114</w:t>
            </w:r>
          </w:p>
        </w:tc>
        <w:tc>
          <w:tcPr>
            <w:tcW w:w="850"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216</w:t>
            </w:r>
          </w:p>
        </w:tc>
      </w:tr>
      <w:tr w:rsidR="00FE460E" w:rsidRPr="00793734" w:rsidTr="00883A9E">
        <w:trPr>
          <w:trHeight w:val="836"/>
          <w:jc w:val="center"/>
        </w:trPr>
        <w:tc>
          <w:tcPr>
            <w:tcW w:w="3114"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883A9E">
            <w:pPr>
              <w:spacing w:after="0" w:line="240" w:lineRule="auto"/>
              <w:jc w:val="right"/>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Kardiovaskulārās saslimstības mazināšanai un slimību ārstēšanas efektivitātes uzlabošana</w:t>
            </w:r>
          </w:p>
        </w:tc>
        <w:tc>
          <w:tcPr>
            <w:tcW w:w="795" w:type="dxa"/>
            <w:tcBorders>
              <w:top w:val="nil"/>
              <w:left w:val="single" w:sz="4" w:space="0" w:color="auto"/>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794"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sz w:val="20"/>
                <w:szCs w:val="20"/>
                <w:lang w:eastAsia="lv-LV"/>
              </w:rPr>
            </w:pPr>
          </w:p>
        </w:tc>
        <w:tc>
          <w:tcPr>
            <w:tcW w:w="845"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693</w:t>
            </w:r>
          </w:p>
        </w:tc>
        <w:tc>
          <w:tcPr>
            <w:tcW w:w="851"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787</w:t>
            </w:r>
          </w:p>
        </w:tc>
        <w:tc>
          <w:tcPr>
            <w:tcW w:w="850" w:type="dxa"/>
            <w:tcBorders>
              <w:top w:val="nil"/>
              <w:left w:val="nil"/>
              <w:bottom w:val="single" w:sz="4" w:space="0" w:color="auto"/>
              <w:right w:val="single" w:sz="4" w:space="0" w:color="auto"/>
            </w:tcBorders>
            <w:shd w:val="clear" w:color="auto" w:fill="auto"/>
            <w:noWrap/>
            <w:vAlign w:val="center"/>
          </w:tcPr>
          <w:p w:rsidR="00B40952" w:rsidRPr="00793734" w:rsidRDefault="00B40952" w:rsidP="00DB2217">
            <w:pPr>
              <w:spacing w:after="0" w:line="240" w:lineRule="auto"/>
              <w:jc w:val="center"/>
              <w:rPr>
                <w:rFonts w:ascii="Times New Roman" w:eastAsia="Times New Roman" w:hAnsi="Times New Roman" w:cs="Times New Roman"/>
                <w:i/>
                <w:iCs/>
                <w:sz w:val="20"/>
                <w:szCs w:val="20"/>
                <w:lang w:eastAsia="lv-LV"/>
              </w:rPr>
            </w:pPr>
            <w:r w:rsidRPr="00793734">
              <w:rPr>
                <w:rFonts w:ascii="Times New Roman" w:eastAsia="Times New Roman" w:hAnsi="Times New Roman" w:cs="Times New Roman"/>
                <w:i/>
                <w:iCs/>
                <w:sz w:val="20"/>
                <w:szCs w:val="20"/>
              </w:rPr>
              <w:t>878</w:t>
            </w:r>
          </w:p>
        </w:tc>
      </w:tr>
    </w:tbl>
    <w:p w:rsidR="00B40952" w:rsidRPr="00B40952" w:rsidRDefault="00B40952" w:rsidP="00DB2217">
      <w:pPr>
        <w:spacing w:line="240" w:lineRule="auto"/>
        <w:jc w:val="both"/>
        <w:rPr>
          <w:rFonts w:ascii="Times New Roman" w:eastAsia="Times New Roman" w:hAnsi="Times New Roman" w:cs="Times New Roman"/>
          <w:sz w:val="24"/>
          <w:szCs w:val="24"/>
        </w:rPr>
      </w:pPr>
      <w:r w:rsidRPr="00B40952">
        <w:rPr>
          <w:rFonts w:ascii="Times New Roman" w:eastAsia="Times New Roman" w:hAnsi="Times New Roman" w:cs="Times New Roman"/>
          <w:i/>
          <w:iCs/>
          <w:sz w:val="20"/>
          <w:szCs w:val="20"/>
        </w:rPr>
        <w:t>Avots: VM un SPKC</w:t>
      </w:r>
    </w:p>
    <w:p w:rsidR="00B40952" w:rsidRPr="00B40952" w:rsidRDefault="00B40952" w:rsidP="00DB2217">
      <w:pPr>
        <w:autoSpaceDE w:val="0"/>
        <w:autoSpaceDN w:val="0"/>
        <w:adjustRightInd w:val="0"/>
        <w:spacing w:after="0" w:line="240" w:lineRule="auto"/>
        <w:ind w:firstLine="720"/>
        <w:jc w:val="both"/>
        <w:rPr>
          <w:rFonts w:ascii="Times New Roman" w:eastAsia="Times New Roman" w:hAnsi="Times New Roman" w:cs="Times New Roman"/>
          <w:noProof/>
          <w:sz w:val="24"/>
          <w:szCs w:val="24"/>
          <w:lang w:eastAsia="lv-LV"/>
        </w:rPr>
      </w:pPr>
      <w:r w:rsidRPr="00B40952">
        <w:rPr>
          <w:rFonts w:ascii="Times New Roman" w:eastAsia="Times New Roman" w:hAnsi="Times New Roman" w:cs="Times New Roman"/>
          <w:noProof/>
          <w:sz w:val="24"/>
          <w:szCs w:val="24"/>
          <w:lang w:eastAsia="lv-LV"/>
        </w:rPr>
        <w:t>Jāatzīmē, ka lēmumi par reformas pasākumiem un atbalstāmajiem pasākumiem 2019.gadā tiks pieņemti vēlāk.</w:t>
      </w:r>
    </w:p>
    <w:p w:rsidR="00B40952" w:rsidRDefault="00B40952" w:rsidP="00DB2217">
      <w:pPr>
        <w:autoSpaceDE w:val="0"/>
        <w:autoSpaceDN w:val="0"/>
        <w:adjustRightInd w:val="0"/>
        <w:spacing w:after="0" w:line="240" w:lineRule="auto"/>
        <w:ind w:firstLine="720"/>
        <w:jc w:val="both"/>
        <w:rPr>
          <w:rFonts w:ascii="Times New Roman" w:eastAsia="Times New Roman" w:hAnsi="Times New Roman" w:cs="Times New Roman"/>
          <w:noProof/>
          <w:sz w:val="24"/>
          <w:szCs w:val="24"/>
          <w:lang w:eastAsia="lv-LV"/>
        </w:rPr>
      </w:pPr>
      <w:r w:rsidRPr="00B40952">
        <w:rPr>
          <w:rFonts w:ascii="Times New Roman" w:eastAsia="Times New Roman" w:hAnsi="Times New Roman" w:cs="Times New Roman"/>
          <w:noProof/>
          <w:sz w:val="24"/>
          <w:szCs w:val="24"/>
          <w:lang w:eastAsia="lv-LV"/>
        </w:rPr>
        <w:t xml:space="preserve">Iepriekšējās divās Stabilitātes programmās tika iekļauts </w:t>
      </w:r>
      <w:r w:rsidRPr="00B40952">
        <w:rPr>
          <w:rFonts w:ascii="Times New Roman" w:eastAsia="Times New Roman" w:hAnsi="Times New Roman" w:cs="Times New Roman"/>
          <w:sz w:val="24"/>
          <w:szCs w:val="24"/>
        </w:rPr>
        <w:t>“Sabiedrības veselības pamatnostādnēm 2014.</w:t>
      </w:r>
      <w:r w:rsidR="00685E75" w:rsidRPr="00685E75">
        <w:rPr>
          <w:rFonts w:ascii="Times New Roman" w:eastAsia="Calibri" w:hAnsi="Times New Roman" w:cs="Times New Roman"/>
          <w:sz w:val="24"/>
          <w:szCs w:val="24"/>
        </w:rPr>
        <w:t xml:space="preserve"> </w:t>
      </w:r>
      <w:r w:rsidR="00685E75" w:rsidRPr="00F14E08">
        <w:rPr>
          <w:rFonts w:ascii="Times New Roman" w:eastAsia="Calibri" w:hAnsi="Times New Roman" w:cs="Times New Roman"/>
          <w:sz w:val="24"/>
          <w:szCs w:val="24"/>
        </w:rPr>
        <w:t>–</w:t>
      </w:r>
      <w:r w:rsidR="00685E75">
        <w:rPr>
          <w:rFonts w:ascii="Times New Roman" w:eastAsia="Calibri" w:hAnsi="Times New Roman" w:cs="Times New Roman"/>
          <w:sz w:val="24"/>
          <w:szCs w:val="24"/>
        </w:rPr>
        <w:t xml:space="preserve"> </w:t>
      </w:r>
      <w:r w:rsidRPr="00B40952">
        <w:rPr>
          <w:rFonts w:ascii="Times New Roman" w:eastAsia="Times New Roman" w:hAnsi="Times New Roman" w:cs="Times New Roman"/>
          <w:sz w:val="24"/>
          <w:szCs w:val="24"/>
        </w:rPr>
        <w:t xml:space="preserve">2020.gadam” </w:t>
      </w:r>
      <w:r w:rsidRPr="00B40952">
        <w:rPr>
          <w:rFonts w:ascii="Times New Roman" w:eastAsia="Times New Roman" w:hAnsi="Times New Roman" w:cs="Times New Roman"/>
          <w:noProof/>
          <w:sz w:val="24"/>
          <w:szCs w:val="24"/>
          <w:lang w:eastAsia="lv-LV"/>
        </w:rPr>
        <w:t xml:space="preserve">fiskālās ietekmes novērtējums. Atbilstoši šajā </w:t>
      </w:r>
      <w:r w:rsidRPr="00B40952">
        <w:rPr>
          <w:rFonts w:ascii="Times New Roman" w:eastAsia="Times New Roman" w:hAnsi="Times New Roman" w:cs="Times New Roman"/>
          <w:noProof/>
          <w:sz w:val="24"/>
          <w:szCs w:val="24"/>
          <w:lang w:eastAsia="lv-LV"/>
        </w:rPr>
        <w:lastRenderedPageBreak/>
        <w:t>Stabilitātes programmā tiek</w:t>
      </w:r>
      <w:r w:rsidR="008012ED">
        <w:rPr>
          <w:rFonts w:ascii="Times New Roman" w:eastAsia="Times New Roman" w:hAnsi="Times New Roman" w:cs="Times New Roman"/>
          <w:noProof/>
          <w:sz w:val="24"/>
          <w:szCs w:val="24"/>
          <w:lang w:eastAsia="lv-LV"/>
        </w:rPr>
        <w:t xml:space="preserve"> </w:t>
      </w:r>
      <w:r w:rsidRPr="00B40952">
        <w:rPr>
          <w:rFonts w:ascii="Times New Roman" w:eastAsia="Times New Roman" w:hAnsi="Times New Roman" w:cs="Times New Roman"/>
          <w:noProof/>
          <w:sz w:val="24"/>
          <w:szCs w:val="24"/>
          <w:lang w:eastAsia="lv-LV"/>
        </w:rPr>
        <w:t>aktualizēts fiskālās ietekmes novērtējums, ņemot vērā precizēto izdevumu apjomu 2017.gadā un precizētās prognozes 2018., 2019. un 2020.gadā.</w:t>
      </w:r>
    </w:p>
    <w:p w:rsidR="00793734" w:rsidRDefault="00B40952" w:rsidP="00883A9E">
      <w:pPr>
        <w:autoSpaceDE w:val="0"/>
        <w:autoSpaceDN w:val="0"/>
        <w:adjustRightInd w:val="0"/>
        <w:spacing w:before="240" w:after="0" w:line="240" w:lineRule="auto"/>
        <w:ind w:firstLine="720"/>
        <w:jc w:val="right"/>
        <w:rPr>
          <w:rFonts w:ascii="Times New Roman" w:eastAsia="Times New Roman" w:hAnsi="Times New Roman" w:cs="Times New Roman"/>
          <w:b/>
          <w:sz w:val="24"/>
          <w:szCs w:val="24"/>
        </w:rPr>
      </w:pPr>
      <w:r w:rsidRPr="00793734">
        <w:rPr>
          <w:rFonts w:ascii="Times New Roman" w:eastAsia="Times New Roman" w:hAnsi="Times New Roman" w:cs="Times New Roman"/>
          <w:b/>
          <w:noProof/>
          <w:sz w:val="24"/>
          <w:szCs w:val="24"/>
          <w:lang w:eastAsia="lv-LV"/>
        </w:rPr>
        <w:t>3.2</w:t>
      </w:r>
      <w:r w:rsidR="00793734" w:rsidRPr="00793734">
        <w:rPr>
          <w:rFonts w:ascii="Times New Roman" w:eastAsia="Times New Roman" w:hAnsi="Times New Roman" w:cs="Times New Roman"/>
          <w:b/>
          <w:noProof/>
          <w:sz w:val="24"/>
          <w:szCs w:val="24"/>
          <w:lang w:eastAsia="lv-LV"/>
        </w:rPr>
        <w:t>3</w:t>
      </w:r>
      <w:r w:rsidRPr="00793734">
        <w:rPr>
          <w:rFonts w:ascii="Times New Roman" w:eastAsia="Times New Roman" w:hAnsi="Times New Roman" w:cs="Times New Roman"/>
          <w:b/>
          <w:noProof/>
          <w:sz w:val="24"/>
          <w:szCs w:val="24"/>
          <w:lang w:eastAsia="lv-LV"/>
        </w:rPr>
        <w:t xml:space="preserve">.tabula. </w:t>
      </w:r>
      <w:r w:rsidRPr="00B40952">
        <w:rPr>
          <w:rFonts w:ascii="Times New Roman" w:eastAsia="Times New Roman" w:hAnsi="Times New Roman" w:cs="Times New Roman"/>
          <w:b/>
          <w:sz w:val="24"/>
          <w:szCs w:val="24"/>
        </w:rPr>
        <w:t>“Sabiedrības veselības pamatnostādnēm 2014.</w:t>
      </w:r>
      <w:r w:rsidR="00B9413F" w:rsidRPr="00B9413F">
        <w:t xml:space="preserve"> </w:t>
      </w:r>
      <w:r w:rsidR="00B9413F" w:rsidRPr="00B9413F">
        <w:rPr>
          <w:rFonts w:ascii="Times New Roman" w:eastAsia="Times New Roman" w:hAnsi="Times New Roman" w:cs="Times New Roman"/>
          <w:b/>
          <w:sz w:val="24"/>
          <w:szCs w:val="24"/>
        </w:rPr>
        <w:t>–</w:t>
      </w:r>
      <w:r w:rsidR="00B9413F">
        <w:rPr>
          <w:rFonts w:ascii="Times New Roman" w:eastAsia="Times New Roman" w:hAnsi="Times New Roman" w:cs="Times New Roman"/>
          <w:b/>
          <w:sz w:val="24"/>
          <w:szCs w:val="24"/>
        </w:rPr>
        <w:t xml:space="preserve"> </w:t>
      </w:r>
      <w:r w:rsidRPr="00B40952">
        <w:rPr>
          <w:rFonts w:ascii="Times New Roman" w:eastAsia="Times New Roman" w:hAnsi="Times New Roman" w:cs="Times New Roman"/>
          <w:b/>
          <w:sz w:val="24"/>
          <w:szCs w:val="24"/>
        </w:rPr>
        <w:t>2020.gadam” makroekonomiskās ietekmes aktualizētais novērtējums</w:t>
      </w:r>
    </w:p>
    <w:tbl>
      <w:tblPr>
        <w:tblStyle w:val="GridTable6Colorful-Accent11"/>
        <w:tblW w:w="9186" w:type="dxa"/>
        <w:tblLayout w:type="fixed"/>
        <w:tblLook w:val="04A0" w:firstRow="1" w:lastRow="0" w:firstColumn="1" w:lastColumn="0" w:noHBand="0" w:noVBand="1"/>
      </w:tblPr>
      <w:tblGrid>
        <w:gridCol w:w="3155"/>
        <w:gridCol w:w="1205"/>
        <w:gridCol w:w="1206"/>
        <w:gridCol w:w="1205"/>
        <w:gridCol w:w="1206"/>
        <w:gridCol w:w="1209"/>
      </w:tblGrid>
      <w:tr w:rsidR="00793734" w:rsidRPr="00B40952" w:rsidTr="00883A9E">
        <w:trPr>
          <w:cnfStyle w:val="100000000000" w:firstRow="1" w:lastRow="0" w:firstColumn="0" w:lastColumn="0" w:oddVBand="0" w:evenVBand="0" w:oddHBand="0" w:evenHBand="0" w:firstRowFirstColumn="0" w:firstRowLastColumn="0" w:lastRowFirstColumn="0" w:lastRowLastColumn="0"/>
          <w:cantSplit/>
          <w:trHeight w:val="431"/>
        </w:trPr>
        <w:tc>
          <w:tcPr>
            <w:cnfStyle w:val="001000000000" w:firstRow="0" w:lastRow="0" w:firstColumn="1" w:lastColumn="0" w:oddVBand="0" w:evenVBand="0" w:oddHBand="0" w:evenHBand="0" w:firstRowFirstColumn="0" w:firstRowLastColumn="0" w:lastRowFirstColumn="0" w:lastRowLastColumn="0"/>
            <w:tcW w:w="3155" w:type="dxa"/>
            <w:tcBorders>
              <w:left w:val="single" w:sz="4" w:space="0" w:color="95B3D7"/>
              <w:bottom w:val="single" w:sz="4" w:space="0" w:color="95B3D7"/>
              <w:right w:val="single" w:sz="4" w:space="0" w:color="95B3D7"/>
            </w:tcBorders>
            <w:shd w:val="clear" w:color="auto" w:fill="auto"/>
            <w:vAlign w:val="center"/>
          </w:tcPr>
          <w:p w:rsidR="00793734" w:rsidRPr="00B40952" w:rsidRDefault="00793734" w:rsidP="00FE460E">
            <w:pPr>
              <w:jc w:val="center"/>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Makroekonomiskie rādītāji</w:t>
            </w:r>
          </w:p>
        </w:tc>
        <w:tc>
          <w:tcPr>
            <w:tcW w:w="6031" w:type="dxa"/>
            <w:gridSpan w:val="5"/>
            <w:tcBorders>
              <w:left w:val="single" w:sz="4" w:space="0" w:color="95B3D7"/>
              <w:bottom w:val="single" w:sz="4" w:space="0" w:color="95B3D7"/>
            </w:tcBorders>
            <w:shd w:val="clear" w:color="auto" w:fill="auto"/>
            <w:vAlign w:val="center"/>
          </w:tcPr>
          <w:p w:rsidR="00793734" w:rsidRPr="00B40952" w:rsidRDefault="00793734" w:rsidP="00FE46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Ikgadējā un kumulatīvā ietekme uz IKP un citiem galvenajiem makroekonomiskajiem mainīgajiem</w:t>
            </w:r>
            <w:r w:rsidRPr="00B40952">
              <w:rPr>
                <w:rFonts w:ascii="Times New Roman" w:eastAsia="Times New Roman" w:hAnsi="Times New Roman" w:cs="Times New Roman"/>
                <w:color w:val="000000"/>
                <w:sz w:val="20"/>
                <w:szCs w:val="20"/>
                <w:vertAlign w:val="superscript"/>
              </w:rPr>
              <w:footnoteReference w:id="20"/>
            </w:r>
          </w:p>
        </w:tc>
      </w:tr>
      <w:tr w:rsidR="00793734" w:rsidRPr="00B40952" w:rsidTr="00883A9E">
        <w:trPr>
          <w:cnfStyle w:val="000000100000" w:firstRow="0" w:lastRow="0" w:firstColumn="0" w:lastColumn="0" w:oddVBand="0" w:evenVBand="0" w:oddHBand="1" w:evenHBand="0" w:firstRowFirstColumn="0" w:firstRowLastColumn="0" w:lastRowFirstColumn="0" w:lastRowLastColumn="0"/>
          <w:cantSplit/>
          <w:trHeight w:val="330"/>
        </w:trPr>
        <w:tc>
          <w:tcPr>
            <w:cnfStyle w:val="001000000000" w:firstRow="0" w:lastRow="0" w:firstColumn="1" w:lastColumn="0" w:oddVBand="0" w:evenVBand="0" w:oddHBand="0" w:evenHBand="0" w:firstRowFirstColumn="0" w:firstRowLastColumn="0" w:lastRowFirstColumn="0" w:lastRowLastColumn="0"/>
            <w:tcW w:w="3155" w:type="dxa"/>
            <w:tcBorders>
              <w:top w:val="single" w:sz="4" w:space="0" w:color="95B3D7"/>
            </w:tcBorders>
          </w:tcPr>
          <w:p w:rsidR="00793734" w:rsidRPr="00B40952" w:rsidRDefault="00793734" w:rsidP="00FE460E">
            <w:pPr>
              <w:rPr>
                <w:rFonts w:ascii="Times New Roman" w:eastAsia="Times New Roman" w:hAnsi="Times New Roman" w:cs="Times New Roman"/>
                <w:color w:val="000000"/>
                <w:sz w:val="20"/>
                <w:szCs w:val="20"/>
              </w:rPr>
            </w:pPr>
          </w:p>
        </w:tc>
        <w:tc>
          <w:tcPr>
            <w:tcW w:w="1205" w:type="dxa"/>
            <w:tcBorders>
              <w:top w:val="single" w:sz="4" w:space="0" w:color="95B3D7"/>
            </w:tcBorders>
            <w:vAlign w:val="center"/>
          </w:tcPr>
          <w:p w:rsidR="00793734" w:rsidRPr="00B40952" w:rsidRDefault="00793734" w:rsidP="00FE46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b/>
                <w:bCs/>
                <w:color w:val="000000"/>
                <w:sz w:val="20"/>
                <w:szCs w:val="20"/>
              </w:rPr>
              <w:t>X</w:t>
            </w:r>
            <w:r w:rsidRPr="00B40952">
              <w:rPr>
                <w:rFonts w:ascii="Times New Roman" w:eastAsia="Times New Roman" w:hAnsi="Times New Roman" w:cs="Times New Roman"/>
                <w:color w:val="000000"/>
                <w:sz w:val="20"/>
                <w:szCs w:val="20"/>
                <w:vertAlign w:val="superscript"/>
              </w:rPr>
              <w:footnoteReference w:id="21"/>
            </w:r>
            <w:r w:rsidRPr="00B40952">
              <w:rPr>
                <w:rFonts w:ascii="Times New Roman" w:eastAsia="Times New Roman" w:hAnsi="Times New Roman" w:cs="Times New Roman"/>
                <w:b/>
                <w:bCs/>
                <w:color w:val="000000"/>
                <w:sz w:val="20"/>
                <w:szCs w:val="20"/>
              </w:rPr>
              <w:t>+5 gadi</w:t>
            </w:r>
          </w:p>
        </w:tc>
        <w:tc>
          <w:tcPr>
            <w:tcW w:w="1206" w:type="dxa"/>
            <w:tcBorders>
              <w:top w:val="single" w:sz="4" w:space="0" w:color="95B3D7"/>
            </w:tcBorders>
            <w:vAlign w:val="center"/>
          </w:tcPr>
          <w:p w:rsidR="00793734" w:rsidRPr="00B40952" w:rsidRDefault="00793734" w:rsidP="00FE46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b/>
                <w:bCs/>
                <w:color w:val="000000"/>
                <w:sz w:val="20"/>
                <w:szCs w:val="20"/>
              </w:rPr>
              <w:t>X+10 gadi</w:t>
            </w:r>
          </w:p>
        </w:tc>
        <w:tc>
          <w:tcPr>
            <w:tcW w:w="1205" w:type="dxa"/>
            <w:tcBorders>
              <w:top w:val="single" w:sz="4" w:space="0" w:color="95B3D7"/>
            </w:tcBorders>
            <w:vAlign w:val="center"/>
          </w:tcPr>
          <w:p w:rsidR="00793734" w:rsidRPr="00B40952" w:rsidRDefault="00793734" w:rsidP="00FE46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0952">
              <w:rPr>
                <w:rFonts w:ascii="Times New Roman" w:eastAsia="Times New Roman" w:hAnsi="Times New Roman" w:cs="Times New Roman"/>
                <w:b/>
                <w:bCs/>
                <w:color w:val="000000"/>
                <w:sz w:val="20"/>
                <w:szCs w:val="20"/>
              </w:rPr>
              <w:t>X+15 gadi</w:t>
            </w:r>
          </w:p>
        </w:tc>
        <w:tc>
          <w:tcPr>
            <w:tcW w:w="1206" w:type="dxa"/>
            <w:tcBorders>
              <w:top w:val="single" w:sz="4" w:space="0" w:color="95B3D7"/>
            </w:tcBorders>
            <w:vAlign w:val="center"/>
          </w:tcPr>
          <w:p w:rsidR="00793734" w:rsidRPr="00B40952" w:rsidRDefault="00793734" w:rsidP="00FE46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b/>
                <w:bCs/>
                <w:color w:val="000000"/>
                <w:sz w:val="20"/>
                <w:szCs w:val="20"/>
              </w:rPr>
              <w:t>X+20 gadi</w:t>
            </w:r>
          </w:p>
        </w:tc>
        <w:tc>
          <w:tcPr>
            <w:tcW w:w="1206" w:type="dxa"/>
            <w:tcBorders>
              <w:top w:val="single" w:sz="4" w:space="0" w:color="95B3D7"/>
            </w:tcBorders>
            <w:vAlign w:val="center"/>
          </w:tcPr>
          <w:p w:rsidR="00793734" w:rsidRPr="00B40952" w:rsidRDefault="00793734" w:rsidP="00FE46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b/>
                <w:bCs/>
                <w:color w:val="000000"/>
                <w:sz w:val="20"/>
                <w:szCs w:val="20"/>
              </w:rPr>
              <w:t>X+25 gadi</w:t>
            </w:r>
          </w:p>
        </w:tc>
      </w:tr>
      <w:tr w:rsidR="00793734" w:rsidRPr="00B40952" w:rsidTr="00883A9E">
        <w:trPr>
          <w:cantSplit/>
          <w:trHeight w:val="294"/>
        </w:trPr>
        <w:tc>
          <w:tcPr>
            <w:cnfStyle w:val="001000000000" w:firstRow="0" w:lastRow="0" w:firstColumn="1" w:lastColumn="0" w:oddVBand="0" w:evenVBand="0" w:oddHBand="0" w:evenHBand="0" w:firstRowFirstColumn="0" w:firstRowLastColumn="0" w:lastRowFirstColumn="0" w:lastRowLastColumn="0"/>
            <w:tcW w:w="3155" w:type="dxa"/>
            <w:vAlign w:val="center"/>
          </w:tcPr>
          <w:p w:rsidR="00793734" w:rsidRPr="00883A9E" w:rsidRDefault="00793734" w:rsidP="00883A9E">
            <w:pPr>
              <w:jc w:val="both"/>
              <w:rPr>
                <w:rFonts w:ascii="Times New Roman" w:eastAsia="Times New Roman" w:hAnsi="Times New Roman" w:cs="Times New Roman"/>
                <w:b w:val="0"/>
                <w:color w:val="000000"/>
                <w:sz w:val="20"/>
                <w:szCs w:val="20"/>
              </w:rPr>
            </w:pPr>
            <w:r w:rsidRPr="00883A9E">
              <w:rPr>
                <w:rFonts w:ascii="Times New Roman" w:eastAsia="Times New Roman" w:hAnsi="Times New Roman" w:cs="Times New Roman"/>
                <w:b w:val="0"/>
                <w:color w:val="000000"/>
                <w:sz w:val="20"/>
                <w:szCs w:val="20"/>
              </w:rPr>
              <w:t>IKP</w:t>
            </w:r>
            <w:r w:rsidRPr="00883A9E">
              <w:rPr>
                <w:rFonts w:ascii="Times New Roman" w:eastAsia="Times New Roman" w:hAnsi="Times New Roman" w:cs="Times New Roman"/>
                <w:b w:val="0"/>
                <w:color w:val="000000"/>
                <w:sz w:val="20"/>
                <w:szCs w:val="20"/>
                <w:vertAlign w:val="superscript"/>
              </w:rPr>
              <w:footnoteReference w:id="22"/>
            </w:r>
          </w:p>
        </w:tc>
        <w:tc>
          <w:tcPr>
            <w:tcW w:w="1205"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0,55%</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2,21%</w:t>
            </w:r>
          </w:p>
        </w:tc>
        <w:tc>
          <w:tcPr>
            <w:tcW w:w="1205"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4,78%</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7,88%</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11,26%</w:t>
            </w:r>
          </w:p>
        </w:tc>
      </w:tr>
      <w:tr w:rsidR="00793734" w:rsidRPr="00B40952" w:rsidTr="00883A9E">
        <w:trPr>
          <w:cnfStyle w:val="000000100000" w:firstRow="0" w:lastRow="0" w:firstColumn="0" w:lastColumn="0" w:oddVBand="0" w:evenVBand="0" w:oddHBand="1" w:evenHBand="0" w:firstRowFirstColumn="0" w:firstRowLastColumn="0" w:lastRowFirstColumn="0" w:lastRowLastColumn="0"/>
          <w:cantSplit/>
          <w:trHeight w:val="294"/>
        </w:trPr>
        <w:tc>
          <w:tcPr>
            <w:cnfStyle w:val="001000000000" w:firstRow="0" w:lastRow="0" w:firstColumn="1" w:lastColumn="0" w:oddVBand="0" w:evenVBand="0" w:oddHBand="0" w:evenHBand="0" w:firstRowFirstColumn="0" w:firstRowLastColumn="0" w:lastRowFirstColumn="0" w:lastRowLastColumn="0"/>
            <w:tcW w:w="3155" w:type="dxa"/>
            <w:vAlign w:val="center"/>
          </w:tcPr>
          <w:p w:rsidR="00793734" w:rsidRPr="00883A9E" w:rsidRDefault="00793734" w:rsidP="00883A9E">
            <w:pPr>
              <w:jc w:val="both"/>
              <w:rPr>
                <w:rFonts w:ascii="Times New Roman" w:eastAsia="Times New Roman" w:hAnsi="Times New Roman" w:cs="Times New Roman"/>
                <w:b w:val="0"/>
                <w:color w:val="000000"/>
                <w:sz w:val="20"/>
                <w:szCs w:val="20"/>
              </w:rPr>
            </w:pPr>
            <w:r w:rsidRPr="00883A9E">
              <w:rPr>
                <w:rFonts w:ascii="Times New Roman" w:eastAsia="Times New Roman" w:hAnsi="Times New Roman" w:cs="Times New Roman"/>
                <w:b w:val="0"/>
                <w:color w:val="000000"/>
                <w:sz w:val="20"/>
                <w:szCs w:val="20"/>
              </w:rPr>
              <w:t>Bruto pamatkapitāla veidošanās</w:t>
            </w:r>
          </w:p>
        </w:tc>
        <w:tc>
          <w:tcPr>
            <w:tcW w:w="1205"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w:t>
            </w:r>
          </w:p>
        </w:tc>
        <w:tc>
          <w:tcPr>
            <w:tcW w:w="1206"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w:t>
            </w:r>
          </w:p>
        </w:tc>
        <w:tc>
          <w:tcPr>
            <w:tcW w:w="1205"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w:t>
            </w:r>
          </w:p>
        </w:tc>
        <w:tc>
          <w:tcPr>
            <w:tcW w:w="1206"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w:t>
            </w:r>
          </w:p>
        </w:tc>
        <w:tc>
          <w:tcPr>
            <w:tcW w:w="1206"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w:t>
            </w:r>
          </w:p>
        </w:tc>
      </w:tr>
      <w:tr w:rsidR="00793734" w:rsidRPr="00B40952" w:rsidTr="00883A9E">
        <w:trPr>
          <w:cantSplit/>
          <w:trHeight w:val="294"/>
        </w:trPr>
        <w:tc>
          <w:tcPr>
            <w:cnfStyle w:val="001000000000" w:firstRow="0" w:lastRow="0" w:firstColumn="1" w:lastColumn="0" w:oddVBand="0" w:evenVBand="0" w:oddHBand="0" w:evenHBand="0" w:firstRowFirstColumn="0" w:firstRowLastColumn="0" w:lastRowFirstColumn="0" w:lastRowLastColumn="0"/>
            <w:tcW w:w="3155" w:type="dxa"/>
            <w:vAlign w:val="center"/>
          </w:tcPr>
          <w:p w:rsidR="00793734" w:rsidRPr="00883A9E" w:rsidRDefault="00793734" w:rsidP="00883A9E">
            <w:pPr>
              <w:jc w:val="both"/>
              <w:rPr>
                <w:rFonts w:ascii="Times New Roman" w:eastAsia="Times New Roman" w:hAnsi="Times New Roman" w:cs="Times New Roman"/>
                <w:b w:val="0"/>
                <w:color w:val="000000"/>
                <w:sz w:val="20"/>
                <w:szCs w:val="20"/>
              </w:rPr>
            </w:pPr>
            <w:r w:rsidRPr="00883A9E">
              <w:rPr>
                <w:rFonts w:ascii="Times New Roman" w:eastAsia="Times New Roman" w:hAnsi="Times New Roman" w:cs="Times New Roman"/>
                <w:b w:val="0"/>
                <w:color w:val="000000"/>
                <w:sz w:val="20"/>
                <w:szCs w:val="20"/>
              </w:rPr>
              <w:t>Nodarbinātība</w:t>
            </w:r>
            <w:r w:rsidRPr="00883A9E">
              <w:rPr>
                <w:rFonts w:ascii="Times New Roman" w:eastAsia="Times New Roman" w:hAnsi="Times New Roman" w:cs="Times New Roman"/>
                <w:b w:val="0"/>
                <w:color w:val="000000"/>
                <w:sz w:val="20"/>
                <w:szCs w:val="20"/>
                <w:vertAlign w:val="superscript"/>
              </w:rPr>
              <w:footnoteReference w:id="23"/>
            </w:r>
          </w:p>
        </w:tc>
        <w:tc>
          <w:tcPr>
            <w:tcW w:w="1205"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0,24%</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0,62%</w:t>
            </w:r>
          </w:p>
        </w:tc>
        <w:tc>
          <w:tcPr>
            <w:tcW w:w="1205"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1,02%</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1,41%</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1,81%</w:t>
            </w:r>
          </w:p>
        </w:tc>
      </w:tr>
      <w:tr w:rsidR="00793734" w:rsidRPr="00B40952" w:rsidTr="00883A9E">
        <w:trPr>
          <w:cnfStyle w:val="000000100000" w:firstRow="0" w:lastRow="0" w:firstColumn="0" w:lastColumn="0" w:oddVBand="0" w:evenVBand="0" w:oddHBand="1" w:evenHBand="0" w:firstRowFirstColumn="0" w:firstRowLastColumn="0" w:lastRowFirstColumn="0" w:lastRowLastColumn="0"/>
          <w:cantSplit/>
          <w:trHeight w:val="470"/>
        </w:trPr>
        <w:tc>
          <w:tcPr>
            <w:cnfStyle w:val="001000000000" w:firstRow="0" w:lastRow="0" w:firstColumn="1" w:lastColumn="0" w:oddVBand="0" w:evenVBand="0" w:oddHBand="0" w:evenHBand="0" w:firstRowFirstColumn="0" w:firstRowLastColumn="0" w:lastRowFirstColumn="0" w:lastRowLastColumn="0"/>
            <w:tcW w:w="3155" w:type="dxa"/>
            <w:vAlign w:val="center"/>
          </w:tcPr>
          <w:p w:rsidR="00793734" w:rsidRPr="00883A9E" w:rsidRDefault="00793734" w:rsidP="00883A9E">
            <w:pPr>
              <w:jc w:val="both"/>
              <w:rPr>
                <w:rFonts w:ascii="Times New Roman" w:eastAsia="Times New Roman" w:hAnsi="Times New Roman" w:cs="Times New Roman"/>
                <w:b w:val="0"/>
                <w:color w:val="000000"/>
                <w:sz w:val="20"/>
                <w:szCs w:val="20"/>
              </w:rPr>
            </w:pPr>
            <w:r w:rsidRPr="00883A9E">
              <w:rPr>
                <w:rFonts w:ascii="Times New Roman" w:eastAsia="Times New Roman" w:hAnsi="Times New Roman" w:cs="Times New Roman"/>
                <w:b w:val="0"/>
                <w:color w:val="000000"/>
                <w:sz w:val="20"/>
                <w:szCs w:val="20"/>
              </w:rPr>
              <w:t>Tiešā fiskālā ietekme uz primāro bilanci (10)</w:t>
            </w:r>
            <w:r w:rsidRPr="00883A9E">
              <w:rPr>
                <w:rFonts w:ascii="Times New Roman" w:eastAsia="Times New Roman" w:hAnsi="Times New Roman" w:cs="Times New Roman"/>
                <w:b w:val="0"/>
                <w:color w:val="000000"/>
                <w:sz w:val="20"/>
                <w:szCs w:val="20"/>
                <w:vertAlign w:val="superscript"/>
              </w:rPr>
              <w:footnoteReference w:id="24"/>
            </w:r>
          </w:p>
        </w:tc>
        <w:tc>
          <w:tcPr>
            <w:tcW w:w="1205"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-0,39%</w:t>
            </w:r>
          </w:p>
        </w:tc>
        <w:tc>
          <w:tcPr>
            <w:tcW w:w="1206"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-0,97%</w:t>
            </w:r>
          </w:p>
        </w:tc>
        <w:tc>
          <w:tcPr>
            <w:tcW w:w="1205"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-0,98%</w:t>
            </w:r>
          </w:p>
        </w:tc>
        <w:tc>
          <w:tcPr>
            <w:tcW w:w="1206"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-0,56%</w:t>
            </w:r>
          </w:p>
        </w:tc>
        <w:tc>
          <w:tcPr>
            <w:tcW w:w="1206" w:type="dxa"/>
            <w:vAlign w:val="center"/>
          </w:tcPr>
          <w:p w:rsidR="00793734" w:rsidRPr="00B40952" w:rsidRDefault="00793734" w:rsidP="00FE460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0,17%</w:t>
            </w:r>
          </w:p>
        </w:tc>
      </w:tr>
      <w:tr w:rsidR="00793734" w:rsidRPr="00B40952" w:rsidTr="00883A9E">
        <w:trPr>
          <w:cantSplit/>
          <w:trHeight w:val="461"/>
        </w:trPr>
        <w:tc>
          <w:tcPr>
            <w:cnfStyle w:val="001000000000" w:firstRow="0" w:lastRow="0" w:firstColumn="1" w:lastColumn="0" w:oddVBand="0" w:evenVBand="0" w:oddHBand="0" w:evenHBand="0" w:firstRowFirstColumn="0" w:firstRowLastColumn="0" w:lastRowFirstColumn="0" w:lastRowLastColumn="0"/>
            <w:tcW w:w="3155" w:type="dxa"/>
            <w:vAlign w:val="center"/>
          </w:tcPr>
          <w:p w:rsidR="00793734" w:rsidRPr="00883A9E" w:rsidRDefault="00793734" w:rsidP="00883A9E">
            <w:pPr>
              <w:jc w:val="both"/>
              <w:rPr>
                <w:rFonts w:ascii="Times New Roman" w:eastAsia="Times New Roman" w:hAnsi="Times New Roman" w:cs="Times New Roman"/>
                <w:b w:val="0"/>
                <w:color w:val="000000"/>
                <w:sz w:val="20"/>
                <w:szCs w:val="20"/>
              </w:rPr>
            </w:pPr>
            <w:r w:rsidRPr="00883A9E">
              <w:rPr>
                <w:rFonts w:ascii="Times New Roman" w:eastAsia="Times New Roman" w:hAnsi="Times New Roman" w:cs="Times New Roman"/>
                <w:b w:val="0"/>
                <w:color w:val="000000"/>
                <w:sz w:val="20"/>
                <w:szCs w:val="20"/>
              </w:rPr>
              <w:t>Kopējā ietekme uz primāro bilanci (11)</w:t>
            </w:r>
            <w:r w:rsidRPr="00883A9E">
              <w:rPr>
                <w:rFonts w:ascii="Times New Roman" w:eastAsia="Times New Roman" w:hAnsi="Times New Roman" w:cs="Times New Roman"/>
                <w:b w:val="0"/>
                <w:color w:val="000000"/>
                <w:sz w:val="20"/>
                <w:szCs w:val="20"/>
                <w:vertAlign w:val="superscript"/>
              </w:rPr>
              <w:footnoteReference w:id="25"/>
            </w:r>
          </w:p>
        </w:tc>
        <w:tc>
          <w:tcPr>
            <w:tcW w:w="1205"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-0,15%</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-0,02%</w:t>
            </w:r>
          </w:p>
        </w:tc>
        <w:tc>
          <w:tcPr>
            <w:tcW w:w="1205"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1,02%</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2,71%</w:t>
            </w:r>
          </w:p>
        </w:tc>
        <w:tc>
          <w:tcPr>
            <w:tcW w:w="1206" w:type="dxa"/>
            <w:vAlign w:val="center"/>
          </w:tcPr>
          <w:p w:rsidR="00793734" w:rsidRPr="00B40952" w:rsidRDefault="00793734" w:rsidP="00FE460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0952">
              <w:rPr>
                <w:rFonts w:ascii="Times New Roman" w:eastAsia="Times New Roman" w:hAnsi="Times New Roman" w:cs="Times New Roman"/>
                <w:color w:val="000000"/>
                <w:sz w:val="20"/>
                <w:szCs w:val="20"/>
              </w:rPr>
              <w:t>4,83%</w:t>
            </w:r>
          </w:p>
        </w:tc>
      </w:tr>
    </w:tbl>
    <w:p w:rsidR="00B40952" w:rsidRPr="00B40952" w:rsidRDefault="00B40952" w:rsidP="00883A9E">
      <w:pPr>
        <w:autoSpaceDE w:val="0"/>
        <w:autoSpaceDN w:val="0"/>
        <w:adjustRightInd w:val="0"/>
        <w:spacing w:before="240" w:after="120" w:line="240" w:lineRule="auto"/>
        <w:ind w:firstLine="720"/>
        <w:rPr>
          <w:rFonts w:ascii="Times New Roman" w:eastAsia="Times New Roman" w:hAnsi="Times New Roman" w:cs="Times New Roman"/>
          <w:b/>
          <w:noProof/>
          <w:sz w:val="24"/>
          <w:szCs w:val="24"/>
          <w:lang w:eastAsia="lv-LV"/>
        </w:rPr>
      </w:pPr>
      <w:r w:rsidRPr="00B40952">
        <w:rPr>
          <w:rFonts w:ascii="Times New Roman" w:eastAsia="Times New Roman" w:hAnsi="Times New Roman" w:cs="Times New Roman"/>
          <w:b/>
          <w:noProof/>
          <w:sz w:val="24"/>
          <w:szCs w:val="24"/>
          <w:lang w:eastAsia="lv-LV"/>
        </w:rPr>
        <w:t>Veselības finansēšanas reforma</w:t>
      </w:r>
    </w:p>
    <w:p w:rsidR="00B40952" w:rsidRPr="00B40952" w:rsidRDefault="00B40952" w:rsidP="00B40952">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noProof/>
          <w:sz w:val="24"/>
          <w:szCs w:val="24"/>
          <w:lang w:eastAsia="lv-LV"/>
        </w:rPr>
        <w:t>Deficīta atkāpes finansējums beigsies 2020.gadā</w:t>
      </w:r>
      <w:r w:rsidRPr="00B40952">
        <w:rPr>
          <w:rFonts w:ascii="Times New Roman" w:eastAsia="Times New Roman" w:hAnsi="Times New Roman" w:cs="Times New Roman"/>
          <w:sz w:val="24"/>
          <w:szCs w:val="24"/>
        </w:rPr>
        <w:t xml:space="preserve"> un tādēļ bija nepieciešams atrast risinājumu ilgtermiņa veselības aprūpes sistēmas finansēšanai. Šajā nolūkā Saeima 2017.gada 14.decembrī pieņēma Veselības aprūpes finansēšanas likumu, kas paredz no 2019.gada 1.janvāra ieviest valsts obligāto veselības apdrošināšanu. Jaunā veselības apdrošināšanas sistēma paredz, ka pakalpojumi tiek iedalīti valsts apmaksātās medicīniskās palīdzības minimumā, kuru saņems visi iedzīvotāji neatkarīgi no apdrošināšanas statusa, un pilnajā veselības pakalpojumu grozā, kas būs pieejams personām, kas veic VSAOI iemaksas vai ietilpst sociāli mazaizsargāto grupā. Tādējādi sistēma būs taisnīgāka un izdevīgāka tiem iedzīvotājiem, kuri dzīvo un legāli strādā Latvijā un veic sociālās iemaksas.</w:t>
      </w:r>
    </w:p>
    <w:p w:rsidR="00B40952" w:rsidRPr="00B40952" w:rsidRDefault="00B40952" w:rsidP="00B40952">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40952">
        <w:rPr>
          <w:rFonts w:ascii="Times New Roman" w:eastAsia="Times New Roman" w:hAnsi="Times New Roman" w:cs="Times New Roman"/>
          <w:sz w:val="24"/>
          <w:szCs w:val="24"/>
        </w:rPr>
        <w:t xml:space="preserve">Jāmin, ka līdz ar pāreju uz jauno veselības finansēšanas modeli Saeima 2017. gada 27. jūlijā pieņēma likumu “Grozījumi likumā “Par valsts sociālo apdrošināšanu”, kurā noteikts, ka personas, par kurām tiek veiktas VSAOI iemaksas, ir pakļautas veselības apdrošināšanai un tām ir tiesības saņemt no valsts budžeta līdzekļiem apmaksājamus veselības aprūpes pakalpojumus, paredzot, ka minētajām personām un viņu darba devējiem par 1% palielinās valsts sociālās apdrošināšanas obligātās iemaksas likme. Tādējādi tiek plānots, ka veselības finansēšanai tiks novirzīti ieņēmumi no VSAOI likmes paaugstināšanas par 1 procentpunktu, kas attiecīgi 2018.gadā veido 85,3 milj. </w:t>
      </w:r>
      <w:r w:rsidRPr="00B40952">
        <w:rPr>
          <w:rFonts w:ascii="Times New Roman" w:eastAsia="Times New Roman" w:hAnsi="Times New Roman" w:cs="Times New Roman"/>
          <w:i/>
          <w:sz w:val="24"/>
          <w:szCs w:val="24"/>
        </w:rPr>
        <w:t>euro</w:t>
      </w:r>
      <w:r w:rsidRPr="00B40952">
        <w:rPr>
          <w:rFonts w:ascii="Times New Roman" w:eastAsia="Times New Roman" w:hAnsi="Times New Roman" w:cs="Times New Roman"/>
          <w:sz w:val="24"/>
          <w:szCs w:val="24"/>
        </w:rPr>
        <w:t xml:space="preserve">, 2019.gadā 99,6 milj. </w:t>
      </w:r>
      <w:r w:rsidRPr="00B40952">
        <w:rPr>
          <w:rFonts w:ascii="Times New Roman" w:eastAsia="Times New Roman" w:hAnsi="Times New Roman" w:cs="Times New Roman"/>
          <w:i/>
          <w:sz w:val="24"/>
          <w:szCs w:val="24"/>
        </w:rPr>
        <w:t>euro</w:t>
      </w:r>
      <w:r w:rsidRPr="00B40952">
        <w:rPr>
          <w:rFonts w:ascii="Times New Roman" w:eastAsia="Times New Roman" w:hAnsi="Times New Roman" w:cs="Times New Roman"/>
          <w:sz w:val="24"/>
          <w:szCs w:val="24"/>
        </w:rPr>
        <w:t xml:space="preserve"> un </w:t>
      </w:r>
      <w:r w:rsidR="00F31565" w:rsidRPr="00DB2217">
        <w:rPr>
          <w:rFonts w:ascii="Times New Roman" w:eastAsia="Times New Roman" w:hAnsi="Times New Roman" w:cs="Times New Roman"/>
          <w:sz w:val="24"/>
          <w:szCs w:val="24"/>
        </w:rPr>
        <w:t>2020</w:t>
      </w:r>
      <w:r w:rsidRPr="00B40952">
        <w:rPr>
          <w:rFonts w:ascii="Times New Roman" w:eastAsia="Times New Roman" w:hAnsi="Times New Roman" w:cs="Times New Roman"/>
          <w:sz w:val="24"/>
          <w:szCs w:val="24"/>
        </w:rPr>
        <w:t xml:space="preserve">.gadā 105,5 milj. </w:t>
      </w:r>
      <w:r w:rsidRPr="00B40952">
        <w:rPr>
          <w:rFonts w:ascii="Times New Roman" w:eastAsia="Times New Roman" w:hAnsi="Times New Roman" w:cs="Times New Roman"/>
          <w:i/>
          <w:sz w:val="24"/>
          <w:szCs w:val="24"/>
        </w:rPr>
        <w:t>euro</w:t>
      </w:r>
      <w:r w:rsidRPr="00B40952">
        <w:rPr>
          <w:rFonts w:ascii="Times New Roman" w:eastAsia="Times New Roman" w:hAnsi="Times New Roman" w:cs="Times New Roman"/>
          <w:sz w:val="24"/>
          <w:szCs w:val="24"/>
        </w:rPr>
        <w:t>.</w:t>
      </w:r>
    </w:p>
    <w:p w:rsidR="00B40952" w:rsidRPr="00B40952" w:rsidRDefault="00B40952" w:rsidP="00883A9E">
      <w:pPr>
        <w:autoSpaceDE w:val="0"/>
        <w:autoSpaceDN w:val="0"/>
        <w:adjustRightInd w:val="0"/>
        <w:spacing w:before="120" w:after="120" w:line="240" w:lineRule="auto"/>
        <w:ind w:firstLine="720"/>
        <w:rPr>
          <w:rFonts w:ascii="Times New Roman" w:eastAsia="Times New Roman" w:hAnsi="Times New Roman" w:cs="Times New Roman"/>
          <w:b/>
          <w:noProof/>
          <w:sz w:val="24"/>
          <w:szCs w:val="24"/>
          <w:lang w:eastAsia="lv-LV"/>
        </w:rPr>
      </w:pPr>
      <w:r w:rsidRPr="00B40952">
        <w:rPr>
          <w:rFonts w:ascii="Times New Roman" w:eastAsia="Times New Roman" w:hAnsi="Times New Roman" w:cs="Times New Roman"/>
          <w:b/>
          <w:sz w:val="24"/>
          <w:szCs w:val="24"/>
        </w:rPr>
        <w:t>Veselības sistēmas pārvaldības reforma</w:t>
      </w:r>
    </w:p>
    <w:p w:rsidR="00B40952" w:rsidRPr="00B40952" w:rsidRDefault="00B40952" w:rsidP="00B40952">
      <w:pPr>
        <w:autoSpaceDE w:val="0"/>
        <w:autoSpaceDN w:val="0"/>
        <w:adjustRightInd w:val="0"/>
        <w:spacing w:after="0" w:line="240" w:lineRule="auto"/>
        <w:ind w:firstLine="720"/>
        <w:jc w:val="both"/>
        <w:rPr>
          <w:rFonts w:ascii="Times New Roman" w:eastAsia="Times New Roman" w:hAnsi="Times New Roman" w:cs="Times New Roman"/>
          <w:noProof/>
          <w:sz w:val="24"/>
          <w:szCs w:val="24"/>
          <w:lang w:eastAsia="lv-LV"/>
        </w:rPr>
      </w:pPr>
      <w:r w:rsidRPr="00B40952">
        <w:rPr>
          <w:rFonts w:ascii="Times New Roman" w:eastAsia="Times New Roman" w:hAnsi="Times New Roman" w:cs="Times New Roman"/>
          <w:noProof/>
          <w:sz w:val="24"/>
          <w:szCs w:val="24"/>
          <w:lang w:eastAsia="lv-LV"/>
        </w:rPr>
        <w:t xml:space="preserve">Kaut arī veselības sistēmas pārvaldības reforma nav deficīta atkāpes jautājums un tāpēc netiek aprakstīta Stabilitātes programmā, tā ir būtiska, lai nodrošinātu efektīvu publiskā finansējuma izlietojumu. Tāpēc šī reforma papildina divas pārējās, veidojot stabilu bāzi kvalitatīviem un izmaksu efektīviem veselības aprūpes pakalpojumiem.  </w:t>
      </w:r>
    </w:p>
    <w:p w:rsidR="00A34463" w:rsidRDefault="00A34463" w:rsidP="00883A9E">
      <w:pPr>
        <w:pStyle w:val="Heading2"/>
        <w:numPr>
          <w:ilvl w:val="1"/>
          <w:numId w:val="1"/>
        </w:numPr>
        <w:spacing w:before="240" w:after="120"/>
        <w:ind w:left="709"/>
        <w:rPr>
          <w:rFonts w:ascii="Times New Roman" w:hAnsi="Times New Roman" w:cs="Times New Roman"/>
          <w:sz w:val="24"/>
        </w:rPr>
      </w:pPr>
      <w:bookmarkStart w:id="37" w:name="_Toc510790664"/>
      <w:bookmarkStart w:id="38" w:name="_Toc511027824"/>
      <w:r w:rsidRPr="00F51615">
        <w:rPr>
          <w:rFonts w:ascii="Times New Roman" w:hAnsi="Times New Roman" w:cs="Times New Roman"/>
          <w:sz w:val="24"/>
        </w:rPr>
        <w:lastRenderedPageBreak/>
        <w:t>Fiskālās attīstības scenārijs</w:t>
      </w:r>
      <w:bookmarkEnd w:id="37"/>
      <w:bookmarkEnd w:id="38"/>
    </w:p>
    <w:p w:rsidR="007A117B" w:rsidRPr="007A117B" w:rsidRDefault="007A117B" w:rsidP="007A117B">
      <w:pPr>
        <w:pStyle w:val="teksts"/>
        <w:spacing w:after="0"/>
        <w:ind w:firstLine="720"/>
        <w:rPr>
          <w:rFonts w:ascii="Times New Roman" w:hAnsi="Times New Roman"/>
          <w:color w:val="000000"/>
          <w:szCs w:val="24"/>
        </w:rPr>
      </w:pPr>
      <w:r w:rsidRPr="007A117B">
        <w:rPr>
          <w:rFonts w:ascii="Times New Roman" w:hAnsi="Times New Roman"/>
          <w:color w:val="000000"/>
          <w:szCs w:val="24"/>
        </w:rPr>
        <w:t xml:space="preserve">Fiskālās attīstības scenārija pamatā ir nosacījums par fiskālās disciplīnas ievērošanu un atbildīgas fiskālās politikas īstenošanu Latvijā. Saskaņā ar Fiskālās disciplīnas likuma nosacījumiem fiskālās politikas principi paredz ekonomiskajā ciklā sabalansēta budžeta veidošanu jeb nosacījumu, ka strukturālais deficīts ilgtermiņā nedrīkst pārsniegt 0,5% no IKP. </w:t>
      </w:r>
    </w:p>
    <w:p w:rsidR="007A117B" w:rsidRPr="007A117B" w:rsidRDefault="007A117B" w:rsidP="007A117B">
      <w:pPr>
        <w:pStyle w:val="teksts"/>
        <w:spacing w:after="0"/>
        <w:ind w:firstLine="720"/>
        <w:rPr>
          <w:rFonts w:ascii="Times New Roman" w:hAnsi="Times New Roman"/>
          <w:color w:val="000000"/>
          <w:szCs w:val="24"/>
        </w:rPr>
      </w:pPr>
      <w:r w:rsidRPr="007A117B">
        <w:rPr>
          <w:rFonts w:ascii="Times New Roman" w:hAnsi="Times New Roman"/>
          <w:color w:val="000000"/>
          <w:szCs w:val="24"/>
        </w:rPr>
        <w:t>Scenārijs vidējam termiņam ir veidots, balstoties uz noteiktajiem vispārējās valdības budžeta bilances mērķiem strukturālā izteiksmē un ņemot vērā budžeta bilances ciklisko komponenti atbilstoši aktualizētajam makroekonomiskās attīstības scenārijam. Salīdzinājumā ar 2016.gadu, kad ekonomiskā izaugsme bija mērena, 2017.gadā IKP pieaugums bija būtiski straujāks, apsteidzot potenciālā IKP pieauguma tempu. Rezultātā, sākot ar 2017.gadu, tiek prognozēts, ka bilances cikliskā komponente vidējā termiņā būs pozitīva (0,2%</w:t>
      </w:r>
      <w:r w:rsidR="00C77A46">
        <w:rPr>
          <w:rFonts w:ascii="Times New Roman" w:hAnsi="Times New Roman"/>
          <w:color w:val="000000"/>
          <w:szCs w:val="24"/>
        </w:rPr>
        <w:t xml:space="preserve"> </w:t>
      </w:r>
      <w:r w:rsidR="00C77A46" w:rsidRPr="0014591D">
        <w:rPr>
          <w:rFonts w:ascii="Times New Roman" w:hAnsi="Times New Roman"/>
          <w:bCs/>
          <w:szCs w:val="24"/>
          <w:shd w:val="clear" w:color="auto" w:fill="FFFFFF"/>
        </w:rPr>
        <w:t>–</w:t>
      </w:r>
      <w:r w:rsidR="00C77A46">
        <w:rPr>
          <w:rFonts w:ascii="Times New Roman" w:hAnsi="Times New Roman"/>
          <w:bCs/>
          <w:szCs w:val="24"/>
          <w:shd w:val="clear" w:color="auto" w:fill="FFFFFF"/>
        </w:rPr>
        <w:t xml:space="preserve"> </w:t>
      </w:r>
      <w:r w:rsidRPr="007A117B">
        <w:rPr>
          <w:rFonts w:ascii="Times New Roman" w:hAnsi="Times New Roman"/>
          <w:color w:val="000000"/>
          <w:szCs w:val="24"/>
        </w:rPr>
        <w:t>0,4% no IKP). 2021.gadā izaugsmes prognoze tuvosies potenciālā IKP pieauguma tempam.</w:t>
      </w:r>
    </w:p>
    <w:p w:rsidR="007A117B" w:rsidRPr="007A117B" w:rsidRDefault="007A117B" w:rsidP="00883A9E">
      <w:pPr>
        <w:pStyle w:val="teksts"/>
        <w:spacing w:after="0"/>
        <w:jc w:val="center"/>
        <w:rPr>
          <w:rFonts w:ascii="Times New Roman" w:eastAsiaTheme="minorHAnsi" w:hAnsi="Times New Roman"/>
          <w:szCs w:val="24"/>
        </w:rPr>
      </w:pPr>
      <w:r w:rsidRPr="007A117B">
        <w:rPr>
          <w:rFonts w:ascii="Times New Roman" w:hAnsi="Times New Roman"/>
          <w:noProof/>
          <w:szCs w:val="24"/>
          <w:lang w:eastAsia="lv-LV"/>
        </w:rPr>
        <w:drawing>
          <wp:inline distT="0" distB="0" distL="0" distR="0">
            <wp:extent cx="5366385" cy="23526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117B" w:rsidRPr="00207D71" w:rsidRDefault="007A117B" w:rsidP="00883A9E">
      <w:pPr>
        <w:pStyle w:val="teksts"/>
        <w:spacing w:after="0"/>
        <w:ind w:firstLine="720"/>
        <w:jc w:val="center"/>
        <w:rPr>
          <w:rFonts w:ascii="Times New Roman" w:eastAsia="Calibri" w:hAnsi="Times New Roman"/>
          <w:b/>
          <w:szCs w:val="24"/>
        </w:rPr>
      </w:pPr>
      <w:r w:rsidRPr="007A117B">
        <w:rPr>
          <w:rFonts w:ascii="Times New Roman" w:eastAsia="Calibri" w:hAnsi="Times New Roman"/>
          <w:b/>
        </w:rPr>
        <w:t>3.</w:t>
      </w:r>
      <w:r w:rsidR="009C44D7">
        <w:rPr>
          <w:rFonts w:ascii="Times New Roman" w:eastAsia="Calibri" w:hAnsi="Times New Roman"/>
          <w:b/>
        </w:rPr>
        <w:t>6</w:t>
      </w:r>
      <w:r w:rsidR="00DB2217">
        <w:rPr>
          <w:rFonts w:ascii="Times New Roman" w:eastAsia="Calibri" w:hAnsi="Times New Roman"/>
          <w:b/>
          <w:szCs w:val="24"/>
        </w:rPr>
        <w:t>.</w:t>
      </w:r>
      <w:r w:rsidRPr="007A117B">
        <w:rPr>
          <w:rFonts w:ascii="Times New Roman" w:eastAsia="Calibri" w:hAnsi="Times New Roman"/>
          <w:b/>
          <w:szCs w:val="24"/>
        </w:rPr>
        <w:t>att. Vispārējās valdības budžeta bilance sadalījumā pa komponentēm</w:t>
      </w:r>
      <w:r w:rsidRPr="007A117B">
        <w:rPr>
          <w:rStyle w:val="FootnoteReference"/>
          <w:rFonts w:ascii="Times New Roman" w:eastAsia="Calibri" w:hAnsi="Times New Roman"/>
          <w:b/>
          <w:sz w:val="24"/>
          <w:szCs w:val="24"/>
        </w:rPr>
        <w:footnoteReference w:id="26"/>
      </w:r>
      <w:r w:rsidRPr="007A117B">
        <w:rPr>
          <w:rFonts w:ascii="Times New Roman" w:eastAsia="Calibri" w:hAnsi="Times New Roman"/>
          <w:b/>
          <w:szCs w:val="24"/>
        </w:rPr>
        <w:t xml:space="preserve">, </w:t>
      </w:r>
      <w:r w:rsidR="00C77A46">
        <w:rPr>
          <w:rFonts w:ascii="Times New Roman" w:eastAsia="Calibri" w:hAnsi="Times New Roman"/>
          <w:b/>
          <w:szCs w:val="24"/>
        </w:rPr>
        <w:br/>
      </w:r>
      <w:r w:rsidRPr="007A117B">
        <w:rPr>
          <w:rFonts w:ascii="Times New Roman" w:eastAsia="Calibri" w:hAnsi="Times New Roman"/>
          <w:b/>
          <w:szCs w:val="24"/>
        </w:rPr>
        <w:t>% no IKP</w:t>
      </w:r>
    </w:p>
    <w:p w:rsidR="00C77A46" w:rsidRDefault="00C77A46" w:rsidP="00883A9E">
      <w:pPr>
        <w:spacing w:after="0" w:line="240" w:lineRule="auto"/>
        <w:jc w:val="both"/>
        <w:rPr>
          <w:rFonts w:ascii="Times New Roman" w:hAnsi="Times New Roman" w:cs="Times New Roman"/>
          <w:color w:val="000000"/>
          <w:sz w:val="24"/>
          <w:szCs w:val="24"/>
        </w:rPr>
      </w:pPr>
    </w:p>
    <w:p w:rsidR="007A117B" w:rsidRDefault="007A117B" w:rsidP="00623C3B">
      <w:pPr>
        <w:spacing w:after="0" w:line="240" w:lineRule="auto"/>
        <w:ind w:firstLine="720"/>
        <w:jc w:val="both"/>
        <w:rPr>
          <w:rFonts w:ascii="Times New Roman" w:hAnsi="Times New Roman" w:cs="Times New Roman"/>
          <w:color w:val="000000"/>
          <w:sz w:val="24"/>
          <w:szCs w:val="24"/>
        </w:rPr>
      </w:pPr>
      <w:r w:rsidRPr="007A117B">
        <w:rPr>
          <w:rFonts w:ascii="Times New Roman" w:hAnsi="Times New Roman" w:cs="Times New Roman"/>
          <w:color w:val="000000"/>
          <w:sz w:val="24"/>
          <w:szCs w:val="24"/>
        </w:rPr>
        <w:t>Vispārējās valdības budžeta bilances prognozes vidējam termiņam pie nemainīgas politikas tika sagatavotas atbilstoši aktualizētajam makroekonomiskās attīstības scenārijam, kas ir pamatā ieņēmumu un izdevumu prognozēm. Tāpat prognozēs tika ņemti vērā apstiprinātie centrālās valdības bāzes izdevumi turpmākajiem trim gadiem</w:t>
      </w:r>
      <w:r>
        <w:rPr>
          <w:rFonts w:ascii="Times New Roman" w:hAnsi="Times New Roman" w:cs="Times New Roman"/>
          <w:color w:val="000000"/>
          <w:sz w:val="24"/>
          <w:szCs w:val="24"/>
        </w:rPr>
        <w:t>,</w:t>
      </w:r>
      <w:r w:rsidRPr="007A117B">
        <w:rPr>
          <w:rFonts w:ascii="Times New Roman" w:hAnsi="Times New Roman" w:cs="Times New Roman"/>
          <w:color w:val="000000"/>
          <w:sz w:val="24"/>
          <w:szCs w:val="24"/>
        </w:rPr>
        <w:t xml:space="preserve"> kā arī sagaidāmā attīstīb</w:t>
      </w:r>
      <w:r>
        <w:rPr>
          <w:rFonts w:ascii="Times New Roman" w:hAnsi="Times New Roman" w:cs="Times New Roman"/>
          <w:color w:val="000000"/>
          <w:sz w:val="24"/>
          <w:szCs w:val="24"/>
        </w:rPr>
        <w:t>a</w:t>
      </w:r>
      <w:r w:rsidRPr="007A117B">
        <w:rPr>
          <w:rFonts w:ascii="Times New Roman" w:hAnsi="Times New Roman" w:cs="Times New Roman"/>
          <w:color w:val="000000"/>
          <w:sz w:val="24"/>
          <w:szCs w:val="24"/>
        </w:rPr>
        <w:t xml:space="preserve"> vietējās valdības budžetā, ņemot vērā aktuālās tendences. Sagaidāms, ka vispārējās valdības budžeta deficīts 2018.gadā būs 0,9% no IKP</w:t>
      </w:r>
      <w:r w:rsidR="009110EE">
        <w:rPr>
          <w:rFonts w:ascii="Times New Roman" w:hAnsi="Times New Roman" w:cs="Times New Roman"/>
          <w:color w:val="000000"/>
          <w:sz w:val="24"/>
          <w:szCs w:val="24"/>
        </w:rPr>
        <w:t xml:space="preserve"> (neskaitot fiskālā nodrošinājuma rezervi)</w:t>
      </w:r>
      <w:r w:rsidRPr="007A117B">
        <w:rPr>
          <w:rFonts w:ascii="Times New Roman" w:hAnsi="Times New Roman" w:cs="Times New Roman"/>
          <w:color w:val="000000"/>
          <w:sz w:val="24"/>
          <w:szCs w:val="24"/>
        </w:rPr>
        <w:t xml:space="preserve"> un tas ir tādā pašā līmenī kā tika prognozēts budžeta sagatavošanas laikā, t.i. 2017.gada rudenī. </w:t>
      </w:r>
      <w:r w:rsidR="009110EE">
        <w:rPr>
          <w:rFonts w:ascii="Times New Roman" w:hAnsi="Times New Roman" w:cs="Times New Roman"/>
          <w:color w:val="000000"/>
          <w:sz w:val="24"/>
          <w:szCs w:val="24"/>
        </w:rPr>
        <w:t>Tomēr strukturālais deficīts tiek prognozēts par 0,2 procentu punkti</w:t>
      </w:r>
      <w:r w:rsidR="00207D71">
        <w:rPr>
          <w:rFonts w:ascii="Times New Roman" w:hAnsi="Times New Roman" w:cs="Times New Roman"/>
          <w:color w:val="000000"/>
          <w:sz w:val="24"/>
          <w:szCs w:val="24"/>
        </w:rPr>
        <w:t xml:space="preserve">em lielāks par noteikto mērķi. </w:t>
      </w:r>
      <w:r w:rsidRPr="007A117B">
        <w:rPr>
          <w:rFonts w:ascii="Times New Roman" w:hAnsi="Times New Roman" w:cs="Times New Roman"/>
          <w:color w:val="000000"/>
          <w:sz w:val="24"/>
          <w:szCs w:val="24"/>
        </w:rPr>
        <w:t>Vidējā termiņ</w:t>
      </w:r>
      <w:r>
        <w:rPr>
          <w:rFonts w:ascii="Times New Roman" w:hAnsi="Times New Roman" w:cs="Times New Roman"/>
          <w:color w:val="000000"/>
          <w:sz w:val="24"/>
          <w:szCs w:val="24"/>
        </w:rPr>
        <w:t>ā,</w:t>
      </w:r>
      <w:r w:rsidRPr="007A117B">
        <w:rPr>
          <w:rFonts w:ascii="Times New Roman" w:hAnsi="Times New Roman" w:cs="Times New Roman"/>
          <w:color w:val="000000"/>
          <w:sz w:val="24"/>
          <w:szCs w:val="24"/>
        </w:rPr>
        <w:t xml:space="preserve"> vispārējās valdības budžet</w:t>
      </w:r>
      <w:r>
        <w:rPr>
          <w:rFonts w:ascii="Times New Roman" w:hAnsi="Times New Roman" w:cs="Times New Roman"/>
          <w:color w:val="000000"/>
          <w:sz w:val="24"/>
          <w:szCs w:val="24"/>
        </w:rPr>
        <w:t>a</w:t>
      </w:r>
      <w:r w:rsidRPr="007A117B">
        <w:rPr>
          <w:rFonts w:ascii="Times New Roman" w:hAnsi="Times New Roman" w:cs="Times New Roman"/>
          <w:color w:val="000000"/>
          <w:sz w:val="24"/>
          <w:szCs w:val="24"/>
        </w:rPr>
        <w:t xml:space="preserve"> scenārijā</w:t>
      </w:r>
      <w:r>
        <w:rPr>
          <w:rFonts w:ascii="Times New Roman" w:hAnsi="Times New Roman" w:cs="Times New Roman"/>
          <w:color w:val="000000"/>
          <w:sz w:val="24"/>
          <w:szCs w:val="24"/>
        </w:rPr>
        <w:t>,</w:t>
      </w:r>
      <w:r w:rsidRPr="007A117B">
        <w:rPr>
          <w:rFonts w:ascii="Times New Roman" w:hAnsi="Times New Roman" w:cs="Times New Roman"/>
          <w:color w:val="000000"/>
          <w:sz w:val="24"/>
          <w:szCs w:val="24"/>
        </w:rPr>
        <w:t xml:space="preserve"> pie nemainīgas politikas 2019.gadā tiek prognozēts deficīts 1,0%</w:t>
      </w:r>
      <w:r w:rsidR="00C77A46">
        <w:rPr>
          <w:rFonts w:ascii="Times New Roman" w:hAnsi="Times New Roman" w:cs="Times New Roman"/>
          <w:color w:val="000000"/>
          <w:sz w:val="24"/>
          <w:szCs w:val="24"/>
        </w:rPr>
        <w:t xml:space="preserve"> </w:t>
      </w:r>
      <w:r w:rsidRPr="007A117B">
        <w:rPr>
          <w:rFonts w:ascii="Times New Roman" w:hAnsi="Times New Roman" w:cs="Times New Roman"/>
          <w:color w:val="000000"/>
          <w:sz w:val="24"/>
          <w:szCs w:val="24"/>
        </w:rPr>
        <w:t>no IKP, 2020.gadā deficīts 0,4% apmērā no IKP un 2021.gadā deficīts 0,3% apmērā no IKP.</w:t>
      </w:r>
    </w:p>
    <w:p w:rsidR="001E2C89" w:rsidRDefault="001E2C89" w:rsidP="00623C3B">
      <w:pPr>
        <w:spacing w:after="0" w:line="240" w:lineRule="auto"/>
        <w:ind w:firstLine="720"/>
        <w:jc w:val="both"/>
        <w:rPr>
          <w:rFonts w:ascii="Times New Roman" w:hAnsi="Times New Roman" w:cs="Times New Roman"/>
          <w:color w:val="000000"/>
          <w:sz w:val="24"/>
          <w:szCs w:val="24"/>
        </w:rPr>
      </w:pPr>
    </w:p>
    <w:p w:rsidR="001E2C89" w:rsidRDefault="001E2C89" w:rsidP="00623C3B">
      <w:pPr>
        <w:spacing w:after="0" w:line="240" w:lineRule="auto"/>
        <w:ind w:firstLine="720"/>
        <w:jc w:val="both"/>
        <w:rPr>
          <w:rFonts w:ascii="Times New Roman" w:hAnsi="Times New Roman" w:cs="Times New Roman"/>
          <w:color w:val="000000"/>
          <w:sz w:val="24"/>
          <w:szCs w:val="24"/>
        </w:rPr>
      </w:pPr>
    </w:p>
    <w:p w:rsidR="001E2C89" w:rsidRPr="00623C3B" w:rsidRDefault="001E2C89" w:rsidP="00623C3B">
      <w:pPr>
        <w:spacing w:after="0" w:line="240" w:lineRule="auto"/>
        <w:ind w:firstLine="720"/>
        <w:jc w:val="both"/>
        <w:rPr>
          <w:rFonts w:ascii="Times New Roman" w:hAnsi="Times New Roman" w:cs="Times New Roman"/>
          <w:color w:val="000000" w:themeColor="text1"/>
          <w:sz w:val="24"/>
          <w:szCs w:val="24"/>
        </w:rPr>
      </w:pPr>
    </w:p>
    <w:p w:rsidR="007A117B" w:rsidRPr="00623C3B" w:rsidRDefault="007A117B" w:rsidP="00623C3B">
      <w:pPr>
        <w:pStyle w:val="teksts"/>
        <w:spacing w:before="120" w:after="0"/>
        <w:ind w:firstLine="720"/>
        <w:jc w:val="right"/>
        <w:rPr>
          <w:rFonts w:ascii="Times New Roman" w:eastAsiaTheme="minorHAnsi" w:hAnsi="Times New Roman"/>
          <w:b/>
          <w:szCs w:val="24"/>
        </w:rPr>
      </w:pPr>
      <w:r w:rsidRPr="00623C3B">
        <w:rPr>
          <w:rFonts w:ascii="Times New Roman" w:eastAsiaTheme="minorHAnsi" w:hAnsi="Times New Roman"/>
          <w:b/>
          <w:szCs w:val="24"/>
        </w:rPr>
        <w:lastRenderedPageBreak/>
        <w:t>3.</w:t>
      </w:r>
      <w:r w:rsidR="009C44D7" w:rsidRPr="00623C3B">
        <w:rPr>
          <w:rFonts w:ascii="Times New Roman" w:eastAsiaTheme="minorHAnsi" w:hAnsi="Times New Roman"/>
          <w:b/>
          <w:szCs w:val="24"/>
        </w:rPr>
        <w:t>24</w:t>
      </w:r>
      <w:r w:rsidRPr="00623C3B">
        <w:rPr>
          <w:rFonts w:ascii="Times New Roman" w:eastAsiaTheme="minorHAnsi" w:hAnsi="Times New Roman"/>
          <w:b/>
          <w:szCs w:val="24"/>
        </w:rPr>
        <w:t xml:space="preserve">. tabula. Vidējā termiņa </w:t>
      </w:r>
      <w:r w:rsidR="00C41AE0" w:rsidRPr="00623C3B">
        <w:rPr>
          <w:rFonts w:ascii="Times New Roman" w:eastAsiaTheme="minorHAnsi" w:hAnsi="Times New Roman"/>
          <w:b/>
          <w:szCs w:val="24"/>
        </w:rPr>
        <w:t>scenārijs pie</w:t>
      </w:r>
      <w:r w:rsidRPr="00623C3B">
        <w:rPr>
          <w:rFonts w:ascii="Times New Roman" w:eastAsiaTheme="minorHAnsi" w:hAnsi="Times New Roman"/>
          <w:b/>
          <w:szCs w:val="24"/>
        </w:rPr>
        <w:t xml:space="preserve"> nemainīgas politikas</w:t>
      </w:r>
      <w:r w:rsidR="00623C3B" w:rsidRPr="00623C3B">
        <w:rPr>
          <w:rFonts w:ascii="Times New Roman" w:eastAsiaTheme="minorHAnsi" w:hAnsi="Times New Roman"/>
          <w:b/>
          <w:szCs w:val="24"/>
        </w:rPr>
        <w:t xml:space="preserve">, </w:t>
      </w:r>
      <w:r w:rsidR="00623C3B" w:rsidRPr="00623C3B">
        <w:rPr>
          <w:rFonts w:ascii="Times New Roman" w:hAnsi="Times New Roman"/>
          <w:b/>
          <w:szCs w:val="24"/>
        </w:rPr>
        <w:t>% no IKP</w:t>
      </w:r>
      <w:r w:rsidRPr="00623C3B">
        <w:rPr>
          <w:rFonts w:ascii="Times New Roman" w:eastAsiaTheme="minorHAnsi" w:hAnsi="Times New Roman"/>
          <w:b/>
          <w:szCs w:val="24"/>
        </w:rPr>
        <w:t xml:space="preserve"> </w:t>
      </w:r>
    </w:p>
    <w:tbl>
      <w:tblPr>
        <w:tblStyle w:val="TableGrid"/>
        <w:tblW w:w="9106" w:type="dxa"/>
        <w:jc w:val="center"/>
        <w:tblLayout w:type="fixed"/>
        <w:tblLook w:val="0000" w:firstRow="0" w:lastRow="0" w:firstColumn="0" w:lastColumn="0" w:noHBand="0" w:noVBand="0"/>
      </w:tblPr>
      <w:tblGrid>
        <w:gridCol w:w="3427"/>
        <w:gridCol w:w="1193"/>
        <w:gridCol w:w="989"/>
        <w:gridCol w:w="895"/>
        <w:gridCol w:w="894"/>
        <w:gridCol w:w="895"/>
        <w:gridCol w:w="803"/>
        <w:gridCol w:w="10"/>
      </w:tblGrid>
      <w:tr w:rsidR="00623C3B" w:rsidRPr="00CB4393" w:rsidTr="00194D03">
        <w:trPr>
          <w:gridAfter w:val="1"/>
          <w:wAfter w:w="10" w:type="dxa"/>
          <w:trHeight w:val="267"/>
          <w:jc w:val="center"/>
        </w:trPr>
        <w:tc>
          <w:tcPr>
            <w:tcW w:w="3427" w:type="dxa"/>
          </w:tcPr>
          <w:p w:rsidR="00623C3B" w:rsidRPr="00CB4393" w:rsidRDefault="00623C3B" w:rsidP="00623C3B">
            <w:pPr>
              <w:pStyle w:val="tabteksts"/>
              <w:jc w:val="center"/>
              <w:rPr>
                <w:b/>
                <w:sz w:val="22"/>
                <w:szCs w:val="24"/>
              </w:rPr>
            </w:pPr>
          </w:p>
        </w:tc>
        <w:tc>
          <w:tcPr>
            <w:tcW w:w="1193" w:type="dxa"/>
            <w:vAlign w:val="center"/>
          </w:tcPr>
          <w:p w:rsidR="00623C3B" w:rsidRPr="00CB4393" w:rsidRDefault="00623C3B" w:rsidP="00623C3B">
            <w:pPr>
              <w:pStyle w:val="tabteksts"/>
              <w:jc w:val="center"/>
              <w:rPr>
                <w:b/>
                <w:sz w:val="22"/>
                <w:szCs w:val="24"/>
              </w:rPr>
            </w:pPr>
            <w:r w:rsidRPr="00CB4393">
              <w:rPr>
                <w:sz w:val="22"/>
                <w:szCs w:val="24"/>
              </w:rPr>
              <w:t>EKS kods</w:t>
            </w:r>
          </w:p>
        </w:tc>
        <w:tc>
          <w:tcPr>
            <w:tcW w:w="989" w:type="dxa"/>
            <w:vAlign w:val="center"/>
          </w:tcPr>
          <w:p w:rsidR="00623C3B" w:rsidRPr="00CB4393" w:rsidRDefault="00623C3B" w:rsidP="00623C3B">
            <w:pPr>
              <w:pStyle w:val="tabteksts"/>
              <w:jc w:val="center"/>
              <w:rPr>
                <w:b/>
                <w:sz w:val="22"/>
                <w:szCs w:val="24"/>
              </w:rPr>
            </w:pPr>
            <w:r w:rsidRPr="00CB4393">
              <w:rPr>
                <w:b/>
                <w:sz w:val="22"/>
                <w:szCs w:val="24"/>
              </w:rPr>
              <w:t>2017</w:t>
            </w:r>
          </w:p>
        </w:tc>
        <w:tc>
          <w:tcPr>
            <w:tcW w:w="895" w:type="dxa"/>
            <w:vAlign w:val="center"/>
          </w:tcPr>
          <w:p w:rsidR="00623C3B" w:rsidRPr="00CB4393" w:rsidRDefault="00623C3B" w:rsidP="00623C3B">
            <w:pPr>
              <w:pStyle w:val="tabteksts"/>
              <w:jc w:val="center"/>
              <w:rPr>
                <w:b/>
                <w:sz w:val="22"/>
                <w:szCs w:val="24"/>
              </w:rPr>
            </w:pPr>
            <w:r w:rsidRPr="00CB4393">
              <w:rPr>
                <w:b/>
                <w:sz w:val="22"/>
                <w:szCs w:val="24"/>
              </w:rPr>
              <w:t>2018</w:t>
            </w:r>
          </w:p>
        </w:tc>
        <w:tc>
          <w:tcPr>
            <w:tcW w:w="894" w:type="dxa"/>
            <w:vAlign w:val="center"/>
          </w:tcPr>
          <w:p w:rsidR="00623C3B" w:rsidRPr="00CB4393" w:rsidRDefault="00623C3B" w:rsidP="00623C3B">
            <w:pPr>
              <w:pStyle w:val="tabteksts"/>
              <w:jc w:val="center"/>
              <w:rPr>
                <w:b/>
                <w:sz w:val="22"/>
                <w:szCs w:val="24"/>
              </w:rPr>
            </w:pPr>
            <w:r w:rsidRPr="00CB4393">
              <w:rPr>
                <w:b/>
                <w:sz w:val="22"/>
                <w:szCs w:val="24"/>
              </w:rPr>
              <w:t>2019</w:t>
            </w:r>
          </w:p>
        </w:tc>
        <w:tc>
          <w:tcPr>
            <w:tcW w:w="895" w:type="dxa"/>
            <w:vAlign w:val="center"/>
          </w:tcPr>
          <w:p w:rsidR="00623C3B" w:rsidRPr="00CB4393" w:rsidRDefault="00623C3B" w:rsidP="00623C3B">
            <w:pPr>
              <w:pStyle w:val="tabteksts"/>
              <w:jc w:val="center"/>
              <w:rPr>
                <w:b/>
                <w:sz w:val="22"/>
                <w:szCs w:val="24"/>
              </w:rPr>
            </w:pPr>
            <w:r w:rsidRPr="00CB4393">
              <w:rPr>
                <w:b/>
                <w:sz w:val="22"/>
                <w:szCs w:val="24"/>
              </w:rPr>
              <w:t>2020</w:t>
            </w:r>
          </w:p>
        </w:tc>
        <w:tc>
          <w:tcPr>
            <w:tcW w:w="803" w:type="dxa"/>
            <w:vAlign w:val="center"/>
          </w:tcPr>
          <w:p w:rsidR="00623C3B" w:rsidRPr="00CB4393" w:rsidRDefault="00623C3B" w:rsidP="00623C3B">
            <w:pPr>
              <w:pStyle w:val="tabteksts"/>
              <w:jc w:val="center"/>
              <w:rPr>
                <w:b/>
                <w:sz w:val="22"/>
                <w:szCs w:val="24"/>
              </w:rPr>
            </w:pPr>
            <w:r w:rsidRPr="00CB4393">
              <w:rPr>
                <w:b/>
                <w:sz w:val="22"/>
                <w:szCs w:val="24"/>
              </w:rPr>
              <w:t>2021</w:t>
            </w:r>
          </w:p>
        </w:tc>
      </w:tr>
      <w:tr w:rsidR="007A117B" w:rsidRPr="00CB4393" w:rsidTr="00194D03">
        <w:trPr>
          <w:trHeight w:val="250"/>
          <w:jc w:val="center"/>
        </w:trPr>
        <w:tc>
          <w:tcPr>
            <w:tcW w:w="9106" w:type="dxa"/>
            <w:gridSpan w:val="8"/>
            <w:vAlign w:val="center"/>
          </w:tcPr>
          <w:p w:rsidR="007A117B" w:rsidRPr="00CB4393" w:rsidRDefault="007A117B" w:rsidP="00623C3B">
            <w:pPr>
              <w:ind w:firstLine="720"/>
              <w:jc w:val="center"/>
              <w:rPr>
                <w:b/>
                <w:noProof/>
                <w:snapToGrid w:val="0"/>
                <w:sz w:val="22"/>
                <w:szCs w:val="24"/>
              </w:rPr>
            </w:pPr>
            <w:r w:rsidRPr="00CB4393">
              <w:rPr>
                <w:b/>
                <w:snapToGrid w:val="0"/>
                <w:sz w:val="22"/>
                <w:szCs w:val="24"/>
              </w:rPr>
              <w:t xml:space="preserve">Neto aizdevumi (+) vai aizņēmumi (-) (B.9) pa </w:t>
            </w:r>
            <w:r w:rsidRPr="00CB4393">
              <w:rPr>
                <w:b/>
                <w:noProof/>
                <w:snapToGrid w:val="0"/>
                <w:sz w:val="22"/>
                <w:szCs w:val="24"/>
              </w:rPr>
              <w:t>apakšsektoriem</w:t>
            </w:r>
          </w:p>
        </w:tc>
      </w:tr>
      <w:tr w:rsidR="007A117B" w:rsidRPr="00CB4393" w:rsidTr="00194D03">
        <w:trPr>
          <w:gridAfter w:val="1"/>
          <w:wAfter w:w="10" w:type="dxa"/>
          <w:trHeight w:val="267"/>
          <w:jc w:val="center"/>
        </w:trPr>
        <w:tc>
          <w:tcPr>
            <w:tcW w:w="3427" w:type="dxa"/>
          </w:tcPr>
          <w:p w:rsidR="007A117B" w:rsidRPr="00CB4393" w:rsidRDefault="007A117B" w:rsidP="00623C3B">
            <w:pPr>
              <w:pStyle w:val="tabteksts"/>
              <w:rPr>
                <w:snapToGrid w:val="0"/>
                <w:sz w:val="22"/>
                <w:szCs w:val="24"/>
              </w:rPr>
            </w:pPr>
            <w:r w:rsidRPr="00CB4393">
              <w:rPr>
                <w:snapToGrid w:val="0"/>
                <w:sz w:val="22"/>
                <w:szCs w:val="24"/>
              </w:rPr>
              <w:t>Vispārējā valdība</w:t>
            </w:r>
          </w:p>
        </w:tc>
        <w:tc>
          <w:tcPr>
            <w:tcW w:w="1193" w:type="dxa"/>
            <w:tcBorders>
              <w:right w:val="single" w:sz="4" w:space="0" w:color="auto"/>
            </w:tcBorders>
            <w:vAlign w:val="center"/>
          </w:tcPr>
          <w:p w:rsidR="007A117B" w:rsidRPr="00CB4393" w:rsidRDefault="007A117B" w:rsidP="00623C3B">
            <w:pPr>
              <w:pStyle w:val="tabteksts"/>
              <w:jc w:val="center"/>
              <w:rPr>
                <w:sz w:val="22"/>
                <w:szCs w:val="24"/>
              </w:rPr>
            </w:pPr>
            <w:r w:rsidRPr="00CB4393">
              <w:rPr>
                <w:sz w:val="22"/>
                <w:szCs w:val="24"/>
              </w:rPr>
              <w:t>S.13</w:t>
            </w:r>
          </w:p>
        </w:tc>
        <w:tc>
          <w:tcPr>
            <w:tcW w:w="989"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-0,5</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-0,9</w:t>
            </w:r>
          </w:p>
        </w:tc>
        <w:tc>
          <w:tcPr>
            <w:tcW w:w="894"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-1,0</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-0,4</w:t>
            </w:r>
          </w:p>
        </w:tc>
        <w:tc>
          <w:tcPr>
            <w:tcW w:w="803" w:type="dxa"/>
            <w:tcBorders>
              <w:top w:val="single" w:sz="4" w:space="0" w:color="auto"/>
              <w:left w:val="single" w:sz="4" w:space="0" w:color="auto"/>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-0,3</w:t>
            </w:r>
          </w:p>
        </w:tc>
      </w:tr>
      <w:tr w:rsidR="007A117B" w:rsidRPr="00CB4393" w:rsidTr="00194D03">
        <w:trPr>
          <w:gridAfter w:val="1"/>
          <w:wAfter w:w="10" w:type="dxa"/>
          <w:trHeight w:val="250"/>
          <w:jc w:val="center"/>
        </w:trPr>
        <w:tc>
          <w:tcPr>
            <w:tcW w:w="3427" w:type="dxa"/>
          </w:tcPr>
          <w:p w:rsidR="007A117B" w:rsidRPr="00CB4393" w:rsidRDefault="007A117B" w:rsidP="00623C3B">
            <w:pPr>
              <w:pStyle w:val="tabteksts"/>
              <w:rPr>
                <w:snapToGrid w:val="0"/>
                <w:sz w:val="22"/>
                <w:szCs w:val="24"/>
              </w:rPr>
            </w:pPr>
            <w:r w:rsidRPr="00CB4393">
              <w:rPr>
                <w:snapToGrid w:val="0"/>
                <w:sz w:val="22"/>
                <w:szCs w:val="24"/>
              </w:rPr>
              <w:t>Centrālā valdība</w:t>
            </w:r>
          </w:p>
        </w:tc>
        <w:tc>
          <w:tcPr>
            <w:tcW w:w="1193" w:type="dxa"/>
            <w:tcBorders>
              <w:right w:val="single" w:sz="4" w:space="0" w:color="auto"/>
            </w:tcBorders>
            <w:vAlign w:val="center"/>
          </w:tcPr>
          <w:p w:rsidR="007A117B" w:rsidRPr="00CB4393" w:rsidRDefault="007A117B" w:rsidP="00623C3B">
            <w:pPr>
              <w:pStyle w:val="tabteksts"/>
              <w:jc w:val="center"/>
              <w:rPr>
                <w:sz w:val="22"/>
                <w:szCs w:val="24"/>
              </w:rPr>
            </w:pPr>
            <w:r w:rsidRPr="00CB4393">
              <w:rPr>
                <w:sz w:val="22"/>
                <w:szCs w:val="24"/>
              </w:rPr>
              <w:t>S.1311</w:t>
            </w:r>
          </w:p>
        </w:tc>
        <w:tc>
          <w:tcPr>
            <w:tcW w:w="989"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-0,6</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-1,3</w:t>
            </w:r>
          </w:p>
        </w:tc>
        <w:tc>
          <w:tcPr>
            <w:tcW w:w="894"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-1,1</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-0,5</w:t>
            </w:r>
          </w:p>
        </w:tc>
        <w:tc>
          <w:tcPr>
            <w:tcW w:w="803" w:type="dxa"/>
            <w:tcBorders>
              <w:top w:val="single" w:sz="4" w:space="0" w:color="auto"/>
              <w:left w:val="single" w:sz="4" w:space="0" w:color="auto"/>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-0,3</w:t>
            </w:r>
          </w:p>
        </w:tc>
      </w:tr>
      <w:tr w:rsidR="007A117B" w:rsidRPr="00CB4393" w:rsidTr="00194D03">
        <w:trPr>
          <w:gridAfter w:val="1"/>
          <w:wAfter w:w="10" w:type="dxa"/>
          <w:trHeight w:val="267"/>
          <w:jc w:val="center"/>
        </w:trPr>
        <w:tc>
          <w:tcPr>
            <w:tcW w:w="3427" w:type="dxa"/>
          </w:tcPr>
          <w:p w:rsidR="007A117B" w:rsidRPr="00CB4393" w:rsidRDefault="007A117B" w:rsidP="00623C3B">
            <w:pPr>
              <w:pStyle w:val="tabteksts"/>
              <w:rPr>
                <w:snapToGrid w:val="0"/>
                <w:sz w:val="22"/>
                <w:szCs w:val="24"/>
              </w:rPr>
            </w:pPr>
            <w:r w:rsidRPr="00CB4393">
              <w:rPr>
                <w:snapToGrid w:val="0"/>
                <w:sz w:val="22"/>
                <w:szCs w:val="24"/>
              </w:rPr>
              <w:t>Vietējā valdība</w:t>
            </w:r>
          </w:p>
        </w:tc>
        <w:tc>
          <w:tcPr>
            <w:tcW w:w="1193" w:type="dxa"/>
            <w:tcBorders>
              <w:right w:val="single" w:sz="4" w:space="0" w:color="auto"/>
            </w:tcBorders>
            <w:vAlign w:val="center"/>
          </w:tcPr>
          <w:p w:rsidR="007A117B" w:rsidRPr="00CB4393" w:rsidRDefault="007A117B" w:rsidP="00623C3B">
            <w:pPr>
              <w:pStyle w:val="tabteksts"/>
              <w:jc w:val="center"/>
              <w:rPr>
                <w:sz w:val="22"/>
                <w:szCs w:val="24"/>
              </w:rPr>
            </w:pPr>
            <w:r w:rsidRPr="00CB4393">
              <w:rPr>
                <w:sz w:val="22"/>
                <w:szCs w:val="24"/>
              </w:rPr>
              <w:t>S.1313</w:t>
            </w:r>
          </w:p>
        </w:tc>
        <w:tc>
          <w:tcPr>
            <w:tcW w:w="989"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-0,2</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-0,1</w:t>
            </w:r>
          </w:p>
        </w:tc>
        <w:tc>
          <w:tcPr>
            <w:tcW w:w="894"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-0,1</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-0,1</w:t>
            </w:r>
          </w:p>
        </w:tc>
        <w:tc>
          <w:tcPr>
            <w:tcW w:w="803" w:type="dxa"/>
            <w:tcBorders>
              <w:top w:val="single" w:sz="4" w:space="0" w:color="auto"/>
              <w:left w:val="single" w:sz="4" w:space="0" w:color="auto"/>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0,0</w:t>
            </w:r>
          </w:p>
        </w:tc>
      </w:tr>
      <w:tr w:rsidR="007A117B" w:rsidRPr="00CB4393" w:rsidTr="00194D03">
        <w:trPr>
          <w:gridAfter w:val="1"/>
          <w:wAfter w:w="10" w:type="dxa"/>
          <w:trHeight w:val="250"/>
          <w:jc w:val="center"/>
        </w:trPr>
        <w:tc>
          <w:tcPr>
            <w:tcW w:w="3427" w:type="dxa"/>
          </w:tcPr>
          <w:p w:rsidR="007A117B" w:rsidRPr="00CB4393" w:rsidRDefault="007A117B" w:rsidP="00623C3B">
            <w:pPr>
              <w:pStyle w:val="tabteksts"/>
              <w:rPr>
                <w:snapToGrid w:val="0"/>
                <w:sz w:val="22"/>
                <w:szCs w:val="24"/>
              </w:rPr>
            </w:pPr>
            <w:r w:rsidRPr="00CB4393">
              <w:rPr>
                <w:snapToGrid w:val="0"/>
                <w:sz w:val="22"/>
                <w:szCs w:val="24"/>
              </w:rPr>
              <w:t>Sociālās nodrošināšanas fondi</w:t>
            </w:r>
          </w:p>
        </w:tc>
        <w:tc>
          <w:tcPr>
            <w:tcW w:w="1193" w:type="dxa"/>
            <w:tcBorders>
              <w:right w:val="single" w:sz="4" w:space="0" w:color="auto"/>
            </w:tcBorders>
            <w:vAlign w:val="center"/>
          </w:tcPr>
          <w:p w:rsidR="007A117B" w:rsidRPr="00CB4393" w:rsidRDefault="007A117B" w:rsidP="00623C3B">
            <w:pPr>
              <w:pStyle w:val="tabteksts"/>
              <w:jc w:val="center"/>
              <w:rPr>
                <w:sz w:val="22"/>
                <w:szCs w:val="24"/>
              </w:rPr>
            </w:pPr>
            <w:r w:rsidRPr="00CB4393">
              <w:rPr>
                <w:sz w:val="22"/>
                <w:szCs w:val="24"/>
              </w:rPr>
              <w:t>S.1314</w:t>
            </w:r>
          </w:p>
        </w:tc>
        <w:tc>
          <w:tcPr>
            <w:tcW w:w="989"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0,3</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0,5</w:t>
            </w:r>
          </w:p>
        </w:tc>
        <w:tc>
          <w:tcPr>
            <w:tcW w:w="894"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0,3</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0,1</w:t>
            </w:r>
          </w:p>
        </w:tc>
        <w:tc>
          <w:tcPr>
            <w:tcW w:w="803" w:type="dxa"/>
            <w:tcBorders>
              <w:top w:val="single" w:sz="4" w:space="0" w:color="auto"/>
              <w:left w:val="single" w:sz="4" w:space="0" w:color="auto"/>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0,1</w:t>
            </w:r>
          </w:p>
        </w:tc>
      </w:tr>
      <w:tr w:rsidR="007A117B" w:rsidRPr="00CB4393" w:rsidTr="00194D03">
        <w:trPr>
          <w:trHeight w:val="267"/>
          <w:jc w:val="center"/>
        </w:trPr>
        <w:tc>
          <w:tcPr>
            <w:tcW w:w="9106" w:type="dxa"/>
            <w:gridSpan w:val="8"/>
            <w:shd w:val="clear" w:color="auto" w:fill="auto"/>
            <w:vAlign w:val="center"/>
          </w:tcPr>
          <w:p w:rsidR="007A117B" w:rsidRPr="00CB4393" w:rsidRDefault="007A117B" w:rsidP="00623C3B">
            <w:pPr>
              <w:ind w:firstLine="720"/>
              <w:jc w:val="center"/>
              <w:rPr>
                <w:b/>
                <w:snapToGrid w:val="0"/>
                <w:sz w:val="22"/>
                <w:szCs w:val="24"/>
              </w:rPr>
            </w:pPr>
            <w:r w:rsidRPr="00CB4393">
              <w:rPr>
                <w:b/>
                <w:snapToGrid w:val="0"/>
                <w:sz w:val="22"/>
                <w:szCs w:val="24"/>
              </w:rPr>
              <w:t>Vispārējā valdība (S.13)</w:t>
            </w:r>
          </w:p>
        </w:tc>
      </w:tr>
      <w:tr w:rsidR="007A117B" w:rsidRPr="00CB4393" w:rsidTr="00194D03">
        <w:trPr>
          <w:gridAfter w:val="1"/>
          <w:wAfter w:w="10" w:type="dxa"/>
          <w:trHeight w:val="250"/>
          <w:jc w:val="center"/>
        </w:trPr>
        <w:tc>
          <w:tcPr>
            <w:tcW w:w="3427" w:type="dxa"/>
          </w:tcPr>
          <w:p w:rsidR="007A117B" w:rsidRPr="00CB4393" w:rsidRDefault="007A117B" w:rsidP="00623C3B">
            <w:pPr>
              <w:pStyle w:val="tabteksts"/>
              <w:rPr>
                <w:snapToGrid w:val="0"/>
                <w:sz w:val="22"/>
                <w:szCs w:val="24"/>
              </w:rPr>
            </w:pPr>
            <w:r w:rsidRPr="00CB4393">
              <w:rPr>
                <w:snapToGrid w:val="0"/>
                <w:sz w:val="22"/>
                <w:szCs w:val="24"/>
              </w:rPr>
              <w:t>Kopējie ieņēmumi</w:t>
            </w:r>
          </w:p>
        </w:tc>
        <w:tc>
          <w:tcPr>
            <w:tcW w:w="1193" w:type="dxa"/>
            <w:shd w:val="clear" w:color="auto" w:fill="auto"/>
            <w:vAlign w:val="center"/>
          </w:tcPr>
          <w:p w:rsidR="007A117B" w:rsidRPr="00CB4393" w:rsidRDefault="007A117B" w:rsidP="00623C3B">
            <w:pPr>
              <w:pStyle w:val="tabteksts"/>
              <w:jc w:val="center"/>
              <w:rPr>
                <w:sz w:val="22"/>
                <w:szCs w:val="24"/>
              </w:rPr>
            </w:pPr>
            <w:r w:rsidRPr="00CB4393">
              <w:rPr>
                <w:sz w:val="22"/>
                <w:szCs w:val="24"/>
              </w:rPr>
              <w:t>TR</w:t>
            </w:r>
          </w:p>
        </w:tc>
        <w:tc>
          <w:tcPr>
            <w:tcW w:w="989"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37,1</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36,8</w:t>
            </w:r>
          </w:p>
        </w:tc>
        <w:tc>
          <w:tcPr>
            <w:tcW w:w="894"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36,1</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36,4</w:t>
            </w:r>
          </w:p>
        </w:tc>
        <w:tc>
          <w:tcPr>
            <w:tcW w:w="803" w:type="dxa"/>
            <w:tcBorders>
              <w:top w:val="single" w:sz="4" w:space="0" w:color="auto"/>
              <w:left w:val="single" w:sz="4" w:space="0" w:color="auto"/>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35,3</w:t>
            </w:r>
          </w:p>
        </w:tc>
      </w:tr>
      <w:tr w:rsidR="007A117B" w:rsidRPr="00CB4393" w:rsidTr="00194D03">
        <w:trPr>
          <w:gridAfter w:val="1"/>
          <w:wAfter w:w="10" w:type="dxa"/>
          <w:trHeight w:val="165"/>
          <w:jc w:val="center"/>
        </w:trPr>
        <w:tc>
          <w:tcPr>
            <w:tcW w:w="3427" w:type="dxa"/>
          </w:tcPr>
          <w:p w:rsidR="007A117B" w:rsidRPr="00CB4393" w:rsidRDefault="007A117B" w:rsidP="00623C3B">
            <w:pPr>
              <w:pStyle w:val="tabteksts"/>
              <w:rPr>
                <w:snapToGrid w:val="0"/>
                <w:sz w:val="22"/>
                <w:szCs w:val="24"/>
              </w:rPr>
            </w:pPr>
            <w:r w:rsidRPr="00CB4393">
              <w:rPr>
                <w:snapToGrid w:val="0"/>
                <w:sz w:val="22"/>
                <w:szCs w:val="24"/>
              </w:rPr>
              <w:t>Kopējie izdevumi</w:t>
            </w:r>
          </w:p>
        </w:tc>
        <w:tc>
          <w:tcPr>
            <w:tcW w:w="1193" w:type="dxa"/>
            <w:shd w:val="clear" w:color="auto" w:fill="auto"/>
            <w:vAlign w:val="center"/>
          </w:tcPr>
          <w:p w:rsidR="007A117B" w:rsidRPr="00CB4393" w:rsidRDefault="007A117B" w:rsidP="00623C3B">
            <w:pPr>
              <w:pStyle w:val="tabteksts"/>
              <w:jc w:val="center"/>
              <w:rPr>
                <w:sz w:val="22"/>
                <w:szCs w:val="24"/>
              </w:rPr>
            </w:pPr>
            <w:r w:rsidRPr="00CB4393">
              <w:rPr>
                <w:sz w:val="22"/>
                <w:szCs w:val="24"/>
              </w:rPr>
              <w:t>TE</w:t>
            </w:r>
          </w:p>
        </w:tc>
        <w:tc>
          <w:tcPr>
            <w:tcW w:w="989"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37,6</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37,8</w:t>
            </w:r>
          </w:p>
        </w:tc>
        <w:tc>
          <w:tcPr>
            <w:tcW w:w="894"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37,1</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36,9</w:t>
            </w:r>
          </w:p>
        </w:tc>
        <w:tc>
          <w:tcPr>
            <w:tcW w:w="803" w:type="dxa"/>
            <w:tcBorders>
              <w:top w:val="single" w:sz="4" w:space="0" w:color="auto"/>
              <w:left w:val="single" w:sz="4" w:space="0" w:color="auto"/>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35,6</w:t>
            </w:r>
          </w:p>
        </w:tc>
      </w:tr>
      <w:tr w:rsidR="007A117B" w:rsidRPr="00CB4393" w:rsidTr="00194D03">
        <w:trPr>
          <w:gridAfter w:val="1"/>
          <w:wAfter w:w="10" w:type="dxa"/>
          <w:trHeight w:val="250"/>
          <w:jc w:val="center"/>
        </w:trPr>
        <w:tc>
          <w:tcPr>
            <w:tcW w:w="3427" w:type="dxa"/>
          </w:tcPr>
          <w:p w:rsidR="007A117B" w:rsidRPr="00CB4393" w:rsidRDefault="007A117B" w:rsidP="00623C3B">
            <w:pPr>
              <w:pStyle w:val="tabteksts"/>
              <w:rPr>
                <w:snapToGrid w:val="0"/>
                <w:sz w:val="22"/>
                <w:szCs w:val="24"/>
              </w:rPr>
            </w:pPr>
            <w:r w:rsidRPr="00CB4393">
              <w:rPr>
                <w:snapToGrid w:val="0"/>
                <w:sz w:val="22"/>
                <w:szCs w:val="24"/>
              </w:rPr>
              <w:t>Procentu izdevumi</w:t>
            </w:r>
          </w:p>
        </w:tc>
        <w:tc>
          <w:tcPr>
            <w:tcW w:w="1193" w:type="dxa"/>
            <w:vAlign w:val="center"/>
          </w:tcPr>
          <w:p w:rsidR="007A117B" w:rsidRPr="00CB4393" w:rsidRDefault="007A117B" w:rsidP="00623C3B">
            <w:pPr>
              <w:pStyle w:val="tabteksts"/>
              <w:jc w:val="center"/>
              <w:rPr>
                <w:sz w:val="22"/>
                <w:szCs w:val="24"/>
              </w:rPr>
            </w:pPr>
            <w:r w:rsidRPr="00CB4393">
              <w:rPr>
                <w:sz w:val="22"/>
                <w:szCs w:val="24"/>
              </w:rPr>
              <w:t>D.41</w:t>
            </w:r>
          </w:p>
        </w:tc>
        <w:tc>
          <w:tcPr>
            <w:tcW w:w="989"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1,0</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0,8</w:t>
            </w:r>
          </w:p>
        </w:tc>
        <w:tc>
          <w:tcPr>
            <w:tcW w:w="894"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0,9</w:t>
            </w:r>
          </w:p>
        </w:tc>
        <w:tc>
          <w:tcPr>
            <w:tcW w:w="895" w:type="dxa"/>
            <w:tcBorders>
              <w:top w:val="single" w:sz="4" w:space="0" w:color="auto"/>
              <w:left w:val="nil"/>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0,9</w:t>
            </w:r>
          </w:p>
        </w:tc>
        <w:tc>
          <w:tcPr>
            <w:tcW w:w="803" w:type="dxa"/>
            <w:tcBorders>
              <w:top w:val="single" w:sz="4" w:space="0" w:color="auto"/>
              <w:left w:val="single" w:sz="4" w:space="0" w:color="auto"/>
              <w:bottom w:val="single" w:sz="4" w:space="0" w:color="auto"/>
              <w:right w:val="single" w:sz="4" w:space="0" w:color="auto"/>
            </w:tcBorders>
            <w:vAlign w:val="center"/>
          </w:tcPr>
          <w:p w:rsidR="007A117B" w:rsidRPr="00CB4393" w:rsidRDefault="007A117B" w:rsidP="00623C3B">
            <w:pPr>
              <w:pStyle w:val="tabteksts"/>
              <w:jc w:val="center"/>
              <w:rPr>
                <w:snapToGrid w:val="0"/>
                <w:sz w:val="22"/>
                <w:szCs w:val="24"/>
              </w:rPr>
            </w:pPr>
            <w:r w:rsidRPr="00CB4393">
              <w:rPr>
                <w:snapToGrid w:val="0"/>
                <w:sz w:val="22"/>
                <w:szCs w:val="24"/>
              </w:rPr>
              <w:t>0,8</w:t>
            </w:r>
          </w:p>
        </w:tc>
      </w:tr>
      <w:tr w:rsidR="007A117B" w:rsidRPr="00CB4393" w:rsidTr="00194D03">
        <w:trPr>
          <w:trHeight w:val="267"/>
          <w:jc w:val="center"/>
        </w:trPr>
        <w:tc>
          <w:tcPr>
            <w:tcW w:w="9106" w:type="dxa"/>
            <w:gridSpan w:val="8"/>
            <w:vAlign w:val="center"/>
          </w:tcPr>
          <w:p w:rsidR="007A117B" w:rsidRPr="00CB4393" w:rsidRDefault="007A117B" w:rsidP="00623C3B">
            <w:pPr>
              <w:ind w:firstLine="720"/>
              <w:jc w:val="center"/>
              <w:rPr>
                <w:b/>
                <w:snapToGrid w:val="0"/>
                <w:sz w:val="22"/>
                <w:szCs w:val="24"/>
              </w:rPr>
            </w:pPr>
            <w:r w:rsidRPr="00CB4393">
              <w:rPr>
                <w:b/>
                <w:snapToGrid w:val="0"/>
                <w:sz w:val="22"/>
                <w:szCs w:val="24"/>
              </w:rPr>
              <w:t>Cikliskā attīstība</w:t>
            </w:r>
          </w:p>
        </w:tc>
      </w:tr>
      <w:tr w:rsidR="007A117B" w:rsidRPr="00CB4393" w:rsidTr="00194D03">
        <w:trPr>
          <w:gridAfter w:val="1"/>
          <w:wAfter w:w="10" w:type="dxa"/>
          <w:trHeight w:val="250"/>
          <w:jc w:val="center"/>
        </w:trPr>
        <w:tc>
          <w:tcPr>
            <w:tcW w:w="3427" w:type="dxa"/>
            <w:shd w:val="clear" w:color="auto" w:fill="auto"/>
          </w:tcPr>
          <w:p w:rsidR="007A117B" w:rsidRPr="00CB4393" w:rsidRDefault="007A117B" w:rsidP="00623C3B">
            <w:pPr>
              <w:pStyle w:val="tabteksts"/>
              <w:rPr>
                <w:snapToGrid w:val="0"/>
                <w:sz w:val="22"/>
                <w:szCs w:val="24"/>
              </w:rPr>
            </w:pPr>
            <w:r w:rsidRPr="00CB4393">
              <w:rPr>
                <w:snapToGrid w:val="0"/>
                <w:sz w:val="22"/>
                <w:szCs w:val="24"/>
              </w:rPr>
              <w:t>Budžeta bilances cikliskā komponente</w:t>
            </w:r>
          </w:p>
        </w:tc>
        <w:tc>
          <w:tcPr>
            <w:tcW w:w="1193" w:type="dxa"/>
            <w:tcBorders>
              <w:right w:val="single" w:sz="4" w:space="0" w:color="auto"/>
            </w:tcBorders>
            <w:shd w:val="clear" w:color="auto" w:fill="auto"/>
            <w:vAlign w:val="center"/>
          </w:tcPr>
          <w:p w:rsidR="007A117B" w:rsidRPr="00CB4393" w:rsidRDefault="007A117B" w:rsidP="00623C3B">
            <w:pPr>
              <w:pStyle w:val="tabteksts"/>
              <w:jc w:val="center"/>
              <w:rPr>
                <w:sz w:val="22"/>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0,2</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0,4</w:t>
            </w:r>
          </w:p>
        </w:tc>
        <w:tc>
          <w:tcPr>
            <w:tcW w:w="894"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0,4</w:t>
            </w:r>
          </w:p>
        </w:tc>
        <w:tc>
          <w:tcPr>
            <w:tcW w:w="895"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0,1</w:t>
            </w:r>
          </w:p>
        </w:tc>
      </w:tr>
      <w:tr w:rsidR="007A117B" w:rsidRPr="00CB4393" w:rsidTr="00194D03">
        <w:trPr>
          <w:gridAfter w:val="1"/>
          <w:wAfter w:w="10" w:type="dxa"/>
          <w:trHeight w:val="165"/>
          <w:jc w:val="center"/>
        </w:trPr>
        <w:tc>
          <w:tcPr>
            <w:tcW w:w="3427" w:type="dxa"/>
            <w:shd w:val="clear" w:color="auto" w:fill="auto"/>
          </w:tcPr>
          <w:p w:rsidR="007A117B" w:rsidRPr="00CB4393" w:rsidRDefault="007A117B" w:rsidP="00623C3B">
            <w:pPr>
              <w:pStyle w:val="tabteksts"/>
              <w:rPr>
                <w:snapToGrid w:val="0"/>
                <w:sz w:val="22"/>
                <w:szCs w:val="24"/>
              </w:rPr>
            </w:pPr>
            <w:r w:rsidRPr="00CB4393">
              <w:rPr>
                <w:snapToGrid w:val="0"/>
                <w:sz w:val="22"/>
                <w:szCs w:val="24"/>
              </w:rPr>
              <w:t>Strukturālā bilance</w:t>
            </w:r>
          </w:p>
        </w:tc>
        <w:tc>
          <w:tcPr>
            <w:tcW w:w="1193" w:type="dxa"/>
            <w:tcBorders>
              <w:right w:val="single" w:sz="4" w:space="0" w:color="auto"/>
            </w:tcBorders>
            <w:shd w:val="clear" w:color="auto" w:fill="auto"/>
            <w:vAlign w:val="center"/>
          </w:tcPr>
          <w:p w:rsidR="007A117B" w:rsidRPr="00CB4393" w:rsidRDefault="007A117B" w:rsidP="00623C3B">
            <w:pPr>
              <w:pStyle w:val="tabteksts"/>
              <w:jc w:val="center"/>
              <w:rPr>
                <w:sz w:val="22"/>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-0,7</w:t>
            </w:r>
          </w:p>
        </w:tc>
        <w:tc>
          <w:tcPr>
            <w:tcW w:w="895"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194D03">
            <w:pPr>
              <w:pStyle w:val="tabteksts"/>
              <w:jc w:val="center"/>
              <w:rPr>
                <w:snapToGrid w:val="0"/>
                <w:sz w:val="22"/>
                <w:szCs w:val="24"/>
              </w:rPr>
            </w:pPr>
            <w:r w:rsidRPr="00CB4393">
              <w:rPr>
                <w:snapToGrid w:val="0"/>
                <w:sz w:val="22"/>
                <w:szCs w:val="24"/>
              </w:rPr>
              <w:t>-1,</w:t>
            </w:r>
            <w:r w:rsidR="00194D03">
              <w:rPr>
                <w:snapToGrid w:val="0"/>
                <w:sz w:val="22"/>
                <w:szCs w:val="24"/>
              </w:rPr>
              <w:t>4</w:t>
            </w:r>
          </w:p>
        </w:tc>
        <w:tc>
          <w:tcPr>
            <w:tcW w:w="894"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w:t>
            </w:r>
            <w:r w:rsidR="00F14E08" w:rsidRPr="00CB4393">
              <w:rPr>
                <w:snapToGrid w:val="0"/>
                <w:sz w:val="22"/>
                <w:szCs w:val="24"/>
              </w:rPr>
              <w:t>0,8</w:t>
            </w:r>
          </w:p>
        </w:tc>
        <w:tc>
          <w:tcPr>
            <w:tcW w:w="895"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w:t>
            </w:r>
            <w:r w:rsidR="00F14E08" w:rsidRPr="00CB4393">
              <w:rPr>
                <w:snapToGrid w:val="0"/>
                <w:sz w:val="22"/>
                <w:szCs w:val="24"/>
              </w:rPr>
              <w:t>4</w:t>
            </w:r>
          </w:p>
        </w:tc>
        <w:tc>
          <w:tcPr>
            <w:tcW w:w="803"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194D03">
            <w:pPr>
              <w:pStyle w:val="tabteksts"/>
              <w:jc w:val="center"/>
              <w:rPr>
                <w:snapToGrid w:val="0"/>
                <w:sz w:val="22"/>
                <w:szCs w:val="24"/>
              </w:rPr>
            </w:pPr>
            <w:r w:rsidRPr="00CB4393">
              <w:rPr>
                <w:snapToGrid w:val="0"/>
                <w:sz w:val="22"/>
                <w:szCs w:val="24"/>
              </w:rPr>
              <w:t>-0,</w:t>
            </w:r>
            <w:r w:rsidR="00194D03">
              <w:rPr>
                <w:snapToGrid w:val="0"/>
                <w:sz w:val="22"/>
                <w:szCs w:val="24"/>
              </w:rPr>
              <w:t>4</w:t>
            </w:r>
          </w:p>
        </w:tc>
      </w:tr>
      <w:tr w:rsidR="007A117B" w:rsidRPr="00CB4393" w:rsidTr="00194D03">
        <w:trPr>
          <w:gridAfter w:val="1"/>
          <w:wAfter w:w="10" w:type="dxa"/>
          <w:trHeight w:val="250"/>
          <w:jc w:val="center"/>
        </w:trPr>
        <w:tc>
          <w:tcPr>
            <w:tcW w:w="3427" w:type="dxa"/>
            <w:shd w:val="clear" w:color="auto" w:fill="auto"/>
          </w:tcPr>
          <w:p w:rsidR="007A117B" w:rsidRPr="00CB4393" w:rsidRDefault="007A117B" w:rsidP="00623C3B">
            <w:pPr>
              <w:pStyle w:val="tabteksts"/>
              <w:rPr>
                <w:snapToGrid w:val="0"/>
                <w:sz w:val="22"/>
                <w:szCs w:val="24"/>
              </w:rPr>
            </w:pPr>
            <w:r w:rsidRPr="00CB4393">
              <w:rPr>
                <w:snapToGrid w:val="0"/>
                <w:sz w:val="22"/>
                <w:szCs w:val="24"/>
              </w:rPr>
              <w:t>Cikliski koriģētā primārā bilance</w:t>
            </w:r>
          </w:p>
        </w:tc>
        <w:tc>
          <w:tcPr>
            <w:tcW w:w="1193" w:type="dxa"/>
            <w:tcBorders>
              <w:right w:val="single" w:sz="4" w:space="0" w:color="auto"/>
            </w:tcBorders>
            <w:shd w:val="clear" w:color="auto" w:fill="auto"/>
            <w:vAlign w:val="center"/>
          </w:tcPr>
          <w:p w:rsidR="007A117B" w:rsidRPr="00CB4393" w:rsidRDefault="007A117B" w:rsidP="00623C3B">
            <w:pPr>
              <w:pStyle w:val="tabteksts"/>
              <w:jc w:val="center"/>
              <w:rPr>
                <w:sz w:val="22"/>
                <w:szCs w:val="24"/>
              </w:rPr>
            </w:pPr>
          </w:p>
        </w:tc>
        <w:tc>
          <w:tcPr>
            <w:tcW w:w="989" w:type="dxa"/>
            <w:tcBorders>
              <w:top w:val="single" w:sz="4" w:space="0" w:color="auto"/>
              <w:left w:val="single" w:sz="4" w:space="0" w:color="auto"/>
              <w:bottom w:val="single" w:sz="4" w:space="0" w:color="auto"/>
              <w:right w:val="nil"/>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0,3</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-0,5</w:t>
            </w:r>
          </w:p>
        </w:tc>
        <w:tc>
          <w:tcPr>
            <w:tcW w:w="894"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-0,5</w:t>
            </w:r>
          </w:p>
        </w:tc>
        <w:tc>
          <w:tcPr>
            <w:tcW w:w="895"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0,2</w:t>
            </w:r>
          </w:p>
        </w:tc>
        <w:tc>
          <w:tcPr>
            <w:tcW w:w="803" w:type="dxa"/>
            <w:tcBorders>
              <w:top w:val="single" w:sz="4" w:space="0" w:color="auto"/>
              <w:left w:val="nil"/>
              <w:bottom w:val="single" w:sz="4" w:space="0" w:color="auto"/>
              <w:right w:val="single" w:sz="4" w:space="0" w:color="auto"/>
            </w:tcBorders>
            <w:shd w:val="clear" w:color="auto" w:fill="auto"/>
            <w:vAlign w:val="center"/>
          </w:tcPr>
          <w:p w:rsidR="007A117B" w:rsidRPr="00CB4393" w:rsidRDefault="007A117B" w:rsidP="00623C3B">
            <w:pPr>
              <w:pStyle w:val="tabteksts"/>
              <w:jc w:val="center"/>
              <w:rPr>
                <w:snapToGrid w:val="0"/>
                <w:sz w:val="22"/>
                <w:szCs w:val="24"/>
              </w:rPr>
            </w:pPr>
            <w:r w:rsidRPr="00CB4393">
              <w:rPr>
                <w:snapToGrid w:val="0"/>
                <w:sz w:val="22"/>
                <w:szCs w:val="24"/>
              </w:rPr>
              <w:t>0,4</w:t>
            </w:r>
          </w:p>
        </w:tc>
      </w:tr>
    </w:tbl>
    <w:p w:rsidR="00F14E08" w:rsidRPr="00E40F95" w:rsidRDefault="00F14E08" w:rsidP="00623C3B">
      <w:pPr>
        <w:pStyle w:val="T"/>
        <w:keepNext w:val="0"/>
        <w:spacing w:after="0"/>
        <w:ind w:left="0" w:firstLine="709"/>
        <w:jc w:val="both"/>
        <w:rPr>
          <w:rFonts w:ascii="Times New Roman" w:hAnsi="Times New Roman"/>
          <w:b w:val="0"/>
          <w:color w:val="000000"/>
          <w:szCs w:val="24"/>
        </w:rPr>
      </w:pPr>
      <w:r w:rsidRPr="00F14E08">
        <w:rPr>
          <w:rFonts w:ascii="Times New Roman" w:hAnsi="Times New Roman"/>
          <w:color w:val="000000"/>
          <w:sz w:val="20"/>
          <w:szCs w:val="24"/>
        </w:rPr>
        <w:t xml:space="preserve">* </w:t>
      </w:r>
      <w:r w:rsidRPr="00F14E08">
        <w:rPr>
          <w:rFonts w:ascii="Times New Roman" w:hAnsi="Times New Roman"/>
          <w:b w:val="0"/>
          <w:color w:val="000000"/>
          <w:sz w:val="20"/>
        </w:rPr>
        <w:t xml:space="preserve">strukturālā bilance uzrādīta, tajā neiekļaujot vienreizējo pasākumu </w:t>
      </w:r>
      <w:r w:rsidR="00194D03" w:rsidRPr="00194D03">
        <w:rPr>
          <w:rFonts w:ascii="Times New Roman" w:hAnsi="Times New Roman"/>
          <w:b w:val="0"/>
          <w:color w:val="000000"/>
          <w:sz w:val="20"/>
        </w:rPr>
        <w:t>–</w:t>
      </w:r>
      <w:r w:rsidRPr="00F14E08">
        <w:rPr>
          <w:rFonts w:ascii="Times New Roman" w:hAnsi="Times New Roman"/>
          <w:b w:val="0"/>
          <w:color w:val="000000"/>
          <w:sz w:val="20"/>
        </w:rPr>
        <w:t xml:space="preserve"> nodokļu reformas izsaukto bilances īstermiņa samazinājumu.</w:t>
      </w:r>
    </w:p>
    <w:p w:rsidR="00E51D2E" w:rsidRDefault="007A117B" w:rsidP="00685E75">
      <w:pPr>
        <w:spacing w:before="120" w:after="0" w:line="240" w:lineRule="auto"/>
        <w:ind w:firstLine="720"/>
        <w:jc w:val="both"/>
        <w:rPr>
          <w:rFonts w:ascii="Times New Roman" w:hAnsi="Times New Roman" w:cs="Times New Roman"/>
          <w:sz w:val="24"/>
          <w:szCs w:val="24"/>
        </w:rPr>
      </w:pPr>
      <w:r w:rsidRPr="007A117B">
        <w:rPr>
          <w:rFonts w:ascii="Times New Roman" w:hAnsi="Times New Roman" w:cs="Times New Roman"/>
          <w:sz w:val="24"/>
          <w:szCs w:val="24"/>
        </w:rPr>
        <w:t>Tiek prognozēts, ka vidējā termiņā vispārējās valdības ieņēmumu īpatsvars IKP saglabāsies stabils – 2018.gadā tas sasniegs 36,8</w:t>
      </w:r>
      <w:r w:rsidR="009408C2">
        <w:rPr>
          <w:rFonts w:ascii="Times New Roman" w:hAnsi="Times New Roman" w:cs="Times New Roman"/>
          <w:sz w:val="24"/>
          <w:szCs w:val="24"/>
        </w:rPr>
        <w:t>% no IKP, savukārt 2019.</w:t>
      </w:r>
      <w:r w:rsidRPr="007A117B">
        <w:rPr>
          <w:rFonts w:ascii="Times New Roman" w:hAnsi="Times New Roman" w:cs="Times New Roman"/>
          <w:sz w:val="24"/>
          <w:szCs w:val="24"/>
        </w:rPr>
        <w:t>, 2020.</w:t>
      </w:r>
      <w:r w:rsidR="00207D71">
        <w:rPr>
          <w:rFonts w:ascii="Times New Roman" w:hAnsi="Times New Roman" w:cs="Times New Roman"/>
          <w:sz w:val="24"/>
          <w:szCs w:val="24"/>
        </w:rPr>
        <w:t xml:space="preserve"> </w:t>
      </w:r>
      <w:r w:rsidRPr="007A117B">
        <w:rPr>
          <w:rFonts w:ascii="Times New Roman" w:hAnsi="Times New Roman" w:cs="Times New Roman"/>
          <w:sz w:val="24"/>
          <w:szCs w:val="24"/>
        </w:rPr>
        <w:t xml:space="preserve">un 2021.gadā tas samazināsies </w:t>
      </w:r>
      <w:r w:rsidR="002666BE" w:rsidRPr="007A117B">
        <w:rPr>
          <w:rFonts w:ascii="Times New Roman" w:hAnsi="Times New Roman" w:cs="Times New Roman"/>
          <w:sz w:val="24"/>
          <w:szCs w:val="24"/>
        </w:rPr>
        <w:t xml:space="preserve">attiecīgi </w:t>
      </w:r>
      <w:r w:rsidR="009408C2">
        <w:rPr>
          <w:rFonts w:ascii="Times New Roman" w:hAnsi="Times New Roman" w:cs="Times New Roman"/>
          <w:sz w:val="24"/>
          <w:szCs w:val="24"/>
        </w:rPr>
        <w:t>līdz 36,1%, 36,4%</w:t>
      </w:r>
      <w:r w:rsidR="0049289D">
        <w:rPr>
          <w:rFonts w:ascii="Times New Roman" w:hAnsi="Times New Roman" w:cs="Times New Roman"/>
          <w:sz w:val="24"/>
          <w:szCs w:val="24"/>
        </w:rPr>
        <w:t>. Sakarā ar to, ka Latvijā vidēja termiņa budžeta ietvara likums tiek izstrādāts rudenī, pašlaik par vairākām izdev</w:t>
      </w:r>
      <w:r w:rsidR="00685E75">
        <w:rPr>
          <w:rFonts w:ascii="Times New Roman" w:hAnsi="Times New Roman" w:cs="Times New Roman"/>
          <w:sz w:val="24"/>
          <w:szCs w:val="24"/>
        </w:rPr>
        <w:t>umu un ieņēmumu pozīcijām 2021.</w:t>
      </w:r>
      <w:r w:rsidR="0049289D">
        <w:rPr>
          <w:rFonts w:ascii="Times New Roman" w:hAnsi="Times New Roman" w:cs="Times New Roman"/>
          <w:sz w:val="24"/>
          <w:szCs w:val="24"/>
        </w:rPr>
        <w:t xml:space="preserve">gadam nav pieņemti lēmumi. Saskaņā ar fiskālās prognozēšanas praksi valstī šādos gadījumos attiecīgie ieņēmumi un izdevumi </w:t>
      </w:r>
      <w:r w:rsidR="00685E75">
        <w:rPr>
          <w:rFonts w:ascii="Times New Roman" w:hAnsi="Times New Roman" w:cs="Times New Roman"/>
          <w:sz w:val="24"/>
          <w:szCs w:val="24"/>
        </w:rPr>
        <w:t>netiek plānoti, piemēram, 2021.</w:t>
      </w:r>
      <w:r w:rsidR="0049289D">
        <w:rPr>
          <w:rFonts w:ascii="Times New Roman" w:hAnsi="Times New Roman" w:cs="Times New Roman"/>
          <w:sz w:val="24"/>
          <w:szCs w:val="24"/>
        </w:rPr>
        <w:t xml:space="preserve">gadā nav ieplānoti ieņēmumi no </w:t>
      </w:r>
      <w:r w:rsidR="00207D71">
        <w:rPr>
          <w:rFonts w:ascii="Times New Roman" w:hAnsi="Times New Roman" w:cs="Times New Roman"/>
          <w:sz w:val="24"/>
          <w:szCs w:val="24"/>
        </w:rPr>
        <w:t>Latvenergo</w:t>
      </w:r>
      <w:r w:rsidR="00685E75">
        <w:rPr>
          <w:rFonts w:ascii="Times New Roman" w:hAnsi="Times New Roman" w:cs="Times New Roman"/>
          <w:sz w:val="24"/>
          <w:szCs w:val="24"/>
        </w:rPr>
        <w:t xml:space="preserve"> dividendēm. Tāpēc rudenī 2021.</w:t>
      </w:r>
      <w:r w:rsidR="0049289D">
        <w:rPr>
          <w:rFonts w:ascii="Times New Roman" w:hAnsi="Times New Roman" w:cs="Times New Roman"/>
          <w:sz w:val="24"/>
          <w:szCs w:val="24"/>
        </w:rPr>
        <w:t xml:space="preserve">gada ieņēmumu un izdevumu prognozes </w:t>
      </w:r>
      <w:r w:rsidR="00204EAE">
        <w:rPr>
          <w:rFonts w:ascii="Times New Roman" w:hAnsi="Times New Roman" w:cs="Times New Roman"/>
          <w:sz w:val="24"/>
          <w:szCs w:val="24"/>
        </w:rPr>
        <w:t>būtiski atšķirsies</w:t>
      </w:r>
      <w:r w:rsidR="0049289D">
        <w:rPr>
          <w:rFonts w:ascii="Times New Roman" w:hAnsi="Times New Roman" w:cs="Times New Roman"/>
          <w:sz w:val="24"/>
          <w:szCs w:val="24"/>
        </w:rPr>
        <w:t xml:space="preserve">. Līdz ar to Stabilitātes programmas pēdējā gada fiskālās prognozes </w:t>
      </w:r>
      <w:r w:rsidR="00204EAE">
        <w:rPr>
          <w:rFonts w:ascii="Times New Roman" w:hAnsi="Times New Roman" w:cs="Times New Roman"/>
          <w:sz w:val="24"/>
          <w:szCs w:val="24"/>
        </w:rPr>
        <w:t>nevar izmantot vidēja termiņa fiskālo prognožu dinamikas skaidrošanai</w:t>
      </w:r>
      <w:r w:rsidR="00C47E13">
        <w:rPr>
          <w:rFonts w:ascii="Times New Roman" w:hAnsi="Times New Roman" w:cs="Times New Roman"/>
          <w:sz w:val="24"/>
          <w:szCs w:val="24"/>
        </w:rPr>
        <w:t>.</w:t>
      </w:r>
    </w:p>
    <w:p w:rsidR="007A117B" w:rsidRPr="007A117B" w:rsidRDefault="007A117B" w:rsidP="00DB2217">
      <w:pPr>
        <w:spacing w:after="0" w:line="240" w:lineRule="auto"/>
        <w:ind w:firstLine="720"/>
        <w:jc w:val="both"/>
        <w:rPr>
          <w:rFonts w:ascii="Times New Roman" w:hAnsi="Times New Roman" w:cs="Times New Roman"/>
          <w:sz w:val="24"/>
          <w:szCs w:val="24"/>
        </w:rPr>
      </w:pPr>
      <w:r w:rsidRPr="007A117B">
        <w:rPr>
          <w:rFonts w:ascii="Times New Roman" w:hAnsi="Times New Roman" w:cs="Times New Roman"/>
          <w:sz w:val="24"/>
          <w:szCs w:val="24"/>
        </w:rPr>
        <w:t>Sagaidāms, ka vispārējās valdības izdevumi 2018.un 2019.gadā būs virs 37,1% no IKP, bet 2020.un 2021.gadā, līdzīgi kā ieņēmumi, samazināsies, ņemot vērā nelielu pieļaujamo vispārējās valdības budžeta deficīta līmeni, kas izriet no strukt</w:t>
      </w:r>
      <w:r w:rsidR="00C47E13">
        <w:rPr>
          <w:rFonts w:ascii="Times New Roman" w:hAnsi="Times New Roman" w:cs="Times New Roman"/>
          <w:sz w:val="24"/>
          <w:szCs w:val="24"/>
        </w:rPr>
        <w:t>urālās budžeta bilances mērķa.</w:t>
      </w:r>
    </w:p>
    <w:p w:rsidR="007A117B" w:rsidRPr="007A117B" w:rsidRDefault="007A117B" w:rsidP="00DB2217">
      <w:pPr>
        <w:spacing w:after="0" w:line="240" w:lineRule="auto"/>
        <w:ind w:firstLine="720"/>
        <w:jc w:val="both"/>
        <w:rPr>
          <w:rFonts w:ascii="Times New Roman" w:hAnsi="Times New Roman" w:cs="Times New Roman"/>
          <w:b/>
          <w:color w:val="000000"/>
          <w:sz w:val="24"/>
          <w:szCs w:val="24"/>
        </w:rPr>
      </w:pPr>
    </w:p>
    <w:p w:rsidR="007A117B" w:rsidRPr="007A117B" w:rsidRDefault="007A117B" w:rsidP="00F4636D">
      <w:pPr>
        <w:spacing w:after="120" w:line="240" w:lineRule="auto"/>
        <w:ind w:firstLine="720"/>
        <w:jc w:val="both"/>
        <w:rPr>
          <w:rFonts w:ascii="Times New Roman" w:hAnsi="Times New Roman" w:cs="Times New Roman"/>
          <w:b/>
          <w:color w:val="000000"/>
          <w:sz w:val="24"/>
          <w:szCs w:val="24"/>
        </w:rPr>
      </w:pPr>
      <w:r w:rsidRPr="007A117B">
        <w:rPr>
          <w:rFonts w:ascii="Times New Roman" w:hAnsi="Times New Roman" w:cs="Times New Roman"/>
          <w:b/>
          <w:color w:val="000000"/>
          <w:sz w:val="24"/>
          <w:szCs w:val="24"/>
        </w:rPr>
        <w:t>Centrālās valdības budžetā:</w:t>
      </w:r>
    </w:p>
    <w:p w:rsidR="007A117B" w:rsidRPr="007A117B" w:rsidRDefault="007A117B" w:rsidP="00DB2217">
      <w:pPr>
        <w:pStyle w:val="ListParagraph"/>
        <w:numPr>
          <w:ilvl w:val="0"/>
          <w:numId w:val="25"/>
        </w:numPr>
        <w:spacing w:after="0" w:line="240" w:lineRule="auto"/>
        <w:ind w:left="1134" w:hanging="425"/>
        <w:jc w:val="both"/>
        <w:rPr>
          <w:rFonts w:ascii="Times New Roman" w:hAnsi="Times New Roman" w:cs="Times New Roman"/>
          <w:strike/>
          <w:color w:val="000000"/>
          <w:sz w:val="24"/>
          <w:szCs w:val="24"/>
        </w:rPr>
      </w:pPr>
      <w:r w:rsidRPr="007A117B">
        <w:rPr>
          <w:rFonts w:ascii="Times New Roman" w:hAnsi="Times New Roman" w:cs="Times New Roman"/>
          <w:color w:val="000000"/>
          <w:sz w:val="24"/>
          <w:szCs w:val="24"/>
        </w:rPr>
        <w:t>2018.gadā centrālās valdības budžetā sagaidāms deficīts 1,3% apmērā no IKP, kas ir tādā pašā līmenī, kā tika noteik</w:t>
      </w:r>
      <w:r w:rsidR="00207D71">
        <w:rPr>
          <w:rFonts w:ascii="Times New Roman" w:hAnsi="Times New Roman" w:cs="Times New Roman"/>
          <w:color w:val="000000"/>
          <w:sz w:val="24"/>
          <w:szCs w:val="24"/>
        </w:rPr>
        <w:t>t</w:t>
      </w:r>
      <w:r w:rsidRPr="007A117B">
        <w:rPr>
          <w:rFonts w:ascii="Times New Roman" w:hAnsi="Times New Roman" w:cs="Times New Roman"/>
          <w:color w:val="000000"/>
          <w:sz w:val="24"/>
          <w:szCs w:val="24"/>
        </w:rPr>
        <w:t xml:space="preserve">s valsts budžeta likumā. Salīdzinot ar 2017.gada novērtējumu, centrālās valdības budžeta ieņēmumus nomināli palielinās ražošanas un importa nodokļi, kur tiek plānoti lielāki ieņēmumi no PVN, akcīzes nodokļa, kā arī tiek iekļauti </w:t>
      </w:r>
      <w:r w:rsidR="00DB2217">
        <w:rPr>
          <w:rFonts w:ascii="Times New Roman" w:hAnsi="Times New Roman" w:cs="Times New Roman"/>
          <w:color w:val="000000"/>
          <w:sz w:val="24"/>
          <w:szCs w:val="24"/>
        </w:rPr>
        <w:t>OIK</w:t>
      </w:r>
      <w:r w:rsidRPr="007A117B">
        <w:rPr>
          <w:rFonts w:ascii="Times New Roman" w:hAnsi="Times New Roman" w:cs="Times New Roman"/>
          <w:color w:val="000000"/>
          <w:sz w:val="24"/>
          <w:szCs w:val="24"/>
        </w:rPr>
        <w:t xml:space="preserve"> mājsaimniecību maksājumi (kas pēc ESA 2010 ir klasificējami kā vispārējās valdības budžeta ražošanas un importa nodokļu ieņēmumi). Ieņēmumi no ienākumiem un kapitāla samazināsies, ņemot vērā nodokļu reformas pasākumus attiecība uz </w:t>
      </w:r>
      <w:r w:rsidR="00DB2217">
        <w:rPr>
          <w:rFonts w:ascii="Times New Roman" w:hAnsi="Times New Roman" w:cs="Times New Roman"/>
          <w:color w:val="000000"/>
          <w:sz w:val="24"/>
          <w:szCs w:val="24"/>
        </w:rPr>
        <w:t>UIN</w:t>
      </w:r>
      <w:r w:rsidRPr="007A117B">
        <w:rPr>
          <w:rFonts w:ascii="Times New Roman" w:hAnsi="Times New Roman" w:cs="Times New Roman"/>
          <w:color w:val="000000"/>
          <w:sz w:val="24"/>
          <w:szCs w:val="24"/>
        </w:rPr>
        <w:t xml:space="preserve">, t.sk. netiks piemērots UIN nesadalītai peļņai. Savukārt kapitāla un īpašuma nodokļi saglabāsies 2017.gada līmenī. </w:t>
      </w:r>
    </w:p>
    <w:p w:rsidR="007A117B" w:rsidRPr="007A117B" w:rsidRDefault="007A117B" w:rsidP="00DB2217">
      <w:pPr>
        <w:pStyle w:val="ListParagraph"/>
        <w:spacing w:after="0" w:line="240" w:lineRule="auto"/>
        <w:ind w:left="1134"/>
        <w:jc w:val="both"/>
        <w:rPr>
          <w:rFonts w:ascii="Times New Roman" w:hAnsi="Times New Roman" w:cs="Times New Roman"/>
          <w:strike/>
          <w:color w:val="000000"/>
          <w:sz w:val="24"/>
          <w:szCs w:val="24"/>
        </w:rPr>
      </w:pPr>
      <w:r w:rsidRPr="007A117B">
        <w:rPr>
          <w:rFonts w:ascii="Times New Roman" w:hAnsi="Times New Roman" w:cs="Times New Roman"/>
          <w:color w:val="000000"/>
          <w:sz w:val="24"/>
          <w:szCs w:val="24"/>
        </w:rPr>
        <w:t xml:space="preserve">Būtiskās izmaiņas izdevumos, salīdzinot ar 2017. gada novērtējumu ir saistītas ar pieaugošajiem izdevumiem darbinieku atalgojumam, ko pamatā ietekmē pieaugošā vidējā darba samaksa, </w:t>
      </w:r>
      <w:r w:rsidR="00BD27A6">
        <w:rPr>
          <w:rFonts w:ascii="Times New Roman" w:hAnsi="Times New Roman" w:cs="Times New Roman"/>
          <w:color w:val="000000"/>
          <w:sz w:val="24"/>
          <w:szCs w:val="24"/>
        </w:rPr>
        <w:t>ko savukārt</w:t>
      </w:r>
      <w:r w:rsidRPr="007A117B">
        <w:rPr>
          <w:rFonts w:ascii="Times New Roman" w:hAnsi="Times New Roman" w:cs="Times New Roman"/>
          <w:color w:val="000000"/>
          <w:sz w:val="24"/>
          <w:szCs w:val="24"/>
        </w:rPr>
        <w:t xml:space="preserve"> ietekmē minimālās darba algas palielinājums ar 2018.gada 1.janvāri, kā arī, piemēram, darba algas palielinājums veselības aprūpē strādājošiem.</w:t>
      </w:r>
    </w:p>
    <w:p w:rsidR="007A117B" w:rsidRPr="007A117B" w:rsidRDefault="007A117B" w:rsidP="00DB2217">
      <w:pPr>
        <w:pStyle w:val="ListParagraph"/>
        <w:numPr>
          <w:ilvl w:val="0"/>
          <w:numId w:val="25"/>
        </w:numPr>
        <w:spacing w:after="0" w:line="240" w:lineRule="auto"/>
        <w:ind w:left="1134"/>
        <w:jc w:val="both"/>
        <w:rPr>
          <w:rFonts w:ascii="Times New Roman" w:hAnsi="Times New Roman" w:cs="Times New Roman"/>
          <w:strike/>
          <w:color w:val="000000"/>
          <w:sz w:val="24"/>
          <w:szCs w:val="24"/>
        </w:rPr>
      </w:pPr>
      <w:r w:rsidRPr="007A117B">
        <w:rPr>
          <w:rFonts w:ascii="Times New Roman" w:hAnsi="Times New Roman" w:cs="Times New Roman"/>
          <w:color w:val="000000"/>
          <w:sz w:val="24"/>
          <w:szCs w:val="24"/>
        </w:rPr>
        <w:lastRenderedPageBreak/>
        <w:t xml:space="preserve">2019.gadā centrālās valdības budžetā pie nemainīgas politikas tiek plānots deficīts 1,1% apmērā no IKP, savukārt 2020.gadā un 2021.gadā tiek plānots deficīts 0,5% un 0,3% apmērā no IKP. </w:t>
      </w:r>
      <w:r w:rsidRPr="007A117B">
        <w:rPr>
          <w:rFonts w:ascii="Times New Roman" w:hAnsi="Times New Roman" w:cs="Times New Roman"/>
          <w:color w:val="000000" w:themeColor="text1"/>
          <w:sz w:val="24"/>
          <w:szCs w:val="24"/>
        </w:rPr>
        <w:t xml:space="preserve">Vidējā termiņā nominālo pieaugumu nodrošinās ražošanas un importa nodokļi, ko pamatā noteiks PVN un akcīzes nodokļa ieņēmumu pieaugums. </w:t>
      </w:r>
    </w:p>
    <w:p w:rsidR="007A117B" w:rsidRPr="007A117B" w:rsidRDefault="007A117B" w:rsidP="00DB2217">
      <w:pPr>
        <w:pStyle w:val="ListParagraph"/>
        <w:spacing w:after="0" w:line="240" w:lineRule="auto"/>
        <w:ind w:left="1134"/>
        <w:jc w:val="both"/>
        <w:rPr>
          <w:rFonts w:ascii="Times New Roman" w:hAnsi="Times New Roman" w:cs="Times New Roman"/>
          <w:sz w:val="24"/>
          <w:szCs w:val="24"/>
        </w:rPr>
      </w:pPr>
      <w:r w:rsidRPr="007A117B">
        <w:rPr>
          <w:rFonts w:ascii="Times New Roman" w:hAnsi="Times New Roman" w:cs="Times New Roman"/>
          <w:sz w:val="24"/>
          <w:szCs w:val="24"/>
        </w:rPr>
        <w:t xml:space="preserve">Vienlaikus nodokļu ieņēmumu pieaugumu tempu turpinās ietekmēt prognozētais samazinājums ieņēmumos no īpašuma, ko galvenokārt veido saņemtie maksājumi par valsts kapitāla izmantošanu, kas skaidrojams ar to, ka uz prognožu sagatavošanu 2021.gadā nav </w:t>
      </w:r>
      <w:r w:rsidRPr="00207D71">
        <w:rPr>
          <w:rFonts w:ascii="Times New Roman" w:hAnsi="Times New Roman" w:cs="Times New Roman"/>
          <w:sz w:val="24"/>
          <w:szCs w:val="24"/>
        </w:rPr>
        <w:t>ieplānotas dividendes no AS “</w:t>
      </w:r>
      <w:r w:rsidR="00207D71" w:rsidRPr="00207D71">
        <w:rPr>
          <w:rFonts w:ascii="Times New Roman" w:hAnsi="Times New Roman" w:cs="Times New Roman"/>
          <w:sz w:val="24"/>
          <w:szCs w:val="24"/>
        </w:rPr>
        <w:t>Latvenergo</w:t>
      </w:r>
      <w:r w:rsidRPr="00207D71">
        <w:rPr>
          <w:rFonts w:ascii="Times New Roman" w:hAnsi="Times New Roman" w:cs="Times New Roman"/>
          <w:sz w:val="24"/>
          <w:szCs w:val="24"/>
        </w:rPr>
        <w:t>”.</w:t>
      </w:r>
      <w:r w:rsidRPr="007A117B">
        <w:rPr>
          <w:rFonts w:ascii="Times New Roman" w:hAnsi="Times New Roman" w:cs="Times New Roman"/>
          <w:sz w:val="24"/>
          <w:szCs w:val="24"/>
        </w:rPr>
        <w:t xml:space="preserve"> </w:t>
      </w:r>
    </w:p>
    <w:p w:rsidR="007A117B" w:rsidRPr="007A117B" w:rsidRDefault="007A117B" w:rsidP="00DB2217">
      <w:pPr>
        <w:pStyle w:val="ListParagraph"/>
        <w:spacing w:after="0" w:line="240" w:lineRule="auto"/>
        <w:ind w:left="1134"/>
        <w:jc w:val="both"/>
        <w:rPr>
          <w:rFonts w:ascii="Times New Roman" w:hAnsi="Times New Roman" w:cs="Times New Roman"/>
          <w:sz w:val="24"/>
          <w:szCs w:val="24"/>
        </w:rPr>
      </w:pPr>
      <w:r w:rsidRPr="007A117B">
        <w:rPr>
          <w:rFonts w:ascii="Times New Roman" w:hAnsi="Times New Roman" w:cs="Times New Roman"/>
          <w:sz w:val="24"/>
          <w:szCs w:val="24"/>
        </w:rPr>
        <w:t>Lielākais pieaugums izdevumos vidējā termiņā tiek plānots subsīdijās un dotācijas, kas izstrādājot budžeta likumu tiks pārdalītas gan tekošajiem</w:t>
      </w:r>
      <w:r w:rsidR="00207D71">
        <w:rPr>
          <w:rFonts w:ascii="Times New Roman" w:hAnsi="Times New Roman" w:cs="Times New Roman"/>
          <w:sz w:val="24"/>
          <w:szCs w:val="24"/>
        </w:rPr>
        <w:t>,</w:t>
      </w:r>
      <w:r w:rsidRPr="007A117B">
        <w:rPr>
          <w:rFonts w:ascii="Times New Roman" w:hAnsi="Times New Roman" w:cs="Times New Roman"/>
          <w:sz w:val="24"/>
          <w:szCs w:val="24"/>
        </w:rPr>
        <w:t xml:space="preserve"> gan kapitālajiem izdevumiem, t.sk. tiks pārdalīts veselības aprūpes sistēmas reformas ieviešanai paredzētais finansējums. Atbilstoši aktualizētajām IKP prognozēm vidējā termiņā tika attiecīgi paredzēts finansējuma pieaugums aizsardzības jomai 2019., 2020.</w:t>
      </w:r>
      <w:r w:rsidR="00207D71">
        <w:rPr>
          <w:rFonts w:ascii="Times New Roman" w:hAnsi="Times New Roman" w:cs="Times New Roman"/>
          <w:sz w:val="24"/>
          <w:szCs w:val="24"/>
        </w:rPr>
        <w:t xml:space="preserve"> </w:t>
      </w:r>
      <w:r w:rsidRPr="007A117B">
        <w:rPr>
          <w:rFonts w:ascii="Times New Roman" w:hAnsi="Times New Roman" w:cs="Times New Roman"/>
          <w:sz w:val="24"/>
          <w:szCs w:val="24"/>
        </w:rPr>
        <w:t xml:space="preserve">un 2021.gadam, nodrošinot aizsardzībai finansējuma apmēru ne mazāku kā 2% no IKP. Kā arī ar šā gada 1.janvāri valsts sociālās apdrošināšanas obligātās iemaksas 1 procentpunkta apmērā tiek novirzītas valsts pamatbudžetā veselības aprūpes finansēšanai. Tāpat tika ņemta vērā arī atvasināto publisko personu budžetu iespējamā attīstība turpmākajos gados, t.sk. Latvijas Universitātes akadēmiskā centra būvniecības projekts Torņakalnā. </w:t>
      </w:r>
    </w:p>
    <w:p w:rsidR="00BD27A6" w:rsidRPr="007A117B" w:rsidRDefault="00BD27A6" w:rsidP="00DB2217">
      <w:pPr>
        <w:pStyle w:val="ListParagraph"/>
        <w:spacing w:after="0" w:line="240" w:lineRule="auto"/>
        <w:ind w:left="1134"/>
        <w:jc w:val="both"/>
        <w:rPr>
          <w:rFonts w:ascii="Times New Roman" w:hAnsi="Times New Roman" w:cs="Times New Roman"/>
          <w:color w:val="000000"/>
          <w:sz w:val="24"/>
          <w:szCs w:val="24"/>
          <w:highlight w:val="green"/>
        </w:rPr>
      </w:pPr>
    </w:p>
    <w:p w:rsidR="007A117B" w:rsidRPr="00623C3B" w:rsidRDefault="007A117B" w:rsidP="00623C3B">
      <w:pPr>
        <w:spacing w:after="120" w:line="240" w:lineRule="auto"/>
        <w:ind w:firstLine="720"/>
        <w:jc w:val="both"/>
        <w:rPr>
          <w:rFonts w:ascii="Times New Roman" w:hAnsi="Times New Roman" w:cs="Times New Roman"/>
          <w:b/>
          <w:color w:val="000000"/>
          <w:sz w:val="24"/>
          <w:szCs w:val="24"/>
        </w:rPr>
      </w:pPr>
      <w:r w:rsidRPr="00623C3B">
        <w:rPr>
          <w:rFonts w:ascii="Times New Roman" w:hAnsi="Times New Roman" w:cs="Times New Roman"/>
          <w:b/>
          <w:color w:val="000000"/>
          <w:sz w:val="24"/>
          <w:szCs w:val="24"/>
        </w:rPr>
        <w:t xml:space="preserve">Sociālās nodrošināšanas fondos: </w:t>
      </w:r>
    </w:p>
    <w:p w:rsidR="007A117B" w:rsidRPr="007A117B" w:rsidRDefault="007A117B" w:rsidP="00DB2217">
      <w:pPr>
        <w:pStyle w:val="ListParagraph"/>
        <w:numPr>
          <w:ilvl w:val="0"/>
          <w:numId w:val="25"/>
        </w:numPr>
        <w:spacing w:after="120" w:line="240" w:lineRule="auto"/>
        <w:ind w:left="1134"/>
        <w:jc w:val="both"/>
        <w:rPr>
          <w:rFonts w:ascii="Times New Roman" w:eastAsia="Calibri" w:hAnsi="Times New Roman" w:cs="Times New Roman"/>
          <w:color w:val="000000" w:themeColor="text1"/>
          <w:sz w:val="24"/>
          <w:szCs w:val="24"/>
        </w:rPr>
      </w:pPr>
      <w:r w:rsidRPr="007A117B">
        <w:rPr>
          <w:rFonts w:ascii="Times New Roman" w:eastAsia="Calibri" w:hAnsi="Times New Roman" w:cs="Times New Roman"/>
          <w:color w:val="000000"/>
          <w:sz w:val="24"/>
          <w:szCs w:val="24"/>
        </w:rPr>
        <w:t xml:space="preserve">2018.gadā ieņēmumi tiek prognozēti </w:t>
      </w:r>
      <w:r w:rsidRPr="007A117B">
        <w:rPr>
          <w:rFonts w:ascii="Times New Roman" w:hAnsi="Times New Roman" w:cs="Times New Roman"/>
          <w:color w:val="000000"/>
          <w:sz w:val="24"/>
          <w:szCs w:val="24"/>
        </w:rPr>
        <w:t>tādā pašā</w:t>
      </w:r>
      <w:r w:rsidRPr="007A117B">
        <w:rPr>
          <w:rFonts w:ascii="Times New Roman" w:eastAsia="Calibri" w:hAnsi="Times New Roman" w:cs="Times New Roman"/>
          <w:color w:val="000000"/>
          <w:sz w:val="24"/>
          <w:szCs w:val="24"/>
        </w:rPr>
        <w:t xml:space="preserve"> līmeni kā likumā “Par valsts budžetu 2018.gadam”,</w:t>
      </w:r>
      <w:r w:rsidRPr="007A117B">
        <w:rPr>
          <w:rFonts w:ascii="Times New Roman" w:hAnsi="Times New Roman" w:cs="Times New Roman"/>
          <w:color w:val="000000"/>
          <w:sz w:val="24"/>
          <w:szCs w:val="24"/>
        </w:rPr>
        <w:t xml:space="preserve"> savukārt plānoti</w:t>
      </w:r>
      <w:r w:rsidR="00BD27A6">
        <w:rPr>
          <w:rFonts w:ascii="Times New Roman" w:hAnsi="Times New Roman" w:cs="Times New Roman"/>
          <w:color w:val="000000"/>
          <w:sz w:val="24"/>
          <w:szCs w:val="24"/>
        </w:rPr>
        <w:t>e</w:t>
      </w:r>
      <w:r w:rsidRPr="007A117B">
        <w:rPr>
          <w:rFonts w:ascii="Times New Roman" w:hAnsi="Times New Roman" w:cs="Times New Roman"/>
          <w:color w:val="000000"/>
          <w:sz w:val="24"/>
          <w:szCs w:val="24"/>
        </w:rPr>
        <w:t xml:space="preserve"> izdevumi sociālajiem pabalstiem, t.sk. vecuma pensijām samazināsies,</w:t>
      </w:r>
      <w:r w:rsidRPr="007A117B">
        <w:rPr>
          <w:rFonts w:ascii="Times New Roman" w:eastAsia="Calibri" w:hAnsi="Times New Roman" w:cs="Times New Roman"/>
          <w:color w:val="000000"/>
          <w:sz w:val="24"/>
          <w:szCs w:val="24"/>
        </w:rPr>
        <w:t xml:space="preserve"> tādējādi </w:t>
      </w:r>
      <w:r w:rsidRPr="007A117B">
        <w:rPr>
          <w:rFonts w:ascii="Times New Roman" w:hAnsi="Times New Roman" w:cs="Times New Roman"/>
          <w:color w:val="000000"/>
          <w:sz w:val="24"/>
          <w:szCs w:val="24"/>
        </w:rPr>
        <w:t>palielinot</w:t>
      </w:r>
      <w:r w:rsidRPr="007A117B">
        <w:rPr>
          <w:rFonts w:ascii="Times New Roman" w:eastAsia="Calibri" w:hAnsi="Times New Roman" w:cs="Times New Roman"/>
          <w:color w:val="000000"/>
          <w:sz w:val="24"/>
          <w:szCs w:val="24"/>
        </w:rPr>
        <w:t xml:space="preserve"> iepriekš plānoto pārpalikumu, kas </w:t>
      </w:r>
      <w:r w:rsidRPr="007A117B">
        <w:rPr>
          <w:rFonts w:ascii="Times New Roman" w:hAnsi="Times New Roman" w:cs="Times New Roman"/>
          <w:color w:val="000000"/>
          <w:sz w:val="24"/>
          <w:szCs w:val="24"/>
        </w:rPr>
        <w:t>pēc aktuālākajām prognozēm tiek plānots</w:t>
      </w:r>
      <w:r w:rsidRPr="007A117B">
        <w:rPr>
          <w:rFonts w:ascii="Times New Roman" w:eastAsia="Calibri" w:hAnsi="Times New Roman" w:cs="Times New Roman"/>
          <w:color w:val="000000"/>
          <w:sz w:val="24"/>
          <w:szCs w:val="24"/>
        </w:rPr>
        <w:t xml:space="preserve"> 0,5 % apmērā no IKP. </w:t>
      </w:r>
      <w:r w:rsidRPr="007A117B">
        <w:rPr>
          <w:rFonts w:ascii="Times New Roman" w:hAnsi="Times New Roman" w:cs="Times New Roman"/>
          <w:color w:val="000000"/>
          <w:sz w:val="24"/>
          <w:szCs w:val="24"/>
        </w:rPr>
        <w:t>Savukārt, salīdzinot ar 2017.gada novērtējumu, p</w:t>
      </w:r>
      <w:r w:rsidRPr="007A117B">
        <w:rPr>
          <w:rFonts w:ascii="Times New Roman" w:eastAsia="Calibri" w:hAnsi="Times New Roman" w:cs="Times New Roman"/>
          <w:color w:val="000000"/>
          <w:sz w:val="24"/>
          <w:szCs w:val="24"/>
        </w:rPr>
        <w:t>alielinoties minimālai un vidējai darba samaksai valstī,</w:t>
      </w:r>
      <w:r w:rsidRPr="007A117B">
        <w:rPr>
          <w:rFonts w:ascii="Times New Roman" w:hAnsi="Times New Roman" w:cs="Times New Roman"/>
          <w:sz w:val="24"/>
          <w:szCs w:val="24"/>
        </w:rPr>
        <w:t xml:space="preserve"> izdevumi sociālajiem pabalstiem turpinās palielināties</w:t>
      </w:r>
      <w:r w:rsidRPr="007A117B">
        <w:rPr>
          <w:rFonts w:ascii="Times New Roman" w:eastAsia="Calibri" w:hAnsi="Times New Roman" w:cs="Times New Roman"/>
          <w:color w:val="000000"/>
          <w:sz w:val="24"/>
          <w:szCs w:val="24"/>
        </w:rPr>
        <w:t xml:space="preserve">. Tāpat šogad stājas spēkā jaunas likumdošanas normas, kas uzlabos pabalstu saņēmēju labklājību. Piemēram, </w:t>
      </w:r>
      <w:r w:rsidRPr="007A117B">
        <w:rPr>
          <w:rFonts w:ascii="Times New Roman" w:eastAsia="Calibri" w:hAnsi="Times New Roman" w:cs="Times New Roman"/>
          <w:bCs/>
          <w:color w:val="000000"/>
          <w:sz w:val="24"/>
          <w:szCs w:val="24"/>
          <w:shd w:val="clear" w:color="auto" w:fill="FFFFFF"/>
        </w:rPr>
        <w:t>ģimenes valsts pabalstu n</w:t>
      </w:r>
      <w:r w:rsidRPr="007A117B">
        <w:rPr>
          <w:rFonts w:ascii="Times New Roman" w:eastAsia="Calibri" w:hAnsi="Times New Roman" w:cs="Times New Roman"/>
          <w:color w:val="000000"/>
          <w:sz w:val="24"/>
          <w:szCs w:val="24"/>
          <w:shd w:val="clear" w:color="auto" w:fill="FFFFFF"/>
        </w:rPr>
        <w:t>o 2018.gada 1.janvāra iz</w:t>
      </w:r>
      <w:r w:rsidRPr="007A117B">
        <w:rPr>
          <w:rFonts w:ascii="Times New Roman" w:eastAsia="Calibri" w:hAnsi="Times New Roman" w:cs="Times New Roman"/>
          <w:bCs/>
          <w:color w:val="000000"/>
          <w:sz w:val="24"/>
          <w:szCs w:val="24"/>
          <w:shd w:val="clear" w:color="auto" w:fill="FFFFFF"/>
        </w:rPr>
        <w:t>maksā līdz bērna 20 (šobrīd – līdz 19) gadu vecuma sasniegšanai</w:t>
      </w:r>
      <w:r w:rsidRPr="007A117B">
        <w:rPr>
          <w:rFonts w:ascii="Times New Roman" w:eastAsia="Calibri" w:hAnsi="Times New Roman" w:cs="Times New Roman"/>
          <w:color w:val="000000"/>
          <w:sz w:val="24"/>
          <w:szCs w:val="24"/>
          <w:shd w:val="clear" w:color="auto" w:fill="FFFFFF"/>
        </w:rPr>
        <w:t>, kamēr viņš mācās vispārējās izglītības vai profesionālās izglītības iestādē. Ar 1.martu</w:t>
      </w:r>
      <w:r w:rsidRPr="007A117B">
        <w:rPr>
          <w:rFonts w:ascii="Times New Roman" w:eastAsia="Calibri" w:hAnsi="Times New Roman" w:cs="Times New Roman"/>
          <w:color w:val="000000"/>
          <w:sz w:val="24"/>
          <w:szCs w:val="24"/>
        </w:rPr>
        <w:t xml:space="preserve"> par divu un vairāku bērnu audzināšanu no viena gada līdz 20 gadu vecumam pabalsta saņēmējam pie ģimenes valsts pabalsta tiek piešķirta piemaksa. </w:t>
      </w:r>
      <w:r w:rsidRPr="007A117B">
        <w:rPr>
          <w:rFonts w:ascii="Times New Roman" w:eastAsia="Calibri" w:hAnsi="Times New Roman" w:cs="Times New Roman"/>
          <w:color w:val="000000" w:themeColor="text1"/>
          <w:sz w:val="24"/>
          <w:szCs w:val="24"/>
        </w:rPr>
        <w:t xml:space="preserve">Par diviem bērniem – 10 </w:t>
      </w:r>
      <w:r w:rsidRPr="00207D71">
        <w:rPr>
          <w:rFonts w:ascii="Times New Roman" w:eastAsia="Calibri" w:hAnsi="Times New Roman" w:cs="Times New Roman"/>
          <w:i/>
          <w:color w:val="000000" w:themeColor="text1"/>
          <w:sz w:val="24"/>
          <w:szCs w:val="24"/>
        </w:rPr>
        <w:t>euro</w:t>
      </w:r>
      <w:r w:rsidRPr="007A117B">
        <w:rPr>
          <w:rFonts w:ascii="Times New Roman" w:eastAsia="Calibri" w:hAnsi="Times New Roman" w:cs="Times New Roman"/>
          <w:color w:val="000000" w:themeColor="text1"/>
          <w:sz w:val="24"/>
          <w:szCs w:val="24"/>
        </w:rPr>
        <w:t xml:space="preserve"> mēnesī, par trim bērniem – 66 </w:t>
      </w:r>
      <w:r w:rsidRPr="00633484">
        <w:rPr>
          <w:rFonts w:ascii="Times New Roman" w:eastAsia="Calibri" w:hAnsi="Times New Roman" w:cs="Times New Roman"/>
          <w:i/>
          <w:color w:val="000000" w:themeColor="text1"/>
          <w:sz w:val="24"/>
          <w:szCs w:val="24"/>
        </w:rPr>
        <w:t>euro</w:t>
      </w:r>
      <w:r w:rsidRPr="007A117B">
        <w:rPr>
          <w:rFonts w:ascii="Times New Roman" w:eastAsia="Calibri" w:hAnsi="Times New Roman" w:cs="Times New Roman"/>
          <w:color w:val="000000" w:themeColor="text1"/>
          <w:sz w:val="24"/>
          <w:szCs w:val="24"/>
        </w:rPr>
        <w:t xml:space="preserve"> mēnesī, bet par katru nākamo bērnu – par 50 </w:t>
      </w:r>
      <w:r w:rsidRPr="00633484">
        <w:rPr>
          <w:rFonts w:ascii="Times New Roman" w:eastAsia="Calibri" w:hAnsi="Times New Roman" w:cs="Times New Roman"/>
          <w:i/>
          <w:color w:val="000000" w:themeColor="text1"/>
          <w:sz w:val="24"/>
          <w:szCs w:val="24"/>
        </w:rPr>
        <w:t>euro</w:t>
      </w:r>
      <w:r w:rsidRPr="007A117B">
        <w:rPr>
          <w:rFonts w:ascii="Times New Roman" w:eastAsia="Calibri" w:hAnsi="Times New Roman" w:cs="Times New Roman"/>
          <w:color w:val="000000" w:themeColor="text1"/>
          <w:sz w:val="24"/>
          <w:szCs w:val="24"/>
        </w:rPr>
        <w:t xml:space="preserve"> vairāk nekā par iepriekšējo.</w:t>
      </w:r>
    </w:p>
    <w:p w:rsidR="007A117B" w:rsidRPr="007A117B" w:rsidRDefault="007A117B" w:rsidP="00DB2217">
      <w:pPr>
        <w:pStyle w:val="ListParagraph"/>
        <w:numPr>
          <w:ilvl w:val="0"/>
          <w:numId w:val="25"/>
        </w:numPr>
        <w:spacing w:after="120" w:line="240" w:lineRule="auto"/>
        <w:ind w:left="1134"/>
        <w:jc w:val="both"/>
        <w:rPr>
          <w:rFonts w:ascii="Times New Roman" w:eastAsia="Calibri" w:hAnsi="Times New Roman" w:cs="Times New Roman"/>
          <w:color w:val="000000"/>
          <w:sz w:val="24"/>
          <w:szCs w:val="24"/>
        </w:rPr>
      </w:pPr>
      <w:r w:rsidRPr="007A117B">
        <w:rPr>
          <w:rFonts w:ascii="Times New Roman" w:hAnsi="Times New Roman" w:cs="Times New Roman"/>
          <w:sz w:val="24"/>
          <w:szCs w:val="24"/>
        </w:rPr>
        <w:t>Jāatzīmē, k</w:t>
      </w:r>
      <w:r w:rsidR="00A95296">
        <w:rPr>
          <w:rFonts w:ascii="Times New Roman" w:hAnsi="Times New Roman" w:cs="Times New Roman"/>
          <w:sz w:val="24"/>
          <w:szCs w:val="24"/>
        </w:rPr>
        <w:t>a pensiju izdevumi tiek plānoti</w:t>
      </w:r>
      <w:r w:rsidRPr="007A117B">
        <w:rPr>
          <w:rFonts w:ascii="Times New Roman" w:hAnsi="Times New Roman" w:cs="Times New Roman"/>
          <w:sz w:val="24"/>
          <w:szCs w:val="24"/>
        </w:rPr>
        <w:t xml:space="preserve"> ņemot vērā aktuālākās izmaiņas likumdošanā, kas stājas spēkā šogad. Piešķirot vecuma pensiju 2018.gadā, kapitāla indekss, kuru izmantos pensijas sākuma kapitāla un periodā no 1996.gada līdz 2016.gadam</w:t>
      </w:r>
      <w:r w:rsidR="00A95296">
        <w:rPr>
          <w:rFonts w:ascii="Times New Roman" w:hAnsi="Times New Roman" w:cs="Times New Roman"/>
          <w:sz w:val="24"/>
          <w:szCs w:val="24"/>
        </w:rPr>
        <w:t>,</w:t>
      </w:r>
      <w:r w:rsidRPr="007A117B">
        <w:rPr>
          <w:rFonts w:ascii="Times New Roman" w:hAnsi="Times New Roman" w:cs="Times New Roman"/>
          <w:sz w:val="24"/>
          <w:szCs w:val="24"/>
        </w:rPr>
        <w:t xml:space="preserve"> uzkrātā p</w:t>
      </w:r>
      <w:r w:rsidR="00A95296">
        <w:rPr>
          <w:rFonts w:ascii="Times New Roman" w:hAnsi="Times New Roman" w:cs="Times New Roman"/>
          <w:sz w:val="24"/>
          <w:szCs w:val="24"/>
        </w:rPr>
        <w:t>ensijas kapitāla aktualizācijai</w:t>
      </w:r>
      <w:r w:rsidRPr="007A117B">
        <w:rPr>
          <w:rFonts w:ascii="Times New Roman" w:hAnsi="Times New Roman" w:cs="Times New Roman"/>
          <w:sz w:val="24"/>
          <w:szCs w:val="24"/>
        </w:rPr>
        <w:t xml:space="preserve"> būs 1,0786. Tāpat 2018.gadā tiks pārskatītas 2012., 2013., 2014. un 2015. gadā piešķirtās un pārrēķinātās vecuma, izdienas un apgādnieka zaudējuma pensijas, veicot piemēroto kapitāla indeksu izlīdzināšanu. Nodokļu reformas ietvaros, 2018. gadā ar </w:t>
      </w:r>
      <w:r w:rsidR="00DB2217">
        <w:rPr>
          <w:rFonts w:ascii="Times New Roman" w:hAnsi="Times New Roman" w:cs="Times New Roman"/>
          <w:sz w:val="24"/>
          <w:szCs w:val="24"/>
        </w:rPr>
        <w:t>IIN</w:t>
      </w:r>
      <w:r w:rsidRPr="007A117B">
        <w:rPr>
          <w:rFonts w:ascii="Times New Roman" w:hAnsi="Times New Roman" w:cs="Times New Roman"/>
          <w:sz w:val="24"/>
          <w:szCs w:val="24"/>
        </w:rPr>
        <w:t xml:space="preserve"> neapliekamais minimums pensijām ir 250 </w:t>
      </w:r>
      <w:r w:rsidR="009F2A3D" w:rsidRPr="00633484">
        <w:rPr>
          <w:rFonts w:ascii="Times New Roman" w:hAnsi="Times New Roman" w:cs="Times New Roman"/>
          <w:i/>
          <w:sz w:val="24"/>
          <w:szCs w:val="24"/>
        </w:rPr>
        <w:t>euro</w:t>
      </w:r>
      <w:r w:rsidRPr="007A117B">
        <w:rPr>
          <w:rFonts w:ascii="Times New Roman" w:hAnsi="Times New Roman" w:cs="Times New Roman"/>
          <w:sz w:val="24"/>
          <w:szCs w:val="24"/>
        </w:rPr>
        <w:t xml:space="preserve"> mēnesī, bet IIN likme pensijām līdz 1</w:t>
      </w:r>
      <w:r w:rsidR="00207D71">
        <w:rPr>
          <w:rFonts w:ascii="Times New Roman" w:hAnsi="Times New Roman" w:cs="Times New Roman"/>
          <w:sz w:val="24"/>
          <w:szCs w:val="24"/>
        </w:rPr>
        <w:t> </w:t>
      </w:r>
      <w:r w:rsidRPr="007A117B">
        <w:rPr>
          <w:rFonts w:ascii="Times New Roman" w:hAnsi="Times New Roman" w:cs="Times New Roman"/>
          <w:sz w:val="24"/>
          <w:szCs w:val="24"/>
        </w:rPr>
        <w:t xml:space="preserve">667 </w:t>
      </w:r>
      <w:r w:rsidR="009F2A3D" w:rsidRPr="00633484">
        <w:rPr>
          <w:rFonts w:ascii="Times New Roman" w:hAnsi="Times New Roman" w:cs="Times New Roman"/>
          <w:i/>
          <w:sz w:val="24"/>
          <w:szCs w:val="24"/>
        </w:rPr>
        <w:t>euro</w:t>
      </w:r>
      <w:r w:rsidRPr="007A117B">
        <w:rPr>
          <w:rFonts w:ascii="Times New Roman" w:hAnsi="Times New Roman" w:cs="Times New Roman"/>
          <w:sz w:val="24"/>
          <w:szCs w:val="24"/>
        </w:rPr>
        <w:t xml:space="preserve"> mēne</w:t>
      </w:r>
      <w:r w:rsidR="00A95296">
        <w:rPr>
          <w:rFonts w:ascii="Times New Roman" w:hAnsi="Times New Roman" w:cs="Times New Roman"/>
          <w:sz w:val="24"/>
          <w:szCs w:val="24"/>
        </w:rPr>
        <w:t>sī ir 20%, savukārt par to daļu</w:t>
      </w:r>
      <w:r w:rsidR="00207D71">
        <w:rPr>
          <w:rFonts w:ascii="Times New Roman" w:hAnsi="Times New Roman" w:cs="Times New Roman"/>
          <w:sz w:val="24"/>
          <w:szCs w:val="24"/>
        </w:rPr>
        <w:t>,</w:t>
      </w:r>
      <w:r w:rsidR="00A95296">
        <w:rPr>
          <w:rFonts w:ascii="Times New Roman" w:hAnsi="Times New Roman" w:cs="Times New Roman"/>
          <w:sz w:val="24"/>
          <w:szCs w:val="24"/>
        </w:rPr>
        <w:t xml:space="preserve"> kas ir virs</w:t>
      </w:r>
      <w:r w:rsidRPr="007A117B">
        <w:rPr>
          <w:rFonts w:ascii="Times New Roman" w:hAnsi="Times New Roman" w:cs="Times New Roman"/>
          <w:sz w:val="24"/>
          <w:szCs w:val="24"/>
        </w:rPr>
        <w:t xml:space="preserve"> – 23%. Ar 2018.gada 1.jūliju palielināsies piemaksas apmērs valsts pensijai par vienu apdrošināšanas stāža gadu, kas uzkrāts līdz 1995.gada 31.decembrim. Piemaksa par stāža gadu būs 1,50 </w:t>
      </w:r>
      <w:r w:rsidR="009F2A3D" w:rsidRPr="00633484">
        <w:rPr>
          <w:rFonts w:ascii="Times New Roman" w:hAnsi="Times New Roman" w:cs="Times New Roman"/>
          <w:i/>
          <w:sz w:val="24"/>
          <w:szCs w:val="24"/>
        </w:rPr>
        <w:t>euro</w:t>
      </w:r>
      <w:r w:rsidRPr="007A117B">
        <w:rPr>
          <w:rFonts w:ascii="Times New Roman" w:hAnsi="Times New Roman" w:cs="Times New Roman"/>
          <w:sz w:val="24"/>
          <w:szCs w:val="24"/>
        </w:rPr>
        <w:t xml:space="preserve">, ja līdz 1995.gada 31.decembrim bija gan sasniegts </w:t>
      </w:r>
      <w:r w:rsidRPr="007A117B">
        <w:rPr>
          <w:rFonts w:ascii="Times New Roman" w:hAnsi="Times New Roman" w:cs="Times New Roman"/>
          <w:sz w:val="24"/>
          <w:szCs w:val="24"/>
        </w:rPr>
        <w:lastRenderedPageBreak/>
        <w:t>pensijas vecums, gan piešķirta vecuma vai invaliditātes pensija. Tāpat ar 2018.gada 1.oktobri vecuma pensiju indeksācijas lielums būs atkarīgs no kopējā apdrošināšanas stāža. Ja apdrošināšanas stāžs būs līdz 29 gadiem, tad pensiju indeksēs, ņemot vērā 50% no apdrošināšanas iemaksu algu summas reālā pieauguma procentiem, ja no 30 līdz 39 gadie</w:t>
      </w:r>
      <w:r w:rsidR="00C77A46">
        <w:rPr>
          <w:rFonts w:ascii="Times New Roman" w:hAnsi="Times New Roman" w:cs="Times New Roman"/>
          <w:sz w:val="24"/>
          <w:szCs w:val="24"/>
        </w:rPr>
        <w:t>m – 60%, ja 40 un vairāk gadu –</w:t>
      </w:r>
      <w:r w:rsidRPr="007A117B">
        <w:rPr>
          <w:rFonts w:ascii="Times New Roman" w:hAnsi="Times New Roman" w:cs="Times New Roman"/>
          <w:sz w:val="24"/>
          <w:szCs w:val="24"/>
        </w:rPr>
        <w:t xml:space="preserve"> 70%. Pensiju, kura piešķirta par darbu kaitīgos un smagos vai sevišķi kaitīgos un smagos darba apstākļos un apdrošināšanas stāžs būs līdz 39 gadiem, indeksēs, ņemot vērā 60% no apdrošināšanas iemaksu algu summas reālā</w:t>
      </w:r>
      <w:r w:rsidR="00847835">
        <w:rPr>
          <w:rFonts w:ascii="Times New Roman" w:hAnsi="Times New Roman" w:cs="Times New Roman"/>
          <w:sz w:val="24"/>
          <w:szCs w:val="24"/>
        </w:rPr>
        <w:t xml:space="preserve"> pieauguma procentiem, bet, ja </w:t>
      </w:r>
      <w:r w:rsidRPr="007A117B">
        <w:rPr>
          <w:rFonts w:ascii="Times New Roman" w:hAnsi="Times New Roman" w:cs="Times New Roman"/>
          <w:sz w:val="24"/>
          <w:szCs w:val="24"/>
        </w:rPr>
        <w:t>apdrošināšanas stāžs būs 40 un vairāk gadu – 70%.</w:t>
      </w:r>
    </w:p>
    <w:p w:rsidR="007A117B" w:rsidRPr="007A117B" w:rsidRDefault="007A117B" w:rsidP="00DB2217">
      <w:pPr>
        <w:pStyle w:val="ListParagraph"/>
        <w:numPr>
          <w:ilvl w:val="0"/>
          <w:numId w:val="25"/>
        </w:numPr>
        <w:spacing w:after="0" w:line="240" w:lineRule="auto"/>
        <w:ind w:left="1134"/>
        <w:jc w:val="both"/>
        <w:rPr>
          <w:rFonts w:ascii="Times New Roman" w:eastAsia="Calibri" w:hAnsi="Times New Roman" w:cs="Times New Roman"/>
          <w:color w:val="000000"/>
          <w:sz w:val="24"/>
          <w:szCs w:val="24"/>
        </w:rPr>
      </w:pPr>
      <w:r w:rsidRPr="007A117B">
        <w:rPr>
          <w:rFonts w:ascii="Times New Roman" w:eastAsia="Calibri" w:hAnsi="Times New Roman" w:cs="Times New Roman"/>
          <w:noProof/>
          <w:color w:val="000000"/>
          <w:sz w:val="24"/>
          <w:szCs w:val="24"/>
        </w:rPr>
        <w:t>2</w:t>
      </w:r>
      <w:r w:rsidRPr="007A117B">
        <w:rPr>
          <w:rFonts w:ascii="Times New Roman" w:hAnsi="Times New Roman" w:cs="Times New Roman"/>
          <w:noProof/>
          <w:sz w:val="24"/>
          <w:szCs w:val="24"/>
        </w:rPr>
        <w:t xml:space="preserve">019. un 2020.gadā sociālās nodrošināšanas fondos ieņēmumi un izdevumi plānoti mazāki nekā tika plānots likumā “Par vidēja termiņa budžeta ietvaru 2018., 2019. un 2020.gadam” un šobrīd tiek prognozēts pārpalikums. Arī 2021.gadā saglabāsies līdzīga tendence, kad ieņēmumi nedaudz pārsniegs izdevumus un veidosies pārpalikums. </w:t>
      </w:r>
      <w:r w:rsidRPr="007A117B">
        <w:rPr>
          <w:rFonts w:ascii="Times New Roman" w:hAnsi="Times New Roman" w:cs="Times New Roman"/>
          <w:noProof/>
          <w:color w:val="000000" w:themeColor="text1"/>
          <w:sz w:val="24"/>
          <w:szCs w:val="24"/>
        </w:rPr>
        <w:t xml:space="preserve">Kopumā vidējā termiņā ieņēmumi, ko pamatā veido sociālās apdrošināšanas iemaksas, uzrādīs pieaugumu, lai arī būs jūtama ietekme no nodarbināto skaita samazinājuma. Tāpat arī </w:t>
      </w:r>
      <w:r w:rsidRPr="007A117B">
        <w:rPr>
          <w:rFonts w:ascii="Times New Roman" w:hAnsi="Times New Roman" w:cs="Times New Roman"/>
          <w:color w:val="000000" w:themeColor="text1"/>
          <w:sz w:val="24"/>
          <w:szCs w:val="24"/>
        </w:rPr>
        <w:t xml:space="preserve">izdevumos sagaidāms pieaugums, kur ņemtas vērā prognozētās izmaiņas pensiju un pabalstu saņēmēju skaitā, kā arī izmaksāto pensiju un pabalstu vidējā apmērā. </w:t>
      </w:r>
    </w:p>
    <w:p w:rsidR="007A117B" w:rsidRPr="00623C3B" w:rsidRDefault="007A117B" w:rsidP="00B9413F">
      <w:pPr>
        <w:spacing w:before="120" w:after="120" w:line="240" w:lineRule="auto"/>
        <w:ind w:firstLine="720"/>
        <w:jc w:val="both"/>
        <w:rPr>
          <w:rFonts w:ascii="Times New Roman" w:hAnsi="Times New Roman" w:cs="Times New Roman"/>
          <w:b/>
          <w:color w:val="000000"/>
          <w:sz w:val="24"/>
          <w:szCs w:val="24"/>
        </w:rPr>
      </w:pPr>
      <w:r w:rsidRPr="007A117B">
        <w:rPr>
          <w:rFonts w:ascii="Times New Roman" w:hAnsi="Times New Roman" w:cs="Times New Roman"/>
          <w:b/>
          <w:color w:val="000000"/>
          <w:sz w:val="24"/>
          <w:szCs w:val="24"/>
        </w:rPr>
        <w:t>Vietējās valdības budžetā</w:t>
      </w:r>
      <w:r w:rsidRPr="00623C3B">
        <w:rPr>
          <w:rFonts w:ascii="Times New Roman" w:hAnsi="Times New Roman" w:cs="Times New Roman"/>
          <w:b/>
          <w:color w:val="000000"/>
          <w:sz w:val="24"/>
          <w:szCs w:val="24"/>
        </w:rPr>
        <w:t>:</w:t>
      </w:r>
    </w:p>
    <w:p w:rsidR="007A117B" w:rsidRPr="007A117B" w:rsidRDefault="007A117B" w:rsidP="00DB2217">
      <w:pPr>
        <w:pStyle w:val="ListParagraph"/>
        <w:numPr>
          <w:ilvl w:val="0"/>
          <w:numId w:val="24"/>
        </w:numPr>
        <w:spacing w:after="0" w:line="240" w:lineRule="auto"/>
        <w:ind w:left="1134"/>
        <w:contextualSpacing w:val="0"/>
        <w:jc w:val="both"/>
        <w:rPr>
          <w:rFonts w:ascii="Times New Roman" w:hAnsi="Times New Roman" w:cs="Times New Roman"/>
          <w:color w:val="000000"/>
          <w:sz w:val="24"/>
          <w:szCs w:val="24"/>
        </w:rPr>
      </w:pPr>
      <w:r w:rsidRPr="007A117B">
        <w:rPr>
          <w:rFonts w:ascii="Times New Roman" w:hAnsi="Times New Roman" w:cs="Times New Roman"/>
          <w:color w:val="000000"/>
          <w:sz w:val="24"/>
          <w:szCs w:val="24"/>
        </w:rPr>
        <w:t>2018.gadā tiek prognozēts, ka pašvaldību budžetā veidosies neliels deficīts. Atšķirībā no iepriekšējiem gadiem izdevumu prognoze palielināta, ņemot vērā 2017.gada izpildes datus, kā arī tiek prognozēts, ka arvien straujāks pieaugs pašvaldību kapitālie izdevumi gan pamatfunkcijās, gan ES līdzfinansēto projektu daļā. Vienlaikus, 2018.gadā vietējās valdības budžeta izdevumus, pēc EKS 2010 metodoloģijas, samazina maksājumi par Dienvidu tilta būvniecību, jo izdevumi tika atzīti iepriekšējos gados objekta faktiskās būvniecības laikā;</w:t>
      </w:r>
    </w:p>
    <w:p w:rsidR="007A117B" w:rsidRPr="007A117B" w:rsidRDefault="007A117B" w:rsidP="00DB2217">
      <w:pPr>
        <w:pStyle w:val="ListParagraph"/>
        <w:numPr>
          <w:ilvl w:val="0"/>
          <w:numId w:val="24"/>
        </w:numPr>
        <w:spacing w:after="0" w:line="240" w:lineRule="auto"/>
        <w:ind w:left="1134"/>
        <w:contextualSpacing w:val="0"/>
        <w:jc w:val="both"/>
        <w:rPr>
          <w:rFonts w:ascii="Times New Roman" w:hAnsi="Times New Roman" w:cs="Times New Roman"/>
          <w:color w:val="000000"/>
          <w:sz w:val="24"/>
          <w:szCs w:val="24"/>
        </w:rPr>
      </w:pPr>
      <w:r w:rsidRPr="007A117B">
        <w:rPr>
          <w:rFonts w:ascii="Times New Roman" w:hAnsi="Times New Roman" w:cs="Times New Roman"/>
          <w:color w:val="000000"/>
          <w:sz w:val="24"/>
          <w:szCs w:val="24"/>
        </w:rPr>
        <w:t xml:space="preserve">Pēc 2018.gada tiek prognozēts, ka pie nemainīgas politikas scenārija pašvaldībās veidosies budžeta deficīts, kas saistīts ar pieaugušiem kapitālajiem izdevumiem gan pamatfunkcijās, gan ES fondu daļā. Attiecībā uz nodokļiem no ienākumiem, kas ir lielākā vietējās valdības budžeta ieņēmumu pozīcija, tiek ņemta vērā nodokļu reformas ietekme, kuras rezultātā iedzīvotāju ienākuma nodokļa ieņēmumi 2019.gadā, salīdzinot pret 2018.gadu kritīsies par 4,9%, kas skaidrojams ar to, ka par 2018.gadā uzņēmumu gūto peļņu nebūs jāmaksā IIN par dividendēm, kā arī pieaugošo neapliekamo minimumu, atvieglojumiem par apgādājamiem un pieaugošo neapliekamo minimumu pensionāriem. </w:t>
      </w:r>
      <w:r w:rsidR="000C79BD" w:rsidRPr="000C79BD">
        <w:rPr>
          <w:rFonts w:ascii="Times New Roman" w:hAnsi="Times New Roman" w:cs="Times New Roman"/>
          <w:color w:val="000000"/>
          <w:sz w:val="24"/>
          <w:szCs w:val="24"/>
        </w:rPr>
        <w:t xml:space="preserve">Iepriekš minētā IIN ieņēmumu samazinājumu centrālā valdība apņēmās kompensēt pašvaldībām ar speciālo dotāciju, garantējot pašvaldību nodokļu ieņēmumu apjomu 19,6% apmērā no faktiskajiem kopbudžeta nodokļu ieņēmumiem, neieskaitot valsts sociālās apdrošināšanas obligātās iemaksas valsts pamatbudžetā veselības aprūpes finansēšanai. </w:t>
      </w:r>
      <w:r w:rsidRPr="007A117B">
        <w:rPr>
          <w:rFonts w:ascii="Times New Roman" w:hAnsi="Times New Roman" w:cs="Times New Roman"/>
          <w:color w:val="000000"/>
          <w:sz w:val="24"/>
          <w:szCs w:val="24"/>
        </w:rPr>
        <w:t>Pēc 2019.gada nodokļu plānotie ieņēmumi pieaugs par 2,3%</w:t>
      </w:r>
      <w:r w:rsidR="00BE4B23">
        <w:rPr>
          <w:rFonts w:ascii="Times New Roman" w:hAnsi="Times New Roman" w:cs="Times New Roman"/>
          <w:color w:val="000000"/>
          <w:sz w:val="24"/>
          <w:szCs w:val="24"/>
        </w:rPr>
        <w:t xml:space="preserve"> </w:t>
      </w:r>
      <w:r w:rsidR="00BE4B23" w:rsidRPr="007A117B">
        <w:rPr>
          <w:rFonts w:ascii="Times New Roman" w:hAnsi="Times New Roman" w:cs="Times New Roman"/>
          <w:sz w:val="24"/>
          <w:szCs w:val="24"/>
        </w:rPr>
        <w:t>–</w:t>
      </w:r>
      <w:r w:rsidR="00BE4B23">
        <w:rPr>
          <w:rFonts w:ascii="Times New Roman" w:hAnsi="Times New Roman" w:cs="Times New Roman"/>
          <w:sz w:val="24"/>
          <w:szCs w:val="24"/>
        </w:rPr>
        <w:t xml:space="preserve"> </w:t>
      </w:r>
      <w:r w:rsidRPr="007A117B">
        <w:rPr>
          <w:rFonts w:ascii="Times New Roman" w:hAnsi="Times New Roman" w:cs="Times New Roman"/>
          <w:color w:val="000000"/>
          <w:sz w:val="24"/>
          <w:szCs w:val="24"/>
        </w:rPr>
        <w:t>3,9%. Vienlaicīgi jāatzīmē, ka saskaņā ar atjaunotajām prognozēm, pārējās ieņēmumu pozīcijās būtiskas izmaiņas nav sagaidāmas. Tiek prognozēts, ka vietējās valdības budžeta izdevumi vidējā termiņā pieaugs visās pozīcijās, izņemot izdevumus sociālajiem pabalstiem. Izdevumu līmenis investīcijām turpmākajos gados pieaugs galvenokārt pieaugošas aktivitātes ES fondu līdzfinansēto projektu īstenošanas</w:t>
      </w:r>
      <w:r w:rsidR="00BE4B23" w:rsidRPr="00BE4B23">
        <w:rPr>
          <w:rFonts w:ascii="Times New Roman" w:hAnsi="Times New Roman" w:cs="Times New Roman"/>
          <w:color w:val="000000"/>
          <w:sz w:val="24"/>
          <w:szCs w:val="24"/>
        </w:rPr>
        <w:t xml:space="preserve"> </w:t>
      </w:r>
      <w:r w:rsidR="00BE4B23" w:rsidRPr="007A117B">
        <w:rPr>
          <w:rFonts w:ascii="Times New Roman" w:hAnsi="Times New Roman" w:cs="Times New Roman"/>
          <w:color w:val="000000"/>
          <w:sz w:val="24"/>
          <w:szCs w:val="24"/>
        </w:rPr>
        <w:t>dēļ</w:t>
      </w:r>
      <w:r w:rsidRPr="007A117B">
        <w:rPr>
          <w:rFonts w:ascii="Times New Roman" w:hAnsi="Times New Roman" w:cs="Times New Roman"/>
          <w:color w:val="000000"/>
          <w:sz w:val="24"/>
          <w:szCs w:val="24"/>
        </w:rPr>
        <w:t xml:space="preserve">. Vienlaikus, arī vidējā termiņā vietējās valdības budžeta izdevumus, EKS 2010 izpratnē, turpinās samazināt </w:t>
      </w:r>
      <w:r w:rsidRPr="007A117B">
        <w:rPr>
          <w:rFonts w:ascii="Times New Roman" w:hAnsi="Times New Roman" w:cs="Times New Roman"/>
          <w:color w:val="000000"/>
          <w:sz w:val="24"/>
          <w:szCs w:val="24"/>
        </w:rPr>
        <w:lastRenderedPageBreak/>
        <w:t>maksājumi par Dienvidu tilta būvniecību</w:t>
      </w:r>
      <w:r w:rsidR="000C79BD" w:rsidRPr="000C79BD">
        <w:rPr>
          <w:rFonts w:ascii="Times New Roman" w:hAnsi="Times New Roman" w:cs="Times New Roman"/>
          <w:color w:val="000000"/>
          <w:sz w:val="24"/>
          <w:szCs w:val="24"/>
        </w:rPr>
        <w:t xml:space="preserve"> EKS 2010 izpratnē netiks atzīti tekošajā periodā</w:t>
      </w:r>
      <w:r w:rsidRPr="007A117B">
        <w:rPr>
          <w:rFonts w:ascii="Times New Roman" w:hAnsi="Times New Roman" w:cs="Times New Roman"/>
          <w:color w:val="000000"/>
          <w:sz w:val="24"/>
          <w:szCs w:val="24"/>
        </w:rPr>
        <w:t>, jo izdevumi tika atzīti iepriekšējos gados objekta būvniecības laikā.</w:t>
      </w:r>
    </w:p>
    <w:p w:rsidR="00F14E08" w:rsidRPr="00011F72" w:rsidRDefault="00F14E08" w:rsidP="00B9413F">
      <w:pPr>
        <w:spacing w:before="120" w:after="0" w:line="240" w:lineRule="auto"/>
        <w:ind w:firstLine="720"/>
        <w:jc w:val="both"/>
        <w:rPr>
          <w:rFonts w:ascii="Times New Roman" w:hAnsi="Times New Roman" w:cs="Times New Roman"/>
          <w:color w:val="000000"/>
          <w:sz w:val="24"/>
          <w:szCs w:val="24"/>
        </w:rPr>
      </w:pPr>
      <w:r w:rsidRPr="00F14E08">
        <w:rPr>
          <w:rFonts w:ascii="Times New Roman" w:hAnsi="Times New Roman" w:cs="Times New Roman"/>
          <w:color w:val="000000"/>
          <w:sz w:val="24"/>
          <w:szCs w:val="24"/>
        </w:rPr>
        <w:t xml:space="preserve">Atbilstoši fiskālās disciplīnas nosacījumiem, maksimāli pieļaujamais vispārējās valdības budžeta strukturālais deficīts un no tā izrietošais nominālais deficīts tiek noteikts izmantojot lejupvērsto budžeta plānošanas metodi, kas nodrošina tādu bilances mērķu noteikšanu, kas atbilst SIP prasībām. Saskaņā ar šiem nosacījumiem uz Stabilitātes programmas sagatavošanas brīdi 2019. un 2020.gadā vispārējās valdības budžetā ir pieļaujams mazāks deficīts, savukārt 2021.gadā – lielāks deficīts </w:t>
      </w:r>
      <w:r w:rsidRPr="00F14E08">
        <w:rPr>
          <w:rFonts w:ascii="Times New Roman" w:eastAsia="Times New Roman" w:hAnsi="Times New Roman" w:cs="Times New Roman"/>
          <w:color w:val="000000"/>
          <w:sz w:val="24"/>
          <w:szCs w:val="20"/>
        </w:rPr>
        <w:t>nekā tiek paredzēts scenārijā pie nemainīgas politikas, proti, 2019. un 2020. gadā fiskālā telpa ir negatīva, turpretī 2021. gadā – nedaudz pozitīva. Līdz ar to, ja pašreizējā brīdī tiktu izstrādāts nākamais gadskārtējais valsts budžeta likums un Ietvara likums, valdībai 2019. un 2020. gadā būtu jāpieņem diskrecionārie lēmumi samazinot vispārējās valdības budžeta izdevumus un/vai palielinot ieņēmumus, attiecīgi par 0,15% no IKP un 0,12% no IKP. Savukārt 2021. gadā valdības rīcībā būtu pieejami nelieli resursi 0,01% no IKP apmērā budžeta prioritāšu finansēšanai. Visos gados nosakot fiskālo telpu tiek ņemta vērā FDL definētā minimālā fiskālā nodrošinājuma rezerve 0,1% no IKP apmērā.</w:t>
      </w:r>
    </w:p>
    <w:p w:rsidR="00F14E08" w:rsidRPr="007A117B" w:rsidRDefault="00F14E08" w:rsidP="00DB2217">
      <w:pPr>
        <w:spacing w:after="0" w:line="240" w:lineRule="auto"/>
        <w:ind w:firstLine="720"/>
        <w:jc w:val="both"/>
        <w:rPr>
          <w:rFonts w:ascii="Times New Roman" w:hAnsi="Times New Roman" w:cs="Times New Roman"/>
          <w:b/>
          <w:color w:val="000000"/>
          <w:sz w:val="24"/>
          <w:szCs w:val="24"/>
        </w:rPr>
      </w:pPr>
      <w:r w:rsidRPr="00F14E08">
        <w:rPr>
          <w:rFonts w:ascii="Times New Roman" w:hAnsi="Times New Roman" w:cs="Times New Roman"/>
          <w:b/>
          <w:sz w:val="24"/>
          <w:szCs w:val="24"/>
        </w:rPr>
        <w:t>Attiecīgi fiskālās attīstības scenārijs paredz vispārējās valdības budžeta deficītu 2018.gadā 0,9% no IKP, 2019.gadā 0,9% no IKP, 2020.gadā 0,4% no IKP un 2021.gadā 0,4% no IKP.</w:t>
      </w:r>
    </w:p>
    <w:p w:rsidR="00F14E08" w:rsidRPr="00621ADA" w:rsidRDefault="00F14E08" w:rsidP="00E672E5">
      <w:pPr>
        <w:pStyle w:val="teksts"/>
        <w:spacing w:before="120" w:after="0" w:line="276" w:lineRule="auto"/>
        <w:ind w:firstLine="720"/>
        <w:jc w:val="right"/>
        <w:rPr>
          <w:rFonts w:ascii="Times New Roman" w:eastAsiaTheme="minorHAnsi" w:hAnsi="Times New Roman"/>
          <w:b/>
          <w:szCs w:val="24"/>
        </w:rPr>
      </w:pPr>
      <w:r w:rsidRPr="00621ADA">
        <w:rPr>
          <w:rFonts w:ascii="Times New Roman" w:eastAsiaTheme="minorHAnsi" w:hAnsi="Times New Roman"/>
          <w:b/>
          <w:szCs w:val="24"/>
        </w:rPr>
        <w:t>3.2</w:t>
      </w:r>
      <w:r w:rsidR="009C44D7">
        <w:rPr>
          <w:rFonts w:ascii="Times New Roman" w:eastAsiaTheme="minorHAnsi" w:hAnsi="Times New Roman"/>
          <w:b/>
          <w:szCs w:val="24"/>
        </w:rPr>
        <w:t>5</w:t>
      </w:r>
      <w:r w:rsidRPr="00621ADA">
        <w:rPr>
          <w:rFonts w:ascii="Times New Roman" w:eastAsiaTheme="minorHAnsi" w:hAnsi="Times New Roman"/>
          <w:b/>
          <w:szCs w:val="24"/>
        </w:rPr>
        <w:t>. tabula. Vidējā termiņa fiskālās attīstības scenārijs</w:t>
      </w:r>
      <w:r w:rsidR="00623C3B">
        <w:rPr>
          <w:rFonts w:ascii="Times New Roman" w:eastAsiaTheme="minorHAnsi" w:hAnsi="Times New Roman"/>
          <w:b/>
          <w:szCs w:val="24"/>
        </w:rPr>
        <w:t xml:space="preserve">, </w:t>
      </w:r>
      <w:r w:rsidR="00623C3B" w:rsidRPr="00623C3B">
        <w:rPr>
          <w:rFonts w:ascii="Times New Roman" w:eastAsiaTheme="minorHAnsi" w:hAnsi="Times New Roman"/>
          <w:b/>
          <w:szCs w:val="24"/>
        </w:rPr>
        <w:t>% no IKP</w:t>
      </w:r>
    </w:p>
    <w:tbl>
      <w:tblPr>
        <w:tblStyle w:val="TableGrid"/>
        <w:tblW w:w="9126" w:type="dxa"/>
        <w:jc w:val="center"/>
        <w:tblLayout w:type="fixed"/>
        <w:tblLook w:val="0000" w:firstRow="0" w:lastRow="0" w:firstColumn="0" w:lastColumn="0" w:noHBand="0" w:noVBand="0"/>
      </w:tblPr>
      <w:tblGrid>
        <w:gridCol w:w="3148"/>
        <w:gridCol w:w="1158"/>
        <w:gridCol w:w="1043"/>
        <w:gridCol w:w="944"/>
        <w:gridCol w:w="943"/>
        <w:gridCol w:w="944"/>
        <w:gridCol w:w="946"/>
      </w:tblGrid>
      <w:tr w:rsidR="00F14E08" w:rsidRPr="00623C3B" w:rsidTr="0032263D">
        <w:trPr>
          <w:trHeight w:val="268"/>
          <w:jc w:val="center"/>
        </w:trPr>
        <w:tc>
          <w:tcPr>
            <w:tcW w:w="3148" w:type="dxa"/>
          </w:tcPr>
          <w:p w:rsidR="00F14E08" w:rsidRPr="00623C3B" w:rsidRDefault="00F14E08" w:rsidP="00924BAD">
            <w:pPr>
              <w:pStyle w:val="tabteksts"/>
              <w:jc w:val="both"/>
              <w:rPr>
                <w:b/>
                <w:sz w:val="24"/>
                <w:szCs w:val="24"/>
                <w:highlight w:val="yellow"/>
              </w:rPr>
            </w:pPr>
          </w:p>
        </w:tc>
        <w:tc>
          <w:tcPr>
            <w:tcW w:w="1158" w:type="dxa"/>
            <w:vAlign w:val="center"/>
          </w:tcPr>
          <w:p w:rsidR="00F14E08" w:rsidRPr="00623C3B" w:rsidRDefault="00623C3B" w:rsidP="00DB2217">
            <w:pPr>
              <w:pStyle w:val="tabteksts"/>
              <w:jc w:val="center"/>
              <w:rPr>
                <w:b/>
                <w:sz w:val="24"/>
                <w:szCs w:val="24"/>
              </w:rPr>
            </w:pPr>
            <w:r w:rsidRPr="00623C3B">
              <w:rPr>
                <w:sz w:val="24"/>
                <w:szCs w:val="24"/>
              </w:rPr>
              <w:t>EKS kods</w:t>
            </w:r>
          </w:p>
        </w:tc>
        <w:tc>
          <w:tcPr>
            <w:tcW w:w="1043" w:type="dxa"/>
            <w:vAlign w:val="center"/>
          </w:tcPr>
          <w:p w:rsidR="00F14E08" w:rsidRPr="00623C3B" w:rsidRDefault="00F14E08" w:rsidP="00DB2217">
            <w:pPr>
              <w:pStyle w:val="tabteksts"/>
              <w:jc w:val="center"/>
              <w:rPr>
                <w:b/>
                <w:sz w:val="24"/>
                <w:szCs w:val="24"/>
              </w:rPr>
            </w:pPr>
            <w:r w:rsidRPr="00623C3B">
              <w:rPr>
                <w:b/>
                <w:sz w:val="24"/>
                <w:szCs w:val="24"/>
              </w:rPr>
              <w:t>2017</w:t>
            </w:r>
          </w:p>
        </w:tc>
        <w:tc>
          <w:tcPr>
            <w:tcW w:w="944" w:type="dxa"/>
            <w:vAlign w:val="center"/>
          </w:tcPr>
          <w:p w:rsidR="00F14E08" w:rsidRPr="00623C3B" w:rsidRDefault="00F14E08" w:rsidP="00DB2217">
            <w:pPr>
              <w:pStyle w:val="tabteksts"/>
              <w:jc w:val="center"/>
              <w:rPr>
                <w:b/>
                <w:sz w:val="24"/>
                <w:szCs w:val="24"/>
              </w:rPr>
            </w:pPr>
            <w:r w:rsidRPr="00623C3B">
              <w:rPr>
                <w:b/>
                <w:sz w:val="24"/>
                <w:szCs w:val="24"/>
              </w:rPr>
              <w:t>2018</w:t>
            </w:r>
          </w:p>
        </w:tc>
        <w:tc>
          <w:tcPr>
            <w:tcW w:w="943" w:type="dxa"/>
            <w:vAlign w:val="center"/>
          </w:tcPr>
          <w:p w:rsidR="00F14E08" w:rsidRPr="00623C3B" w:rsidRDefault="00F14E08" w:rsidP="00DB2217">
            <w:pPr>
              <w:pStyle w:val="tabteksts"/>
              <w:jc w:val="center"/>
              <w:rPr>
                <w:b/>
                <w:sz w:val="24"/>
                <w:szCs w:val="24"/>
              </w:rPr>
            </w:pPr>
            <w:r w:rsidRPr="00623C3B">
              <w:rPr>
                <w:b/>
                <w:sz w:val="24"/>
                <w:szCs w:val="24"/>
              </w:rPr>
              <w:t>2019</w:t>
            </w:r>
          </w:p>
        </w:tc>
        <w:tc>
          <w:tcPr>
            <w:tcW w:w="944" w:type="dxa"/>
            <w:vAlign w:val="center"/>
          </w:tcPr>
          <w:p w:rsidR="00F14E08" w:rsidRPr="00623C3B" w:rsidRDefault="00F14E08" w:rsidP="00DB2217">
            <w:pPr>
              <w:pStyle w:val="tabteksts"/>
              <w:jc w:val="center"/>
              <w:rPr>
                <w:b/>
                <w:sz w:val="24"/>
                <w:szCs w:val="24"/>
              </w:rPr>
            </w:pPr>
            <w:r w:rsidRPr="00623C3B">
              <w:rPr>
                <w:b/>
                <w:sz w:val="24"/>
                <w:szCs w:val="24"/>
              </w:rPr>
              <w:t>2020</w:t>
            </w:r>
          </w:p>
        </w:tc>
        <w:tc>
          <w:tcPr>
            <w:tcW w:w="946" w:type="dxa"/>
            <w:vAlign w:val="center"/>
          </w:tcPr>
          <w:p w:rsidR="00F14E08" w:rsidRPr="00623C3B" w:rsidRDefault="00F14E08" w:rsidP="00DB2217">
            <w:pPr>
              <w:pStyle w:val="tabteksts"/>
              <w:jc w:val="center"/>
              <w:rPr>
                <w:b/>
                <w:sz w:val="24"/>
                <w:szCs w:val="24"/>
              </w:rPr>
            </w:pPr>
            <w:r w:rsidRPr="00623C3B">
              <w:rPr>
                <w:b/>
                <w:sz w:val="24"/>
                <w:szCs w:val="24"/>
              </w:rPr>
              <w:t>2021</w:t>
            </w:r>
          </w:p>
        </w:tc>
      </w:tr>
      <w:tr w:rsidR="00F14E08" w:rsidRPr="00623C3B" w:rsidTr="0032263D">
        <w:trPr>
          <w:trHeight w:val="268"/>
          <w:jc w:val="center"/>
        </w:trPr>
        <w:tc>
          <w:tcPr>
            <w:tcW w:w="9126" w:type="dxa"/>
            <w:gridSpan w:val="7"/>
            <w:vAlign w:val="center"/>
          </w:tcPr>
          <w:p w:rsidR="00F14E08" w:rsidRPr="00623C3B" w:rsidRDefault="00F14E08" w:rsidP="00DB2217">
            <w:pPr>
              <w:ind w:firstLine="720"/>
              <w:jc w:val="center"/>
              <w:rPr>
                <w:b/>
                <w:noProof/>
                <w:snapToGrid w:val="0"/>
                <w:sz w:val="24"/>
                <w:szCs w:val="24"/>
              </w:rPr>
            </w:pPr>
            <w:r w:rsidRPr="00623C3B">
              <w:rPr>
                <w:b/>
                <w:snapToGrid w:val="0"/>
                <w:sz w:val="24"/>
                <w:szCs w:val="24"/>
              </w:rPr>
              <w:t xml:space="preserve">Neto aizdevumi (+) vai aizņēmumi (-) (B.9) pa </w:t>
            </w:r>
            <w:r w:rsidRPr="00623C3B">
              <w:rPr>
                <w:b/>
                <w:noProof/>
                <w:snapToGrid w:val="0"/>
                <w:sz w:val="24"/>
                <w:szCs w:val="24"/>
              </w:rPr>
              <w:t>apakšsektoriem</w:t>
            </w:r>
          </w:p>
        </w:tc>
      </w:tr>
      <w:tr w:rsidR="00F14E08" w:rsidRPr="00623C3B" w:rsidTr="0032263D">
        <w:trPr>
          <w:trHeight w:val="268"/>
          <w:jc w:val="center"/>
        </w:trPr>
        <w:tc>
          <w:tcPr>
            <w:tcW w:w="3148" w:type="dxa"/>
            <w:vAlign w:val="center"/>
          </w:tcPr>
          <w:p w:rsidR="00F14E08" w:rsidRPr="00623C3B" w:rsidRDefault="00F14E08" w:rsidP="00623C3B">
            <w:pPr>
              <w:pStyle w:val="tabteksts"/>
              <w:rPr>
                <w:snapToGrid w:val="0"/>
                <w:sz w:val="24"/>
                <w:szCs w:val="24"/>
              </w:rPr>
            </w:pPr>
            <w:r w:rsidRPr="00623C3B">
              <w:rPr>
                <w:snapToGrid w:val="0"/>
                <w:sz w:val="24"/>
                <w:szCs w:val="24"/>
              </w:rPr>
              <w:t>Vispārējā valdība</w:t>
            </w:r>
          </w:p>
        </w:tc>
        <w:tc>
          <w:tcPr>
            <w:tcW w:w="1158" w:type="dxa"/>
            <w:tcBorders>
              <w:right w:val="single" w:sz="4" w:space="0" w:color="auto"/>
            </w:tcBorders>
            <w:vAlign w:val="center"/>
          </w:tcPr>
          <w:p w:rsidR="00F14E08" w:rsidRPr="00623C3B" w:rsidRDefault="00F14E08" w:rsidP="00DB2217">
            <w:pPr>
              <w:pStyle w:val="tabteksts"/>
              <w:jc w:val="center"/>
              <w:rPr>
                <w:sz w:val="24"/>
                <w:szCs w:val="24"/>
              </w:rPr>
            </w:pPr>
            <w:r w:rsidRPr="00623C3B">
              <w:rPr>
                <w:sz w:val="24"/>
                <w:szCs w:val="24"/>
              </w:rPr>
              <w:t>S.13</w:t>
            </w:r>
          </w:p>
        </w:tc>
        <w:tc>
          <w:tcPr>
            <w:tcW w:w="10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-0,5</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-0,9</w:t>
            </w:r>
          </w:p>
        </w:tc>
        <w:tc>
          <w:tcPr>
            <w:tcW w:w="9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-0,9</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-0,4</w:t>
            </w:r>
          </w:p>
        </w:tc>
        <w:tc>
          <w:tcPr>
            <w:tcW w:w="946" w:type="dxa"/>
            <w:tcBorders>
              <w:top w:val="single" w:sz="4" w:space="0" w:color="auto"/>
              <w:left w:val="single" w:sz="4" w:space="0" w:color="auto"/>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-0,4</w:t>
            </w:r>
          </w:p>
        </w:tc>
      </w:tr>
      <w:tr w:rsidR="00F14E08" w:rsidRPr="00623C3B" w:rsidTr="0032263D">
        <w:trPr>
          <w:trHeight w:val="268"/>
          <w:jc w:val="center"/>
        </w:trPr>
        <w:tc>
          <w:tcPr>
            <w:tcW w:w="3148" w:type="dxa"/>
            <w:vAlign w:val="center"/>
          </w:tcPr>
          <w:p w:rsidR="00F14E08" w:rsidRPr="00623C3B" w:rsidRDefault="00F14E08" w:rsidP="00623C3B">
            <w:pPr>
              <w:pStyle w:val="tabteksts"/>
              <w:rPr>
                <w:snapToGrid w:val="0"/>
                <w:sz w:val="24"/>
                <w:szCs w:val="24"/>
              </w:rPr>
            </w:pPr>
            <w:r w:rsidRPr="00623C3B">
              <w:rPr>
                <w:snapToGrid w:val="0"/>
                <w:sz w:val="24"/>
                <w:szCs w:val="24"/>
              </w:rPr>
              <w:t>Centrālā valdība</w:t>
            </w:r>
          </w:p>
        </w:tc>
        <w:tc>
          <w:tcPr>
            <w:tcW w:w="1158" w:type="dxa"/>
            <w:tcBorders>
              <w:right w:val="single" w:sz="4" w:space="0" w:color="auto"/>
            </w:tcBorders>
            <w:vAlign w:val="center"/>
          </w:tcPr>
          <w:p w:rsidR="00F14E08" w:rsidRPr="00623C3B" w:rsidRDefault="00F14E08" w:rsidP="00DB2217">
            <w:pPr>
              <w:pStyle w:val="tabteksts"/>
              <w:jc w:val="center"/>
              <w:rPr>
                <w:sz w:val="24"/>
                <w:szCs w:val="24"/>
              </w:rPr>
            </w:pPr>
            <w:r w:rsidRPr="00623C3B">
              <w:rPr>
                <w:sz w:val="24"/>
                <w:szCs w:val="24"/>
              </w:rPr>
              <w:t>S.1311</w:t>
            </w:r>
          </w:p>
        </w:tc>
        <w:tc>
          <w:tcPr>
            <w:tcW w:w="10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-0,6</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-1,3</w:t>
            </w:r>
          </w:p>
        </w:tc>
        <w:tc>
          <w:tcPr>
            <w:tcW w:w="9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-1,0</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-0,5</w:t>
            </w:r>
          </w:p>
        </w:tc>
        <w:tc>
          <w:tcPr>
            <w:tcW w:w="946" w:type="dxa"/>
            <w:tcBorders>
              <w:top w:val="single" w:sz="4" w:space="0" w:color="auto"/>
              <w:left w:val="single" w:sz="4" w:space="0" w:color="auto"/>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-0,4</w:t>
            </w:r>
          </w:p>
        </w:tc>
      </w:tr>
      <w:tr w:rsidR="00F14E08" w:rsidRPr="00623C3B" w:rsidTr="0032263D">
        <w:trPr>
          <w:trHeight w:val="268"/>
          <w:jc w:val="center"/>
        </w:trPr>
        <w:tc>
          <w:tcPr>
            <w:tcW w:w="3148" w:type="dxa"/>
            <w:vAlign w:val="center"/>
          </w:tcPr>
          <w:p w:rsidR="00F14E08" w:rsidRPr="00623C3B" w:rsidRDefault="00F14E08" w:rsidP="00623C3B">
            <w:pPr>
              <w:pStyle w:val="tabteksts"/>
              <w:rPr>
                <w:snapToGrid w:val="0"/>
                <w:sz w:val="24"/>
                <w:szCs w:val="24"/>
              </w:rPr>
            </w:pPr>
            <w:r w:rsidRPr="00623C3B">
              <w:rPr>
                <w:snapToGrid w:val="0"/>
                <w:sz w:val="24"/>
                <w:szCs w:val="24"/>
              </w:rPr>
              <w:t>Vietējā valdība</w:t>
            </w:r>
          </w:p>
        </w:tc>
        <w:tc>
          <w:tcPr>
            <w:tcW w:w="1158" w:type="dxa"/>
            <w:tcBorders>
              <w:right w:val="single" w:sz="4" w:space="0" w:color="auto"/>
            </w:tcBorders>
            <w:vAlign w:val="center"/>
          </w:tcPr>
          <w:p w:rsidR="00F14E08" w:rsidRPr="00623C3B" w:rsidRDefault="00F14E08" w:rsidP="00DB2217">
            <w:pPr>
              <w:pStyle w:val="tabteksts"/>
              <w:jc w:val="center"/>
              <w:rPr>
                <w:sz w:val="24"/>
                <w:szCs w:val="24"/>
              </w:rPr>
            </w:pPr>
            <w:r w:rsidRPr="00623C3B">
              <w:rPr>
                <w:sz w:val="24"/>
                <w:szCs w:val="24"/>
              </w:rPr>
              <w:t>S.1313</w:t>
            </w:r>
          </w:p>
        </w:tc>
        <w:tc>
          <w:tcPr>
            <w:tcW w:w="10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-0,2</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-0,1</w:t>
            </w:r>
          </w:p>
        </w:tc>
        <w:tc>
          <w:tcPr>
            <w:tcW w:w="9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-0,1</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-0,1</w:t>
            </w:r>
          </w:p>
        </w:tc>
        <w:tc>
          <w:tcPr>
            <w:tcW w:w="946" w:type="dxa"/>
            <w:tcBorders>
              <w:top w:val="single" w:sz="4" w:space="0" w:color="auto"/>
              <w:left w:val="single" w:sz="4" w:space="0" w:color="auto"/>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0,0</w:t>
            </w:r>
          </w:p>
        </w:tc>
      </w:tr>
      <w:tr w:rsidR="00F14E08" w:rsidRPr="00623C3B" w:rsidTr="0032263D">
        <w:trPr>
          <w:trHeight w:val="554"/>
          <w:jc w:val="center"/>
        </w:trPr>
        <w:tc>
          <w:tcPr>
            <w:tcW w:w="3148" w:type="dxa"/>
            <w:vAlign w:val="center"/>
          </w:tcPr>
          <w:p w:rsidR="00F14E08" w:rsidRPr="00623C3B" w:rsidRDefault="00F14E08" w:rsidP="00623C3B">
            <w:pPr>
              <w:pStyle w:val="tabteksts"/>
              <w:rPr>
                <w:snapToGrid w:val="0"/>
                <w:sz w:val="24"/>
                <w:szCs w:val="24"/>
              </w:rPr>
            </w:pPr>
            <w:r w:rsidRPr="00623C3B">
              <w:rPr>
                <w:snapToGrid w:val="0"/>
                <w:sz w:val="24"/>
                <w:szCs w:val="24"/>
              </w:rPr>
              <w:t>Sociālās nodrošināšanas fondi</w:t>
            </w:r>
          </w:p>
        </w:tc>
        <w:tc>
          <w:tcPr>
            <w:tcW w:w="1158" w:type="dxa"/>
            <w:tcBorders>
              <w:right w:val="single" w:sz="4" w:space="0" w:color="auto"/>
            </w:tcBorders>
            <w:vAlign w:val="center"/>
          </w:tcPr>
          <w:p w:rsidR="00F14E08" w:rsidRPr="00623C3B" w:rsidRDefault="00F14E08" w:rsidP="00DB2217">
            <w:pPr>
              <w:pStyle w:val="tabteksts"/>
              <w:jc w:val="center"/>
              <w:rPr>
                <w:sz w:val="24"/>
                <w:szCs w:val="24"/>
              </w:rPr>
            </w:pPr>
            <w:r w:rsidRPr="00623C3B">
              <w:rPr>
                <w:sz w:val="24"/>
                <w:szCs w:val="24"/>
              </w:rPr>
              <w:t>S.1314</w:t>
            </w:r>
          </w:p>
        </w:tc>
        <w:tc>
          <w:tcPr>
            <w:tcW w:w="10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0,3</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0,5</w:t>
            </w:r>
          </w:p>
        </w:tc>
        <w:tc>
          <w:tcPr>
            <w:tcW w:w="9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0,3</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0,1</w:t>
            </w:r>
          </w:p>
        </w:tc>
        <w:tc>
          <w:tcPr>
            <w:tcW w:w="946" w:type="dxa"/>
            <w:tcBorders>
              <w:top w:val="single" w:sz="4" w:space="0" w:color="auto"/>
              <w:left w:val="single" w:sz="4" w:space="0" w:color="auto"/>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0,1</w:t>
            </w:r>
          </w:p>
        </w:tc>
      </w:tr>
      <w:tr w:rsidR="00F14E08" w:rsidRPr="00623C3B" w:rsidTr="0032263D">
        <w:trPr>
          <w:trHeight w:val="268"/>
          <w:jc w:val="center"/>
        </w:trPr>
        <w:tc>
          <w:tcPr>
            <w:tcW w:w="9126" w:type="dxa"/>
            <w:gridSpan w:val="7"/>
            <w:shd w:val="clear" w:color="auto" w:fill="auto"/>
            <w:vAlign w:val="center"/>
          </w:tcPr>
          <w:p w:rsidR="00F14E08" w:rsidRPr="00623C3B" w:rsidRDefault="00F14E08" w:rsidP="00623C3B">
            <w:pPr>
              <w:ind w:firstLine="720"/>
              <w:jc w:val="center"/>
              <w:rPr>
                <w:b/>
                <w:snapToGrid w:val="0"/>
                <w:sz w:val="24"/>
                <w:szCs w:val="24"/>
              </w:rPr>
            </w:pPr>
            <w:r w:rsidRPr="00623C3B">
              <w:rPr>
                <w:b/>
                <w:snapToGrid w:val="0"/>
                <w:sz w:val="24"/>
                <w:szCs w:val="24"/>
              </w:rPr>
              <w:t>Vispārējā valdība (S.13)</w:t>
            </w:r>
          </w:p>
        </w:tc>
      </w:tr>
      <w:tr w:rsidR="00F14E08" w:rsidRPr="00623C3B" w:rsidTr="0032263D">
        <w:trPr>
          <w:trHeight w:val="268"/>
          <w:jc w:val="center"/>
        </w:trPr>
        <w:tc>
          <w:tcPr>
            <w:tcW w:w="3148" w:type="dxa"/>
            <w:vAlign w:val="center"/>
          </w:tcPr>
          <w:p w:rsidR="00F14E08" w:rsidRPr="00623C3B" w:rsidRDefault="00F14E08" w:rsidP="00623C3B">
            <w:pPr>
              <w:pStyle w:val="tabteksts"/>
              <w:rPr>
                <w:snapToGrid w:val="0"/>
                <w:sz w:val="24"/>
                <w:szCs w:val="24"/>
              </w:rPr>
            </w:pPr>
            <w:r w:rsidRPr="00623C3B">
              <w:rPr>
                <w:snapToGrid w:val="0"/>
                <w:sz w:val="24"/>
                <w:szCs w:val="24"/>
              </w:rPr>
              <w:t xml:space="preserve">Kopējie ieņēmumi </w:t>
            </w:r>
          </w:p>
        </w:tc>
        <w:tc>
          <w:tcPr>
            <w:tcW w:w="1158" w:type="dxa"/>
            <w:shd w:val="clear" w:color="auto" w:fill="auto"/>
            <w:vAlign w:val="center"/>
          </w:tcPr>
          <w:p w:rsidR="00F14E08" w:rsidRPr="00623C3B" w:rsidRDefault="00F14E08" w:rsidP="00DB2217">
            <w:pPr>
              <w:pStyle w:val="tabteksts"/>
              <w:jc w:val="center"/>
              <w:rPr>
                <w:sz w:val="24"/>
                <w:szCs w:val="24"/>
              </w:rPr>
            </w:pPr>
            <w:r w:rsidRPr="00623C3B">
              <w:rPr>
                <w:sz w:val="24"/>
                <w:szCs w:val="24"/>
              </w:rPr>
              <w:t>TR</w:t>
            </w:r>
          </w:p>
        </w:tc>
        <w:tc>
          <w:tcPr>
            <w:tcW w:w="1043"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37,1</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36,8</w:t>
            </w:r>
          </w:p>
        </w:tc>
        <w:tc>
          <w:tcPr>
            <w:tcW w:w="9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36,1</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36,4</w:t>
            </w:r>
          </w:p>
        </w:tc>
        <w:tc>
          <w:tcPr>
            <w:tcW w:w="946" w:type="dxa"/>
            <w:tcBorders>
              <w:top w:val="single" w:sz="4" w:space="0" w:color="auto"/>
              <w:left w:val="single" w:sz="4" w:space="0" w:color="auto"/>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35,3</w:t>
            </w:r>
          </w:p>
        </w:tc>
      </w:tr>
      <w:tr w:rsidR="00F14E08" w:rsidRPr="00623C3B" w:rsidTr="0032263D">
        <w:trPr>
          <w:trHeight w:val="158"/>
          <w:jc w:val="center"/>
        </w:trPr>
        <w:tc>
          <w:tcPr>
            <w:tcW w:w="3148" w:type="dxa"/>
            <w:vAlign w:val="center"/>
          </w:tcPr>
          <w:p w:rsidR="00F14E08" w:rsidRPr="00623C3B" w:rsidRDefault="00F14E08" w:rsidP="00623C3B">
            <w:pPr>
              <w:pStyle w:val="tabteksts"/>
              <w:rPr>
                <w:snapToGrid w:val="0"/>
                <w:sz w:val="24"/>
                <w:szCs w:val="24"/>
              </w:rPr>
            </w:pPr>
            <w:r w:rsidRPr="00623C3B">
              <w:rPr>
                <w:snapToGrid w:val="0"/>
                <w:sz w:val="24"/>
                <w:szCs w:val="24"/>
              </w:rPr>
              <w:t>Kopējie izdevumi</w:t>
            </w:r>
          </w:p>
        </w:tc>
        <w:tc>
          <w:tcPr>
            <w:tcW w:w="1158" w:type="dxa"/>
            <w:shd w:val="clear" w:color="auto" w:fill="auto"/>
            <w:vAlign w:val="center"/>
          </w:tcPr>
          <w:p w:rsidR="00F14E08" w:rsidRPr="00623C3B" w:rsidRDefault="00F14E08" w:rsidP="00DB2217">
            <w:pPr>
              <w:pStyle w:val="tabteksts"/>
              <w:jc w:val="center"/>
              <w:rPr>
                <w:sz w:val="24"/>
                <w:szCs w:val="24"/>
              </w:rPr>
            </w:pPr>
            <w:r w:rsidRPr="00623C3B">
              <w:rPr>
                <w:sz w:val="24"/>
                <w:szCs w:val="24"/>
              </w:rPr>
              <w:t>TE</w:t>
            </w:r>
          </w:p>
        </w:tc>
        <w:tc>
          <w:tcPr>
            <w:tcW w:w="1043"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37,6</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37,8</w:t>
            </w:r>
          </w:p>
        </w:tc>
        <w:tc>
          <w:tcPr>
            <w:tcW w:w="9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37,1</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36,8</w:t>
            </w:r>
          </w:p>
        </w:tc>
        <w:tc>
          <w:tcPr>
            <w:tcW w:w="946" w:type="dxa"/>
            <w:tcBorders>
              <w:top w:val="single" w:sz="4" w:space="0" w:color="auto"/>
              <w:left w:val="single" w:sz="4" w:space="0" w:color="auto"/>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35,7</w:t>
            </w:r>
          </w:p>
        </w:tc>
      </w:tr>
      <w:tr w:rsidR="00F14E08" w:rsidRPr="00623C3B" w:rsidTr="0032263D">
        <w:trPr>
          <w:trHeight w:val="268"/>
          <w:jc w:val="center"/>
        </w:trPr>
        <w:tc>
          <w:tcPr>
            <w:tcW w:w="3148" w:type="dxa"/>
            <w:vAlign w:val="center"/>
          </w:tcPr>
          <w:p w:rsidR="00F14E08" w:rsidRPr="00623C3B" w:rsidRDefault="00F14E08" w:rsidP="00623C3B">
            <w:pPr>
              <w:pStyle w:val="tabteksts"/>
              <w:rPr>
                <w:snapToGrid w:val="0"/>
                <w:sz w:val="24"/>
                <w:szCs w:val="24"/>
              </w:rPr>
            </w:pPr>
            <w:r w:rsidRPr="00623C3B">
              <w:rPr>
                <w:snapToGrid w:val="0"/>
                <w:sz w:val="24"/>
                <w:szCs w:val="24"/>
              </w:rPr>
              <w:t>Procentu izdevumi</w:t>
            </w:r>
          </w:p>
        </w:tc>
        <w:tc>
          <w:tcPr>
            <w:tcW w:w="1158" w:type="dxa"/>
            <w:vAlign w:val="center"/>
          </w:tcPr>
          <w:p w:rsidR="00F14E08" w:rsidRPr="00623C3B" w:rsidRDefault="00F14E08" w:rsidP="00DB2217">
            <w:pPr>
              <w:pStyle w:val="tabteksts"/>
              <w:jc w:val="center"/>
              <w:rPr>
                <w:sz w:val="24"/>
                <w:szCs w:val="24"/>
              </w:rPr>
            </w:pPr>
            <w:r w:rsidRPr="00623C3B">
              <w:rPr>
                <w:sz w:val="24"/>
                <w:szCs w:val="24"/>
              </w:rPr>
              <w:t>D.41</w:t>
            </w:r>
          </w:p>
        </w:tc>
        <w:tc>
          <w:tcPr>
            <w:tcW w:w="10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1,0</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0,8</w:t>
            </w:r>
          </w:p>
        </w:tc>
        <w:tc>
          <w:tcPr>
            <w:tcW w:w="943"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0,9</w:t>
            </w:r>
          </w:p>
        </w:tc>
        <w:tc>
          <w:tcPr>
            <w:tcW w:w="944" w:type="dxa"/>
            <w:tcBorders>
              <w:top w:val="single" w:sz="4" w:space="0" w:color="auto"/>
              <w:left w:val="nil"/>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0,9</w:t>
            </w:r>
          </w:p>
        </w:tc>
        <w:tc>
          <w:tcPr>
            <w:tcW w:w="946" w:type="dxa"/>
            <w:tcBorders>
              <w:top w:val="single" w:sz="4" w:space="0" w:color="auto"/>
              <w:left w:val="single" w:sz="4" w:space="0" w:color="auto"/>
              <w:bottom w:val="single" w:sz="4" w:space="0" w:color="auto"/>
              <w:right w:val="single" w:sz="4" w:space="0" w:color="auto"/>
            </w:tcBorders>
            <w:vAlign w:val="center"/>
          </w:tcPr>
          <w:p w:rsidR="00F14E08" w:rsidRPr="00623C3B" w:rsidRDefault="00F14E08" w:rsidP="00DB2217">
            <w:pPr>
              <w:pStyle w:val="tabteksts"/>
              <w:jc w:val="center"/>
              <w:rPr>
                <w:snapToGrid w:val="0"/>
                <w:sz w:val="24"/>
                <w:szCs w:val="24"/>
              </w:rPr>
            </w:pPr>
            <w:r w:rsidRPr="00623C3B">
              <w:rPr>
                <w:snapToGrid w:val="0"/>
                <w:sz w:val="24"/>
                <w:szCs w:val="24"/>
              </w:rPr>
              <w:t>0,8</w:t>
            </w:r>
          </w:p>
        </w:tc>
      </w:tr>
      <w:tr w:rsidR="00F14E08" w:rsidRPr="00623C3B" w:rsidTr="0032263D">
        <w:trPr>
          <w:trHeight w:val="268"/>
          <w:jc w:val="center"/>
        </w:trPr>
        <w:tc>
          <w:tcPr>
            <w:tcW w:w="9126" w:type="dxa"/>
            <w:gridSpan w:val="7"/>
            <w:vAlign w:val="center"/>
          </w:tcPr>
          <w:p w:rsidR="00F14E08" w:rsidRPr="00623C3B" w:rsidRDefault="00F14E08" w:rsidP="00623C3B">
            <w:pPr>
              <w:ind w:firstLine="720"/>
              <w:jc w:val="center"/>
              <w:rPr>
                <w:b/>
                <w:snapToGrid w:val="0"/>
                <w:sz w:val="24"/>
                <w:szCs w:val="24"/>
              </w:rPr>
            </w:pPr>
            <w:r w:rsidRPr="00623C3B">
              <w:rPr>
                <w:b/>
                <w:snapToGrid w:val="0"/>
                <w:sz w:val="24"/>
                <w:szCs w:val="24"/>
              </w:rPr>
              <w:t>Cikliskā attīstība</w:t>
            </w:r>
          </w:p>
        </w:tc>
      </w:tr>
      <w:tr w:rsidR="00F14E08" w:rsidRPr="00623C3B" w:rsidTr="0032263D">
        <w:trPr>
          <w:trHeight w:val="537"/>
          <w:jc w:val="center"/>
        </w:trPr>
        <w:tc>
          <w:tcPr>
            <w:tcW w:w="3148" w:type="dxa"/>
            <w:shd w:val="clear" w:color="auto" w:fill="auto"/>
            <w:vAlign w:val="center"/>
          </w:tcPr>
          <w:p w:rsidR="00F14E08" w:rsidRPr="00623C3B" w:rsidRDefault="00F14E08" w:rsidP="00623C3B">
            <w:pPr>
              <w:pStyle w:val="tabteksts"/>
              <w:rPr>
                <w:snapToGrid w:val="0"/>
                <w:sz w:val="24"/>
                <w:szCs w:val="24"/>
              </w:rPr>
            </w:pPr>
            <w:r w:rsidRPr="00623C3B">
              <w:rPr>
                <w:snapToGrid w:val="0"/>
                <w:sz w:val="24"/>
                <w:szCs w:val="24"/>
              </w:rPr>
              <w:t xml:space="preserve">Budžeta bilances cikliskā komponente </w:t>
            </w:r>
          </w:p>
        </w:tc>
        <w:tc>
          <w:tcPr>
            <w:tcW w:w="1158" w:type="dxa"/>
            <w:tcBorders>
              <w:right w:val="single" w:sz="4" w:space="0" w:color="auto"/>
            </w:tcBorders>
            <w:shd w:val="clear" w:color="auto" w:fill="auto"/>
            <w:vAlign w:val="center"/>
          </w:tcPr>
          <w:p w:rsidR="00F14E08" w:rsidRPr="00623C3B" w:rsidRDefault="00F14E08" w:rsidP="00DB2217">
            <w:pPr>
              <w:pStyle w:val="tabteksts"/>
              <w:jc w:val="center"/>
              <w:rPr>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0,2</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0,4</w:t>
            </w:r>
          </w:p>
        </w:tc>
        <w:tc>
          <w:tcPr>
            <w:tcW w:w="943"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0,4</w:t>
            </w:r>
          </w:p>
        </w:tc>
        <w:tc>
          <w:tcPr>
            <w:tcW w:w="944"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0,1</w:t>
            </w:r>
          </w:p>
        </w:tc>
      </w:tr>
      <w:tr w:rsidR="00F14E08" w:rsidRPr="00623C3B" w:rsidTr="0032263D">
        <w:trPr>
          <w:trHeight w:val="158"/>
          <w:jc w:val="center"/>
        </w:trPr>
        <w:tc>
          <w:tcPr>
            <w:tcW w:w="3148" w:type="dxa"/>
            <w:shd w:val="clear" w:color="auto" w:fill="auto"/>
            <w:vAlign w:val="center"/>
          </w:tcPr>
          <w:p w:rsidR="00F14E08" w:rsidRPr="00623C3B" w:rsidRDefault="00F14E08" w:rsidP="00623C3B">
            <w:pPr>
              <w:pStyle w:val="tabteksts"/>
              <w:rPr>
                <w:snapToGrid w:val="0"/>
                <w:sz w:val="24"/>
                <w:szCs w:val="24"/>
              </w:rPr>
            </w:pPr>
            <w:r w:rsidRPr="00623C3B">
              <w:rPr>
                <w:snapToGrid w:val="0"/>
                <w:sz w:val="24"/>
                <w:szCs w:val="24"/>
              </w:rPr>
              <w:t>Strukturālā bilance*</w:t>
            </w:r>
          </w:p>
        </w:tc>
        <w:tc>
          <w:tcPr>
            <w:tcW w:w="1158" w:type="dxa"/>
            <w:tcBorders>
              <w:right w:val="single" w:sz="4" w:space="0" w:color="auto"/>
            </w:tcBorders>
            <w:shd w:val="clear" w:color="auto" w:fill="auto"/>
            <w:vAlign w:val="center"/>
          </w:tcPr>
          <w:p w:rsidR="00F14E08" w:rsidRPr="00623C3B" w:rsidRDefault="00F14E08" w:rsidP="00DB2217">
            <w:pPr>
              <w:pStyle w:val="tabteksts"/>
              <w:jc w:val="center"/>
              <w:rPr>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-0,7</w:t>
            </w:r>
          </w:p>
        </w:tc>
        <w:tc>
          <w:tcPr>
            <w:tcW w:w="944"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-1,</w:t>
            </w:r>
            <w:r w:rsidR="00946603" w:rsidRPr="00623C3B">
              <w:rPr>
                <w:snapToGrid w:val="0"/>
                <w:sz w:val="24"/>
                <w:szCs w:val="24"/>
              </w:rPr>
              <w:t>4</w:t>
            </w:r>
          </w:p>
        </w:tc>
        <w:tc>
          <w:tcPr>
            <w:tcW w:w="943"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-1,3</w:t>
            </w:r>
          </w:p>
        </w:tc>
        <w:tc>
          <w:tcPr>
            <w:tcW w:w="944"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-0,7</w:t>
            </w:r>
          </w:p>
        </w:tc>
        <w:tc>
          <w:tcPr>
            <w:tcW w:w="946"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-0,5</w:t>
            </w:r>
          </w:p>
        </w:tc>
      </w:tr>
      <w:tr w:rsidR="00F14E08" w:rsidRPr="00623C3B" w:rsidTr="0032263D">
        <w:trPr>
          <w:trHeight w:val="537"/>
          <w:jc w:val="center"/>
        </w:trPr>
        <w:tc>
          <w:tcPr>
            <w:tcW w:w="3148" w:type="dxa"/>
            <w:shd w:val="clear" w:color="auto" w:fill="auto"/>
            <w:vAlign w:val="center"/>
          </w:tcPr>
          <w:p w:rsidR="00F14E08" w:rsidRPr="00623C3B" w:rsidRDefault="00F14E08" w:rsidP="00623C3B">
            <w:pPr>
              <w:pStyle w:val="tabteksts"/>
              <w:rPr>
                <w:snapToGrid w:val="0"/>
                <w:sz w:val="24"/>
                <w:szCs w:val="24"/>
              </w:rPr>
            </w:pPr>
            <w:r w:rsidRPr="00623C3B">
              <w:rPr>
                <w:snapToGrid w:val="0"/>
                <w:sz w:val="24"/>
                <w:szCs w:val="24"/>
              </w:rPr>
              <w:t>Cikliski koriģētā primārā bilance</w:t>
            </w:r>
          </w:p>
        </w:tc>
        <w:tc>
          <w:tcPr>
            <w:tcW w:w="1158" w:type="dxa"/>
            <w:tcBorders>
              <w:right w:val="single" w:sz="4" w:space="0" w:color="auto"/>
            </w:tcBorders>
            <w:shd w:val="clear" w:color="auto" w:fill="auto"/>
            <w:vAlign w:val="center"/>
          </w:tcPr>
          <w:p w:rsidR="00F14E08" w:rsidRPr="00623C3B" w:rsidRDefault="00F14E08" w:rsidP="00DB2217">
            <w:pPr>
              <w:pStyle w:val="tabteksts"/>
              <w:jc w:val="center"/>
              <w:rPr>
                <w:sz w:val="24"/>
                <w:szCs w:val="24"/>
              </w:rPr>
            </w:pPr>
          </w:p>
        </w:tc>
        <w:tc>
          <w:tcPr>
            <w:tcW w:w="1043" w:type="dxa"/>
            <w:tcBorders>
              <w:top w:val="single" w:sz="4" w:space="0" w:color="auto"/>
              <w:left w:val="single" w:sz="4" w:space="0" w:color="auto"/>
              <w:bottom w:val="single" w:sz="4" w:space="0" w:color="auto"/>
              <w:right w:val="nil"/>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0,3</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-0,5</w:t>
            </w:r>
          </w:p>
        </w:tc>
        <w:tc>
          <w:tcPr>
            <w:tcW w:w="943"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-0,4</w:t>
            </w:r>
          </w:p>
        </w:tc>
        <w:tc>
          <w:tcPr>
            <w:tcW w:w="944"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0,2</w:t>
            </w:r>
          </w:p>
        </w:tc>
        <w:tc>
          <w:tcPr>
            <w:tcW w:w="946" w:type="dxa"/>
            <w:tcBorders>
              <w:top w:val="single" w:sz="4" w:space="0" w:color="auto"/>
              <w:left w:val="nil"/>
              <w:bottom w:val="single" w:sz="4" w:space="0" w:color="auto"/>
              <w:right w:val="single" w:sz="4" w:space="0" w:color="auto"/>
            </w:tcBorders>
            <w:shd w:val="clear" w:color="auto" w:fill="auto"/>
            <w:vAlign w:val="center"/>
          </w:tcPr>
          <w:p w:rsidR="00F14E08" w:rsidRPr="00623C3B" w:rsidRDefault="00F14E08" w:rsidP="00DB2217">
            <w:pPr>
              <w:pStyle w:val="tabteksts"/>
              <w:jc w:val="center"/>
              <w:rPr>
                <w:snapToGrid w:val="0"/>
                <w:sz w:val="24"/>
                <w:szCs w:val="24"/>
              </w:rPr>
            </w:pPr>
            <w:r w:rsidRPr="00623C3B">
              <w:rPr>
                <w:snapToGrid w:val="0"/>
                <w:sz w:val="24"/>
                <w:szCs w:val="24"/>
              </w:rPr>
              <w:t>0,3</w:t>
            </w:r>
          </w:p>
        </w:tc>
      </w:tr>
    </w:tbl>
    <w:p w:rsidR="00B9413F" w:rsidRPr="00B9413F" w:rsidRDefault="00F14E08" w:rsidP="00B9413F">
      <w:pPr>
        <w:pStyle w:val="T"/>
        <w:spacing w:after="0"/>
        <w:ind w:left="0"/>
        <w:jc w:val="both"/>
        <w:rPr>
          <w:rFonts w:ascii="Times New Roman" w:hAnsi="Times New Roman"/>
          <w:b w:val="0"/>
          <w:color w:val="000000"/>
          <w:szCs w:val="24"/>
        </w:rPr>
      </w:pPr>
      <w:r>
        <w:rPr>
          <w:rFonts w:ascii="Times New Roman" w:hAnsi="Times New Roman"/>
          <w:color w:val="000000"/>
          <w:sz w:val="20"/>
          <w:szCs w:val="24"/>
        </w:rPr>
        <w:t xml:space="preserve">* </w:t>
      </w:r>
      <w:r w:rsidRPr="00BA7E71">
        <w:rPr>
          <w:rFonts w:ascii="Times New Roman" w:hAnsi="Times New Roman"/>
          <w:b w:val="0"/>
          <w:color w:val="000000"/>
          <w:sz w:val="20"/>
        </w:rPr>
        <w:t xml:space="preserve">strukturālā bilance uzrādīta, tajā iekļaujot vienreizējo pasākumu </w:t>
      </w:r>
      <w:r w:rsidR="00847835" w:rsidRPr="00847835">
        <w:rPr>
          <w:rFonts w:ascii="Times New Roman" w:hAnsi="Times New Roman"/>
          <w:b w:val="0"/>
          <w:color w:val="000000"/>
          <w:sz w:val="20"/>
        </w:rPr>
        <w:t xml:space="preserve">– </w:t>
      </w:r>
      <w:r w:rsidRPr="00BA7E71">
        <w:rPr>
          <w:rFonts w:ascii="Times New Roman" w:hAnsi="Times New Roman"/>
          <w:b w:val="0"/>
          <w:color w:val="000000"/>
          <w:sz w:val="20"/>
        </w:rPr>
        <w:t xml:space="preserve">nodokļu reformas izsaukto bilances </w:t>
      </w:r>
      <w:r>
        <w:rPr>
          <w:rFonts w:ascii="Times New Roman" w:hAnsi="Times New Roman"/>
          <w:b w:val="0"/>
          <w:color w:val="000000"/>
          <w:sz w:val="20"/>
        </w:rPr>
        <w:t>īstermiņa</w:t>
      </w:r>
      <w:r w:rsidRPr="00BA7E71">
        <w:rPr>
          <w:rFonts w:ascii="Times New Roman" w:hAnsi="Times New Roman"/>
          <w:b w:val="0"/>
          <w:color w:val="000000"/>
          <w:sz w:val="20"/>
        </w:rPr>
        <w:t xml:space="preserve"> samazinājumu, jo saskaņā</w:t>
      </w:r>
      <w:r w:rsidR="00C77A46">
        <w:rPr>
          <w:rFonts w:ascii="Times New Roman" w:hAnsi="Times New Roman"/>
          <w:b w:val="0"/>
          <w:color w:val="000000"/>
          <w:sz w:val="20"/>
        </w:rPr>
        <w:t xml:space="preserve"> ar SIP noteikumu piemērošanas </w:t>
      </w:r>
      <w:r w:rsidRPr="00BA7E71">
        <w:rPr>
          <w:rFonts w:ascii="Times New Roman" w:hAnsi="Times New Roman"/>
          <w:b w:val="0"/>
          <w:color w:val="000000"/>
          <w:sz w:val="20"/>
        </w:rPr>
        <w:t>praksi, EK to neatzīs par vienreizēj</w:t>
      </w:r>
      <w:r>
        <w:rPr>
          <w:rFonts w:ascii="Times New Roman" w:hAnsi="Times New Roman"/>
          <w:b w:val="0"/>
          <w:color w:val="000000"/>
          <w:sz w:val="20"/>
        </w:rPr>
        <w:t>u</w:t>
      </w:r>
      <w:r w:rsidRPr="00BA7E71">
        <w:rPr>
          <w:rFonts w:ascii="Times New Roman" w:hAnsi="Times New Roman"/>
          <w:b w:val="0"/>
          <w:color w:val="000000"/>
          <w:sz w:val="20"/>
        </w:rPr>
        <w:t xml:space="preserve"> pasākumu (</w:t>
      </w:r>
      <w:r w:rsidRPr="00735212">
        <w:rPr>
          <w:rFonts w:ascii="Times New Roman" w:hAnsi="Times New Roman"/>
          <w:b w:val="0"/>
          <w:i/>
          <w:color w:val="000000"/>
          <w:sz w:val="20"/>
        </w:rPr>
        <w:t>one</w:t>
      </w:r>
      <w:r w:rsidR="00847835" w:rsidRPr="00F14E08">
        <w:rPr>
          <w:rFonts w:ascii="Times New Roman" w:eastAsia="Calibri" w:hAnsi="Times New Roman"/>
          <w:szCs w:val="24"/>
        </w:rPr>
        <w:t>–</w:t>
      </w:r>
      <w:r w:rsidRPr="00735212">
        <w:rPr>
          <w:rFonts w:ascii="Times New Roman" w:hAnsi="Times New Roman"/>
          <w:b w:val="0"/>
          <w:i/>
          <w:color w:val="000000"/>
          <w:sz w:val="20"/>
        </w:rPr>
        <w:t>off</w:t>
      </w:r>
      <w:r w:rsidRPr="00BA7E71">
        <w:rPr>
          <w:rFonts w:ascii="Times New Roman" w:hAnsi="Times New Roman"/>
          <w:b w:val="0"/>
          <w:color w:val="000000"/>
          <w:sz w:val="20"/>
        </w:rPr>
        <w:t>).</w:t>
      </w:r>
    </w:p>
    <w:p w:rsidR="00F14E08" w:rsidRDefault="00F14E08" w:rsidP="00B9413F">
      <w:pPr>
        <w:spacing w:before="120" w:after="0" w:line="240" w:lineRule="auto"/>
        <w:ind w:firstLine="720"/>
        <w:jc w:val="both"/>
        <w:rPr>
          <w:rFonts w:ascii="Times New Roman" w:eastAsia="Times New Roman" w:hAnsi="Times New Roman" w:cs="Times New Roman"/>
          <w:sz w:val="24"/>
          <w:szCs w:val="24"/>
        </w:rPr>
      </w:pPr>
      <w:r w:rsidRPr="00F14E08">
        <w:rPr>
          <w:rFonts w:ascii="Times New Roman" w:eastAsia="Times New Roman" w:hAnsi="Times New Roman" w:cs="Times New Roman"/>
          <w:sz w:val="24"/>
          <w:szCs w:val="24"/>
        </w:rPr>
        <w:t>Fiskālās attīstības scenārijā tiek pieņemts, ka 2019. un 2020. gadā nepieciešamā budžeta konsolidācija tiek veikta uz centrālās valdības izdevumu samazināšanas rēķina, savukārt 2021. gadā pieejamā fiskālā telpa tiek izmantota centrālās valdības papildus izdevumiem. Tiek pieņemts, ka fiskālā nodrošinājuma rezerve tiek izlietota</w:t>
      </w:r>
      <w:r w:rsidR="00CF6F1B">
        <w:rPr>
          <w:rFonts w:ascii="Times New Roman" w:eastAsia="Times New Roman" w:hAnsi="Times New Roman" w:cs="Times New Roman"/>
          <w:sz w:val="24"/>
          <w:szCs w:val="24"/>
        </w:rPr>
        <w:t xml:space="preserve"> – t.i., iestājas fis</w:t>
      </w:r>
      <w:r w:rsidR="00C47E13">
        <w:rPr>
          <w:rFonts w:ascii="Times New Roman" w:eastAsia="Times New Roman" w:hAnsi="Times New Roman" w:cs="Times New Roman"/>
          <w:sz w:val="24"/>
          <w:szCs w:val="24"/>
        </w:rPr>
        <w:t>kālie riski 0,1% no IKP apmērā.</w:t>
      </w:r>
      <w:r w:rsidRPr="00F14E08">
        <w:rPr>
          <w:rFonts w:ascii="Times New Roman" w:eastAsia="Times New Roman" w:hAnsi="Times New Roman" w:cs="Times New Roman"/>
          <w:sz w:val="24"/>
          <w:szCs w:val="24"/>
        </w:rPr>
        <w:t xml:space="preserve"> Tā kā lēmumi par budžeta attīstības sadaļu tiek pieņemti budžeta veidošanas procesā un pašlaik tie nav zināmi, tiek pieņemts, ka nepieciešamais </w:t>
      </w:r>
      <w:r w:rsidRPr="00F14E08">
        <w:rPr>
          <w:rFonts w:ascii="Times New Roman" w:eastAsia="Times New Roman" w:hAnsi="Times New Roman" w:cs="Times New Roman"/>
          <w:sz w:val="24"/>
          <w:szCs w:val="24"/>
        </w:rPr>
        <w:lastRenderedPageBreak/>
        <w:t>izdevumu samazinājums 2019. un 2020. gadā un izdevumu palielinājums 2021. gadā tiek veikts proporcionāli pa izdevumu kategorijām attiecīgajos gados, par pamatu pieņemot atsevišķu izdevumu kategoriju proporciju pret kopējiem izdevumiem pie nemainīgas politikas scenārija. Aprēķinot atsevišķu izdevumu kategoriju proporciju pret kopējiem izdevumiem pie nemainīgas politikas scenārija, no aprēķina tiek izslēgtas sekojošas izdevumu kategorijas: procentu izdevumi un kapitālo izdevumu transferti. Šāda pieeja tiek izmantota, jo tiek pieņemts, ka budžeta attīstības daļas lēmumi uz šīs izdevumu kategorijas neskar.</w:t>
      </w:r>
    </w:p>
    <w:p w:rsidR="00F14E08" w:rsidRPr="00F14E08" w:rsidRDefault="00F14E08" w:rsidP="00F14E08">
      <w:pPr>
        <w:spacing w:before="120" w:after="0" w:line="240" w:lineRule="auto"/>
        <w:ind w:firstLine="720"/>
        <w:jc w:val="right"/>
        <w:rPr>
          <w:rFonts w:ascii="Times New Roman" w:eastAsiaTheme="minorHAnsi" w:hAnsi="Times New Roman" w:cs="Times New Roman"/>
          <w:b/>
          <w:sz w:val="24"/>
          <w:szCs w:val="24"/>
        </w:rPr>
      </w:pPr>
      <w:r w:rsidRPr="00F14E08">
        <w:rPr>
          <w:rFonts w:ascii="Times New Roman" w:eastAsiaTheme="minorHAnsi" w:hAnsi="Times New Roman" w:cs="Times New Roman"/>
          <w:b/>
          <w:sz w:val="24"/>
          <w:szCs w:val="24"/>
        </w:rPr>
        <w:t>3.</w:t>
      </w:r>
      <w:r w:rsidR="009C44D7">
        <w:rPr>
          <w:rFonts w:ascii="Times New Roman" w:eastAsiaTheme="minorHAnsi" w:hAnsi="Times New Roman" w:cs="Times New Roman"/>
          <w:b/>
          <w:sz w:val="24"/>
          <w:szCs w:val="24"/>
        </w:rPr>
        <w:t>26</w:t>
      </w:r>
      <w:r w:rsidRPr="00F14E08">
        <w:rPr>
          <w:rFonts w:ascii="Times New Roman" w:eastAsiaTheme="minorHAnsi" w:hAnsi="Times New Roman" w:cs="Times New Roman"/>
          <w:b/>
          <w:sz w:val="24"/>
          <w:szCs w:val="24"/>
        </w:rPr>
        <w:t>.tabula. Fiskālā telpa</w:t>
      </w:r>
    </w:p>
    <w:tbl>
      <w:tblPr>
        <w:tblW w:w="9072" w:type="dxa"/>
        <w:jc w:val="center"/>
        <w:tblLayout w:type="fixed"/>
        <w:tblCellMar>
          <w:left w:w="0" w:type="dxa"/>
          <w:right w:w="0" w:type="dxa"/>
        </w:tblCellMar>
        <w:tblLook w:val="0600" w:firstRow="0" w:lastRow="0" w:firstColumn="0" w:lastColumn="0" w:noHBand="1" w:noVBand="1"/>
      </w:tblPr>
      <w:tblGrid>
        <w:gridCol w:w="5660"/>
        <w:gridCol w:w="1134"/>
        <w:gridCol w:w="1134"/>
        <w:gridCol w:w="1144"/>
      </w:tblGrid>
      <w:tr w:rsidR="00F14E08" w:rsidRPr="00F14E08" w:rsidTr="00044EB5">
        <w:trPr>
          <w:trHeight w:val="261"/>
          <w:jc w:val="center"/>
        </w:trPr>
        <w:tc>
          <w:tcPr>
            <w:tcW w:w="5660" w:type="dxa"/>
            <w:tcBorders>
              <w:top w:val="single" w:sz="8" w:space="0" w:color="9CC2E5"/>
              <w:left w:val="single" w:sz="8" w:space="0" w:color="9CC2E5"/>
              <w:bottom w:val="single" w:sz="12"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ind w:firstLine="720"/>
              <w:rPr>
                <w:rFonts w:ascii="Times New Roman" w:eastAsiaTheme="minorHAnsi" w:hAnsi="Times New Roman" w:cs="Times New Roman"/>
                <w:b/>
                <w:szCs w:val="24"/>
              </w:rPr>
            </w:pPr>
          </w:p>
        </w:tc>
        <w:tc>
          <w:tcPr>
            <w:tcW w:w="1134" w:type="dxa"/>
            <w:tcBorders>
              <w:top w:val="single" w:sz="8" w:space="0" w:color="9CC2E5"/>
              <w:left w:val="single" w:sz="8" w:space="0" w:color="9CC2E5"/>
              <w:bottom w:val="single" w:sz="12"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2019</w:t>
            </w:r>
          </w:p>
        </w:tc>
        <w:tc>
          <w:tcPr>
            <w:tcW w:w="1134" w:type="dxa"/>
            <w:tcBorders>
              <w:top w:val="single" w:sz="8" w:space="0" w:color="9CC2E5"/>
              <w:left w:val="single" w:sz="8" w:space="0" w:color="9CC2E5"/>
              <w:bottom w:val="single" w:sz="12"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2020</w:t>
            </w:r>
          </w:p>
        </w:tc>
        <w:tc>
          <w:tcPr>
            <w:tcW w:w="1144" w:type="dxa"/>
            <w:tcBorders>
              <w:top w:val="single" w:sz="8" w:space="0" w:color="9CC2E5"/>
              <w:left w:val="single" w:sz="8" w:space="0" w:color="9CC2E5"/>
              <w:bottom w:val="single" w:sz="12"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2021</w:t>
            </w:r>
          </w:p>
        </w:tc>
      </w:tr>
      <w:tr w:rsidR="00F14E08" w:rsidRPr="00F14E08" w:rsidTr="00044EB5">
        <w:trPr>
          <w:trHeight w:val="555"/>
          <w:jc w:val="center"/>
        </w:trPr>
        <w:tc>
          <w:tcPr>
            <w:tcW w:w="5660" w:type="dxa"/>
            <w:tcBorders>
              <w:top w:val="single" w:sz="12"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rPr>
                <w:rFonts w:ascii="Times New Roman" w:eastAsiaTheme="minorHAnsi" w:hAnsi="Times New Roman" w:cs="Times New Roman"/>
                <w:szCs w:val="24"/>
              </w:rPr>
            </w:pPr>
            <w:r w:rsidRPr="00F14E08">
              <w:rPr>
                <w:rFonts w:ascii="Times New Roman" w:eastAsiaTheme="minorHAnsi" w:hAnsi="Times New Roman" w:cs="Times New Roman"/>
                <w:szCs w:val="24"/>
              </w:rPr>
              <w:t>Vispārējās valdības budžeta bilances mērķis, % no IKP</w:t>
            </w:r>
          </w:p>
        </w:tc>
        <w:tc>
          <w:tcPr>
            <w:tcW w:w="1134" w:type="dxa"/>
            <w:tcBorders>
              <w:top w:val="single" w:sz="12"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-0,91</w:t>
            </w:r>
          </w:p>
        </w:tc>
        <w:tc>
          <w:tcPr>
            <w:tcW w:w="1134" w:type="dxa"/>
            <w:tcBorders>
              <w:top w:val="single" w:sz="12"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-0,42</w:t>
            </w:r>
          </w:p>
        </w:tc>
        <w:tc>
          <w:tcPr>
            <w:tcW w:w="1144" w:type="dxa"/>
            <w:tcBorders>
              <w:top w:val="single" w:sz="12"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-0,37</w:t>
            </w:r>
          </w:p>
        </w:tc>
      </w:tr>
      <w:tr w:rsidR="00F14E08" w:rsidRPr="00F14E08" w:rsidTr="00044EB5">
        <w:trPr>
          <w:trHeight w:val="178"/>
          <w:jc w:val="center"/>
        </w:trPr>
        <w:tc>
          <w:tcPr>
            <w:tcW w:w="5660"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rPr>
                <w:rFonts w:ascii="Times New Roman" w:eastAsiaTheme="minorHAnsi" w:hAnsi="Times New Roman" w:cs="Times New Roman"/>
                <w:szCs w:val="24"/>
              </w:rPr>
            </w:pPr>
            <w:r w:rsidRPr="00F14E08">
              <w:rPr>
                <w:rFonts w:ascii="Times New Roman" w:eastAsiaTheme="minorHAnsi" w:hAnsi="Times New Roman" w:cs="Times New Roman"/>
                <w:szCs w:val="24"/>
              </w:rPr>
              <w:t>Vispārējās valdības budžeta bilance pie nemainīgas politikas, % no IKP</w:t>
            </w:r>
          </w:p>
        </w:tc>
        <w:tc>
          <w:tcPr>
            <w:tcW w:w="113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-0,96</w:t>
            </w:r>
          </w:p>
        </w:tc>
        <w:tc>
          <w:tcPr>
            <w:tcW w:w="113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-0,44</w:t>
            </w:r>
          </w:p>
        </w:tc>
        <w:tc>
          <w:tcPr>
            <w:tcW w:w="114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-0,26</w:t>
            </w:r>
          </w:p>
        </w:tc>
      </w:tr>
      <w:tr w:rsidR="00F14E08" w:rsidRPr="00F14E08" w:rsidTr="00044EB5">
        <w:trPr>
          <w:trHeight w:val="91"/>
          <w:jc w:val="center"/>
        </w:trPr>
        <w:tc>
          <w:tcPr>
            <w:tcW w:w="5660"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rPr>
                <w:rFonts w:ascii="Times New Roman" w:eastAsiaTheme="minorHAnsi" w:hAnsi="Times New Roman" w:cs="Times New Roman"/>
                <w:szCs w:val="24"/>
              </w:rPr>
            </w:pPr>
            <w:r w:rsidRPr="00F14E08">
              <w:rPr>
                <w:rFonts w:ascii="Times New Roman" w:eastAsiaTheme="minorHAnsi" w:hAnsi="Times New Roman" w:cs="Times New Roman"/>
                <w:szCs w:val="24"/>
              </w:rPr>
              <w:t>Fiskālā nodrošinājuma rezerve, % no IKP</w:t>
            </w:r>
          </w:p>
        </w:tc>
        <w:tc>
          <w:tcPr>
            <w:tcW w:w="113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0,10</w:t>
            </w:r>
          </w:p>
        </w:tc>
        <w:tc>
          <w:tcPr>
            <w:tcW w:w="113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0,10</w:t>
            </w:r>
          </w:p>
        </w:tc>
        <w:tc>
          <w:tcPr>
            <w:tcW w:w="114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szCs w:val="24"/>
              </w:rPr>
            </w:pPr>
            <w:r w:rsidRPr="00F14E08">
              <w:rPr>
                <w:rFonts w:ascii="Times New Roman" w:eastAsiaTheme="minorHAnsi" w:hAnsi="Times New Roman" w:cs="Times New Roman"/>
                <w:szCs w:val="24"/>
              </w:rPr>
              <w:t>0,10</w:t>
            </w:r>
          </w:p>
        </w:tc>
      </w:tr>
      <w:tr w:rsidR="00F14E08" w:rsidRPr="00F14E08" w:rsidTr="00044EB5">
        <w:trPr>
          <w:trHeight w:val="124"/>
          <w:jc w:val="center"/>
        </w:trPr>
        <w:tc>
          <w:tcPr>
            <w:tcW w:w="5660"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rPr>
                <w:rFonts w:ascii="Times New Roman" w:eastAsiaTheme="minorHAnsi" w:hAnsi="Times New Roman" w:cs="Times New Roman"/>
                <w:b/>
                <w:szCs w:val="24"/>
              </w:rPr>
            </w:pPr>
            <w:r w:rsidRPr="00F14E08">
              <w:rPr>
                <w:rFonts w:ascii="Times New Roman" w:eastAsiaTheme="minorHAnsi" w:hAnsi="Times New Roman" w:cs="Times New Roman"/>
                <w:b/>
                <w:bCs/>
                <w:szCs w:val="24"/>
              </w:rPr>
              <w:t>Fiskālā telpa, % no IKP</w:t>
            </w:r>
          </w:p>
        </w:tc>
        <w:tc>
          <w:tcPr>
            <w:tcW w:w="113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-0,15</w:t>
            </w:r>
          </w:p>
        </w:tc>
        <w:tc>
          <w:tcPr>
            <w:tcW w:w="113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-0,12</w:t>
            </w:r>
          </w:p>
        </w:tc>
        <w:tc>
          <w:tcPr>
            <w:tcW w:w="1144" w:type="dxa"/>
            <w:tcBorders>
              <w:top w:val="single" w:sz="8" w:space="0" w:color="9CC2E5"/>
              <w:left w:val="single" w:sz="8" w:space="0" w:color="9CC2E5"/>
              <w:bottom w:val="single" w:sz="8" w:space="0" w:color="9CC2E5"/>
              <w:right w:val="single" w:sz="8" w:space="0" w:color="9CC2E5"/>
            </w:tcBorders>
            <w:shd w:val="clear" w:color="auto" w:fill="auto"/>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0,01</w:t>
            </w:r>
          </w:p>
        </w:tc>
      </w:tr>
      <w:tr w:rsidR="00F14E08" w:rsidRPr="0093439A" w:rsidTr="00044EB5">
        <w:trPr>
          <w:trHeight w:val="130"/>
          <w:jc w:val="center"/>
        </w:trPr>
        <w:tc>
          <w:tcPr>
            <w:tcW w:w="5660"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rPr>
                <w:rFonts w:ascii="Times New Roman" w:eastAsiaTheme="minorHAnsi" w:hAnsi="Times New Roman" w:cs="Times New Roman"/>
                <w:b/>
                <w:szCs w:val="24"/>
              </w:rPr>
            </w:pPr>
            <w:r w:rsidRPr="00F14E08">
              <w:rPr>
                <w:rFonts w:ascii="Times New Roman" w:eastAsiaTheme="minorHAnsi" w:hAnsi="Times New Roman" w:cs="Times New Roman"/>
                <w:b/>
                <w:bCs/>
                <w:szCs w:val="24"/>
              </w:rPr>
              <w:t xml:space="preserve">Fiskālā telpa, milj. </w:t>
            </w:r>
            <w:r w:rsidRPr="00F14E08">
              <w:rPr>
                <w:rFonts w:ascii="Times New Roman" w:eastAsiaTheme="minorHAnsi" w:hAnsi="Times New Roman" w:cs="Times New Roman"/>
                <w:b/>
                <w:bCs/>
                <w:i/>
                <w:iCs/>
                <w:szCs w:val="24"/>
              </w:rPr>
              <w:t>euro</w:t>
            </w:r>
          </w:p>
        </w:tc>
        <w:tc>
          <w:tcPr>
            <w:tcW w:w="113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-45,2</w:t>
            </w:r>
          </w:p>
        </w:tc>
        <w:tc>
          <w:tcPr>
            <w:tcW w:w="113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F14E08"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-37,8</w:t>
            </w:r>
          </w:p>
        </w:tc>
        <w:tc>
          <w:tcPr>
            <w:tcW w:w="1144" w:type="dxa"/>
            <w:tcBorders>
              <w:top w:val="single" w:sz="8" w:space="0" w:color="9CC2E5"/>
              <w:left w:val="single" w:sz="8" w:space="0" w:color="9CC2E5"/>
              <w:bottom w:val="single" w:sz="8" w:space="0" w:color="9CC2E5"/>
              <w:right w:val="single" w:sz="8" w:space="0" w:color="9CC2E5"/>
            </w:tcBorders>
            <w:shd w:val="clear" w:color="auto" w:fill="DEEAF6"/>
            <w:tcMar>
              <w:top w:w="15" w:type="dxa"/>
              <w:left w:w="15" w:type="dxa"/>
              <w:bottom w:w="0" w:type="dxa"/>
              <w:right w:w="15" w:type="dxa"/>
            </w:tcMar>
            <w:vAlign w:val="center"/>
            <w:hideMark/>
          </w:tcPr>
          <w:p w:rsidR="00F14E08" w:rsidRPr="00B534AF" w:rsidRDefault="00F14E08" w:rsidP="009C44D7">
            <w:pPr>
              <w:spacing w:after="0" w:line="240" w:lineRule="auto"/>
              <w:jc w:val="center"/>
              <w:rPr>
                <w:rFonts w:ascii="Times New Roman" w:eastAsiaTheme="minorHAnsi" w:hAnsi="Times New Roman" w:cs="Times New Roman"/>
                <w:b/>
                <w:szCs w:val="24"/>
              </w:rPr>
            </w:pPr>
            <w:r w:rsidRPr="00F14E08">
              <w:rPr>
                <w:rFonts w:ascii="Times New Roman" w:eastAsiaTheme="minorHAnsi" w:hAnsi="Times New Roman" w:cs="Times New Roman"/>
                <w:b/>
                <w:bCs/>
                <w:szCs w:val="24"/>
              </w:rPr>
              <w:t>3,2</w:t>
            </w:r>
          </w:p>
        </w:tc>
      </w:tr>
    </w:tbl>
    <w:p w:rsidR="007A117B" w:rsidRPr="007A117B" w:rsidRDefault="007A117B" w:rsidP="00044EB5">
      <w:pPr>
        <w:spacing w:after="0"/>
        <w:jc w:val="both"/>
        <w:rPr>
          <w:rFonts w:ascii="Times New Roman" w:hAnsi="Times New Roman" w:cs="Times New Roman"/>
          <w:sz w:val="24"/>
          <w:szCs w:val="24"/>
        </w:rPr>
      </w:pPr>
    </w:p>
    <w:p w:rsidR="00A34463" w:rsidRDefault="00A34463" w:rsidP="00044EB5">
      <w:pPr>
        <w:pStyle w:val="Heading2"/>
        <w:numPr>
          <w:ilvl w:val="1"/>
          <w:numId w:val="1"/>
        </w:numPr>
        <w:spacing w:before="0" w:after="120"/>
        <w:ind w:left="709"/>
        <w:rPr>
          <w:rFonts w:ascii="Times New Roman" w:hAnsi="Times New Roman" w:cs="Times New Roman"/>
          <w:sz w:val="24"/>
        </w:rPr>
      </w:pPr>
      <w:bookmarkStart w:id="39" w:name="_Toc510790665"/>
      <w:bookmarkStart w:id="40" w:name="_Toc511027825"/>
      <w:r w:rsidRPr="00F51615">
        <w:rPr>
          <w:rFonts w:ascii="Times New Roman" w:hAnsi="Times New Roman" w:cs="Times New Roman"/>
          <w:sz w:val="24"/>
        </w:rPr>
        <w:t>Valdības parāda vidēja termiņa attīstības tendences</w:t>
      </w:r>
      <w:bookmarkEnd w:id="39"/>
      <w:bookmarkEnd w:id="40"/>
    </w:p>
    <w:p w:rsidR="00C869E3" w:rsidRPr="00C869E3" w:rsidRDefault="00C869E3" w:rsidP="00824FFC">
      <w:pPr>
        <w:spacing w:after="0" w:line="240" w:lineRule="auto"/>
        <w:ind w:firstLine="720"/>
        <w:jc w:val="both"/>
        <w:rPr>
          <w:rFonts w:ascii="Times New Roman" w:hAnsi="Times New Roman" w:cs="Times New Roman"/>
          <w:sz w:val="24"/>
          <w:szCs w:val="24"/>
        </w:rPr>
      </w:pPr>
      <w:r w:rsidRPr="00C869E3">
        <w:rPr>
          <w:rFonts w:ascii="Times New Roman" w:hAnsi="Times New Roman" w:cs="Times New Roman"/>
          <w:sz w:val="24"/>
          <w:szCs w:val="24"/>
        </w:rPr>
        <w:t>Saskaņā ar valsts budžeta deficīta un parāda 2018.gada aprīļa notifikācijas datiem, kuri sagatavoti atbilstoši EKS 201</w:t>
      </w:r>
      <w:r w:rsidR="00847835">
        <w:rPr>
          <w:rFonts w:ascii="Times New Roman" w:hAnsi="Times New Roman" w:cs="Times New Roman"/>
          <w:sz w:val="24"/>
          <w:szCs w:val="24"/>
        </w:rPr>
        <w:t>0</w:t>
      </w:r>
      <w:r w:rsidRPr="00C869E3">
        <w:rPr>
          <w:rFonts w:ascii="Times New Roman" w:hAnsi="Times New Roman" w:cs="Times New Roman"/>
          <w:sz w:val="24"/>
          <w:szCs w:val="24"/>
        </w:rPr>
        <w:t xml:space="preserve"> metodoloģijai, vispārējās valdības parāds 2017.gada beigās sasniedza 10,8 mljrd.</w:t>
      </w:r>
      <w:r w:rsidR="00847835">
        <w:rPr>
          <w:rFonts w:ascii="Times New Roman" w:hAnsi="Times New Roman" w:cs="Times New Roman"/>
          <w:sz w:val="24"/>
          <w:szCs w:val="24"/>
        </w:rPr>
        <w:t xml:space="preserve"> </w:t>
      </w:r>
      <w:r w:rsidRPr="00C869E3">
        <w:rPr>
          <w:rFonts w:ascii="Times New Roman" w:hAnsi="Times New Roman" w:cs="Times New Roman"/>
          <w:i/>
          <w:sz w:val="24"/>
          <w:szCs w:val="24"/>
        </w:rPr>
        <w:t>euro</w:t>
      </w:r>
      <w:r w:rsidRPr="00C869E3">
        <w:rPr>
          <w:rFonts w:ascii="Times New Roman" w:hAnsi="Times New Roman" w:cs="Times New Roman"/>
          <w:sz w:val="24"/>
          <w:szCs w:val="24"/>
        </w:rPr>
        <w:t xml:space="preserve"> jeb 40% no iekšzemes kopprodukta. Vispārējās valdības parāda līmeni galvenokārt ietekmē valsts parāds, kas 2017.gada beigās bija 9,6 mljrd.</w:t>
      </w:r>
      <w:r w:rsidRPr="00C869E3">
        <w:rPr>
          <w:rFonts w:ascii="Times New Roman" w:hAnsi="Times New Roman" w:cs="Times New Roman"/>
          <w:i/>
          <w:sz w:val="24"/>
          <w:szCs w:val="24"/>
        </w:rPr>
        <w:t>euro</w:t>
      </w:r>
      <w:r w:rsidRPr="00C869E3">
        <w:rPr>
          <w:rStyle w:val="FootnoteReference"/>
          <w:rFonts w:ascii="Times New Roman" w:hAnsi="Times New Roman" w:cs="Times New Roman"/>
          <w:sz w:val="24"/>
          <w:szCs w:val="24"/>
        </w:rPr>
        <w:footnoteReference w:id="27"/>
      </w:r>
      <w:r w:rsidRPr="00C869E3">
        <w:rPr>
          <w:rFonts w:ascii="Times New Roman" w:hAnsi="Times New Roman" w:cs="Times New Roman"/>
          <w:sz w:val="24"/>
          <w:szCs w:val="24"/>
        </w:rPr>
        <w:t>, bez būtiskām izmaiņām salīdzinājumā ar 2016.gada līmeni, jo 2017.gadā veikta USD obligāciju atmaksa 1</w:t>
      </w:r>
      <w:r w:rsidR="009C44D7">
        <w:rPr>
          <w:rFonts w:ascii="Times New Roman" w:hAnsi="Times New Roman" w:cs="Times New Roman"/>
          <w:sz w:val="24"/>
          <w:szCs w:val="24"/>
        </w:rPr>
        <w:t xml:space="preserve"> </w:t>
      </w:r>
      <w:r w:rsidRPr="00C869E3">
        <w:rPr>
          <w:rFonts w:ascii="Times New Roman" w:hAnsi="Times New Roman" w:cs="Times New Roman"/>
          <w:sz w:val="24"/>
          <w:szCs w:val="24"/>
        </w:rPr>
        <w:t xml:space="preserve">mljrd. ASV dolāru apmērā, izmantojot 2016.gadā starptautiskajos finanšu tirgos emitēto </w:t>
      </w:r>
      <w:r w:rsidR="009F2A3D">
        <w:rPr>
          <w:rFonts w:ascii="Times New Roman" w:hAnsi="Times New Roman" w:cs="Times New Roman"/>
          <w:sz w:val="24"/>
          <w:szCs w:val="24"/>
        </w:rPr>
        <w:t>euro</w:t>
      </w:r>
      <w:r w:rsidR="00847835" w:rsidRPr="00F14E08">
        <w:rPr>
          <w:rFonts w:ascii="Times New Roman" w:eastAsia="Calibri" w:hAnsi="Times New Roman" w:cs="Times New Roman"/>
          <w:sz w:val="24"/>
          <w:szCs w:val="24"/>
        </w:rPr>
        <w:t>–</w:t>
      </w:r>
      <w:r w:rsidRPr="00C869E3">
        <w:rPr>
          <w:rFonts w:ascii="Times New Roman" w:hAnsi="Times New Roman" w:cs="Times New Roman"/>
          <w:sz w:val="24"/>
          <w:szCs w:val="24"/>
        </w:rPr>
        <w:t xml:space="preserve">obligāciju resursus, un nodrošināta aizņemšanās starptautiskajos finanšu tirgos 1 mljrd. </w:t>
      </w:r>
      <w:r w:rsidRPr="00C869E3">
        <w:rPr>
          <w:rFonts w:ascii="Times New Roman" w:hAnsi="Times New Roman" w:cs="Times New Roman"/>
          <w:i/>
          <w:sz w:val="24"/>
          <w:szCs w:val="24"/>
        </w:rPr>
        <w:t>euro</w:t>
      </w:r>
      <w:r w:rsidRPr="00C869E3">
        <w:rPr>
          <w:rFonts w:ascii="Times New Roman" w:hAnsi="Times New Roman" w:cs="Times New Roman"/>
          <w:sz w:val="24"/>
          <w:szCs w:val="24"/>
        </w:rPr>
        <w:t xml:space="preserve"> apmērā.</w:t>
      </w:r>
    </w:p>
    <w:p w:rsidR="00C869E3" w:rsidRPr="00C869E3" w:rsidRDefault="00C869E3" w:rsidP="00824FFC">
      <w:pPr>
        <w:spacing w:after="0" w:line="240" w:lineRule="auto"/>
        <w:ind w:firstLine="720"/>
        <w:jc w:val="both"/>
        <w:rPr>
          <w:rFonts w:ascii="Times New Roman" w:hAnsi="Times New Roman" w:cs="Times New Roman"/>
          <w:sz w:val="24"/>
          <w:szCs w:val="24"/>
        </w:rPr>
      </w:pPr>
      <w:r w:rsidRPr="00C869E3">
        <w:rPr>
          <w:rFonts w:ascii="Times New Roman" w:hAnsi="Times New Roman" w:cs="Times New Roman"/>
          <w:sz w:val="24"/>
          <w:szCs w:val="24"/>
        </w:rPr>
        <w:t>Valsts parāda vadības pamatprincipus un uzdevumus vidējam termiņam nosaka Valsts parāda un naudas līdzekļu vadības stratēģija, kuru apstiprina finanšu ministrs. Saskaņā ar Valsts parāda un naudas līdzekļu vadības stratēģiju valsts parāda un naudas līdzekļu vadības mērķis ir savlaicīgi nodrošināt finanšu resursu pieejamību finansēšanas nepieciešamības segšanai ar zemām valsts parāda apkalpošanas izmaksām, ierobežojot finanšu riskus un vienlaikus sekmējot iekšējā finanšu tirgus attīstību. Valsts parāda un budžeta saistību izpildē tiek izmantota stratēģiska pieeja, saglabājot pēc iespējas lielāku elastību finanšu tirgos veicamo aizņēmumu nosacījumu izvēlē. Tas ļauj ierobežot finanšu riskus ilgtermiņā, kā arī nodrošināt kopējās finansēšanas nepieciešamības segšanai nepieciešamos resursus ar pēc iespējas labvēlīgākiem un izdevīgākiem nosacījumiem.</w:t>
      </w:r>
    </w:p>
    <w:p w:rsidR="00C869E3" w:rsidRPr="00C869E3" w:rsidRDefault="00C869E3" w:rsidP="00824FFC">
      <w:pPr>
        <w:spacing w:after="0" w:line="240" w:lineRule="auto"/>
        <w:ind w:firstLine="720"/>
        <w:jc w:val="both"/>
        <w:rPr>
          <w:rFonts w:ascii="Times New Roman" w:hAnsi="Times New Roman" w:cs="Times New Roman"/>
          <w:sz w:val="24"/>
          <w:szCs w:val="24"/>
        </w:rPr>
      </w:pPr>
      <w:r w:rsidRPr="00C869E3">
        <w:rPr>
          <w:rFonts w:ascii="Times New Roman" w:hAnsi="Times New Roman" w:cs="Times New Roman"/>
          <w:sz w:val="24"/>
          <w:szCs w:val="24"/>
        </w:rPr>
        <w:t>Valsts kredītreitinga stabilizēšanās A reitinga grupā, investoru augstais novērtējums par paveikto Latvijas valsts ekonomikā iepriekšējos gados un pārliecība par Latvijas attīstību ilgtermiņā ļauj valstij aizņemties finanšu resursus starptautiskajos tirgos ar labvēlīgiem nosacījumiem. To apliecina arī 2017.gadā veiktie aizņēmuma darījumi starptautiskajos finanšu tirgos, emitējot e</w:t>
      </w:r>
      <w:r w:rsidR="009F2A3D">
        <w:rPr>
          <w:rFonts w:ascii="Times New Roman" w:hAnsi="Times New Roman" w:cs="Times New Roman"/>
          <w:sz w:val="24"/>
          <w:szCs w:val="24"/>
        </w:rPr>
        <w:t>u</w:t>
      </w:r>
      <w:r w:rsidRPr="00C869E3">
        <w:rPr>
          <w:rFonts w:ascii="Times New Roman" w:hAnsi="Times New Roman" w:cs="Times New Roman"/>
          <w:sz w:val="24"/>
          <w:szCs w:val="24"/>
        </w:rPr>
        <w:t>ro</w:t>
      </w:r>
      <w:r w:rsidR="00847835" w:rsidRPr="00F14E08">
        <w:rPr>
          <w:rFonts w:ascii="Times New Roman" w:eastAsia="Calibri" w:hAnsi="Times New Roman" w:cs="Times New Roman"/>
          <w:sz w:val="24"/>
          <w:szCs w:val="24"/>
        </w:rPr>
        <w:t>–</w:t>
      </w:r>
      <w:r w:rsidRPr="00C869E3">
        <w:rPr>
          <w:rFonts w:ascii="Times New Roman" w:hAnsi="Times New Roman" w:cs="Times New Roman"/>
          <w:sz w:val="24"/>
          <w:szCs w:val="24"/>
        </w:rPr>
        <w:t xml:space="preserve">obligācijas par kopējo summu 1 mljrd. </w:t>
      </w:r>
      <w:r w:rsidRPr="00C869E3">
        <w:rPr>
          <w:rFonts w:ascii="Times New Roman" w:hAnsi="Times New Roman" w:cs="Times New Roman"/>
          <w:i/>
          <w:sz w:val="24"/>
          <w:szCs w:val="24"/>
        </w:rPr>
        <w:t>euro</w:t>
      </w:r>
      <w:r w:rsidRPr="00C869E3">
        <w:rPr>
          <w:rFonts w:ascii="Times New Roman" w:hAnsi="Times New Roman" w:cs="Times New Roman"/>
          <w:sz w:val="24"/>
          <w:szCs w:val="24"/>
        </w:rPr>
        <w:t xml:space="preserve">. </w:t>
      </w:r>
    </w:p>
    <w:p w:rsidR="00C869E3" w:rsidRPr="00C869E3" w:rsidRDefault="00C869E3" w:rsidP="00824FFC">
      <w:pPr>
        <w:spacing w:after="0" w:line="240" w:lineRule="auto"/>
        <w:ind w:firstLine="720"/>
        <w:jc w:val="both"/>
        <w:rPr>
          <w:rFonts w:ascii="Times New Roman" w:hAnsi="Times New Roman" w:cs="Times New Roman"/>
          <w:sz w:val="24"/>
          <w:szCs w:val="24"/>
        </w:rPr>
      </w:pPr>
      <w:r w:rsidRPr="00C869E3">
        <w:rPr>
          <w:rFonts w:ascii="Times New Roman" w:hAnsi="Times New Roman" w:cs="Times New Roman"/>
          <w:sz w:val="24"/>
          <w:szCs w:val="24"/>
        </w:rPr>
        <w:t xml:space="preserve">Lai kapitalizētu ilgtermiņa ieguvumus no pastāvošajiem salīdzinoši zemiem EUR procentu likmju līmeņiem un uzturētu kvalitatīvu EUR peļņas līkni kā referenci jauniem aizņēmumiem, 2017.gada februārī starptautiskajos finanšu tirgos pirmo reizi tika emitētas </w:t>
      </w:r>
      <w:r w:rsidRPr="00C869E3">
        <w:rPr>
          <w:rFonts w:ascii="Times New Roman" w:hAnsi="Times New Roman" w:cs="Times New Roman"/>
          <w:sz w:val="24"/>
          <w:szCs w:val="24"/>
        </w:rPr>
        <w:lastRenderedPageBreak/>
        <w:t>e</w:t>
      </w:r>
      <w:r w:rsidR="009F2A3D">
        <w:rPr>
          <w:rFonts w:ascii="Times New Roman" w:hAnsi="Times New Roman" w:cs="Times New Roman"/>
          <w:sz w:val="24"/>
          <w:szCs w:val="24"/>
        </w:rPr>
        <w:t>u</w:t>
      </w:r>
      <w:r w:rsidRPr="00C869E3">
        <w:rPr>
          <w:rFonts w:ascii="Times New Roman" w:hAnsi="Times New Roman" w:cs="Times New Roman"/>
          <w:sz w:val="24"/>
          <w:szCs w:val="24"/>
        </w:rPr>
        <w:t>ro</w:t>
      </w:r>
      <w:r w:rsidR="009F2A3D">
        <w:rPr>
          <w:rFonts w:ascii="Times New Roman" w:hAnsi="Times New Roman" w:cs="Times New Roman"/>
          <w:sz w:val="24"/>
          <w:szCs w:val="24"/>
        </w:rPr>
        <w:t>-</w:t>
      </w:r>
      <w:r w:rsidRPr="00C869E3">
        <w:rPr>
          <w:rFonts w:ascii="Times New Roman" w:hAnsi="Times New Roman" w:cs="Times New Roman"/>
          <w:sz w:val="24"/>
          <w:szCs w:val="24"/>
        </w:rPr>
        <w:t>obligācijas ar līdz šim garāko dzēšanas termiņu 30 gadi, fiksējot procentu (kupona) likmi 2,250% līmenī. Vienlaicīgi ar 30 gadu e</w:t>
      </w:r>
      <w:r w:rsidR="009F2A3D">
        <w:rPr>
          <w:rFonts w:ascii="Times New Roman" w:hAnsi="Times New Roman" w:cs="Times New Roman"/>
          <w:sz w:val="24"/>
          <w:szCs w:val="24"/>
        </w:rPr>
        <w:t>u</w:t>
      </w:r>
      <w:r w:rsidRPr="00C869E3">
        <w:rPr>
          <w:rFonts w:ascii="Times New Roman" w:hAnsi="Times New Roman" w:cs="Times New Roman"/>
          <w:sz w:val="24"/>
          <w:szCs w:val="24"/>
        </w:rPr>
        <w:t>ro</w:t>
      </w:r>
      <w:r w:rsidR="00847835" w:rsidRPr="00F14E08">
        <w:rPr>
          <w:rFonts w:ascii="Times New Roman" w:eastAsia="Calibri" w:hAnsi="Times New Roman" w:cs="Times New Roman"/>
          <w:sz w:val="24"/>
          <w:szCs w:val="24"/>
        </w:rPr>
        <w:t>–</w:t>
      </w:r>
      <w:r w:rsidRPr="00C869E3">
        <w:rPr>
          <w:rFonts w:ascii="Times New Roman" w:hAnsi="Times New Roman" w:cs="Times New Roman"/>
          <w:sz w:val="24"/>
          <w:szCs w:val="24"/>
        </w:rPr>
        <w:t xml:space="preserve">obligāciju emisiju, kuras rezultātā piesaistīti resursi 500 milj. </w:t>
      </w:r>
      <w:r w:rsidRPr="00C869E3">
        <w:rPr>
          <w:rFonts w:ascii="Times New Roman" w:hAnsi="Times New Roman" w:cs="Times New Roman"/>
          <w:i/>
          <w:sz w:val="24"/>
          <w:szCs w:val="24"/>
        </w:rPr>
        <w:t>euro</w:t>
      </w:r>
      <w:r w:rsidRPr="00C869E3">
        <w:rPr>
          <w:rFonts w:ascii="Times New Roman" w:hAnsi="Times New Roman" w:cs="Times New Roman"/>
          <w:sz w:val="24"/>
          <w:szCs w:val="24"/>
        </w:rPr>
        <w:t xml:space="preserve"> apmērā, tika emitēts papildu laidiens 2016.gada oktobrī emitētajām 10 gadu e</w:t>
      </w:r>
      <w:r w:rsidR="009F2A3D">
        <w:rPr>
          <w:rFonts w:ascii="Times New Roman" w:hAnsi="Times New Roman" w:cs="Times New Roman"/>
          <w:sz w:val="24"/>
          <w:szCs w:val="24"/>
        </w:rPr>
        <w:t>u</w:t>
      </w:r>
      <w:r w:rsidRPr="00C869E3">
        <w:rPr>
          <w:rFonts w:ascii="Times New Roman" w:hAnsi="Times New Roman" w:cs="Times New Roman"/>
          <w:sz w:val="24"/>
          <w:szCs w:val="24"/>
        </w:rPr>
        <w:t>ro</w:t>
      </w:r>
      <w:r w:rsidR="00847835" w:rsidRPr="00F14E08">
        <w:rPr>
          <w:rFonts w:ascii="Times New Roman" w:eastAsia="Calibri" w:hAnsi="Times New Roman" w:cs="Times New Roman"/>
          <w:sz w:val="24"/>
          <w:szCs w:val="24"/>
        </w:rPr>
        <w:t>–</w:t>
      </w:r>
      <w:r w:rsidRPr="00C869E3">
        <w:rPr>
          <w:rFonts w:ascii="Times New Roman" w:hAnsi="Times New Roman" w:cs="Times New Roman"/>
          <w:sz w:val="24"/>
          <w:szCs w:val="24"/>
        </w:rPr>
        <w:t>obligācijām 150 milj.</w:t>
      </w:r>
      <w:r w:rsidR="00633484">
        <w:rPr>
          <w:rFonts w:ascii="Times New Roman" w:hAnsi="Times New Roman" w:cs="Times New Roman"/>
          <w:sz w:val="24"/>
          <w:szCs w:val="24"/>
        </w:rPr>
        <w:t xml:space="preserve"> </w:t>
      </w:r>
      <w:r w:rsidRPr="00C869E3">
        <w:rPr>
          <w:rFonts w:ascii="Times New Roman" w:hAnsi="Times New Roman" w:cs="Times New Roman"/>
          <w:i/>
          <w:sz w:val="24"/>
          <w:szCs w:val="24"/>
        </w:rPr>
        <w:t>euro</w:t>
      </w:r>
      <w:r w:rsidRPr="00C869E3">
        <w:rPr>
          <w:rFonts w:ascii="Times New Roman" w:hAnsi="Times New Roman" w:cs="Times New Roman"/>
          <w:sz w:val="24"/>
          <w:szCs w:val="24"/>
        </w:rPr>
        <w:t xml:space="preserve"> apmērā ar ienesīgumu 1,062% pie iepriekš noteiktās fiksētās procentu (kupona) likmes 0,375% gadā. 2017.gada jūnijā, turpinot plānotos aizņemšanās pasākumus finansēšanas nepieciešamības segšanai, starptautiskajos finanšu tirgos vienlaicīgi tika emitēti divu dažādu termiņu e</w:t>
      </w:r>
      <w:r w:rsidR="009F2A3D">
        <w:rPr>
          <w:rFonts w:ascii="Times New Roman" w:hAnsi="Times New Roman" w:cs="Times New Roman"/>
          <w:sz w:val="24"/>
          <w:szCs w:val="24"/>
        </w:rPr>
        <w:t>u</w:t>
      </w:r>
      <w:r w:rsidRPr="00C869E3">
        <w:rPr>
          <w:rFonts w:ascii="Times New Roman" w:hAnsi="Times New Roman" w:cs="Times New Roman"/>
          <w:sz w:val="24"/>
          <w:szCs w:val="24"/>
        </w:rPr>
        <w:t>ro</w:t>
      </w:r>
      <w:r w:rsidR="00847835" w:rsidRPr="00F14E08">
        <w:rPr>
          <w:rFonts w:ascii="Times New Roman" w:eastAsia="Calibri" w:hAnsi="Times New Roman" w:cs="Times New Roman"/>
          <w:sz w:val="24"/>
          <w:szCs w:val="24"/>
        </w:rPr>
        <w:t>–</w:t>
      </w:r>
      <w:r w:rsidRPr="00C869E3">
        <w:rPr>
          <w:rFonts w:ascii="Times New Roman" w:hAnsi="Times New Roman" w:cs="Times New Roman"/>
          <w:sz w:val="24"/>
          <w:szCs w:val="24"/>
        </w:rPr>
        <w:t>obligāciju papildu laidieni par kopējo summu 350 milj.</w:t>
      </w:r>
      <w:r w:rsidR="00633484">
        <w:rPr>
          <w:rFonts w:ascii="Times New Roman" w:hAnsi="Times New Roman" w:cs="Times New Roman"/>
          <w:sz w:val="24"/>
          <w:szCs w:val="24"/>
        </w:rPr>
        <w:t xml:space="preserve"> </w:t>
      </w:r>
      <w:r w:rsidRPr="00C869E3">
        <w:rPr>
          <w:rFonts w:ascii="Times New Roman" w:hAnsi="Times New Roman" w:cs="Times New Roman"/>
          <w:i/>
          <w:sz w:val="24"/>
          <w:szCs w:val="24"/>
        </w:rPr>
        <w:t>euro</w:t>
      </w:r>
      <w:r w:rsidRPr="00C869E3">
        <w:rPr>
          <w:rFonts w:ascii="Times New Roman" w:hAnsi="Times New Roman" w:cs="Times New Roman"/>
          <w:sz w:val="24"/>
          <w:szCs w:val="24"/>
        </w:rPr>
        <w:t>: papildu laidiens apgrozībā esošajām 10 gadu obligācijām 150 milj.</w:t>
      </w:r>
      <w:r w:rsidR="00633484">
        <w:rPr>
          <w:rFonts w:ascii="Times New Roman" w:hAnsi="Times New Roman" w:cs="Times New Roman"/>
          <w:sz w:val="24"/>
          <w:szCs w:val="24"/>
        </w:rPr>
        <w:t xml:space="preserve"> </w:t>
      </w:r>
      <w:r w:rsidRPr="00C869E3">
        <w:rPr>
          <w:rFonts w:ascii="Times New Roman" w:hAnsi="Times New Roman" w:cs="Times New Roman"/>
          <w:i/>
          <w:sz w:val="24"/>
          <w:szCs w:val="24"/>
        </w:rPr>
        <w:t>euro</w:t>
      </w:r>
      <w:r w:rsidRPr="00C869E3">
        <w:rPr>
          <w:rFonts w:ascii="Times New Roman" w:hAnsi="Times New Roman" w:cs="Times New Roman"/>
          <w:sz w:val="24"/>
          <w:szCs w:val="24"/>
        </w:rPr>
        <w:t xml:space="preserve"> apmērā ar ienesīgumu 0,950% pie iepriekš noteiktās fiksētās procentu (kupona) likmes 0,375% gadā, kā arī papildu laidiens 20 gadu obligācijām 200 milj.</w:t>
      </w:r>
      <w:r w:rsidR="00633484">
        <w:rPr>
          <w:rFonts w:ascii="Times New Roman" w:hAnsi="Times New Roman" w:cs="Times New Roman"/>
          <w:sz w:val="24"/>
          <w:szCs w:val="24"/>
        </w:rPr>
        <w:t xml:space="preserve"> </w:t>
      </w:r>
      <w:r w:rsidRPr="00C869E3">
        <w:rPr>
          <w:rFonts w:ascii="Times New Roman" w:hAnsi="Times New Roman" w:cs="Times New Roman"/>
          <w:i/>
          <w:sz w:val="24"/>
          <w:szCs w:val="24"/>
        </w:rPr>
        <w:t>euro</w:t>
      </w:r>
      <w:r w:rsidRPr="00C869E3">
        <w:rPr>
          <w:rFonts w:ascii="Times New Roman" w:hAnsi="Times New Roman" w:cs="Times New Roman"/>
          <w:sz w:val="24"/>
          <w:szCs w:val="24"/>
        </w:rPr>
        <w:t xml:space="preserve"> apmērā ar ienesīgumu 1,703% pie iepriekš noteiktās fiksētās procentu (kupona) likmes 1,375% gadā. 2017.gadā piesaistot finansējumu gan kārtējā gada finansēšanas nepieciešamības segšanai, gan iekšējā aizņēmuma 3 gadu obligāciju 220,9 milj. EUR apmērā dzēšanai 2018.gada janvārī un e</w:t>
      </w:r>
      <w:r w:rsidR="009F2A3D">
        <w:rPr>
          <w:rFonts w:ascii="Times New Roman" w:hAnsi="Times New Roman" w:cs="Times New Roman"/>
          <w:sz w:val="24"/>
          <w:szCs w:val="24"/>
        </w:rPr>
        <w:t>u</w:t>
      </w:r>
      <w:r w:rsidRPr="00C869E3">
        <w:rPr>
          <w:rFonts w:ascii="Times New Roman" w:hAnsi="Times New Roman" w:cs="Times New Roman"/>
          <w:sz w:val="24"/>
          <w:szCs w:val="24"/>
        </w:rPr>
        <w:t>ro</w:t>
      </w:r>
      <w:r w:rsidR="00847835" w:rsidRPr="00F14E08">
        <w:rPr>
          <w:rFonts w:ascii="Times New Roman" w:eastAsia="Calibri" w:hAnsi="Times New Roman" w:cs="Times New Roman"/>
          <w:sz w:val="24"/>
          <w:szCs w:val="24"/>
        </w:rPr>
        <w:t>–</w:t>
      </w:r>
      <w:r w:rsidRPr="00C869E3">
        <w:rPr>
          <w:rFonts w:ascii="Times New Roman" w:hAnsi="Times New Roman" w:cs="Times New Roman"/>
          <w:sz w:val="24"/>
          <w:szCs w:val="24"/>
        </w:rPr>
        <w:t>obligāciju 400 milj. EUR apmērā dzēšanai 2018.gada martā, nodrošināta elastība 2018.gada plānoto aizņemšanās pasākumu īstenošanas piemērotākā laika izvēlei.</w:t>
      </w:r>
    </w:p>
    <w:p w:rsidR="00C869E3" w:rsidRPr="00C869E3" w:rsidRDefault="00C869E3" w:rsidP="00824FFC">
      <w:pPr>
        <w:spacing w:after="0" w:line="240" w:lineRule="auto"/>
        <w:ind w:firstLine="720"/>
        <w:jc w:val="both"/>
        <w:rPr>
          <w:rFonts w:ascii="Times New Roman" w:hAnsi="Times New Roman" w:cs="Times New Roman"/>
          <w:sz w:val="24"/>
          <w:szCs w:val="24"/>
        </w:rPr>
      </w:pPr>
      <w:r w:rsidRPr="00C869E3">
        <w:rPr>
          <w:rFonts w:ascii="Times New Roman" w:hAnsi="Times New Roman" w:cs="Times New Roman"/>
          <w:sz w:val="24"/>
          <w:szCs w:val="24"/>
        </w:rPr>
        <w:t>Iekšējā finanšu tirgū 2017.gadā Valsts kase turpināja regulāras valsts obligāciju izsoles 2016.gadā uzsākto triju un piecu gadu obligāciju programmu ietvaros. Pieprasījums pēc valsts iekšējā aizņēmuma vērtspapīriem saglabājās augsts, līdz ar to investoru konkurence visās izsolēs ļāva nodrošināt resursu piesaisti ar finansiāli izdevīgiem nosacījumiem. Arī 2017.gadā piecu gadu obligāciju procentu likmes atradās tuvu vēsturiski zemākajiem līmeņiem, t.i., tuvu nullei, savukārt, trīs gadu obligāciju programmas pēdējā laidienā (2017.gada janvārī), tika noteikta negatīva vidējā svērtā procentu likme. Likmju saglabāšanās zemajos līmeņos skaidrojama gan ar Primāro dīleru aktīvu piedalīšanos izsolēs, gan Latvijas kredītiestāžu augsto likviditāti, kā arī no emitenta viedokļa pozitīvām likmju attīstības tendencēm finanšu tirgos, ko ietekmē Eiropas centrālās bankas vērtspapīru uzpirkšanas programmas turpināšana arī 2017.gadā.</w:t>
      </w:r>
    </w:p>
    <w:p w:rsidR="00C869E3" w:rsidRPr="00C869E3" w:rsidRDefault="00C869E3" w:rsidP="00824FFC">
      <w:pPr>
        <w:spacing w:after="0" w:line="240" w:lineRule="auto"/>
        <w:ind w:firstLine="720"/>
        <w:jc w:val="both"/>
        <w:rPr>
          <w:rFonts w:ascii="Times New Roman" w:hAnsi="Times New Roman" w:cs="Times New Roman"/>
          <w:sz w:val="24"/>
          <w:szCs w:val="24"/>
        </w:rPr>
      </w:pPr>
      <w:r w:rsidRPr="00C869E3">
        <w:rPr>
          <w:rFonts w:ascii="Times New Roman" w:hAnsi="Times New Roman" w:cs="Times New Roman"/>
          <w:sz w:val="24"/>
          <w:szCs w:val="24"/>
        </w:rPr>
        <w:t>Ņemot vērā līdz 2018.gada 31.martam uzņemtās valsts parāda saistības, saskaņā ar valsts parāda atmaksas grafiku 2018.gada aprīlī – 2021.gada decembrī pārfinansējamo valsts parāda saistību apjoms ir 3,9 mljrd.</w:t>
      </w:r>
      <w:r w:rsidR="00633484">
        <w:rPr>
          <w:rFonts w:ascii="Times New Roman" w:hAnsi="Times New Roman" w:cs="Times New Roman"/>
          <w:sz w:val="24"/>
          <w:szCs w:val="24"/>
        </w:rPr>
        <w:t xml:space="preserve"> </w:t>
      </w:r>
      <w:r w:rsidRPr="00C869E3">
        <w:rPr>
          <w:rFonts w:ascii="Times New Roman" w:hAnsi="Times New Roman" w:cs="Times New Roman"/>
          <w:i/>
          <w:sz w:val="24"/>
          <w:szCs w:val="24"/>
        </w:rPr>
        <w:t>euro</w:t>
      </w:r>
      <w:r w:rsidRPr="00C869E3">
        <w:rPr>
          <w:rFonts w:ascii="Times New Roman" w:hAnsi="Times New Roman" w:cs="Times New Roman"/>
          <w:sz w:val="24"/>
          <w:szCs w:val="24"/>
        </w:rPr>
        <w:t xml:space="preserve"> (</w:t>
      </w:r>
      <w:r w:rsidRPr="009C44D7">
        <w:rPr>
          <w:rFonts w:ascii="Times New Roman" w:hAnsi="Times New Roman" w:cs="Times New Roman"/>
          <w:sz w:val="24"/>
          <w:szCs w:val="24"/>
        </w:rPr>
        <w:t xml:space="preserve">sk. </w:t>
      </w:r>
      <w:r w:rsidR="009C44D7" w:rsidRPr="009C44D7">
        <w:rPr>
          <w:rFonts w:ascii="Times New Roman" w:hAnsi="Times New Roman" w:cs="Times New Roman"/>
          <w:sz w:val="24"/>
          <w:szCs w:val="24"/>
        </w:rPr>
        <w:t>3.7</w:t>
      </w:r>
      <w:r w:rsidRPr="009C44D7">
        <w:rPr>
          <w:rFonts w:ascii="Times New Roman" w:hAnsi="Times New Roman" w:cs="Times New Roman"/>
          <w:sz w:val="24"/>
          <w:szCs w:val="24"/>
        </w:rPr>
        <w:t>.attēlu</w:t>
      </w:r>
      <w:r w:rsidRPr="00C869E3">
        <w:rPr>
          <w:rFonts w:ascii="Times New Roman" w:hAnsi="Times New Roman" w:cs="Times New Roman"/>
          <w:sz w:val="24"/>
          <w:szCs w:val="24"/>
        </w:rPr>
        <w:t>). Būtiskāko daļu no pārfinansējamā parāda apjoma veido starptautiskajos finanšu tirgos emitētās e</w:t>
      </w:r>
      <w:r w:rsidR="009F2A3D">
        <w:rPr>
          <w:rFonts w:ascii="Times New Roman" w:hAnsi="Times New Roman" w:cs="Times New Roman"/>
          <w:sz w:val="24"/>
          <w:szCs w:val="24"/>
        </w:rPr>
        <w:t>u</w:t>
      </w:r>
      <w:r w:rsidRPr="00C869E3">
        <w:rPr>
          <w:rFonts w:ascii="Times New Roman" w:hAnsi="Times New Roman" w:cs="Times New Roman"/>
          <w:sz w:val="24"/>
          <w:szCs w:val="24"/>
        </w:rPr>
        <w:t>ro</w:t>
      </w:r>
      <w:r w:rsidR="00847835" w:rsidRPr="00F14E08">
        <w:rPr>
          <w:rFonts w:ascii="Times New Roman" w:eastAsia="Calibri" w:hAnsi="Times New Roman" w:cs="Times New Roman"/>
          <w:sz w:val="24"/>
          <w:szCs w:val="24"/>
        </w:rPr>
        <w:t>–</w:t>
      </w:r>
      <w:r w:rsidRPr="00C869E3">
        <w:rPr>
          <w:rFonts w:ascii="Times New Roman" w:hAnsi="Times New Roman" w:cs="Times New Roman"/>
          <w:sz w:val="24"/>
          <w:szCs w:val="24"/>
        </w:rPr>
        <w:t xml:space="preserve">obligācijas, kā arī starptautiskā aizņēmuma programmas ietvaros saņemtais finansējums no Pasaules Bankas un Eiropas Komisijas. </w:t>
      </w:r>
    </w:p>
    <w:p w:rsidR="00C869E3" w:rsidRPr="00C869E3" w:rsidRDefault="00C869E3" w:rsidP="00C869E3">
      <w:pPr>
        <w:spacing w:after="0"/>
        <w:jc w:val="both"/>
        <w:rPr>
          <w:rFonts w:ascii="Times New Roman" w:hAnsi="Times New Roman" w:cs="Times New Roman"/>
          <w:b/>
          <w:sz w:val="24"/>
          <w:szCs w:val="24"/>
        </w:rPr>
      </w:pPr>
      <w:r w:rsidRPr="00C869E3">
        <w:rPr>
          <w:rFonts w:ascii="Times New Roman" w:hAnsi="Times New Roman" w:cs="Times New Roman"/>
          <w:b/>
          <w:noProof/>
          <w:sz w:val="24"/>
          <w:szCs w:val="24"/>
          <w:lang w:eastAsia="lv-LV"/>
        </w:rPr>
        <w:drawing>
          <wp:inline distT="0" distB="0" distL="0" distR="0">
            <wp:extent cx="5812404" cy="20028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4450" cy="2007017"/>
                    </a:xfrm>
                    <a:prstGeom prst="rect">
                      <a:avLst/>
                    </a:prstGeom>
                    <a:noFill/>
                  </pic:spPr>
                </pic:pic>
              </a:graphicData>
            </a:graphic>
          </wp:inline>
        </w:drawing>
      </w:r>
    </w:p>
    <w:p w:rsidR="00C869E3" w:rsidRPr="00C869E3" w:rsidRDefault="009C44D7" w:rsidP="00824FFC">
      <w:pPr>
        <w:spacing w:after="0" w:line="240" w:lineRule="auto"/>
        <w:jc w:val="center"/>
        <w:rPr>
          <w:rFonts w:ascii="Times New Roman" w:hAnsi="Times New Roman" w:cs="Times New Roman"/>
          <w:b/>
          <w:sz w:val="24"/>
          <w:szCs w:val="24"/>
        </w:rPr>
      </w:pPr>
      <w:r w:rsidRPr="009C44D7">
        <w:rPr>
          <w:rFonts w:ascii="Times New Roman" w:hAnsi="Times New Roman" w:cs="Times New Roman"/>
          <w:b/>
          <w:sz w:val="24"/>
          <w:szCs w:val="24"/>
        </w:rPr>
        <w:t>3.7</w:t>
      </w:r>
      <w:r w:rsidR="00C869E3" w:rsidRPr="009C44D7">
        <w:rPr>
          <w:rFonts w:ascii="Times New Roman" w:hAnsi="Times New Roman" w:cs="Times New Roman"/>
          <w:b/>
          <w:sz w:val="24"/>
          <w:szCs w:val="24"/>
        </w:rPr>
        <w:t>.attēls.</w:t>
      </w:r>
      <w:r w:rsidR="00C869E3" w:rsidRPr="00C869E3">
        <w:rPr>
          <w:rFonts w:ascii="Times New Roman" w:hAnsi="Times New Roman" w:cs="Times New Roman"/>
          <w:sz w:val="24"/>
          <w:szCs w:val="24"/>
        </w:rPr>
        <w:t xml:space="preserve"> </w:t>
      </w:r>
      <w:r w:rsidR="00C869E3" w:rsidRPr="00C869E3">
        <w:rPr>
          <w:rFonts w:ascii="Times New Roman" w:hAnsi="Times New Roman" w:cs="Times New Roman"/>
          <w:b/>
          <w:sz w:val="24"/>
          <w:szCs w:val="24"/>
        </w:rPr>
        <w:t>Centrālās valdības aizņēmumu atmaksas grafiks</w:t>
      </w:r>
    </w:p>
    <w:p w:rsidR="00C869E3" w:rsidRPr="00C869E3" w:rsidRDefault="00C869E3" w:rsidP="00824FFC">
      <w:pPr>
        <w:spacing w:line="240" w:lineRule="auto"/>
        <w:jc w:val="center"/>
        <w:rPr>
          <w:rFonts w:ascii="Times New Roman" w:hAnsi="Times New Roman" w:cs="Times New Roman"/>
          <w:sz w:val="24"/>
          <w:szCs w:val="24"/>
        </w:rPr>
      </w:pPr>
      <w:r w:rsidRPr="00C869E3">
        <w:rPr>
          <w:rFonts w:ascii="Times New Roman" w:hAnsi="Times New Roman" w:cs="Times New Roman"/>
          <w:sz w:val="24"/>
          <w:szCs w:val="24"/>
        </w:rPr>
        <w:t>(līdz 2018.gada 31.martam uzņemtās saistības, nominālvērtībā)</w:t>
      </w:r>
    </w:p>
    <w:p w:rsidR="00C869E3" w:rsidRPr="00CD6AE0" w:rsidRDefault="00CD6AE0" w:rsidP="00824FFC">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w:t>
      </w:r>
      <w:r w:rsidR="00C869E3" w:rsidRPr="00CD6AE0">
        <w:rPr>
          <w:rFonts w:ascii="Times New Roman" w:hAnsi="Times New Roman" w:cs="Times New Roman"/>
          <w:i/>
          <w:sz w:val="20"/>
          <w:szCs w:val="20"/>
        </w:rPr>
        <w:t>nav iekļauti sektori S130130, S130140, S130330, S130340, kā arī pieprasījuma un īstermiņa noguldījumi; aprēķinos izmantoti ECB 29.03.2018. noteiktie valūtu kursi</w:t>
      </w:r>
    </w:p>
    <w:p w:rsidR="00C869E3" w:rsidRPr="00C869E3" w:rsidRDefault="00C869E3" w:rsidP="00824FFC">
      <w:pPr>
        <w:spacing w:after="0" w:line="240" w:lineRule="auto"/>
        <w:ind w:firstLine="720"/>
        <w:jc w:val="both"/>
        <w:rPr>
          <w:rFonts w:ascii="Times New Roman" w:hAnsi="Times New Roman" w:cs="Times New Roman"/>
          <w:sz w:val="24"/>
          <w:szCs w:val="24"/>
        </w:rPr>
      </w:pPr>
      <w:r w:rsidRPr="00C869E3">
        <w:rPr>
          <w:rFonts w:ascii="Times New Roman" w:hAnsi="Times New Roman" w:cs="Times New Roman"/>
          <w:sz w:val="24"/>
          <w:szCs w:val="24"/>
        </w:rPr>
        <w:lastRenderedPageBreak/>
        <w:t>Ņemot vērā stratēģisku pieeju aizņemšanās pasākumu organizēšanā, lai nodrošinātu valsts parāda pārfinansēšanas riska novēršanu un valsts parāda vadības izdevumu optimizēšanu vidējā termiņā un ilgtermiņā, tuvākajos gados tieši ārējā aizņēmuma instrumenti veidos būtiskāko daļu no kopējā piesaistāmā finanšu resursu apjoma. Aizņemšanos starptautiskajos finanšu tirgos plānots nodrošināt ar publiskajām valsts parāda vērtspapīru emisijām, uzturot EUR peļņas līkni ar ilgtermiņa vērtspapīru emisijām un saglabājot elastību attiecībā uz aizņēmumu veikšanas laika, valūtu un atmaksas termiņu izvēli, lai nodrošinātu aizņemšanos ar labvēlīgiem nosacījumiem. Iekšējā finanšu tirgū par prioritāti ir izvirzīta valsts parāda vērtspapīru likviditātes veicināšana, nodrošinot atbilstošas ieguldījumu iespējas iekšējā finanšu tirgus dalībniekiem, lai pilnvērtīgāk izmantotu aizņemšanās iekšējā finanšu tirgū potenciālu, kā arī sekmētu iekšējā finanšu tirgus funkcionēšanu un attīstību.</w:t>
      </w:r>
    </w:p>
    <w:p w:rsidR="00C869E3" w:rsidRPr="00C869E3" w:rsidRDefault="00C869E3" w:rsidP="00824FFC">
      <w:pPr>
        <w:spacing w:after="0" w:line="240" w:lineRule="auto"/>
        <w:ind w:firstLine="720"/>
        <w:jc w:val="both"/>
        <w:rPr>
          <w:rFonts w:ascii="Times New Roman" w:hAnsi="Times New Roman" w:cs="Times New Roman"/>
          <w:sz w:val="24"/>
          <w:szCs w:val="24"/>
        </w:rPr>
      </w:pPr>
      <w:r w:rsidRPr="00C869E3">
        <w:rPr>
          <w:rFonts w:ascii="Times New Roman" w:hAnsi="Times New Roman" w:cs="Times New Roman"/>
          <w:sz w:val="24"/>
          <w:szCs w:val="24"/>
        </w:rPr>
        <w:t>2016.gadā un 2017.gadā piesaistot finansējumu gan kārtējā gada finansēšanas nepieciešamības segšanai, gan valsts parāda atmaksai nākamā gada sākumā, vispārējās valdības parāda līmenis 2017.gadā stabilizējās 40% no IKP apmērā. Vidējā termiņā prognozējama vispārējās valdības parāda līmeņa neliela samazināšanās un stabilizēšanās attiecībā pret iekšzemes kopproduktu, pārliecinoši ievērojot Fiskālās disciplīnas likumā noteikto parāda nosacījumu (</w:t>
      </w:r>
      <w:r w:rsidRPr="009C44D7">
        <w:rPr>
          <w:rFonts w:ascii="Times New Roman" w:hAnsi="Times New Roman" w:cs="Times New Roman"/>
          <w:sz w:val="24"/>
          <w:szCs w:val="24"/>
        </w:rPr>
        <w:t xml:space="preserve">sk. </w:t>
      </w:r>
      <w:r w:rsidR="009C44D7" w:rsidRPr="009C44D7">
        <w:rPr>
          <w:rFonts w:ascii="Times New Roman" w:hAnsi="Times New Roman" w:cs="Times New Roman"/>
          <w:sz w:val="24"/>
          <w:szCs w:val="24"/>
        </w:rPr>
        <w:t>3.8</w:t>
      </w:r>
      <w:r w:rsidRPr="009C44D7">
        <w:rPr>
          <w:rFonts w:ascii="Times New Roman" w:hAnsi="Times New Roman" w:cs="Times New Roman"/>
          <w:sz w:val="24"/>
          <w:szCs w:val="24"/>
        </w:rPr>
        <w:t>.attēlu</w:t>
      </w:r>
      <w:r w:rsidRPr="00C869E3">
        <w:rPr>
          <w:rFonts w:ascii="Times New Roman" w:hAnsi="Times New Roman" w:cs="Times New Roman"/>
          <w:sz w:val="24"/>
          <w:szCs w:val="24"/>
        </w:rPr>
        <w:t>).</w:t>
      </w:r>
    </w:p>
    <w:p w:rsidR="00C869E3" w:rsidRPr="00C869E3" w:rsidRDefault="00C869E3" w:rsidP="00824FFC">
      <w:pPr>
        <w:spacing w:after="0" w:line="240" w:lineRule="auto"/>
        <w:ind w:firstLine="720"/>
        <w:jc w:val="both"/>
        <w:rPr>
          <w:rFonts w:ascii="Times New Roman" w:hAnsi="Times New Roman" w:cs="Times New Roman"/>
          <w:sz w:val="24"/>
          <w:szCs w:val="24"/>
        </w:rPr>
      </w:pPr>
    </w:p>
    <w:p w:rsidR="00C869E3" w:rsidRDefault="00C869E3" w:rsidP="00C869E3">
      <w:pPr>
        <w:jc w:val="center"/>
        <w:rPr>
          <w:rFonts w:ascii="Times New Roman" w:hAnsi="Times New Roman" w:cs="Times New Roman"/>
          <w:b/>
          <w:bCs/>
          <w:sz w:val="24"/>
          <w:szCs w:val="24"/>
        </w:rPr>
      </w:pPr>
      <w:r w:rsidRPr="00C869E3">
        <w:rPr>
          <w:rFonts w:ascii="Times New Roman" w:hAnsi="Times New Roman" w:cs="Times New Roman"/>
          <w:b/>
          <w:bCs/>
          <w:noProof/>
          <w:sz w:val="24"/>
          <w:szCs w:val="24"/>
          <w:lang w:eastAsia="lv-LV"/>
        </w:rPr>
        <w:drawing>
          <wp:inline distT="0" distB="0" distL="0" distR="0">
            <wp:extent cx="4941826" cy="263983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9005" cy="2643668"/>
                    </a:xfrm>
                    <a:prstGeom prst="rect">
                      <a:avLst/>
                    </a:prstGeom>
                    <a:noFill/>
                  </pic:spPr>
                </pic:pic>
              </a:graphicData>
            </a:graphic>
          </wp:inline>
        </w:drawing>
      </w:r>
    </w:p>
    <w:p w:rsidR="00C869E3" w:rsidRDefault="009C44D7" w:rsidP="00C869E3">
      <w:pPr>
        <w:spacing w:after="0"/>
        <w:jc w:val="center"/>
        <w:rPr>
          <w:rFonts w:ascii="Times New Roman" w:hAnsi="Times New Roman" w:cs="Times New Roman"/>
          <w:sz w:val="24"/>
          <w:szCs w:val="24"/>
        </w:rPr>
      </w:pPr>
      <w:r w:rsidRPr="009C44D7">
        <w:rPr>
          <w:rFonts w:ascii="Times New Roman" w:hAnsi="Times New Roman" w:cs="Times New Roman"/>
          <w:b/>
          <w:sz w:val="24"/>
          <w:szCs w:val="24"/>
        </w:rPr>
        <w:t>3.8</w:t>
      </w:r>
      <w:r w:rsidR="00C869E3" w:rsidRPr="009C44D7">
        <w:rPr>
          <w:rFonts w:ascii="Times New Roman" w:hAnsi="Times New Roman" w:cs="Times New Roman"/>
          <w:b/>
          <w:sz w:val="24"/>
          <w:szCs w:val="24"/>
        </w:rPr>
        <w:t xml:space="preserve">.attēls. </w:t>
      </w:r>
      <w:r w:rsidR="00C869E3" w:rsidRPr="00C869E3">
        <w:rPr>
          <w:rFonts w:ascii="Times New Roman" w:hAnsi="Times New Roman" w:cs="Times New Roman"/>
          <w:b/>
          <w:sz w:val="24"/>
          <w:szCs w:val="24"/>
        </w:rPr>
        <w:t>Vispārējās valdības parāda attīstības tendences</w:t>
      </w:r>
      <w:r w:rsidR="00847835">
        <w:rPr>
          <w:rFonts w:ascii="Times New Roman" w:hAnsi="Times New Roman" w:cs="Times New Roman"/>
          <w:b/>
          <w:sz w:val="24"/>
          <w:szCs w:val="24"/>
        </w:rPr>
        <w:t xml:space="preserve">, </w:t>
      </w:r>
      <w:r w:rsidR="00847835">
        <w:rPr>
          <w:rFonts w:ascii="Times New Roman" w:hAnsi="Times New Roman" w:cs="Times New Roman"/>
          <w:sz w:val="24"/>
          <w:szCs w:val="24"/>
        </w:rPr>
        <w:t>% no IKP</w:t>
      </w:r>
    </w:p>
    <w:p w:rsidR="00C869E3" w:rsidRPr="00C869E3" w:rsidRDefault="00C869E3" w:rsidP="00847835">
      <w:pPr>
        <w:spacing w:after="0"/>
        <w:jc w:val="center"/>
        <w:rPr>
          <w:rFonts w:ascii="Times New Roman" w:hAnsi="Times New Roman" w:cs="Times New Roman"/>
          <w:sz w:val="24"/>
          <w:szCs w:val="24"/>
        </w:rPr>
      </w:pPr>
      <w:r w:rsidRPr="00C869E3">
        <w:rPr>
          <w:rFonts w:ascii="Times New Roman" w:hAnsi="Times New Roman" w:cs="Times New Roman"/>
          <w:bCs/>
          <w:i/>
          <w:sz w:val="24"/>
          <w:szCs w:val="24"/>
        </w:rPr>
        <w:t xml:space="preserve">p </w:t>
      </w:r>
      <w:r w:rsidR="00B9413F" w:rsidRPr="00B9413F">
        <w:rPr>
          <w:rFonts w:ascii="Times New Roman" w:hAnsi="Times New Roman" w:cs="Times New Roman"/>
          <w:bCs/>
          <w:i/>
          <w:sz w:val="24"/>
          <w:szCs w:val="24"/>
        </w:rPr>
        <w:t>–</w:t>
      </w:r>
      <w:r w:rsidR="00B9413F">
        <w:rPr>
          <w:rFonts w:ascii="Times New Roman" w:hAnsi="Times New Roman" w:cs="Times New Roman"/>
          <w:bCs/>
          <w:i/>
          <w:sz w:val="24"/>
          <w:szCs w:val="24"/>
        </w:rPr>
        <w:t xml:space="preserve"> </w:t>
      </w:r>
      <w:r w:rsidRPr="00C869E3">
        <w:rPr>
          <w:rFonts w:ascii="Times New Roman" w:hAnsi="Times New Roman" w:cs="Times New Roman"/>
          <w:bCs/>
          <w:i/>
          <w:sz w:val="24"/>
          <w:szCs w:val="24"/>
        </w:rPr>
        <w:t>prognoze</w:t>
      </w:r>
    </w:p>
    <w:p w:rsidR="009D2D01" w:rsidRDefault="009D2D01">
      <w:pPr>
        <w:rPr>
          <w:rFonts w:ascii="Times New Roman" w:eastAsiaTheme="majorEastAsia" w:hAnsi="Times New Roman" w:cs="Times New Roman"/>
          <w:b/>
          <w:bCs/>
          <w:smallCaps/>
          <w:color w:val="000000" w:themeColor="text1"/>
          <w:sz w:val="32"/>
          <w:szCs w:val="36"/>
        </w:rPr>
      </w:pPr>
      <w:r>
        <w:rPr>
          <w:rFonts w:ascii="Times New Roman" w:hAnsi="Times New Roman" w:cs="Times New Roman"/>
          <w:sz w:val="32"/>
        </w:rPr>
        <w:br w:type="page"/>
      </w:r>
    </w:p>
    <w:p w:rsidR="005536A9" w:rsidRPr="00F51615" w:rsidRDefault="005536A9" w:rsidP="00F512CA">
      <w:pPr>
        <w:pStyle w:val="Heading1"/>
        <w:numPr>
          <w:ilvl w:val="0"/>
          <w:numId w:val="1"/>
        </w:numPr>
        <w:ind w:left="284" w:hanging="283"/>
        <w:jc w:val="center"/>
        <w:rPr>
          <w:rFonts w:ascii="Times New Roman" w:hAnsi="Times New Roman" w:cs="Times New Roman"/>
          <w:sz w:val="32"/>
        </w:rPr>
      </w:pPr>
      <w:bookmarkStart w:id="41" w:name="_Toc510790666"/>
      <w:bookmarkStart w:id="42" w:name="_Toc511027826"/>
      <w:r w:rsidRPr="00F51615">
        <w:rPr>
          <w:rFonts w:ascii="Times New Roman" w:hAnsi="Times New Roman" w:cs="Times New Roman"/>
          <w:sz w:val="32"/>
        </w:rPr>
        <w:lastRenderedPageBreak/>
        <w:t>Jutīguma analīze un salīdzinājums</w:t>
      </w:r>
      <w:bookmarkEnd w:id="41"/>
      <w:bookmarkEnd w:id="42"/>
    </w:p>
    <w:p w:rsidR="00095171" w:rsidRDefault="00095171" w:rsidP="00F4636D">
      <w:pPr>
        <w:pStyle w:val="Heading2"/>
        <w:numPr>
          <w:ilvl w:val="1"/>
          <w:numId w:val="22"/>
        </w:numPr>
        <w:spacing w:after="240" w:line="240" w:lineRule="auto"/>
        <w:ind w:left="1134" w:hanging="425"/>
        <w:rPr>
          <w:rFonts w:ascii="Times New Roman" w:hAnsi="Times New Roman" w:cs="Times New Roman"/>
          <w:sz w:val="24"/>
        </w:rPr>
      </w:pPr>
      <w:bookmarkStart w:id="43" w:name="_Toc510790667"/>
      <w:bookmarkStart w:id="44" w:name="_Toc511027827"/>
      <w:r w:rsidRPr="00F51615">
        <w:rPr>
          <w:rFonts w:ascii="Times New Roman" w:hAnsi="Times New Roman" w:cs="Times New Roman"/>
          <w:sz w:val="24"/>
        </w:rPr>
        <w:t>Makroekonomiskā scenārija riski</w:t>
      </w:r>
      <w:bookmarkEnd w:id="43"/>
      <w:bookmarkEnd w:id="44"/>
    </w:p>
    <w:p w:rsidR="00095171" w:rsidRDefault="00095171" w:rsidP="00044EB5">
      <w:pPr>
        <w:autoSpaceDE w:val="0"/>
        <w:autoSpaceDN w:val="0"/>
        <w:adjustRightInd w:val="0"/>
        <w:spacing w:after="0" w:line="240" w:lineRule="auto"/>
        <w:ind w:firstLine="720"/>
        <w:jc w:val="both"/>
        <w:rPr>
          <w:rFonts w:ascii="Times New Roman" w:eastAsia="Times New Roman" w:hAnsi="Times New Roman" w:cs="Times New Roman"/>
          <w:sz w:val="24"/>
          <w:szCs w:val="24"/>
          <w:lang w:eastAsia="lv-LV"/>
        </w:rPr>
      </w:pPr>
      <w:r w:rsidRPr="008E57FF">
        <w:rPr>
          <w:rFonts w:ascii="Times New Roman" w:eastAsia="Times New Roman" w:hAnsi="Times New Roman" w:cs="Times New Roman"/>
          <w:sz w:val="24"/>
          <w:szCs w:val="24"/>
          <w:lang w:eastAsia="lv-LV"/>
        </w:rPr>
        <w:t xml:space="preserve">Makroekonomiskās attīstības scenārijs </w:t>
      </w:r>
      <w:r>
        <w:rPr>
          <w:rFonts w:ascii="Times New Roman" w:eastAsia="Times New Roman" w:hAnsi="Times New Roman" w:cs="Times New Roman"/>
          <w:sz w:val="24"/>
          <w:szCs w:val="24"/>
          <w:lang w:eastAsia="lv-LV"/>
        </w:rPr>
        <w:t xml:space="preserve">tradicionāli ir veidots, balstoties uz </w:t>
      </w:r>
      <w:r w:rsidRPr="008E57FF">
        <w:rPr>
          <w:rFonts w:ascii="Times New Roman" w:eastAsia="Times New Roman" w:hAnsi="Times New Roman" w:cs="Times New Roman"/>
          <w:sz w:val="24"/>
          <w:szCs w:val="24"/>
          <w:lang w:eastAsia="lv-LV"/>
        </w:rPr>
        <w:t>piesardzīgu prognozi</w:t>
      </w:r>
      <w:r>
        <w:rPr>
          <w:rFonts w:ascii="Times New Roman" w:eastAsia="Times New Roman" w:hAnsi="Times New Roman" w:cs="Times New Roman"/>
          <w:sz w:val="24"/>
          <w:szCs w:val="24"/>
          <w:lang w:eastAsia="lv-LV"/>
        </w:rPr>
        <w:t xml:space="preserve">, lai mazinātu iespējamo negatīvo ietekmi uz valsts budžetu </w:t>
      </w:r>
      <w:r w:rsidRPr="008D106B">
        <w:rPr>
          <w:rFonts w:ascii="Times New Roman" w:eastAsia="Times New Roman" w:hAnsi="Times New Roman" w:cs="Times New Roman"/>
          <w:sz w:val="24"/>
          <w:szCs w:val="24"/>
          <w:lang w:eastAsia="lv-LV"/>
        </w:rPr>
        <w:t>vidējā termiņā</w:t>
      </w:r>
      <w:r>
        <w:rPr>
          <w:rFonts w:ascii="Times New Roman" w:eastAsia="Times New Roman" w:hAnsi="Times New Roman" w:cs="Times New Roman"/>
          <w:sz w:val="24"/>
          <w:szCs w:val="24"/>
          <w:lang w:eastAsia="lv-LV"/>
        </w:rPr>
        <w:t>. Tādējādi pozitīvo risku iestāšanās varbūtība ir nedaudz lielāka nekā negatīvo risku iestāšanās varbūtība.</w:t>
      </w:r>
    </w:p>
    <w:p w:rsidR="00095171" w:rsidRPr="00766076" w:rsidRDefault="00095171" w:rsidP="00044EB5">
      <w:pPr>
        <w:pStyle w:val="Default"/>
        <w:ind w:firstLine="720"/>
        <w:jc w:val="both"/>
        <w:rPr>
          <w:color w:val="auto"/>
          <w:szCs w:val="23"/>
        </w:rPr>
      </w:pPr>
      <w:r w:rsidRPr="004423AA">
        <w:t xml:space="preserve">Praksē ir iespējami dažādi attīstības virzieni, tādēļ riska scenāriji ir tikai tehniski aprēķini, kuru pamatā ir noteikti pieņēmumi, un to mērķis ir novērtēt iespējamo noviržu ietekmi </w:t>
      </w:r>
      <w:r w:rsidRPr="00300E03">
        <w:t>uz valsts budžetu. Tādēļ,</w:t>
      </w:r>
      <w:r>
        <w:t xml:space="preserve"> balstoties </w:t>
      </w:r>
      <w:r w:rsidRPr="00766076">
        <w:rPr>
          <w:color w:val="auto"/>
          <w:szCs w:val="23"/>
        </w:rPr>
        <w:t xml:space="preserve">uz </w:t>
      </w:r>
      <w:r>
        <w:rPr>
          <w:color w:val="auto"/>
          <w:szCs w:val="23"/>
        </w:rPr>
        <w:t xml:space="preserve">zemāk </w:t>
      </w:r>
      <w:r w:rsidRPr="00766076">
        <w:rPr>
          <w:color w:val="auto"/>
          <w:szCs w:val="23"/>
        </w:rPr>
        <w:t>apskatīt</w:t>
      </w:r>
      <w:r>
        <w:rPr>
          <w:color w:val="auto"/>
          <w:szCs w:val="23"/>
        </w:rPr>
        <w:t xml:space="preserve">ajiem </w:t>
      </w:r>
      <w:r w:rsidRPr="00766076">
        <w:rPr>
          <w:color w:val="auto"/>
          <w:szCs w:val="23"/>
        </w:rPr>
        <w:t>makroekonomisk</w:t>
      </w:r>
      <w:r>
        <w:rPr>
          <w:color w:val="auto"/>
          <w:szCs w:val="23"/>
        </w:rPr>
        <w:t xml:space="preserve">ajiem </w:t>
      </w:r>
      <w:r w:rsidRPr="00766076">
        <w:rPr>
          <w:color w:val="auto"/>
          <w:szCs w:val="23"/>
        </w:rPr>
        <w:t>risk</w:t>
      </w:r>
      <w:r>
        <w:rPr>
          <w:color w:val="auto"/>
          <w:szCs w:val="23"/>
        </w:rPr>
        <w:t>iem</w:t>
      </w:r>
      <w:r w:rsidRPr="00766076">
        <w:rPr>
          <w:color w:val="auto"/>
          <w:szCs w:val="23"/>
        </w:rPr>
        <w:t>, ir izstrādāti divi alternatīvie makroekonomiskās attīstības scenāriji 201</w:t>
      </w:r>
      <w:r>
        <w:rPr>
          <w:color w:val="auto"/>
          <w:szCs w:val="23"/>
        </w:rPr>
        <w:t>8</w:t>
      </w:r>
      <w:r w:rsidRPr="00766076">
        <w:rPr>
          <w:color w:val="auto"/>
          <w:szCs w:val="23"/>
        </w:rPr>
        <w:t>.</w:t>
      </w:r>
      <w:r>
        <w:rPr>
          <w:rFonts w:eastAsia="Calibri"/>
        </w:rPr>
        <w:t xml:space="preserve"> – </w:t>
      </w:r>
      <w:r w:rsidRPr="00766076">
        <w:rPr>
          <w:color w:val="auto"/>
          <w:szCs w:val="23"/>
        </w:rPr>
        <w:t>202</w:t>
      </w:r>
      <w:r>
        <w:rPr>
          <w:color w:val="auto"/>
          <w:szCs w:val="23"/>
        </w:rPr>
        <w:t>1.gadam</w:t>
      </w:r>
      <w:r w:rsidRPr="00766076">
        <w:rPr>
          <w:color w:val="auto"/>
          <w:szCs w:val="23"/>
        </w:rPr>
        <w:t>.</w:t>
      </w:r>
      <w:r>
        <w:rPr>
          <w:color w:val="auto"/>
          <w:szCs w:val="23"/>
        </w:rPr>
        <w:t xml:space="preserve"> Ņemot vērā, ka 2018.gads jau ir gandrīz pusē un vēl nav vērojama risku realizācija, tad ir pieņemts, ka riska scenārijs iestāsies šā gada otrajā pusē un maksimālā ietekme būs vērojama 2019.gadā. </w:t>
      </w:r>
    </w:p>
    <w:p w:rsidR="00095171" w:rsidRDefault="00095171" w:rsidP="00B9413F">
      <w:pPr>
        <w:spacing w:before="120" w:after="0" w:line="240" w:lineRule="auto"/>
        <w:jc w:val="both"/>
        <w:rPr>
          <w:rFonts w:ascii="Times New Roman" w:hAnsi="Times New Roman" w:cs="Times New Roman"/>
          <w:b/>
          <w:sz w:val="24"/>
          <w:szCs w:val="24"/>
        </w:rPr>
      </w:pPr>
      <w:r w:rsidRPr="008E57FF">
        <w:rPr>
          <w:rFonts w:ascii="Times New Roman" w:hAnsi="Times New Roman" w:cs="Times New Roman"/>
          <w:b/>
          <w:sz w:val="24"/>
          <w:szCs w:val="24"/>
        </w:rPr>
        <w:t>Pozitīvie riski:</w:t>
      </w:r>
    </w:p>
    <w:p w:rsidR="00095171" w:rsidRDefault="00095171" w:rsidP="00044EB5">
      <w:pPr>
        <w:numPr>
          <w:ilvl w:val="0"/>
          <w:numId w:val="21"/>
        </w:numPr>
        <w:autoSpaceDE w:val="0"/>
        <w:autoSpaceDN w:val="0"/>
        <w:adjustRightInd w:val="0"/>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Finanšu sektoram attīroties un k</w:t>
      </w:r>
      <w:r w:rsidRPr="001F5AE6">
        <w:rPr>
          <w:rFonts w:ascii="Times New Roman" w:hAnsi="Times New Roman" w:cs="Times New Roman"/>
          <w:sz w:val="24"/>
          <w:szCs w:val="24"/>
        </w:rPr>
        <w:t>reditēšana</w:t>
      </w:r>
      <w:r>
        <w:rPr>
          <w:rFonts w:ascii="Times New Roman" w:hAnsi="Times New Roman" w:cs="Times New Roman"/>
          <w:sz w:val="24"/>
          <w:szCs w:val="24"/>
        </w:rPr>
        <w:t xml:space="preserve">i aktivizējoties straujāk nekā paredzēts pamata scenārijā, arī ekonomikas izaugsme var izrādīties straujāka; </w:t>
      </w:r>
    </w:p>
    <w:p w:rsidR="00095171" w:rsidRPr="001F5AE6" w:rsidRDefault="00095171" w:rsidP="00044EB5">
      <w:pPr>
        <w:numPr>
          <w:ilvl w:val="0"/>
          <w:numId w:val="21"/>
        </w:numPr>
        <w:autoSpaceDE w:val="0"/>
        <w:autoSpaceDN w:val="0"/>
        <w:adjustRightInd w:val="0"/>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Straujāka</w:t>
      </w:r>
      <w:r w:rsidRPr="001F5AE6">
        <w:rPr>
          <w:rFonts w:ascii="Times New Roman" w:hAnsi="Times New Roman" w:cs="Times New Roman"/>
          <w:sz w:val="24"/>
          <w:szCs w:val="24"/>
        </w:rPr>
        <w:t xml:space="preserve"> investīciju attīstīb</w:t>
      </w:r>
      <w:r>
        <w:rPr>
          <w:rFonts w:ascii="Times New Roman" w:hAnsi="Times New Roman" w:cs="Times New Roman"/>
          <w:sz w:val="24"/>
          <w:szCs w:val="24"/>
        </w:rPr>
        <w:t>a</w:t>
      </w:r>
      <w:r w:rsidRPr="001F5AE6">
        <w:rPr>
          <w:rFonts w:ascii="Times New Roman" w:hAnsi="Times New Roman" w:cs="Times New Roman"/>
          <w:sz w:val="24"/>
          <w:szCs w:val="24"/>
        </w:rPr>
        <w:t xml:space="preserve">, balstoties uz uzņēmumu pašu resursiem, ko veicinās gan labāka ES fondu </w:t>
      </w:r>
      <w:r>
        <w:rPr>
          <w:rFonts w:ascii="Times New Roman" w:hAnsi="Times New Roman" w:cs="Times New Roman"/>
          <w:sz w:val="24"/>
          <w:szCs w:val="24"/>
        </w:rPr>
        <w:t>ieviešana</w:t>
      </w:r>
      <w:r w:rsidRPr="001F5AE6">
        <w:rPr>
          <w:rFonts w:ascii="Times New Roman" w:hAnsi="Times New Roman" w:cs="Times New Roman"/>
          <w:sz w:val="24"/>
          <w:szCs w:val="24"/>
        </w:rPr>
        <w:t>, gan ārējā</w:t>
      </w:r>
      <w:r>
        <w:rPr>
          <w:rFonts w:ascii="Times New Roman" w:hAnsi="Times New Roman" w:cs="Times New Roman"/>
          <w:sz w:val="24"/>
          <w:szCs w:val="24"/>
        </w:rPr>
        <w:t>s ekonomiskās vides uzlabošanās. Straujāku izaugsmi var nodrošināt arī nodokļu reformas pozitīvāka ietekme uz ekonomikas attīstību, nekā sākotnēji prognozēts;</w:t>
      </w:r>
    </w:p>
    <w:p w:rsidR="00095171" w:rsidRPr="008E57FF" w:rsidRDefault="00095171" w:rsidP="00044EB5">
      <w:pPr>
        <w:numPr>
          <w:ilvl w:val="0"/>
          <w:numId w:val="21"/>
        </w:numPr>
        <w:autoSpaceDE w:val="0"/>
        <w:autoSpaceDN w:val="0"/>
        <w:adjustRightInd w:val="0"/>
        <w:spacing w:after="0" w:line="240" w:lineRule="auto"/>
        <w:ind w:left="1134" w:hanging="425"/>
        <w:jc w:val="both"/>
        <w:rPr>
          <w:rFonts w:ascii="Times New Roman" w:hAnsi="Times New Roman" w:cs="Times New Roman"/>
          <w:sz w:val="24"/>
          <w:szCs w:val="24"/>
        </w:rPr>
      </w:pPr>
      <w:r w:rsidRPr="008E57FF">
        <w:rPr>
          <w:rFonts w:ascii="Times New Roman" w:hAnsi="Times New Roman" w:cs="Times New Roman"/>
          <w:sz w:val="24"/>
          <w:szCs w:val="24"/>
        </w:rPr>
        <w:t>Straujā</w:t>
      </w:r>
      <w:r>
        <w:rPr>
          <w:rFonts w:ascii="Times New Roman" w:hAnsi="Times New Roman" w:cs="Times New Roman"/>
          <w:sz w:val="24"/>
          <w:szCs w:val="24"/>
        </w:rPr>
        <w:t xml:space="preserve">ka, nekā prognozēts, ekonomiskā izaugsme </w:t>
      </w:r>
      <w:r w:rsidRPr="008E57FF">
        <w:rPr>
          <w:rFonts w:ascii="Times New Roman" w:hAnsi="Times New Roman" w:cs="Times New Roman"/>
          <w:sz w:val="24"/>
          <w:szCs w:val="24"/>
        </w:rPr>
        <w:t>ES un citās Latvijas tirdzniecības partnervalstīs, balstoties uz jau ilgstošo pasaules preču tirgu stabilitāti un ekonomikas atkopšanos attīstības tirgos.</w:t>
      </w:r>
    </w:p>
    <w:p w:rsidR="00095171" w:rsidRPr="008E57FF" w:rsidRDefault="00095171" w:rsidP="00B9413F">
      <w:pPr>
        <w:spacing w:before="120" w:after="0" w:line="240" w:lineRule="auto"/>
        <w:jc w:val="both"/>
        <w:rPr>
          <w:rFonts w:ascii="Times New Roman" w:hAnsi="Times New Roman" w:cs="Times New Roman"/>
          <w:b/>
          <w:sz w:val="24"/>
          <w:szCs w:val="24"/>
        </w:rPr>
      </w:pPr>
      <w:r w:rsidRPr="008E57FF">
        <w:rPr>
          <w:rFonts w:ascii="Times New Roman" w:hAnsi="Times New Roman" w:cs="Times New Roman"/>
          <w:b/>
          <w:sz w:val="24"/>
          <w:szCs w:val="24"/>
        </w:rPr>
        <w:t>Negatīvie riski:</w:t>
      </w:r>
    </w:p>
    <w:p w:rsidR="00095171" w:rsidRPr="00014DBD" w:rsidRDefault="00095171" w:rsidP="00044EB5">
      <w:pPr>
        <w:numPr>
          <w:ilvl w:val="0"/>
          <w:numId w:val="21"/>
        </w:numPr>
        <w:autoSpaceDE w:val="0"/>
        <w:autoSpaceDN w:val="0"/>
        <w:adjustRightInd w:val="0"/>
        <w:spacing w:after="0" w:line="240" w:lineRule="auto"/>
        <w:ind w:left="1134" w:hanging="425"/>
        <w:jc w:val="both"/>
        <w:rPr>
          <w:rFonts w:ascii="Times New Roman" w:hAnsi="Times New Roman" w:cs="Times New Roman"/>
          <w:sz w:val="24"/>
          <w:szCs w:val="24"/>
        </w:rPr>
      </w:pPr>
      <w:r w:rsidRPr="0069634D">
        <w:rPr>
          <w:rFonts w:ascii="Times New Roman" w:hAnsi="Times New Roman" w:cs="Times New Roman"/>
          <w:sz w:val="24"/>
          <w:szCs w:val="24"/>
        </w:rPr>
        <w:t>Strauja un nekontrolēta nerezidentu biznesa apkalpošanas samazināšanās Latvijā var radīt nevēlamu spriedzi finanšu sektorā</w:t>
      </w:r>
      <w:r>
        <w:rPr>
          <w:rFonts w:ascii="Times New Roman" w:hAnsi="Times New Roman" w:cs="Times New Roman"/>
          <w:sz w:val="24"/>
          <w:szCs w:val="24"/>
        </w:rPr>
        <w:t>;</w:t>
      </w:r>
    </w:p>
    <w:p w:rsidR="00095171" w:rsidRPr="0013327F" w:rsidRDefault="00095171" w:rsidP="00044EB5">
      <w:pPr>
        <w:numPr>
          <w:ilvl w:val="0"/>
          <w:numId w:val="21"/>
        </w:numPr>
        <w:autoSpaceDE w:val="0"/>
        <w:autoSpaceDN w:val="0"/>
        <w:adjustRightInd w:val="0"/>
        <w:spacing w:after="0" w:line="240" w:lineRule="auto"/>
        <w:ind w:left="1134" w:hanging="425"/>
        <w:jc w:val="both"/>
        <w:rPr>
          <w:rFonts w:ascii="Times New Roman" w:hAnsi="Times New Roman" w:cs="Times New Roman"/>
          <w:sz w:val="24"/>
          <w:szCs w:val="24"/>
        </w:rPr>
      </w:pPr>
      <w:r w:rsidRPr="0013327F">
        <w:rPr>
          <w:rFonts w:ascii="Times New Roman" w:hAnsi="Times New Roman" w:cs="Times New Roman"/>
          <w:sz w:val="24"/>
          <w:szCs w:val="24"/>
        </w:rPr>
        <w:t xml:space="preserve">Ilgstoši zems investīciju līmenis, īpaši apstrādes rūpniecībā, </w:t>
      </w:r>
      <w:r>
        <w:rPr>
          <w:rFonts w:ascii="Times New Roman" w:hAnsi="Times New Roman" w:cs="Times New Roman"/>
          <w:sz w:val="24"/>
          <w:szCs w:val="24"/>
        </w:rPr>
        <w:t>mazinās</w:t>
      </w:r>
      <w:r w:rsidRPr="0013327F">
        <w:rPr>
          <w:rFonts w:ascii="Times New Roman" w:hAnsi="Times New Roman" w:cs="Times New Roman"/>
          <w:sz w:val="24"/>
          <w:szCs w:val="24"/>
        </w:rPr>
        <w:t xml:space="preserve"> Latvijas ekonomikas izaugsmes potenciālu </w:t>
      </w:r>
      <w:r>
        <w:rPr>
          <w:rFonts w:ascii="Times New Roman" w:hAnsi="Times New Roman" w:cs="Times New Roman"/>
          <w:sz w:val="24"/>
          <w:szCs w:val="24"/>
        </w:rPr>
        <w:t>un straujākas izaugsmes iespēju;</w:t>
      </w:r>
    </w:p>
    <w:p w:rsidR="00095171" w:rsidRDefault="00095171" w:rsidP="00044EB5">
      <w:pPr>
        <w:numPr>
          <w:ilvl w:val="0"/>
          <w:numId w:val="21"/>
        </w:numPr>
        <w:autoSpaceDE w:val="0"/>
        <w:autoSpaceDN w:val="0"/>
        <w:adjustRightInd w:val="0"/>
        <w:spacing w:after="0" w:line="240" w:lineRule="auto"/>
        <w:ind w:left="1134" w:hanging="425"/>
        <w:jc w:val="both"/>
        <w:rPr>
          <w:rFonts w:ascii="Times New Roman" w:hAnsi="Times New Roman" w:cs="Times New Roman"/>
          <w:sz w:val="24"/>
          <w:szCs w:val="24"/>
        </w:rPr>
      </w:pPr>
      <w:r w:rsidRPr="0013327F">
        <w:rPr>
          <w:rFonts w:ascii="Times New Roman" w:hAnsi="Times New Roman" w:cs="Times New Roman"/>
          <w:sz w:val="24"/>
          <w:szCs w:val="24"/>
        </w:rPr>
        <w:t>Pieaugošā ģeopolitiskā nenoteiktība</w:t>
      </w:r>
      <w:r>
        <w:rPr>
          <w:rFonts w:ascii="Times New Roman" w:hAnsi="Times New Roman" w:cs="Times New Roman"/>
          <w:sz w:val="24"/>
          <w:szCs w:val="24"/>
        </w:rPr>
        <w:t>, kā arī finanšu tirgus svā</w:t>
      </w:r>
      <w:r w:rsidRPr="0013327F">
        <w:rPr>
          <w:rFonts w:ascii="Times New Roman" w:hAnsi="Times New Roman" w:cs="Times New Roman"/>
          <w:sz w:val="24"/>
          <w:szCs w:val="24"/>
        </w:rPr>
        <w:t>r</w:t>
      </w:r>
      <w:r>
        <w:rPr>
          <w:rFonts w:ascii="Times New Roman" w:hAnsi="Times New Roman" w:cs="Times New Roman"/>
          <w:sz w:val="24"/>
          <w:szCs w:val="24"/>
        </w:rPr>
        <w:t>s</w:t>
      </w:r>
      <w:r w:rsidRPr="0013327F">
        <w:rPr>
          <w:rFonts w:ascii="Times New Roman" w:hAnsi="Times New Roman" w:cs="Times New Roman"/>
          <w:sz w:val="24"/>
          <w:szCs w:val="24"/>
        </w:rPr>
        <w:t>tības var ietekmēt ekonomiskās situācijas pasliktināšanos galvenajiem Latvijas tirdzniecības partneriem Krievijā un ES un var bre</w:t>
      </w:r>
      <w:r>
        <w:rPr>
          <w:rFonts w:ascii="Times New Roman" w:hAnsi="Times New Roman" w:cs="Times New Roman"/>
          <w:sz w:val="24"/>
          <w:szCs w:val="24"/>
        </w:rPr>
        <w:t>mzēt Latvijas eksporta izaugsmi;</w:t>
      </w:r>
    </w:p>
    <w:p w:rsidR="00095171" w:rsidRDefault="00095171" w:rsidP="00044EB5">
      <w:pPr>
        <w:numPr>
          <w:ilvl w:val="0"/>
          <w:numId w:val="21"/>
        </w:numPr>
        <w:autoSpaceDE w:val="0"/>
        <w:autoSpaceDN w:val="0"/>
        <w:adjustRightInd w:val="0"/>
        <w:spacing w:after="0" w:line="240" w:lineRule="auto"/>
        <w:ind w:left="1134" w:hanging="425"/>
        <w:jc w:val="both"/>
        <w:rPr>
          <w:rFonts w:ascii="Times New Roman" w:hAnsi="Times New Roman" w:cs="Times New Roman"/>
          <w:sz w:val="24"/>
          <w:szCs w:val="24"/>
        </w:rPr>
      </w:pPr>
      <w:r w:rsidRPr="0013327F">
        <w:rPr>
          <w:rFonts w:ascii="Times New Roman" w:hAnsi="Times New Roman" w:cs="Times New Roman"/>
          <w:sz w:val="24"/>
          <w:szCs w:val="24"/>
        </w:rPr>
        <w:t>Pieaugoša</w:t>
      </w:r>
      <w:r>
        <w:rPr>
          <w:rFonts w:ascii="Times New Roman" w:hAnsi="Times New Roman" w:cs="Times New Roman"/>
          <w:sz w:val="24"/>
          <w:szCs w:val="24"/>
        </w:rPr>
        <w:t>is darbaspēka trūkums ekonomikā</w:t>
      </w:r>
      <w:r w:rsidRPr="0013327F">
        <w:rPr>
          <w:rFonts w:ascii="Times New Roman" w:hAnsi="Times New Roman" w:cs="Times New Roman"/>
          <w:sz w:val="24"/>
          <w:szCs w:val="24"/>
        </w:rPr>
        <w:t xml:space="preserve"> negatīvo demogrāfisko tendenču dēļ, kas </w:t>
      </w:r>
      <w:r>
        <w:rPr>
          <w:rFonts w:ascii="Times New Roman" w:hAnsi="Times New Roman" w:cs="Times New Roman"/>
          <w:sz w:val="24"/>
          <w:szCs w:val="24"/>
        </w:rPr>
        <w:t>mazinās</w:t>
      </w:r>
      <w:r w:rsidRPr="0013327F">
        <w:rPr>
          <w:rFonts w:ascii="Times New Roman" w:hAnsi="Times New Roman" w:cs="Times New Roman"/>
          <w:sz w:val="24"/>
          <w:szCs w:val="24"/>
        </w:rPr>
        <w:t xml:space="preserve"> cilvēk</w:t>
      </w:r>
      <w:r>
        <w:rPr>
          <w:rFonts w:ascii="Times New Roman" w:hAnsi="Times New Roman" w:cs="Times New Roman"/>
          <w:sz w:val="24"/>
          <w:szCs w:val="24"/>
        </w:rPr>
        <w:t>u skaitu darbaspēka vecumā, radot</w:t>
      </w:r>
      <w:r w:rsidRPr="0013327F">
        <w:rPr>
          <w:rFonts w:ascii="Times New Roman" w:hAnsi="Times New Roman" w:cs="Times New Roman"/>
          <w:sz w:val="24"/>
          <w:szCs w:val="24"/>
        </w:rPr>
        <w:t xml:space="preserve"> spiedienu uz algu pieaugumu. Savukārt produktivitātes pieaugumam ne</w:t>
      </w:r>
      <w:r>
        <w:rPr>
          <w:rFonts w:ascii="Times New Roman" w:hAnsi="Times New Roman" w:cs="Times New Roman"/>
          <w:sz w:val="24"/>
          <w:szCs w:val="24"/>
        </w:rPr>
        <w:t>atbilstošs ilgstošs algu kāpums</w:t>
      </w:r>
      <w:r w:rsidRPr="0013327F">
        <w:rPr>
          <w:rFonts w:ascii="Times New Roman" w:hAnsi="Times New Roman" w:cs="Times New Roman"/>
          <w:sz w:val="24"/>
          <w:szCs w:val="24"/>
        </w:rPr>
        <w:t xml:space="preserve"> var mazināt ekonomikas konkurētspēju un bremzēt ekonomisko izaugsmi vidējā termiņā.</w:t>
      </w:r>
    </w:p>
    <w:p w:rsidR="0049031F" w:rsidRDefault="0049031F" w:rsidP="00044EB5">
      <w:pPr>
        <w:autoSpaceDE w:val="0"/>
        <w:autoSpaceDN w:val="0"/>
        <w:adjustRightInd w:val="0"/>
        <w:spacing w:after="0" w:line="240" w:lineRule="auto"/>
        <w:jc w:val="both"/>
        <w:rPr>
          <w:rFonts w:ascii="Times New Roman" w:hAnsi="Times New Roman" w:cs="Times New Roman"/>
          <w:sz w:val="24"/>
          <w:szCs w:val="24"/>
        </w:rPr>
      </w:pPr>
    </w:p>
    <w:p w:rsidR="00095171" w:rsidRDefault="00095171" w:rsidP="00044EB5">
      <w:pPr>
        <w:pStyle w:val="Heading2"/>
        <w:numPr>
          <w:ilvl w:val="1"/>
          <w:numId w:val="22"/>
        </w:numPr>
        <w:spacing w:before="0" w:after="240" w:line="240" w:lineRule="auto"/>
        <w:ind w:left="567" w:firstLine="57"/>
        <w:rPr>
          <w:rFonts w:ascii="Times New Roman" w:hAnsi="Times New Roman" w:cs="Times New Roman"/>
          <w:sz w:val="24"/>
        </w:rPr>
      </w:pPr>
      <w:bookmarkStart w:id="45" w:name="_Toc510790668"/>
      <w:bookmarkStart w:id="46" w:name="_Toc511027828"/>
      <w:r w:rsidRPr="00F51615">
        <w:rPr>
          <w:rFonts w:ascii="Times New Roman" w:hAnsi="Times New Roman" w:cs="Times New Roman"/>
          <w:sz w:val="24"/>
        </w:rPr>
        <w:t>Jutīguma analīze</w:t>
      </w:r>
      <w:bookmarkEnd w:id="45"/>
      <w:bookmarkEnd w:id="46"/>
    </w:p>
    <w:p w:rsidR="00095171" w:rsidRPr="0063406B" w:rsidRDefault="00095171" w:rsidP="00044EB5">
      <w:pPr>
        <w:pStyle w:val="Heading2"/>
        <w:numPr>
          <w:ilvl w:val="2"/>
          <w:numId w:val="22"/>
        </w:numPr>
        <w:spacing w:before="0" w:line="240" w:lineRule="auto"/>
        <w:ind w:left="567" w:hanging="11"/>
        <w:jc w:val="both"/>
        <w:rPr>
          <w:rFonts w:ascii="Times New Roman" w:hAnsi="Times New Roman" w:cs="Times New Roman"/>
          <w:sz w:val="24"/>
        </w:rPr>
      </w:pPr>
      <w:bookmarkStart w:id="47" w:name="_Toc510790669"/>
      <w:bookmarkStart w:id="48" w:name="_Toc511027829"/>
      <w:r w:rsidRPr="0063406B">
        <w:rPr>
          <w:rFonts w:ascii="Times New Roman" w:hAnsi="Times New Roman" w:cs="Times New Roman"/>
          <w:sz w:val="24"/>
        </w:rPr>
        <w:t>Optimistiskais scenārijs</w:t>
      </w:r>
      <w:bookmarkEnd w:id="47"/>
      <w:bookmarkEnd w:id="48"/>
    </w:p>
    <w:p w:rsidR="00095171" w:rsidRDefault="00095171" w:rsidP="00B9413F">
      <w:pPr>
        <w:autoSpaceDE w:val="0"/>
        <w:autoSpaceDN w:val="0"/>
        <w:adjustRightInd w:val="0"/>
        <w:spacing w:before="120" w:after="0" w:line="240" w:lineRule="auto"/>
        <w:ind w:firstLine="567"/>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b/>
          <w:sz w:val="24"/>
          <w:szCs w:val="23"/>
          <w:lang w:eastAsia="lv-LV"/>
        </w:rPr>
        <w:t>Ietekme uz ekonomiku.</w:t>
      </w:r>
      <w:r>
        <w:rPr>
          <w:rFonts w:ascii="Times New Roman" w:eastAsia="Times New Roman" w:hAnsi="Times New Roman" w:cs="Times New Roman"/>
          <w:b/>
          <w:sz w:val="24"/>
          <w:szCs w:val="23"/>
          <w:lang w:eastAsia="lv-LV"/>
        </w:rPr>
        <w:t xml:space="preserve"> </w:t>
      </w:r>
      <w:r>
        <w:rPr>
          <w:rFonts w:ascii="Times New Roman" w:eastAsia="Times New Roman" w:hAnsi="Times New Roman" w:cs="Times New Roman"/>
          <w:color w:val="000000"/>
          <w:sz w:val="24"/>
          <w:szCs w:val="24"/>
          <w:lang w:eastAsia="lv-LV"/>
        </w:rPr>
        <w:t xml:space="preserve">Ekonomiskā </w:t>
      </w:r>
      <w:r w:rsidRPr="00531984">
        <w:rPr>
          <w:rFonts w:ascii="Times New Roman" w:eastAsia="Times New Roman" w:hAnsi="Times New Roman" w:cs="Times New Roman"/>
          <w:color w:val="000000"/>
          <w:sz w:val="24"/>
          <w:szCs w:val="24"/>
          <w:lang w:eastAsia="lv-LV"/>
        </w:rPr>
        <w:t xml:space="preserve">izaugsme </w:t>
      </w:r>
      <w:r>
        <w:rPr>
          <w:rFonts w:ascii="Times New Roman" w:eastAsia="Times New Roman" w:hAnsi="Times New Roman" w:cs="Times New Roman"/>
          <w:color w:val="000000"/>
          <w:sz w:val="24"/>
          <w:szCs w:val="24"/>
          <w:lang w:eastAsia="lv-LV"/>
        </w:rPr>
        <w:t xml:space="preserve">pēdējos gados kopumā bija straujāka nekā prognozēts, un FM prognozes tradicionāli ir piesardzīgas, kas neizslēdz iespēju, ka ekonomiskā izaugsme varētu būt straujāka nekā prognozēts. Arī Latvijas tirdzniecības partnervalstu ekonomiskās prognozes pastāvīgi tiek koriģētas uz augšu, norādot uz to, ka ekonomiskā izaugsme ir augšupejošā cikla daļā. Saglabājoties pozitīvam sentimentam </w:t>
      </w:r>
      <w:r w:rsidRPr="00F105DD">
        <w:rPr>
          <w:rFonts w:ascii="Times New Roman" w:eastAsia="Times New Roman" w:hAnsi="Times New Roman" w:cs="Times New Roman"/>
          <w:color w:val="000000"/>
          <w:sz w:val="24"/>
          <w:szCs w:val="24"/>
          <w:lang w:eastAsia="lv-LV"/>
        </w:rPr>
        <w:t>Eiropā,</w:t>
      </w:r>
      <w:r>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lastRenderedPageBreak/>
        <w:t>ekonomiskā izaugsme</w:t>
      </w:r>
      <w:r w:rsidRPr="00F105DD">
        <w:rPr>
          <w:rFonts w:ascii="Times New Roman" w:eastAsia="Times New Roman" w:hAnsi="Times New Roman" w:cs="Times New Roman"/>
          <w:color w:val="000000"/>
          <w:sz w:val="24"/>
          <w:szCs w:val="24"/>
          <w:lang w:eastAsia="lv-LV"/>
        </w:rPr>
        <w:t xml:space="preserve"> varētu </w:t>
      </w:r>
      <w:r>
        <w:rPr>
          <w:rFonts w:ascii="Times New Roman" w:eastAsia="Times New Roman" w:hAnsi="Times New Roman" w:cs="Times New Roman"/>
          <w:color w:val="000000"/>
          <w:sz w:val="24"/>
          <w:szCs w:val="24"/>
          <w:lang w:eastAsia="lv-LV"/>
        </w:rPr>
        <w:t>būt straujāka</w:t>
      </w:r>
      <w:r w:rsidRPr="00F105DD">
        <w:rPr>
          <w:rFonts w:ascii="Times New Roman" w:eastAsia="Times New Roman" w:hAnsi="Times New Roman" w:cs="Times New Roman"/>
          <w:color w:val="000000"/>
          <w:sz w:val="24"/>
          <w:szCs w:val="24"/>
          <w:lang w:eastAsia="lv-LV"/>
        </w:rPr>
        <w:t xml:space="preserve">, nekā prognozēts, </w:t>
      </w:r>
      <w:r>
        <w:rPr>
          <w:rFonts w:ascii="Times New Roman" w:eastAsia="Times New Roman" w:hAnsi="Times New Roman" w:cs="Times New Roman"/>
          <w:color w:val="000000"/>
          <w:sz w:val="24"/>
          <w:szCs w:val="24"/>
          <w:lang w:eastAsia="lv-LV"/>
        </w:rPr>
        <w:t>kas savukārt būtu labvēlīgi Latvijas eksporta attīstībai un IKP pieaugumam.</w:t>
      </w:r>
    </w:p>
    <w:p w:rsidR="009C44D7" w:rsidRDefault="009C44D7" w:rsidP="00044EB5">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lv-LV"/>
        </w:rPr>
      </w:pPr>
    </w:p>
    <w:p w:rsidR="00095171" w:rsidRPr="00946603" w:rsidRDefault="00095171" w:rsidP="00044EB5">
      <w:pPr>
        <w:spacing w:after="0" w:line="240" w:lineRule="auto"/>
        <w:jc w:val="right"/>
        <w:rPr>
          <w:rFonts w:ascii="Times New Roman" w:hAnsi="Times New Roman"/>
          <w:b/>
          <w:sz w:val="24"/>
        </w:rPr>
      </w:pPr>
      <w:r w:rsidRPr="008E57FF">
        <w:rPr>
          <w:rFonts w:ascii="Times New Roman" w:hAnsi="Times New Roman" w:cs="Times New Roman"/>
          <w:b/>
          <w:sz w:val="24"/>
          <w:szCs w:val="24"/>
        </w:rPr>
        <w:t>4.</w:t>
      </w:r>
      <w:r>
        <w:rPr>
          <w:rFonts w:ascii="Times New Roman" w:hAnsi="Times New Roman" w:cs="Times New Roman"/>
          <w:b/>
          <w:sz w:val="24"/>
          <w:szCs w:val="24"/>
        </w:rPr>
        <w:t>1</w:t>
      </w:r>
      <w:r w:rsidRPr="008E57FF">
        <w:rPr>
          <w:rFonts w:ascii="Times New Roman" w:hAnsi="Times New Roman" w:cs="Times New Roman"/>
          <w:b/>
          <w:sz w:val="24"/>
          <w:szCs w:val="24"/>
        </w:rPr>
        <w:t>.tabula. Optimistiskais makroekonomiskais scenārijs</w:t>
      </w:r>
    </w:p>
    <w:tbl>
      <w:tblPr>
        <w:tblStyle w:val="GridTable6Colorful-Accent12"/>
        <w:tblW w:w="9713" w:type="dxa"/>
        <w:jc w:val="center"/>
        <w:tblLayout w:type="fixed"/>
        <w:tblLook w:val="04A0" w:firstRow="1" w:lastRow="0" w:firstColumn="1" w:lastColumn="0" w:noHBand="0" w:noVBand="1"/>
      </w:tblPr>
      <w:tblGrid>
        <w:gridCol w:w="3338"/>
        <w:gridCol w:w="796"/>
        <w:gridCol w:w="796"/>
        <w:gridCol w:w="797"/>
        <w:gridCol w:w="798"/>
        <w:gridCol w:w="796"/>
        <w:gridCol w:w="797"/>
        <w:gridCol w:w="796"/>
        <w:gridCol w:w="799"/>
      </w:tblGrid>
      <w:tr w:rsidR="00095171" w:rsidRPr="003D1B91" w:rsidTr="00623C3B">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jc w:val="both"/>
              <w:rPr>
                <w:rFonts w:ascii="Times New Roman" w:hAnsi="Times New Roman" w:cs="Times New Roman"/>
                <w:b w:val="0"/>
                <w:color w:val="auto"/>
                <w:sz w:val="20"/>
                <w:szCs w:val="20"/>
              </w:rPr>
            </w:pPr>
          </w:p>
        </w:tc>
        <w:tc>
          <w:tcPr>
            <w:tcW w:w="3187" w:type="dxa"/>
            <w:gridSpan w:val="4"/>
            <w:tcBorders>
              <w:right w:val="double" w:sz="4" w:space="0" w:color="9CC2E5" w:themeColor="accent1" w:themeTint="99"/>
            </w:tcBorders>
            <w:noWrap/>
            <w:vAlign w:val="center"/>
          </w:tcPr>
          <w:p w:rsidR="00095171" w:rsidRPr="003D1B91" w:rsidRDefault="00095171" w:rsidP="00044EB5">
            <w:pPr>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Pr>
                <w:rFonts w:ascii="Times New Roman" w:hAnsi="Times New Roman" w:cs="Times New Roman"/>
                <w:b w:val="0"/>
                <w:color w:val="auto"/>
                <w:sz w:val="20"/>
                <w:szCs w:val="20"/>
              </w:rPr>
              <w:t>Optimistiskais</w:t>
            </w:r>
            <w:r w:rsidRPr="003D1B91">
              <w:rPr>
                <w:rFonts w:ascii="Times New Roman" w:hAnsi="Times New Roman" w:cs="Times New Roman"/>
                <w:b w:val="0"/>
                <w:color w:val="auto"/>
                <w:sz w:val="20"/>
                <w:szCs w:val="20"/>
              </w:rPr>
              <w:t xml:space="preserve"> scenārijs</w:t>
            </w:r>
          </w:p>
        </w:tc>
        <w:tc>
          <w:tcPr>
            <w:tcW w:w="3188" w:type="dxa"/>
            <w:gridSpan w:val="4"/>
            <w:tcBorders>
              <w:left w:val="double" w:sz="4" w:space="0" w:color="9CC2E5" w:themeColor="accent1" w:themeTint="99"/>
            </w:tcBorders>
            <w:noWrap/>
            <w:vAlign w:val="center"/>
          </w:tcPr>
          <w:p w:rsidR="00095171" w:rsidRPr="003D1B91" w:rsidRDefault="00095171" w:rsidP="00044EB5">
            <w:pPr>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Novirze no bāzes scenārija</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jc w:val="both"/>
              <w:rPr>
                <w:rFonts w:ascii="Times New Roman" w:hAnsi="Times New Roman" w:cs="Times New Roman"/>
                <w:b w:val="0"/>
                <w:color w:val="auto"/>
                <w:sz w:val="20"/>
                <w:szCs w:val="20"/>
              </w:rPr>
            </w:pPr>
          </w:p>
        </w:tc>
        <w:tc>
          <w:tcPr>
            <w:tcW w:w="796" w:type="dxa"/>
            <w:noWrap/>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2018</w:t>
            </w:r>
          </w:p>
        </w:tc>
        <w:tc>
          <w:tcPr>
            <w:tcW w:w="796" w:type="dxa"/>
            <w:noWrap/>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2019</w:t>
            </w:r>
          </w:p>
        </w:tc>
        <w:tc>
          <w:tcPr>
            <w:tcW w:w="797" w:type="dxa"/>
            <w:noWrap/>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2020</w:t>
            </w:r>
          </w:p>
        </w:tc>
        <w:tc>
          <w:tcPr>
            <w:tcW w:w="796" w:type="dxa"/>
            <w:tcBorders>
              <w:right w:val="double" w:sz="4" w:space="0" w:color="9CC2E5" w:themeColor="accent1" w:themeTint="99"/>
            </w:tcBorders>
            <w:noWrap/>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2021</w:t>
            </w:r>
          </w:p>
        </w:tc>
        <w:tc>
          <w:tcPr>
            <w:tcW w:w="796" w:type="dxa"/>
            <w:tcBorders>
              <w:left w:val="double" w:sz="4" w:space="0" w:color="9CC2E5" w:themeColor="accent1" w:themeTint="99"/>
            </w:tcBorders>
            <w:noWrap/>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2018</w:t>
            </w:r>
          </w:p>
        </w:tc>
        <w:tc>
          <w:tcPr>
            <w:tcW w:w="797" w:type="dxa"/>
            <w:noWrap/>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2019</w:t>
            </w:r>
          </w:p>
        </w:tc>
        <w:tc>
          <w:tcPr>
            <w:tcW w:w="796" w:type="dxa"/>
            <w:noWrap/>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2020</w:t>
            </w:r>
          </w:p>
        </w:tc>
        <w:tc>
          <w:tcPr>
            <w:tcW w:w="797" w:type="dxa"/>
            <w:noWrap/>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2021</w:t>
            </w:r>
          </w:p>
        </w:tc>
      </w:tr>
      <w:tr w:rsidR="00095171" w:rsidRPr="0024257A" w:rsidTr="00623C3B">
        <w:trPr>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rsidR="00095171" w:rsidRPr="003D1B91" w:rsidRDefault="00095171" w:rsidP="00DB53CF">
            <w:pPr>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 xml:space="preserve">IKP, faktiskajās cenās, milj. </w:t>
            </w:r>
            <w:r w:rsidRPr="003D1B91">
              <w:rPr>
                <w:rFonts w:ascii="Times New Roman" w:hAnsi="Times New Roman" w:cs="Times New Roman"/>
                <w:b w:val="0"/>
                <w:i/>
                <w:color w:val="auto"/>
                <w:sz w:val="20"/>
                <w:szCs w:val="20"/>
              </w:rPr>
              <w:t>euro</w:t>
            </w:r>
          </w:p>
        </w:tc>
        <w:tc>
          <w:tcPr>
            <w:tcW w:w="796"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28</w:t>
            </w:r>
            <w:r w:rsidR="00044EB5">
              <w:rPr>
                <w:rFonts w:ascii="Times New Roman" w:hAnsi="Times New Roman" w:cs="Times New Roman"/>
                <w:color w:val="auto"/>
                <w:sz w:val="20"/>
                <w:szCs w:val="20"/>
              </w:rPr>
              <w:t> </w:t>
            </w:r>
            <w:r w:rsidRPr="0032768C">
              <w:rPr>
                <w:rFonts w:ascii="Times New Roman" w:hAnsi="Times New Roman" w:cs="Times New Roman"/>
                <w:color w:val="auto"/>
                <w:sz w:val="20"/>
                <w:szCs w:val="20"/>
              </w:rPr>
              <w:t>826</w:t>
            </w:r>
          </w:p>
        </w:tc>
        <w:tc>
          <w:tcPr>
            <w:tcW w:w="796"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30</w:t>
            </w:r>
            <w:r w:rsidR="00044EB5">
              <w:rPr>
                <w:rFonts w:ascii="Times New Roman" w:hAnsi="Times New Roman" w:cs="Times New Roman"/>
                <w:color w:val="auto"/>
                <w:sz w:val="20"/>
                <w:szCs w:val="20"/>
              </w:rPr>
              <w:t> </w:t>
            </w:r>
            <w:r w:rsidRPr="0032768C">
              <w:rPr>
                <w:rFonts w:ascii="Times New Roman" w:hAnsi="Times New Roman" w:cs="Times New Roman"/>
                <w:color w:val="auto"/>
                <w:sz w:val="20"/>
                <w:szCs w:val="20"/>
              </w:rPr>
              <w:t>930</w:t>
            </w:r>
          </w:p>
        </w:tc>
        <w:tc>
          <w:tcPr>
            <w:tcW w:w="797"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32</w:t>
            </w:r>
            <w:r w:rsidR="00044EB5">
              <w:rPr>
                <w:rFonts w:ascii="Times New Roman" w:hAnsi="Times New Roman" w:cs="Times New Roman"/>
                <w:color w:val="auto"/>
                <w:sz w:val="20"/>
                <w:szCs w:val="20"/>
              </w:rPr>
              <w:t> </w:t>
            </w:r>
            <w:r w:rsidRPr="0032768C">
              <w:rPr>
                <w:rFonts w:ascii="Times New Roman" w:hAnsi="Times New Roman" w:cs="Times New Roman"/>
                <w:color w:val="auto"/>
                <w:sz w:val="20"/>
                <w:szCs w:val="20"/>
              </w:rPr>
              <w:t>805</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34</w:t>
            </w:r>
            <w:r w:rsidR="00044EB5">
              <w:rPr>
                <w:rFonts w:ascii="Times New Roman" w:hAnsi="Times New Roman" w:cs="Times New Roman"/>
                <w:color w:val="auto"/>
                <w:sz w:val="20"/>
                <w:szCs w:val="20"/>
              </w:rPr>
              <w:t> </w:t>
            </w:r>
            <w:r w:rsidRPr="0032768C">
              <w:rPr>
                <w:rFonts w:ascii="Times New Roman" w:hAnsi="Times New Roman" w:cs="Times New Roman"/>
                <w:color w:val="auto"/>
                <w:sz w:val="20"/>
                <w:szCs w:val="20"/>
              </w:rPr>
              <w:t>595</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29</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258</w:t>
            </w:r>
          </w:p>
        </w:tc>
        <w:tc>
          <w:tcPr>
            <w:tcW w:w="796"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350</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376</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ind w:left="26"/>
              <w:jc w:val="both"/>
              <w:rPr>
                <w:rFonts w:ascii="Times New Roman" w:hAnsi="Times New Roman" w:cs="Times New Roman"/>
                <w:b w:val="0"/>
                <w:sz w:val="20"/>
                <w:szCs w:val="20"/>
              </w:rPr>
            </w:pPr>
            <w:r>
              <w:rPr>
                <w:rFonts w:ascii="Times New Roman" w:hAnsi="Times New Roman" w:cs="Times New Roman"/>
                <w:b w:val="0"/>
                <w:color w:val="auto"/>
                <w:sz w:val="20"/>
                <w:szCs w:val="20"/>
              </w:rPr>
              <w:t>- pieaugums faktiskajās cenās</w:t>
            </w:r>
            <w:r w:rsidRPr="003D1B91">
              <w:rPr>
                <w:rFonts w:ascii="Times New Roman" w:hAnsi="Times New Roman" w:cs="Times New Roman"/>
                <w:b w:val="0"/>
                <w:color w:val="auto"/>
                <w:sz w:val="20"/>
                <w:szCs w:val="20"/>
              </w:rPr>
              <w:t>, %</w:t>
            </w:r>
          </w:p>
        </w:tc>
        <w:tc>
          <w:tcPr>
            <w:tcW w:w="796"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7</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4</w:t>
            </w:r>
          </w:p>
        </w:tc>
        <w:tc>
          <w:tcPr>
            <w:tcW w:w="796"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7</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3</w:t>
            </w:r>
          </w:p>
        </w:tc>
        <w:tc>
          <w:tcPr>
            <w:tcW w:w="797"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6</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5</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5</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8</w:t>
            </w:r>
          </w:p>
        </w:tc>
        <w:tc>
          <w:tcPr>
            <w:tcW w:w="796"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2</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r w:rsidR="00095171" w:rsidRPr="0024257A" w:rsidTr="00623C3B">
        <w:trPr>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ind w:left="26"/>
              <w:jc w:val="both"/>
              <w:rPr>
                <w:rFonts w:ascii="Times New Roman" w:hAnsi="Times New Roman" w:cs="Times New Roman"/>
                <w:b w:val="0"/>
                <w:sz w:val="20"/>
                <w:szCs w:val="20"/>
              </w:rPr>
            </w:pP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96" w:type="dxa"/>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4</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6" w:type="dxa"/>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4</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7" w:type="dxa"/>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2</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2</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9</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8</w:t>
            </w:r>
          </w:p>
        </w:tc>
        <w:tc>
          <w:tcPr>
            <w:tcW w:w="796"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2</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Privātais patēriņš</w:t>
            </w: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96"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6</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6"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4</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5</w:t>
            </w:r>
          </w:p>
        </w:tc>
        <w:tc>
          <w:tcPr>
            <w:tcW w:w="797"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2</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6</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1</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2</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r w:rsidR="00095171" w:rsidRPr="0024257A" w:rsidTr="00623C3B">
        <w:trPr>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Sabiedriskais patēriņš,</w:t>
            </w:r>
            <w:r>
              <w:rPr>
                <w:rFonts w:ascii="Times New Roman" w:hAnsi="Times New Roman" w:cs="Times New Roman"/>
                <w:b w:val="0"/>
                <w:color w:val="auto"/>
                <w:sz w:val="20"/>
                <w:szCs w:val="20"/>
              </w:rPr>
              <w:t xml:space="preserve"> p</w:t>
            </w:r>
            <w:r w:rsidRPr="003D1B91">
              <w:rPr>
                <w:rFonts w:ascii="Times New Roman" w:hAnsi="Times New Roman" w:cs="Times New Roman"/>
                <w:b w:val="0"/>
                <w:color w:val="auto"/>
                <w:sz w:val="20"/>
                <w:szCs w:val="20"/>
              </w:rPr>
              <w:t xml:space="preserve">ieaugums salīdzināmās cenās, % </w:t>
            </w:r>
          </w:p>
        </w:tc>
        <w:tc>
          <w:tcPr>
            <w:tcW w:w="796" w:type="dxa"/>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6" w:type="dxa"/>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2</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8</w:t>
            </w:r>
          </w:p>
        </w:tc>
        <w:tc>
          <w:tcPr>
            <w:tcW w:w="797" w:type="dxa"/>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2</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8</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2</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6</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Kopējā pamatkapitāla veidošana</w:t>
            </w: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96"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11</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5</w:t>
            </w:r>
          </w:p>
        </w:tc>
        <w:tc>
          <w:tcPr>
            <w:tcW w:w="796"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12</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9</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7</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3</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1</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9</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r w:rsidR="00095171" w:rsidRPr="0024257A" w:rsidTr="00623C3B">
        <w:trPr>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Preču un pakalpojumu eksports</w:t>
            </w: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96"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4</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5</w:t>
            </w:r>
          </w:p>
        </w:tc>
        <w:tc>
          <w:tcPr>
            <w:tcW w:w="796"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4</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5</w:t>
            </w:r>
          </w:p>
        </w:tc>
        <w:tc>
          <w:tcPr>
            <w:tcW w:w="797"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4</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3</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8</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5</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6</w:t>
            </w:r>
          </w:p>
        </w:tc>
        <w:tc>
          <w:tcPr>
            <w:tcW w:w="796"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2</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rsidR="00095171" w:rsidRPr="003D1B91" w:rsidRDefault="00095171" w:rsidP="00DB53CF">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Preču un pakalpojumu imports</w:t>
            </w: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96" w:type="dxa"/>
            <w:noWrap/>
            <w:tcMar>
              <w:left w:w="57" w:type="dxa"/>
              <w:right w:w="57" w:type="dxa"/>
            </w:tcMar>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8</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noWrap/>
            <w:tcMar>
              <w:left w:w="57" w:type="dxa"/>
              <w:right w:w="57" w:type="dxa"/>
            </w:tcMar>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6</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5</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3</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4</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5</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4</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1</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3</w:t>
            </w:r>
          </w:p>
        </w:tc>
        <w:tc>
          <w:tcPr>
            <w:tcW w:w="796"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7</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r w:rsidR="00095171" w:rsidRPr="0024257A" w:rsidTr="00623C3B">
        <w:trPr>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rsidR="00095171" w:rsidRPr="003D1B91" w:rsidRDefault="00095171" w:rsidP="00DB53CF">
            <w:pPr>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Vidējā</w:t>
            </w:r>
            <w:r>
              <w:rPr>
                <w:rFonts w:ascii="Times New Roman" w:hAnsi="Times New Roman" w:cs="Times New Roman"/>
                <w:b w:val="0"/>
                <w:color w:val="auto"/>
                <w:sz w:val="20"/>
                <w:szCs w:val="20"/>
              </w:rPr>
              <w:t>s</w:t>
            </w:r>
            <w:r w:rsidRPr="003D1B91">
              <w:rPr>
                <w:rFonts w:ascii="Times New Roman" w:hAnsi="Times New Roman" w:cs="Times New Roman"/>
                <w:b w:val="0"/>
                <w:color w:val="auto"/>
                <w:sz w:val="20"/>
                <w:szCs w:val="20"/>
              </w:rPr>
              <w:t xml:space="preserve"> darba samaksa</w:t>
            </w:r>
            <w:r>
              <w:rPr>
                <w:rFonts w:ascii="Times New Roman" w:hAnsi="Times New Roman" w:cs="Times New Roman"/>
                <w:b w:val="0"/>
                <w:color w:val="auto"/>
                <w:sz w:val="20"/>
                <w:szCs w:val="20"/>
              </w:rPr>
              <w:t>s</w:t>
            </w:r>
            <w:r w:rsidRPr="003D1B91">
              <w:rPr>
                <w:rFonts w:ascii="Times New Roman" w:hAnsi="Times New Roman" w:cs="Times New Roman"/>
                <w:b w:val="0"/>
                <w:color w:val="auto"/>
                <w:sz w:val="20"/>
                <w:szCs w:val="20"/>
              </w:rPr>
              <w:t xml:space="preserve"> tautsaimniecīb</w:t>
            </w:r>
            <w:r>
              <w:rPr>
                <w:rFonts w:ascii="Times New Roman" w:hAnsi="Times New Roman" w:cs="Times New Roman"/>
                <w:b w:val="0"/>
                <w:color w:val="auto"/>
                <w:sz w:val="20"/>
                <w:szCs w:val="20"/>
              </w:rPr>
              <w:t>ā p</w:t>
            </w:r>
            <w:r w:rsidRPr="003D1B91">
              <w:rPr>
                <w:rFonts w:ascii="Times New Roman" w:hAnsi="Times New Roman" w:cs="Times New Roman"/>
                <w:b w:val="0"/>
                <w:color w:val="auto"/>
                <w:sz w:val="20"/>
                <w:szCs w:val="20"/>
              </w:rPr>
              <w:t>ieaugums faktiskajās cenās, %</w:t>
            </w:r>
          </w:p>
        </w:tc>
        <w:tc>
          <w:tcPr>
            <w:tcW w:w="796"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8</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6</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3D1B91"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5</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5</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5</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6D3EFF" w:rsidRDefault="00095171" w:rsidP="00044EB5">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rsidR="00095171" w:rsidRPr="003D1B91" w:rsidRDefault="00095171" w:rsidP="00DB53CF">
            <w:pPr>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Nodarbinātība</w:t>
            </w:r>
            <w:r>
              <w:rPr>
                <w:rFonts w:ascii="Times New Roman" w:hAnsi="Times New Roman" w:cs="Times New Roman"/>
                <w:b w:val="0"/>
                <w:color w:val="auto"/>
                <w:sz w:val="20"/>
                <w:szCs w:val="20"/>
              </w:rPr>
              <w:t>s pieaugums, %</w:t>
            </w:r>
          </w:p>
        </w:tc>
        <w:tc>
          <w:tcPr>
            <w:tcW w:w="796" w:type="dxa"/>
            <w:noWrap/>
            <w:tcMar>
              <w:left w:w="57" w:type="dxa"/>
              <w:right w:w="57" w:type="dxa"/>
            </w:tcMar>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6" w:type="dxa"/>
            <w:noWrap/>
            <w:tcMar>
              <w:left w:w="57" w:type="dxa"/>
              <w:right w:w="57" w:type="dxa"/>
            </w:tcMar>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tcBorders>
              <w:right w:val="double" w:sz="4" w:space="0" w:color="9CC2E5" w:themeColor="accent1" w:themeTint="99"/>
            </w:tcBorders>
            <w:noWrap/>
            <w:tcMar>
              <w:left w:w="57" w:type="dxa"/>
              <w:right w:w="57" w:type="dxa"/>
            </w:tcMar>
            <w:vAlign w:val="center"/>
          </w:tcPr>
          <w:p w:rsidR="00095171" w:rsidRPr="00A747F7"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1</w:t>
            </w:r>
          </w:p>
        </w:tc>
        <w:tc>
          <w:tcPr>
            <w:tcW w:w="796" w:type="dxa"/>
            <w:tcBorders>
              <w:left w:val="double" w:sz="4" w:space="0" w:color="9CC2E5" w:themeColor="accent1" w:themeTint="99"/>
            </w:tcBorders>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6"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c>
          <w:tcPr>
            <w:tcW w:w="797" w:type="dxa"/>
            <w:noWrap/>
            <w:tcMar>
              <w:left w:w="57" w:type="dxa"/>
              <w:right w:w="57" w:type="dxa"/>
            </w:tcMar>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2768C">
              <w:rPr>
                <w:rFonts w:ascii="Times New Roman" w:hAnsi="Times New Roman" w:cs="Times New Roman"/>
                <w:color w:val="auto"/>
                <w:sz w:val="20"/>
                <w:szCs w:val="20"/>
              </w:rPr>
              <w:t>0</w:t>
            </w:r>
            <w:r>
              <w:rPr>
                <w:rFonts w:ascii="Times New Roman" w:hAnsi="Times New Roman" w:cs="Times New Roman"/>
                <w:color w:val="auto"/>
                <w:sz w:val="20"/>
                <w:szCs w:val="20"/>
              </w:rPr>
              <w:t>,</w:t>
            </w:r>
            <w:r w:rsidRPr="0032768C">
              <w:rPr>
                <w:rFonts w:ascii="Times New Roman" w:hAnsi="Times New Roman" w:cs="Times New Roman"/>
                <w:color w:val="auto"/>
                <w:sz w:val="20"/>
                <w:szCs w:val="20"/>
              </w:rPr>
              <w:t>0</w:t>
            </w:r>
          </w:p>
        </w:tc>
      </w:tr>
    </w:tbl>
    <w:p w:rsidR="00095171" w:rsidRDefault="00095171" w:rsidP="00B9413F">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Vēl viens faktors, kas var veicināt Latvijas ekonomikas straujāku izaugsmi, ir kreditēšanas aktivizēšanās. Kopš pēdējās ekonomiskās recesijas Latvijā izsniegto kredītu apjoms samazinās un negatīvi ietekmē izaugsmi. Taču kopš 2015.gada izsniegto kredītu apjoms vairs būtiski nesamazinās, un atbilstoši šim scenārijam izsniegto kredītu apjoms uzņēmumiem varētu pieaugt straujāk nekā prognozēts bāzes scenārijā. To veicinās labāka ES fondu ieviešana,</w:t>
      </w:r>
      <w:r w:rsidRPr="001F5AE6">
        <w:rPr>
          <w:rFonts w:ascii="Times New Roman" w:eastAsia="Times New Roman" w:hAnsi="Times New Roman" w:cs="Times New Roman"/>
          <w:color w:val="000000"/>
          <w:sz w:val="24"/>
          <w:szCs w:val="24"/>
          <w:lang w:eastAsia="lv-LV"/>
        </w:rPr>
        <w:t xml:space="preserve"> iespējama </w:t>
      </w:r>
      <w:r>
        <w:rPr>
          <w:rFonts w:ascii="Times New Roman" w:eastAsia="Times New Roman" w:hAnsi="Times New Roman" w:cs="Times New Roman"/>
          <w:color w:val="000000"/>
          <w:sz w:val="24"/>
          <w:szCs w:val="24"/>
          <w:lang w:eastAsia="lv-LV"/>
        </w:rPr>
        <w:t xml:space="preserve">arī </w:t>
      </w:r>
      <w:r w:rsidRPr="001F5AE6">
        <w:rPr>
          <w:rFonts w:ascii="Times New Roman" w:eastAsia="Times New Roman" w:hAnsi="Times New Roman" w:cs="Times New Roman"/>
          <w:color w:val="000000"/>
          <w:sz w:val="24"/>
          <w:szCs w:val="24"/>
          <w:lang w:eastAsia="lv-LV"/>
        </w:rPr>
        <w:t>straujāka ar ES fondiem nesaistīto nozaru investīciju kreditēšana, tādējādi kāpinot Latvijas uzņēmēju konkurētspēju un eksportspēju.</w:t>
      </w:r>
      <w:r w:rsidRPr="005E426D">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Tādējādi investīciju pieaugums 2018.gadā varētu būt par 0,3 procentpunktiem augstāks nekā bāzes scenārijā, 2019.gadā par 3 procentpunktiem un 2020.gadā par 1,9 procentpunktiem augstāks nekā bāzes scenārijā. Savukārt eksporta pieaugums no 2018.gada līdz 2020.gadam varētu būt par attiecīgi 0,5 procentpunktiem, 0,6 procentpunktiem un 0,2 procentpunktiem lielāks nekā bāzes scenārijā.</w:t>
      </w:r>
    </w:p>
    <w:p w:rsidR="00095171" w:rsidRDefault="00095171"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Rezultātā </w:t>
      </w:r>
      <w:r>
        <w:rPr>
          <w:rFonts w:ascii="Times New Roman" w:eastAsia="Times New Roman" w:hAnsi="Times New Roman" w:cs="Times New Roman"/>
          <w:color w:val="000000"/>
          <w:sz w:val="24"/>
          <w:szCs w:val="24"/>
          <w:lang w:eastAsia="lv-LV"/>
        </w:rPr>
        <w:t>o</w:t>
      </w:r>
      <w:r w:rsidRPr="008E57FF">
        <w:rPr>
          <w:rFonts w:ascii="Times New Roman" w:eastAsia="Times New Roman" w:hAnsi="Times New Roman" w:cs="Times New Roman"/>
          <w:color w:val="000000"/>
          <w:sz w:val="24"/>
          <w:szCs w:val="24"/>
          <w:lang w:eastAsia="lv-LV"/>
        </w:rPr>
        <w:t xml:space="preserve">ptimistiskā scenārija gadījumā Latvijas IKP izaugsme salīdzināmās cenās </w:t>
      </w:r>
      <w:r>
        <w:rPr>
          <w:rFonts w:ascii="Times New Roman" w:eastAsia="Times New Roman" w:hAnsi="Times New Roman" w:cs="Times New Roman"/>
          <w:color w:val="000000"/>
          <w:sz w:val="24"/>
          <w:szCs w:val="24"/>
          <w:lang w:eastAsia="lv-LV"/>
        </w:rPr>
        <w:t xml:space="preserve">2018.gadā </w:t>
      </w:r>
      <w:r w:rsidRPr="008E57FF">
        <w:rPr>
          <w:rFonts w:ascii="Times New Roman" w:eastAsia="Times New Roman" w:hAnsi="Times New Roman" w:cs="Times New Roman"/>
          <w:color w:val="000000"/>
          <w:sz w:val="24"/>
          <w:szCs w:val="24"/>
          <w:lang w:eastAsia="lv-LV"/>
        </w:rPr>
        <w:t>vidēj</w:t>
      </w:r>
      <w:r>
        <w:rPr>
          <w:rFonts w:ascii="Times New Roman" w:eastAsia="Times New Roman" w:hAnsi="Times New Roman" w:cs="Times New Roman"/>
          <w:color w:val="000000"/>
          <w:sz w:val="24"/>
          <w:szCs w:val="24"/>
          <w:lang w:eastAsia="lv-LV"/>
        </w:rPr>
        <w:t>i</w:t>
      </w:r>
      <w:r w:rsidRPr="008E57FF">
        <w:rPr>
          <w:rFonts w:ascii="Times New Roman" w:eastAsia="Times New Roman" w:hAnsi="Times New Roman" w:cs="Times New Roman"/>
          <w:color w:val="000000"/>
          <w:sz w:val="24"/>
          <w:szCs w:val="24"/>
          <w:lang w:eastAsia="lv-LV"/>
        </w:rPr>
        <w:t xml:space="preserve"> būtu vidēji par </w:t>
      </w:r>
      <w:r w:rsidRPr="00A44069">
        <w:rPr>
          <w:rFonts w:ascii="Times New Roman" w:eastAsia="Times New Roman" w:hAnsi="Times New Roman" w:cs="Times New Roman"/>
          <w:color w:val="000000"/>
          <w:sz w:val="24"/>
          <w:szCs w:val="24"/>
          <w:lang w:eastAsia="lv-LV"/>
        </w:rPr>
        <w:t>0,1</w:t>
      </w:r>
      <w:r>
        <w:rPr>
          <w:rFonts w:ascii="Times New Roman" w:eastAsia="Times New Roman" w:hAnsi="Times New Roman" w:cs="Times New Roman"/>
          <w:color w:val="000000"/>
          <w:sz w:val="24"/>
          <w:szCs w:val="24"/>
          <w:lang w:eastAsia="lv-LV"/>
        </w:rPr>
        <w:t xml:space="preserve"> procentpunktiem, 2019.gadā par </w:t>
      </w:r>
      <w:r w:rsidRPr="00A44069">
        <w:rPr>
          <w:rFonts w:ascii="Times New Roman" w:eastAsia="Times New Roman" w:hAnsi="Times New Roman" w:cs="Times New Roman"/>
          <w:color w:val="000000"/>
          <w:sz w:val="24"/>
          <w:szCs w:val="24"/>
          <w:lang w:eastAsia="lv-LV"/>
        </w:rPr>
        <w:t>0,8</w:t>
      </w:r>
      <w:r>
        <w:rPr>
          <w:rFonts w:ascii="Times New Roman" w:eastAsia="Times New Roman" w:hAnsi="Times New Roman" w:cs="Times New Roman"/>
          <w:color w:val="000000"/>
          <w:sz w:val="24"/>
          <w:szCs w:val="24"/>
          <w:lang w:eastAsia="lv-LV"/>
        </w:rPr>
        <w:t xml:space="preserve"> un 2020.gadā par </w:t>
      </w:r>
      <w:r w:rsidRPr="00A44069">
        <w:rPr>
          <w:rFonts w:ascii="Times New Roman" w:eastAsia="Times New Roman" w:hAnsi="Times New Roman" w:cs="Times New Roman"/>
          <w:color w:val="000000"/>
          <w:sz w:val="24"/>
          <w:szCs w:val="24"/>
          <w:lang w:eastAsia="lv-LV"/>
        </w:rPr>
        <w:t>0,2</w:t>
      </w:r>
      <w:r>
        <w:rPr>
          <w:rFonts w:ascii="Times New Roman" w:eastAsia="Times New Roman" w:hAnsi="Times New Roman" w:cs="Times New Roman"/>
          <w:color w:val="000000"/>
          <w:sz w:val="24"/>
          <w:szCs w:val="24"/>
          <w:lang w:eastAsia="lv-LV"/>
        </w:rPr>
        <w:t xml:space="preserve"> </w:t>
      </w:r>
      <w:r w:rsidRPr="008E57FF">
        <w:rPr>
          <w:rFonts w:ascii="Times New Roman" w:eastAsia="Times New Roman" w:hAnsi="Times New Roman" w:cs="Times New Roman"/>
          <w:color w:val="000000"/>
          <w:sz w:val="24"/>
          <w:szCs w:val="24"/>
          <w:lang w:eastAsia="lv-LV"/>
        </w:rPr>
        <w:t xml:space="preserve">procentpunktiem straujāka nekā </w:t>
      </w:r>
      <w:r>
        <w:rPr>
          <w:rFonts w:ascii="Times New Roman" w:eastAsia="Times New Roman" w:hAnsi="Times New Roman" w:cs="Times New Roman"/>
          <w:color w:val="000000"/>
          <w:sz w:val="24"/>
          <w:szCs w:val="24"/>
          <w:lang w:eastAsia="lv-LV"/>
        </w:rPr>
        <w:t>bāzes</w:t>
      </w:r>
      <w:r w:rsidRPr="008E57FF">
        <w:rPr>
          <w:rFonts w:ascii="Times New Roman" w:eastAsia="Times New Roman" w:hAnsi="Times New Roman" w:cs="Times New Roman"/>
          <w:color w:val="000000"/>
          <w:sz w:val="24"/>
          <w:szCs w:val="24"/>
          <w:lang w:eastAsia="lv-LV"/>
        </w:rPr>
        <w:t xml:space="preserve"> scenārijā.</w:t>
      </w:r>
    </w:p>
    <w:p w:rsidR="00095171" w:rsidRPr="002D5DB6" w:rsidRDefault="00095171" w:rsidP="00DB53CF">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highlight w:val="yellow"/>
          <w:lang w:eastAsia="lv-LV"/>
        </w:rPr>
      </w:pPr>
      <w:r w:rsidRPr="00C30384">
        <w:rPr>
          <w:rFonts w:ascii="Times New Roman" w:eastAsia="Times New Roman" w:hAnsi="Times New Roman" w:cs="Times New Roman"/>
          <w:b/>
          <w:color w:val="000000"/>
          <w:sz w:val="24"/>
          <w:szCs w:val="24"/>
          <w:lang w:eastAsia="lv-LV"/>
        </w:rPr>
        <w:t>Ietekme uz budžetu un parāda apkalpošanu.</w:t>
      </w:r>
      <w:r>
        <w:rPr>
          <w:rFonts w:ascii="Times New Roman" w:eastAsia="Times New Roman" w:hAnsi="Times New Roman" w:cs="Times New Roman"/>
          <w:color w:val="000000"/>
          <w:sz w:val="24"/>
          <w:szCs w:val="24"/>
          <w:lang w:eastAsia="lv-LV"/>
        </w:rPr>
        <w:t xml:space="preserve"> </w:t>
      </w:r>
      <w:r w:rsidRPr="009B546E">
        <w:rPr>
          <w:rFonts w:ascii="Times New Roman" w:eastAsia="Times New Roman" w:hAnsi="Times New Roman" w:cs="Times New Roman"/>
          <w:color w:val="000000"/>
          <w:sz w:val="24"/>
          <w:szCs w:val="24"/>
          <w:lang w:eastAsia="lv-LV"/>
        </w:rPr>
        <w:t>Īstenojoties optimistiskajam scenārijam, kurā palielinās nodokļu un ne</w:t>
      </w:r>
      <w:r w:rsidR="000C3005" w:rsidRPr="00F14E08">
        <w:rPr>
          <w:rFonts w:ascii="Times New Roman" w:eastAsia="Calibri" w:hAnsi="Times New Roman" w:cs="Times New Roman"/>
          <w:sz w:val="24"/>
          <w:szCs w:val="24"/>
        </w:rPr>
        <w:t>–</w:t>
      </w:r>
      <w:r w:rsidRPr="009B546E">
        <w:rPr>
          <w:rFonts w:ascii="Times New Roman" w:eastAsia="Times New Roman" w:hAnsi="Times New Roman" w:cs="Times New Roman"/>
          <w:color w:val="000000"/>
          <w:sz w:val="24"/>
          <w:szCs w:val="24"/>
          <w:lang w:eastAsia="lv-LV"/>
        </w:rPr>
        <w:t xml:space="preserve">nodokļu ieņēmumi, </w:t>
      </w:r>
      <w:r>
        <w:rPr>
          <w:rFonts w:ascii="Times New Roman" w:eastAsia="Times New Roman" w:hAnsi="Times New Roman" w:cs="Times New Roman"/>
          <w:color w:val="000000"/>
          <w:sz w:val="24"/>
          <w:szCs w:val="24"/>
          <w:lang w:eastAsia="lv-LV"/>
        </w:rPr>
        <w:t xml:space="preserve">kā arī samazinās procentu izdevumi, </w:t>
      </w:r>
      <w:r w:rsidRPr="009B546E">
        <w:rPr>
          <w:rFonts w:ascii="Times New Roman" w:eastAsia="Times New Roman" w:hAnsi="Times New Roman" w:cs="Times New Roman"/>
          <w:color w:val="000000"/>
          <w:sz w:val="24"/>
          <w:szCs w:val="24"/>
          <w:lang w:eastAsia="lv-LV"/>
        </w:rPr>
        <w:t xml:space="preserve">uzlabotos vispārējās valdības budžeta bilance. Salīdzinājumā ar pamata scenāriju pie nemainīgas politikas optimistiskā scenārija gadījumā vispārējās valdības deficīts 2018.gadā </w:t>
      </w:r>
      <w:r w:rsidRPr="008A2C81">
        <w:rPr>
          <w:rFonts w:ascii="Times New Roman" w:eastAsia="Times New Roman" w:hAnsi="Times New Roman" w:cs="Times New Roman"/>
          <w:color w:val="000000"/>
          <w:sz w:val="24"/>
          <w:szCs w:val="24"/>
          <w:lang w:eastAsia="lv-LV"/>
        </w:rPr>
        <w:t xml:space="preserve">samazinātos par 8,4 milj. </w:t>
      </w:r>
      <w:r w:rsidRPr="008A2C81">
        <w:rPr>
          <w:rFonts w:ascii="Times New Roman" w:eastAsia="Times New Roman" w:hAnsi="Times New Roman" w:cs="Times New Roman"/>
          <w:i/>
          <w:color w:val="000000"/>
          <w:sz w:val="24"/>
          <w:szCs w:val="24"/>
          <w:lang w:eastAsia="lv-LV"/>
        </w:rPr>
        <w:t>euro</w:t>
      </w:r>
      <w:r w:rsidRPr="008A2C81">
        <w:rPr>
          <w:rFonts w:ascii="Times New Roman" w:eastAsia="Times New Roman" w:hAnsi="Times New Roman" w:cs="Times New Roman"/>
          <w:color w:val="000000"/>
          <w:sz w:val="24"/>
          <w:szCs w:val="24"/>
          <w:lang w:eastAsia="lv-LV"/>
        </w:rPr>
        <w:t xml:space="preserve"> jeb 0,03 procentpunkt</w:t>
      </w:r>
      <w:r>
        <w:rPr>
          <w:rFonts w:ascii="Times New Roman" w:eastAsia="Times New Roman" w:hAnsi="Times New Roman" w:cs="Times New Roman"/>
          <w:color w:val="000000"/>
          <w:sz w:val="24"/>
          <w:szCs w:val="24"/>
          <w:lang w:eastAsia="lv-LV"/>
        </w:rPr>
        <w:t>iem</w:t>
      </w:r>
      <w:r w:rsidRPr="009B546E">
        <w:rPr>
          <w:rFonts w:ascii="Times New Roman" w:eastAsia="Times New Roman" w:hAnsi="Times New Roman" w:cs="Times New Roman"/>
          <w:color w:val="000000"/>
          <w:sz w:val="24"/>
          <w:szCs w:val="24"/>
          <w:lang w:eastAsia="lv-LV"/>
        </w:rPr>
        <w:t xml:space="preserve"> no IKP. Savukārt 2019., 2020. un 2021.gadā vispārējās valdības bilance uzlabotos attiecīgi par </w:t>
      </w:r>
      <w:r w:rsidRPr="009E3003">
        <w:rPr>
          <w:rFonts w:ascii="Times New Roman" w:eastAsia="Times New Roman" w:hAnsi="Times New Roman" w:cs="Times New Roman"/>
          <w:color w:val="000000"/>
          <w:sz w:val="24"/>
          <w:szCs w:val="24"/>
          <w:lang w:eastAsia="lv-LV"/>
        </w:rPr>
        <w:t xml:space="preserve">0,2 (74,8 milj. </w:t>
      </w:r>
      <w:r w:rsidRPr="009E3003">
        <w:rPr>
          <w:rFonts w:ascii="Times New Roman" w:eastAsia="Times New Roman" w:hAnsi="Times New Roman" w:cs="Times New Roman"/>
          <w:i/>
          <w:color w:val="000000"/>
          <w:sz w:val="24"/>
          <w:szCs w:val="24"/>
          <w:lang w:eastAsia="lv-LV"/>
        </w:rPr>
        <w:t>euro</w:t>
      </w:r>
      <w:r w:rsidRPr="009E3003">
        <w:rPr>
          <w:rFonts w:ascii="Times New Roman" w:eastAsia="Times New Roman" w:hAnsi="Times New Roman" w:cs="Times New Roman"/>
          <w:color w:val="000000"/>
          <w:sz w:val="24"/>
          <w:szCs w:val="24"/>
          <w:lang w:eastAsia="lv-LV"/>
        </w:rPr>
        <w:t xml:space="preserve">), 0,3 (104,6 milj. </w:t>
      </w:r>
      <w:r w:rsidRPr="009E3003">
        <w:rPr>
          <w:rFonts w:ascii="Times New Roman" w:eastAsia="Times New Roman" w:hAnsi="Times New Roman" w:cs="Times New Roman"/>
          <w:i/>
          <w:color w:val="000000"/>
          <w:sz w:val="24"/>
          <w:szCs w:val="24"/>
          <w:lang w:eastAsia="lv-LV"/>
        </w:rPr>
        <w:t>euro</w:t>
      </w:r>
      <w:r w:rsidRPr="009E3003">
        <w:rPr>
          <w:rFonts w:ascii="Times New Roman" w:eastAsia="Times New Roman" w:hAnsi="Times New Roman" w:cs="Times New Roman"/>
          <w:color w:val="000000"/>
          <w:sz w:val="24"/>
          <w:szCs w:val="24"/>
          <w:lang w:eastAsia="lv-LV"/>
        </w:rPr>
        <w:t>) un 0,3 (113,5</w:t>
      </w:r>
      <w:r w:rsidRPr="009B546E">
        <w:rPr>
          <w:rFonts w:ascii="Times New Roman" w:eastAsia="Times New Roman" w:hAnsi="Times New Roman" w:cs="Times New Roman"/>
          <w:color w:val="000000"/>
          <w:sz w:val="24"/>
          <w:szCs w:val="24"/>
          <w:lang w:eastAsia="lv-LV"/>
        </w:rPr>
        <w:t xml:space="preserve"> milj. </w:t>
      </w:r>
      <w:r w:rsidRPr="009B546E">
        <w:rPr>
          <w:rFonts w:ascii="Times New Roman" w:eastAsia="Times New Roman" w:hAnsi="Times New Roman" w:cs="Times New Roman"/>
          <w:i/>
          <w:color w:val="000000"/>
          <w:sz w:val="24"/>
          <w:szCs w:val="24"/>
          <w:lang w:eastAsia="lv-LV"/>
        </w:rPr>
        <w:t>euro</w:t>
      </w:r>
      <w:r w:rsidRPr="009B546E">
        <w:rPr>
          <w:rFonts w:ascii="Times New Roman" w:eastAsia="Times New Roman" w:hAnsi="Times New Roman" w:cs="Times New Roman"/>
          <w:color w:val="000000"/>
          <w:sz w:val="24"/>
          <w:szCs w:val="24"/>
          <w:lang w:eastAsia="lv-LV"/>
        </w:rPr>
        <w:t>) procentpunktiem no IKP salīdzinājumā ar pamata scenāriju.</w:t>
      </w:r>
      <w:r w:rsidRPr="00502F70">
        <w:rPr>
          <w:rFonts w:ascii="Times New Roman" w:eastAsia="Times New Roman" w:hAnsi="Times New Roman" w:cs="Times New Roman"/>
          <w:color w:val="000000"/>
          <w:sz w:val="24"/>
          <w:szCs w:val="24"/>
          <w:lang w:eastAsia="lv-LV"/>
        </w:rPr>
        <w:t xml:space="preserve"> Nomināli vispārējās valdības deficīts 2018.gadā </w:t>
      </w:r>
      <w:r>
        <w:rPr>
          <w:rFonts w:ascii="Times New Roman" w:eastAsia="Times New Roman" w:hAnsi="Times New Roman" w:cs="Times New Roman"/>
          <w:color w:val="000000"/>
          <w:sz w:val="24"/>
          <w:szCs w:val="24"/>
          <w:lang w:eastAsia="lv-LV"/>
        </w:rPr>
        <w:t>saglabātos</w:t>
      </w:r>
      <w:r w:rsidRPr="00502F70">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0</w:t>
      </w:r>
      <w:r w:rsidRPr="00502F70">
        <w:rPr>
          <w:rFonts w:ascii="Times New Roman" w:eastAsia="Times New Roman" w:hAnsi="Times New Roman" w:cs="Times New Roman"/>
          <w:color w:val="000000"/>
          <w:sz w:val="24"/>
          <w:szCs w:val="24"/>
          <w:lang w:eastAsia="lv-LV"/>
        </w:rPr>
        <w:t>,</w:t>
      </w:r>
      <w:r>
        <w:rPr>
          <w:rFonts w:ascii="Times New Roman" w:eastAsia="Times New Roman" w:hAnsi="Times New Roman" w:cs="Times New Roman"/>
          <w:color w:val="000000"/>
          <w:sz w:val="24"/>
          <w:szCs w:val="24"/>
          <w:lang w:eastAsia="lv-LV"/>
        </w:rPr>
        <w:t>9</w:t>
      </w:r>
      <w:r w:rsidRPr="00502F70">
        <w:rPr>
          <w:rFonts w:ascii="Times New Roman" w:eastAsia="Times New Roman" w:hAnsi="Times New Roman" w:cs="Times New Roman"/>
          <w:color w:val="000000"/>
          <w:sz w:val="24"/>
          <w:szCs w:val="24"/>
          <w:lang w:eastAsia="lv-LV"/>
        </w:rPr>
        <w:t>% no IKP</w:t>
      </w:r>
      <w:r>
        <w:rPr>
          <w:rFonts w:ascii="Times New Roman" w:eastAsia="Times New Roman" w:hAnsi="Times New Roman" w:cs="Times New Roman"/>
          <w:color w:val="000000"/>
          <w:sz w:val="24"/>
          <w:szCs w:val="24"/>
          <w:lang w:eastAsia="lv-LV"/>
        </w:rPr>
        <w:t xml:space="preserve"> apmērā</w:t>
      </w:r>
      <w:r w:rsidRPr="00502F70">
        <w:rPr>
          <w:rFonts w:ascii="Times New Roman" w:eastAsia="Times New Roman" w:hAnsi="Times New Roman" w:cs="Times New Roman"/>
          <w:color w:val="000000"/>
          <w:sz w:val="24"/>
          <w:szCs w:val="24"/>
          <w:lang w:eastAsia="lv-LV"/>
        </w:rPr>
        <w:t xml:space="preserve">, 2019.gadā </w:t>
      </w:r>
      <w:r>
        <w:rPr>
          <w:rFonts w:ascii="Times New Roman" w:eastAsia="Times New Roman" w:hAnsi="Times New Roman" w:cs="Times New Roman"/>
          <w:color w:val="000000"/>
          <w:sz w:val="24"/>
          <w:szCs w:val="24"/>
          <w:lang w:eastAsia="lv-LV"/>
        </w:rPr>
        <w:t xml:space="preserve">samazinātos </w:t>
      </w:r>
      <w:r w:rsidRPr="00502F70">
        <w:rPr>
          <w:rFonts w:ascii="Times New Roman" w:eastAsia="Times New Roman" w:hAnsi="Times New Roman" w:cs="Times New Roman"/>
          <w:color w:val="000000"/>
          <w:sz w:val="24"/>
          <w:szCs w:val="24"/>
          <w:lang w:eastAsia="lv-LV"/>
        </w:rPr>
        <w:t xml:space="preserve">līdz </w:t>
      </w:r>
      <w:r>
        <w:rPr>
          <w:rFonts w:ascii="Times New Roman" w:eastAsia="Times New Roman" w:hAnsi="Times New Roman" w:cs="Times New Roman"/>
          <w:color w:val="000000"/>
          <w:sz w:val="24"/>
          <w:szCs w:val="24"/>
          <w:lang w:eastAsia="lv-LV"/>
        </w:rPr>
        <w:t>0</w:t>
      </w:r>
      <w:r w:rsidRPr="00502F70">
        <w:rPr>
          <w:rFonts w:ascii="Times New Roman" w:eastAsia="Times New Roman" w:hAnsi="Times New Roman" w:cs="Times New Roman"/>
          <w:color w:val="000000"/>
          <w:sz w:val="24"/>
          <w:szCs w:val="24"/>
          <w:lang w:eastAsia="lv-LV"/>
        </w:rPr>
        <w:t>,</w:t>
      </w:r>
      <w:r>
        <w:rPr>
          <w:rFonts w:ascii="Times New Roman" w:eastAsia="Times New Roman" w:hAnsi="Times New Roman" w:cs="Times New Roman"/>
          <w:color w:val="000000"/>
          <w:sz w:val="24"/>
          <w:szCs w:val="24"/>
          <w:lang w:eastAsia="lv-LV"/>
        </w:rPr>
        <w:t>7</w:t>
      </w:r>
      <w:r w:rsidRPr="00502F70">
        <w:rPr>
          <w:rFonts w:ascii="Times New Roman" w:eastAsia="Times New Roman" w:hAnsi="Times New Roman" w:cs="Times New Roman"/>
          <w:color w:val="000000"/>
          <w:sz w:val="24"/>
          <w:szCs w:val="24"/>
          <w:lang w:eastAsia="lv-LV"/>
        </w:rPr>
        <w:t xml:space="preserve">% no IKP, 2020.gadā līdz </w:t>
      </w:r>
      <w:r>
        <w:rPr>
          <w:rFonts w:ascii="Times New Roman" w:eastAsia="Times New Roman" w:hAnsi="Times New Roman" w:cs="Times New Roman"/>
          <w:color w:val="000000"/>
          <w:sz w:val="24"/>
          <w:szCs w:val="24"/>
          <w:lang w:eastAsia="lv-LV"/>
        </w:rPr>
        <w:t>0</w:t>
      </w:r>
      <w:r w:rsidRPr="00502F70">
        <w:rPr>
          <w:rFonts w:ascii="Times New Roman" w:eastAsia="Times New Roman" w:hAnsi="Times New Roman" w:cs="Times New Roman"/>
          <w:color w:val="000000"/>
          <w:sz w:val="24"/>
          <w:szCs w:val="24"/>
          <w:lang w:eastAsia="lv-LV"/>
        </w:rPr>
        <w:t xml:space="preserve">,1% no IKP, bet 2021.gadā līdz </w:t>
      </w:r>
      <w:r>
        <w:rPr>
          <w:rFonts w:ascii="Times New Roman" w:eastAsia="Times New Roman" w:hAnsi="Times New Roman" w:cs="Times New Roman"/>
          <w:color w:val="000000"/>
          <w:sz w:val="24"/>
          <w:szCs w:val="24"/>
          <w:lang w:eastAsia="lv-LV"/>
        </w:rPr>
        <w:t>0</w:t>
      </w:r>
      <w:r w:rsidRPr="00502F70">
        <w:rPr>
          <w:rFonts w:ascii="Times New Roman" w:eastAsia="Times New Roman" w:hAnsi="Times New Roman" w:cs="Times New Roman"/>
          <w:color w:val="000000"/>
          <w:sz w:val="24"/>
          <w:szCs w:val="24"/>
          <w:lang w:eastAsia="lv-LV"/>
        </w:rPr>
        <w:t>,1% no IKP.</w:t>
      </w:r>
    </w:p>
    <w:p w:rsidR="00095171" w:rsidRPr="008E57FF" w:rsidRDefault="00095171" w:rsidP="00095171">
      <w:pPr>
        <w:spacing w:before="120" w:after="60" w:line="240" w:lineRule="auto"/>
        <w:jc w:val="right"/>
        <w:rPr>
          <w:rFonts w:ascii="Times New Roman" w:hAnsi="Times New Roman" w:cs="Times New Roman"/>
          <w:b/>
          <w:sz w:val="24"/>
          <w:szCs w:val="24"/>
        </w:rPr>
      </w:pPr>
      <w:r w:rsidRPr="00554848">
        <w:rPr>
          <w:rFonts w:ascii="Times New Roman" w:hAnsi="Times New Roman" w:cs="Times New Roman"/>
          <w:b/>
          <w:sz w:val="24"/>
          <w:szCs w:val="24"/>
        </w:rPr>
        <w:lastRenderedPageBreak/>
        <w:t>4.2.tabula. Optimistiskais budžeta scenārijs</w:t>
      </w:r>
      <w:r>
        <w:rPr>
          <w:rFonts w:ascii="Times New Roman" w:hAnsi="Times New Roman" w:cs="Times New Roman"/>
          <w:b/>
          <w:sz w:val="24"/>
          <w:szCs w:val="24"/>
        </w:rPr>
        <w:t xml:space="preserve">, milj. </w:t>
      </w:r>
      <w:r w:rsidRPr="00461783">
        <w:rPr>
          <w:rFonts w:ascii="Times New Roman" w:hAnsi="Times New Roman" w:cs="Times New Roman"/>
          <w:b/>
          <w:i/>
          <w:sz w:val="24"/>
          <w:szCs w:val="24"/>
        </w:rPr>
        <w:t>euro</w:t>
      </w:r>
    </w:p>
    <w:tbl>
      <w:tblPr>
        <w:tblStyle w:val="GridTable6Colorful-Accent12"/>
        <w:tblW w:w="9061" w:type="dxa"/>
        <w:jc w:val="center"/>
        <w:tblLayout w:type="fixed"/>
        <w:tblLook w:val="04A0" w:firstRow="1" w:lastRow="0" w:firstColumn="1" w:lastColumn="0" w:noHBand="0" w:noVBand="1"/>
      </w:tblPr>
      <w:tblGrid>
        <w:gridCol w:w="3114"/>
        <w:gridCol w:w="743"/>
        <w:gridCol w:w="743"/>
        <w:gridCol w:w="782"/>
        <w:gridCol w:w="850"/>
        <w:gridCol w:w="709"/>
        <w:gridCol w:w="633"/>
        <w:gridCol w:w="743"/>
        <w:gridCol w:w="744"/>
      </w:tblGrid>
      <w:tr w:rsidR="00095171" w:rsidRPr="003D1B91" w:rsidTr="00044EB5">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B9413F">
            <w:pPr>
              <w:rPr>
                <w:rFonts w:ascii="Times New Roman" w:hAnsi="Times New Roman" w:cs="Times New Roman"/>
                <w:b w:val="0"/>
                <w:color w:val="auto"/>
                <w:sz w:val="20"/>
                <w:szCs w:val="20"/>
              </w:rPr>
            </w:pPr>
          </w:p>
        </w:tc>
        <w:tc>
          <w:tcPr>
            <w:tcW w:w="3118" w:type="dxa"/>
            <w:gridSpan w:val="4"/>
            <w:tcBorders>
              <w:right w:val="double" w:sz="4" w:space="0" w:color="9CC2E5" w:themeColor="accent1" w:themeTint="99"/>
            </w:tcBorders>
            <w:noWrap/>
            <w:vAlign w:val="center"/>
          </w:tcPr>
          <w:p w:rsidR="00095171" w:rsidRPr="003D1B91" w:rsidRDefault="00095171" w:rsidP="00044EB5">
            <w:pPr>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Riska scenārijs</w:t>
            </w:r>
          </w:p>
        </w:tc>
        <w:tc>
          <w:tcPr>
            <w:tcW w:w="2829" w:type="dxa"/>
            <w:gridSpan w:val="4"/>
            <w:tcBorders>
              <w:left w:val="double" w:sz="4" w:space="0" w:color="9CC2E5" w:themeColor="accent1" w:themeTint="99"/>
            </w:tcBorders>
            <w:noWrap/>
            <w:vAlign w:val="center"/>
          </w:tcPr>
          <w:p w:rsidR="00095171" w:rsidRPr="003D1B91" w:rsidRDefault="00095171" w:rsidP="00044EB5">
            <w:pPr>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Novirze no bāzes scenārija</w:t>
            </w:r>
          </w:p>
        </w:tc>
      </w:tr>
      <w:tr w:rsidR="00095171" w:rsidRPr="0024257A" w:rsidTr="00044EB5">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B9413F">
            <w:pPr>
              <w:rPr>
                <w:rFonts w:ascii="Times New Roman" w:hAnsi="Times New Roman" w:cs="Times New Roman"/>
                <w:b w:val="0"/>
                <w:color w:val="auto"/>
                <w:sz w:val="20"/>
                <w:szCs w:val="20"/>
              </w:rPr>
            </w:pPr>
          </w:p>
        </w:tc>
        <w:tc>
          <w:tcPr>
            <w:tcW w:w="743" w:type="dxa"/>
            <w:noWrap/>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2018</w:t>
            </w:r>
          </w:p>
        </w:tc>
        <w:tc>
          <w:tcPr>
            <w:tcW w:w="743" w:type="dxa"/>
            <w:noWrap/>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2019</w:t>
            </w:r>
          </w:p>
        </w:tc>
        <w:tc>
          <w:tcPr>
            <w:tcW w:w="782" w:type="dxa"/>
            <w:noWrap/>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2020</w:t>
            </w:r>
          </w:p>
        </w:tc>
        <w:tc>
          <w:tcPr>
            <w:tcW w:w="850" w:type="dxa"/>
            <w:tcBorders>
              <w:right w:val="double" w:sz="4" w:space="0" w:color="9CC2E5" w:themeColor="accent1" w:themeTint="99"/>
            </w:tcBorders>
            <w:noWrap/>
            <w:vAlign w:val="center"/>
          </w:tcPr>
          <w:p w:rsidR="00095171" w:rsidRPr="003D1B91"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2021</w:t>
            </w:r>
          </w:p>
        </w:tc>
        <w:tc>
          <w:tcPr>
            <w:tcW w:w="709" w:type="dxa"/>
            <w:tcBorders>
              <w:left w:val="double" w:sz="4" w:space="0" w:color="9CC2E5" w:themeColor="accent1" w:themeTint="99"/>
            </w:tcBorders>
            <w:noWrap/>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2018</w:t>
            </w:r>
          </w:p>
        </w:tc>
        <w:tc>
          <w:tcPr>
            <w:tcW w:w="633" w:type="dxa"/>
            <w:noWrap/>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2019</w:t>
            </w:r>
          </w:p>
        </w:tc>
        <w:tc>
          <w:tcPr>
            <w:tcW w:w="743" w:type="dxa"/>
            <w:noWrap/>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2020</w:t>
            </w:r>
          </w:p>
        </w:tc>
        <w:tc>
          <w:tcPr>
            <w:tcW w:w="744" w:type="dxa"/>
            <w:noWrap/>
            <w:vAlign w:val="center"/>
          </w:tcPr>
          <w:p w:rsidR="00095171" w:rsidRPr="006D3EFF" w:rsidRDefault="00095171" w:rsidP="00044EB5">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2021</w:t>
            </w:r>
          </w:p>
        </w:tc>
      </w:tr>
      <w:tr w:rsidR="00095171" w:rsidRPr="0024257A" w:rsidTr="00623C3B">
        <w:trPr>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rsidR="00095171" w:rsidRPr="003D1B91" w:rsidRDefault="00095171" w:rsidP="00B9413F">
            <w:pPr>
              <w:ind w:left="26"/>
              <w:rPr>
                <w:rFonts w:ascii="Times New Roman" w:hAnsi="Times New Roman" w:cs="Times New Roman"/>
                <w:b w:val="0"/>
                <w:color w:val="auto"/>
                <w:sz w:val="20"/>
                <w:szCs w:val="20"/>
              </w:rPr>
            </w:pPr>
            <w:r>
              <w:rPr>
                <w:rFonts w:ascii="Times New Roman" w:hAnsi="Times New Roman" w:cs="Times New Roman"/>
                <w:b w:val="0"/>
                <w:color w:val="auto"/>
                <w:sz w:val="20"/>
                <w:szCs w:val="20"/>
              </w:rPr>
              <w:t>Nodokļu ieņēmumi</w:t>
            </w:r>
          </w:p>
        </w:tc>
        <w:tc>
          <w:tcPr>
            <w:tcW w:w="743" w:type="dxa"/>
            <w:noWrap/>
            <w:tcMar>
              <w:left w:w="57" w:type="dxa"/>
              <w:right w:w="57" w:type="dxa"/>
            </w:tcMar>
            <w:vAlign w:val="center"/>
          </w:tcPr>
          <w:p w:rsidR="00095171" w:rsidRPr="003D1B9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8</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562,2</w:t>
            </w:r>
          </w:p>
        </w:tc>
        <w:tc>
          <w:tcPr>
            <w:tcW w:w="743" w:type="dxa"/>
            <w:noWrap/>
            <w:tcMar>
              <w:left w:w="57" w:type="dxa"/>
              <w:right w:w="57" w:type="dxa"/>
            </w:tcMar>
            <w:vAlign w:val="center"/>
          </w:tcPr>
          <w:p w:rsidR="00095171" w:rsidRPr="003D1B9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8</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992,3</w:t>
            </w:r>
          </w:p>
        </w:tc>
        <w:tc>
          <w:tcPr>
            <w:tcW w:w="782" w:type="dxa"/>
            <w:noWrap/>
            <w:tcMar>
              <w:left w:w="57" w:type="dxa"/>
              <w:right w:w="57" w:type="dxa"/>
            </w:tcMar>
            <w:vAlign w:val="center"/>
          </w:tcPr>
          <w:p w:rsidR="00095171" w:rsidRPr="003D1B9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9</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673,7</w:t>
            </w:r>
          </w:p>
        </w:tc>
        <w:tc>
          <w:tcPr>
            <w:tcW w:w="850" w:type="dxa"/>
            <w:tcBorders>
              <w:right w:val="double" w:sz="4" w:space="0" w:color="9CC2E5" w:themeColor="accent1" w:themeTint="99"/>
            </w:tcBorders>
            <w:noWrap/>
            <w:tcMar>
              <w:left w:w="57" w:type="dxa"/>
              <w:right w:w="57" w:type="dxa"/>
            </w:tcMar>
            <w:vAlign w:val="center"/>
          </w:tcPr>
          <w:p w:rsidR="00095171" w:rsidRPr="00A747F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10</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151,1</w:t>
            </w:r>
          </w:p>
        </w:tc>
        <w:tc>
          <w:tcPr>
            <w:tcW w:w="709" w:type="dxa"/>
            <w:tcBorders>
              <w:left w:val="double" w:sz="4" w:space="0" w:color="9CC2E5" w:themeColor="accent1" w:themeTint="99"/>
            </w:tcBorders>
            <w:noWrap/>
            <w:tcMar>
              <w:left w:w="57" w:type="dxa"/>
              <w:right w:w="57" w:type="dxa"/>
            </w:tcMar>
            <w:vAlign w:val="center"/>
          </w:tcPr>
          <w:p w:rsidR="00095171" w:rsidRPr="0016674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6747">
              <w:rPr>
                <w:rFonts w:ascii="Times New Roman" w:hAnsi="Times New Roman" w:cs="Times New Roman"/>
                <w:color w:val="auto"/>
                <w:sz w:val="20"/>
                <w:szCs w:val="20"/>
              </w:rPr>
              <w:t>8,</w:t>
            </w:r>
            <w:r>
              <w:rPr>
                <w:rFonts w:ascii="Times New Roman" w:hAnsi="Times New Roman" w:cs="Times New Roman"/>
                <w:color w:val="auto"/>
                <w:sz w:val="20"/>
                <w:szCs w:val="20"/>
              </w:rPr>
              <w:t>0</w:t>
            </w:r>
          </w:p>
        </w:tc>
        <w:tc>
          <w:tcPr>
            <w:tcW w:w="633" w:type="dxa"/>
            <w:noWrap/>
            <w:tcMar>
              <w:left w:w="57" w:type="dxa"/>
              <w:right w:w="57" w:type="dxa"/>
            </w:tcMar>
            <w:vAlign w:val="center"/>
          </w:tcPr>
          <w:p w:rsidR="00095171" w:rsidRPr="0016674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70,8</w:t>
            </w:r>
          </w:p>
        </w:tc>
        <w:tc>
          <w:tcPr>
            <w:tcW w:w="743" w:type="dxa"/>
            <w:noWrap/>
            <w:tcMar>
              <w:left w:w="57" w:type="dxa"/>
              <w:right w:w="57" w:type="dxa"/>
            </w:tcMar>
            <w:vAlign w:val="center"/>
          </w:tcPr>
          <w:p w:rsidR="00095171" w:rsidRPr="0016674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97,4</w:t>
            </w:r>
          </w:p>
        </w:tc>
        <w:tc>
          <w:tcPr>
            <w:tcW w:w="744" w:type="dxa"/>
            <w:noWrap/>
            <w:tcMar>
              <w:left w:w="57" w:type="dxa"/>
              <w:right w:w="57" w:type="dxa"/>
            </w:tcMar>
            <w:vAlign w:val="center"/>
          </w:tcPr>
          <w:p w:rsidR="00095171" w:rsidRPr="0016674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104,4</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A747F7" w:rsidRDefault="00095171" w:rsidP="00B9413F">
            <w:pPr>
              <w:ind w:left="26"/>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Iedzīvotāju ienākuma nodoklis</w:t>
            </w:r>
          </w:p>
        </w:tc>
        <w:tc>
          <w:tcPr>
            <w:tcW w:w="743" w:type="dxa"/>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727,3</w:t>
            </w:r>
          </w:p>
        </w:tc>
        <w:tc>
          <w:tcPr>
            <w:tcW w:w="743" w:type="dxa"/>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654,3</w:t>
            </w:r>
          </w:p>
        </w:tc>
        <w:tc>
          <w:tcPr>
            <w:tcW w:w="782" w:type="dxa"/>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693,1</w:t>
            </w:r>
          </w:p>
        </w:tc>
        <w:tc>
          <w:tcPr>
            <w:tcW w:w="850" w:type="dxa"/>
            <w:tcBorders>
              <w:right w:val="double" w:sz="4" w:space="0" w:color="9CC2E5" w:themeColor="accent1" w:themeTint="99"/>
            </w:tcBorders>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763,0</w:t>
            </w:r>
          </w:p>
        </w:tc>
        <w:tc>
          <w:tcPr>
            <w:tcW w:w="709" w:type="dxa"/>
            <w:tcBorders>
              <w:left w:val="double" w:sz="4" w:space="0" w:color="9CC2E5" w:themeColor="accent1" w:themeTint="99"/>
            </w:tcBorders>
            <w:noWrap/>
            <w:tcMar>
              <w:left w:w="57" w:type="dxa"/>
              <w:right w:w="57" w:type="dxa"/>
            </w:tcMar>
            <w:vAlign w:val="center"/>
          </w:tcPr>
          <w:p w:rsidR="00095171" w:rsidRPr="004D2DCE"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D2DCE">
              <w:rPr>
                <w:rFonts w:ascii="Times New Roman" w:hAnsi="Times New Roman" w:cs="Times New Roman"/>
                <w:color w:val="auto"/>
                <w:sz w:val="20"/>
                <w:szCs w:val="20"/>
              </w:rPr>
              <w:t>1,7</w:t>
            </w:r>
          </w:p>
        </w:tc>
        <w:tc>
          <w:tcPr>
            <w:tcW w:w="633" w:type="dxa"/>
            <w:noWrap/>
            <w:tcMar>
              <w:left w:w="57" w:type="dxa"/>
              <w:right w:w="57" w:type="dxa"/>
            </w:tcMar>
            <w:vAlign w:val="center"/>
          </w:tcPr>
          <w:p w:rsidR="00095171" w:rsidRPr="008A7530"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13,8</w:t>
            </w:r>
          </w:p>
        </w:tc>
        <w:tc>
          <w:tcPr>
            <w:tcW w:w="743" w:type="dxa"/>
            <w:noWrap/>
            <w:tcMar>
              <w:left w:w="57" w:type="dxa"/>
              <w:right w:w="57" w:type="dxa"/>
            </w:tcMar>
            <w:vAlign w:val="center"/>
          </w:tcPr>
          <w:p w:rsidR="00095171" w:rsidRPr="008A7530"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18,1</w:t>
            </w:r>
          </w:p>
        </w:tc>
        <w:tc>
          <w:tcPr>
            <w:tcW w:w="744" w:type="dxa"/>
            <w:noWrap/>
            <w:tcMar>
              <w:left w:w="57" w:type="dxa"/>
              <w:right w:w="57" w:type="dxa"/>
            </w:tcMar>
            <w:vAlign w:val="center"/>
          </w:tcPr>
          <w:p w:rsidR="00095171" w:rsidRPr="008A7530"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19,2</w:t>
            </w:r>
          </w:p>
        </w:tc>
      </w:tr>
      <w:tr w:rsidR="00095171" w:rsidRPr="0024257A" w:rsidTr="00623C3B">
        <w:trPr>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A747F7" w:rsidRDefault="00095171" w:rsidP="00B9413F">
            <w:pPr>
              <w:ind w:left="26"/>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Uzņēmuma ienākuma nodoklis</w:t>
            </w:r>
          </w:p>
        </w:tc>
        <w:tc>
          <w:tcPr>
            <w:tcW w:w="743" w:type="dxa"/>
            <w:noWrap/>
            <w:tcMar>
              <w:left w:w="57" w:type="dxa"/>
              <w:right w:w="57" w:type="dxa"/>
            </w:tcMar>
            <w:vAlign w:val="center"/>
          </w:tcPr>
          <w:p w:rsidR="00095171" w:rsidRPr="00A747F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222,3</w:t>
            </w:r>
          </w:p>
        </w:tc>
        <w:tc>
          <w:tcPr>
            <w:tcW w:w="743" w:type="dxa"/>
            <w:noWrap/>
            <w:tcMar>
              <w:left w:w="57" w:type="dxa"/>
              <w:right w:w="57" w:type="dxa"/>
            </w:tcMar>
            <w:vAlign w:val="center"/>
          </w:tcPr>
          <w:p w:rsidR="00095171" w:rsidRPr="00A747F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246,1</w:t>
            </w:r>
          </w:p>
        </w:tc>
        <w:tc>
          <w:tcPr>
            <w:tcW w:w="782" w:type="dxa"/>
            <w:noWrap/>
            <w:tcMar>
              <w:left w:w="57" w:type="dxa"/>
              <w:right w:w="57" w:type="dxa"/>
            </w:tcMar>
            <w:vAlign w:val="center"/>
          </w:tcPr>
          <w:p w:rsidR="00095171" w:rsidRPr="00A747F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388,5</w:t>
            </w:r>
          </w:p>
        </w:tc>
        <w:tc>
          <w:tcPr>
            <w:tcW w:w="850" w:type="dxa"/>
            <w:tcBorders>
              <w:right w:val="double" w:sz="4" w:space="0" w:color="9CC2E5" w:themeColor="accent1" w:themeTint="99"/>
            </w:tcBorders>
            <w:noWrap/>
            <w:tcMar>
              <w:left w:w="57" w:type="dxa"/>
              <w:right w:w="57" w:type="dxa"/>
            </w:tcMar>
            <w:vAlign w:val="center"/>
          </w:tcPr>
          <w:p w:rsidR="00095171" w:rsidRPr="00A747F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394,1</w:t>
            </w:r>
          </w:p>
        </w:tc>
        <w:tc>
          <w:tcPr>
            <w:tcW w:w="709" w:type="dxa"/>
            <w:tcBorders>
              <w:left w:val="double" w:sz="4" w:space="0" w:color="9CC2E5" w:themeColor="accent1" w:themeTint="99"/>
            </w:tcBorders>
            <w:noWrap/>
            <w:tcMar>
              <w:left w:w="57" w:type="dxa"/>
              <w:right w:w="57" w:type="dxa"/>
            </w:tcMar>
            <w:vAlign w:val="center"/>
          </w:tcPr>
          <w:p w:rsidR="00095171" w:rsidRPr="004D2DCE"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D2DCE">
              <w:rPr>
                <w:rFonts w:ascii="Times New Roman" w:hAnsi="Times New Roman" w:cs="Times New Roman"/>
                <w:color w:val="auto"/>
                <w:sz w:val="20"/>
                <w:szCs w:val="20"/>
              </w:rPr>
              <w:t>0,2</w:t>
            </w:r>
          </w:p>
        </w:tc>
        <w:tc>
          <w:tcPr>
            <w:tcW w:w="633" w:type="dxa"/>
            <w:noWrap/>
            <w:tcMar>
              <w:left w:w="57" w:type="dxa"/>
              <w:right w:w="57" w:type="dxa"/>
            </w:tcMar>
            <w:vAlign w:val="center"/>
          </w:tcPr>
          <w:p w:rsidR="00095171" w:rsidRPr="008A7530"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2,1</w:t>
            </w:r>
          </w:p>
        </w:tc>
        <w:tc>
          <w:tcPr>
            <w:tcW w:w="743" w:type="dxa"/>
            <w:noWrap/>
            <w:tcMar>
              <w:left w:w="57" w:type="dxa"/>
              <w:right w:w="57" w:type="dxa"/>
            </w:tcMar>
            <w:vAlign w:val="center"/>
          </w:tcPr>
          <w:p w:rsidR="00095171" w:rsidRPr="008A7530"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4,1</w:t>
            </w:r>
          </w:p>
        </w:tc>
        <w:tc>
          <w:tcPr>
            <w:tcW w:w="744" w:type="dxa"/>
            <w:noWrap/>
            <w:tcMar>
              <w:left w:w="57" w:type="dxa"/>
              <w:right w:w="57" w:type="dxa"/>
            </w:tcMar>
            <w:vAlign w:val="center"/>
          </w:tcPr>
          <w:p w:rsidR="00095171" w:rsidRPr="008A7530"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4,3</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B9413F">
            <w:pPr>
              <w:ind w:left="26"/>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Pievienotās vērtības nodoklis</w:t>
            </w:r>
          </w:p>
        </w:tc>
        <w:tc>
          <w:tcPr>
            <w:tcW w:w="743" w:type="dxa"/>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436,4</w:t>
            </w:r>
          </w:p>
        </w:tc>
        <w:tc>
          <w:tcPr>
            <w:tcW w:w="743" w:type="dxa"/>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655,8</w:t>
            </w:r>
          </w:p>
        </w:tc>
        <w:tc>
          <w:tcPr>
            <w:tcW w:w="782" w:type="dxa"/>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861,0</w:t>
            </w:r>
          </w:p>
        </w:tc>
        <w:tc>
          <w:tcPr>
            <w:tcW w:w="850" w:type="dxa"/>
            <w:tcBorders>
              <w:right w:val="double" w:sz="4" w:space="0" w:color="9CC2E5" w:themeColor="accent1" w:themeTint="99"/>
            </w:tcBorders>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w:t>
            </w:r>
            <w:r w:rsidR="00044EB5">
              <w:rPr>
                <w:rFonts w:ascii="Times New Roman" w:hAnsi="Times New Roman" w:cs="Times New Roman"/>
                <w:color w:val="auto"/>
                <w:sz w:val="20"/>
                <w:szCs w:val="20"/>
              </w:rPr>
              <w:t> </w:t>
            </w:r>
            <w:r>
              <w:rPr>
                <w:rFonts w:ascii="Times New Roman" w:hAnsi="Times New Roman" w:cs="Times New Roman"/>
                <w:color w:val="auto"/>
                <w:sz w:val="20"/>
                <w:szCs w:val="20"/>
              </w:rPr>
              <w:t>034,6</w:t>
            </w:r>
          </w:p>
        </w:tc>
        <w:tc>
          <w:tcPr>
            <w:tcW w:w="709" w:type="dxa"/>
            <w:tcBorders>
              <w:left w:val="double" w:sz="4" w:space="0" w:color="9CC2E5" w:themeColor="accent1" w:themeTint="99"/>
            </w:tcBorders>
            <w:noWrap/>
            <w:tcMar>
              <w:left w:w="57" w:type="dxa"/>
              <w:right w:w="57" w:type="dxa"/>
            </w:tcMar>
            <w:vAlign w:val="center"/>
          </w:tcPr>
          <w:p w:rsidR="00095171" w:rsidRPr="004D2DCE"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D2DCE">
              <w:rPr>
                <w:rFonts w:ascii="Times New Roman" w:hAnsi="Times New Roman" w:cs="Times New Roman"/>
                <w:color w:val="auto"/>
                <w:sz w:val="20"/>
                <w:szCs w:val="20"/>
              </w:rPr>
              <w:t>2,4</w:t>
            </w:r>
          </w:p>
        </w:tc>
        <w:tc>
          <w:tcPr>
            <w:tcW w:w="633" w:type="dxa"/>
            <w:noWrap/>
            <w:tcMar>
              <w:left w:w="57" w:type="dxa"/>
              <w:right w:w="57" w:type="dxa"/>
            </w:tcMar>
            <w:vAlign w:val="center"/>
          </w:tcPr>
          <w:p w:rsidR="00095171" w:rsidRPr="008A7530"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22,2</w:t>
            </w:r>
          </w:p>
        </w:tc>
        <w:tc>
          <w:tcPr>
            <w:tcW w:w="743" w:type="dxa"/>
            <w:noWrap/>
            <w:tcMar>
              <w:left w:w="57" w:type="dxa"/>
              <w:right w:w="57" w:type="dxa"/>
            </w:tcMar>
            <w:vAlign w:val="center"/>
          </w:tcPr>
          <w:p w:rsidR="00095171" w:rsidRPr="008A7530"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30,5</w:t>
            </w:r>
          </w:p>
        </w:tc>
        <w:tc>
          <w:tcPr>
            <w:tcW w:w="744" w:type="dxa"/>
            <w:noWrap/>
            <w:tcMar>
              <w:left w:w="57" w:type="dxa"/>
              <w:right w:w="57" w:type="dxa"/>
            </w:tcMar>
            <w:vAlign w:val="center"/>
          </w:tcPr>
          <w:p w:rsidR="00095171" w:rsidRPr="008A7530"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33,0</w:t>
            </w:r>
          </w:p>
        </w:tc>
      </w:tr>
      <w:tr w:rsidR="00095171" w:rsidRPr="0024257A" w:rsidTr="00623C3B">
        <w:trPr>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B9413F">
            <w:pPr>
              <w:ind w:left="26"/>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Valsts sociālās apdrošināšanas obligātās iemaksas</w:t>
            </w:r>
            <w:r>
              <w:rPr>
                <w:rStyle w:val="FootnoteReference"/>
                <w:rFonts w:cs="Times New Roman"/>
                <w:b w:val="0"/>
                <w:color w:val="auto"/>
                <w:szCs w:val="20"/>
              </w:rPr>
              <w:footnoteReference w:id="28"/>
            </w:r>
          </w:p>
        </w:tc>
        <w:tc>
          <w:tcPr>
            <w:tcW w:w="743" w:type="dxa"/>
            <w:noWrap/>
            <w:tcMar>
              <w:left w:w="57" w:type="dxa"/>
              <w:right w:w="57" w:type="dxa"/>
            </w:tcMar>
            <w:vAlign w:val="center"/>
          </w:tcPr>
          <w:p w:rsidR="00095171" w:rsidRPr="00A158D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044EB5">
              <w:rPr>
                <w:rFonts w:ascii="Times New Roman" w:hAnsi="Times New Roman" w:cs="Times New Roman"/>
                <w:color w:val="auto"/>
                <w:sz w:val="20"/>
                <w:szCs w:val="20"/>
              </w:rPr>
              <w:t> </w:t>
            </w:r>
            <w:r w:rsidRPr="00A158D7">
              <w:rPr>
                <w:rFonts w:ascii="Times New Roman" w:hAnsi="Times New Roman" w:cs="Times New Roman"/>
                <w:color w:val="auto"/>
                <w:sz w:val="20"/>
                <w:szCs w:val="20"/>
              </w:rPr>
              <w:t>649,6</w:t>
            </w:r>
          </w:p>
        </w:tc>
        <w:tc>
          <w:tcPr>
            <w:tcW w:w="743" w:type="dxa"/>
            <w:noWrap/>
            <w:tcMar>
              <w:left w:w="57" w:type="dxa"/>
              <w:right w:w="57" w:type="dxa"/>
            </w:tcMar>
            <w:vAlign w:val="center"/>
          </w:tcPr>
          <w:p w:rsidR="00095171" w:rsidRPr="00A158D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044EB5">
              <w:rPr>
                <w:rFonts w:ascii="Times New Roman" w:hAnsi="Times New Roman" w:cs="Times New Roman"/>
                <w:color w:val="auto"/>
                <w:sz w:val="20"/>
                <w:szCs w:val="20"/>
              </w:rPr>
              <w:t> </w:t>
            </w:r>
            <w:r w:rsidRPr="00A158D7">
              <w:rPr>
                <w:rFonts w:ascii="Times New Roman" w:hAnsi="Times New Roman" w:cs="Times New Roman"/>
                <w:color w:val="auto"/>
                <w:sz w:val="20"/>
                <w:szCs w:val="20"/>
              </w:rPr>
              <w:t>806,9</w:t>
            </w:r>
          </w:p>
        </w:tc>
        <w:tc>
          <w:tcPr>
            <w:tcW w:w="782" w:type="dxa"/>
            <w:noWrap/>
            <w:tcMar>
              <w:left w:w="57" w:type="dxa"/>
              <w:right w:w="57" w:type="dxa"/>
            </w:tcMar>
            <w:vAlign w:val="center"/>
          </w:tcPr>
          <w:p w:rsidR="00095171" w:rsidRPr="00A158D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044EB5">
              <w:rPr>
                <w:rFonts w:ascii="Times New Roman" w:hAnsi="Times New Roman" w:cs="Times New Roman"/>
                <w:color w:val="auto"/>
                <w:sz w:val="20"/>
                <w:szCs w:val="20"/>
              </w:rPr>
              <w:t> </w:t>
            </w:r>
            <w:r w:rsidRPr="00A158D7">
              <w:rPr>
                <w:rFonts w:ascii="Times New Roman" w:hAnsi="Times New Roman" w:cs="Times New Roman"/>
                <w:color w:val="auto"/>
                <w:sz w:val="20"/>
                <w:szCs w:val="20"/>
              </w:rPr>
              <w:t>977,9</w:t>
            </w:r>
          </w:p>
        </w:tc>
        <w:tc>
          <w:tcPr>
            <w:tcW w:w="850" w:type="dxa"/>
            <w:tcBorders>
              <w:right w:val="double" w:sz="4" w:space="0" w:color="9CC2E5" w:themeColor="accent1" w:themeTint="99"/>
            </w:tcBorders>
            <w:noWrap/>
            <w:tcMar>
              <w:left w:w="57" w:type="dxa"/>
              <w:right w:w="57" w:type="dxa"/>
            </w:tcMar>
            <w:vAlign w:val="center"/>
          </w:tcPr>
          <w:p w:rsidR="00095171" w:rsidRPr="00A158D7"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3</w:t>
            </w:r>
            <w:r w:rsidR="00044EB5">
              <w:rPr>
                <w:rFonts w:ascii="Times New Roman" w:hAnsi="Times New Roman" w:cs="Times New Roman"/>
                <w:color w:val="auto"/>
                <w:sz w:val="20"/>
                <w:szCs w:val="20"/>
              </w:rPr>
              <w:t> </w:t>
            </w:r>
            <w:r w:rsidRPr="00A158D7">
              <w:rPr>
                <w:rFonts w:ascii="Times New Roman" w:hAnsi="Times New Roman" w:cs="Times New Roman"/>
                <w:color w:val="auto"/>
                <w:sz w:val="20"/>
                <w:szCs w:val="20"/>
              </w:rPr>
              <w:t>142,3</w:t>
            </w:r>
          </w:p>
        </w:tc>
        <w:tc>
          <w:tcPr>
            <w:tcW w:w="709" w:type="dxa"/>
            <w:tcBorders>
              <w:left w:val="double" w:sz="4" w:space="0" w:color="9CC2E5" w:themeColor="accent1" w:themeTint="99"/>
            </w:tcBorders>
            <w:noWrap/>
            <w:tcMar>
              <w:left w:w="57" w:type="dxa"/>
              <w:right w:w="57" w:type="dxa"/>
            </w:tcMar>
            <w:vAlign w:val="center"/>
          </w:tcPr>
          <w:p w:rsidR="00095171" w:rsidRPr="004D2DCE"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D2DCE">
              <w:rPr>
                <w:rFonts w:ascii="Times New Roman" w:hAnsi="Times New Roman" w:cs="Times New Roman"/>
                <w:color w:val="auto"/>
                <w:sz w:val="20"/>
                <w:szCs w:val="20"/>
              </w:rPr>
              <w:t>2,6</w:t>
            </w:r>
          </w:p>
        </w:tc>
        <w:tc>
          <w:tcPr>
            <w:tcW w:w="633" w:type="dxa"/>
            <w:noWrap/>
            <w:tcMar>
              <w:left w:w="57" w:type="dxa"/>
              <w:right w:w="57" w:type="dxa"/>
            </w:tcMar>
            <w:vAlign w:val="center"/>
          </w:tcPr>
          <w:p w:rsidR="00095171" w:rsidRPr="008A7530"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23,4</w:t>
            </w:r>
          </w:p>
        </w:tc>
        <w:tc>
          <w:tcPr>
            <w:tcW w:w="743" w:type="dxa"/>
            <w:noWrap/>
            <w:tcMar>
              <w:left w:w="57" w:type="dxa"/>
              <w:right w:w="57" w:type="dxa"/>
            </w:tcMar>
            <w:vAlign w:val="center"/>
          </w:tcPr>
          <w:p w:rsidR="00095171" w:rsidRPr="008A7530"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31,8</w:t>
            </w:r>
          </w:p>
        </w:tc>
        <w:tc>
          <w:tcPr>
            <w:tcW w:w="744" w:type="dxa"/>
            <w:noWrap/>
            <w:tcMar>
              <w:left w:w="57" w:type="dxa"/>
              <w:right w:w="57" w:type="dxa"/>
            </w:tcMar>
            <w:vAlign w:val="center"/>
          </w:tcPr>
          <w:p w:rsidR="00095171" w:rsidRPr="008A7530"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7530">
              <w:rPr>
                <w:rFonts w:ascii="Times New Roman" w:hAnsi="Times New Roman" w:cs="Times New Roman"/>
                <w:color w:val="auto"/>
                <w:sz w:val="20"/>
                <w:szCs w:val="20"/>
              </w:rPr>
              <w:t>34,2</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B9413F">
            <w:pPr>
              <w:ind w:left="26"/>
              <w:rPr>
                <w:rFonts w:ascii="Times New Roman" w:hAnsi="Times New Roman" w:cs="Times New Roman"/>
                <w:b w:val="0"/>
                <w:color w:val="auto"/>
                <w:sz w:val="20"/>
                <w:szCs w:val="20"/>
              </w:rPr>
            </w:pPr>
            <w:r>
              <w:rPr>
                <w:rFonts w:ascii="Times New Roman" w:hAnsi="Times New Roman" w:cs="Times New Roman"/>
                <w:b w:val="0"/>
                <w:color w:val="auto"/>
                <w:sz w:val="20"/>
                <w:szCs w:val="20"/>
              </w:rPr>
              <w:t>Ne</w:t>
            </w:r>
            <w:r w:rsidR="00B9413F" w:rsidRPr="00B9413F">
              <w:rPr>
                <w:rFonts w:ascii="Times New Roman" w:hAnsi="Times New Roman" w:cs="Times New Roman"/>
                <w:b w:val="0"/>
                <w:color w:val="auto"/>
                <w:sz w:val="20"/>
                <w:szCs w:val="20"/>
              </w:rPr>
              <w:t>–</w:t>
            </w:r>
            <w:r w:rsidRPr="00B9413F">
              <w:rPr>
                <w:rFonts w:ascii="Times New Roman" w:hAnsi="Times New Roman" w:cs="Times New Roman"/>
                <w:b w:val="0"/>
                <w:color w:val="auto"/>
                <w:sz w:val="20"/>
                <w:szCs w:val="20"/>
              </w:rPr>
              <w:t>n</w:t>
            </w:r>
            <w:r>
              <w:rPr>
                <w:rFonts w:ascii="Times New Roman" w:hAnsi="Times New Roman" w:cs="Times New Roman"/>
                <w:b w:val="0"/>
                <w:color w:val="auto"/>
                <w:sz w:val="20"/>
                <w:szCs w:val="20"/>
              </w:rPr>
              <w:t>odokļu ieņēmumi pamatbudžetā</w:t>
            </w:r>
          </w:p>
        </w:tc>
        <w:tc>
          <w:tcPr>
            <w:tcW w:w="743" w:type="dxa"/>
            <w:noWrap/>
            <w:tcMar>
              <w:left w:w="57" w:type="dxa"/>
              <w:right w:w="57" w:type="dxa"/>
            </w:tcMar>
            <w:vAlign w:val="center"/>
          </w:tcPr>
          <w:p w:rsidR="00095171" w:rsidRPr="003D1B91"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454,3</w:t>
            </w:r>
          </w:p>
        </w:tc>
        <w:tc>
          <w:tcPr>
            <w:tcW w:w="743" w:type="dxa"/>
            <w:noWrap/>
            <w:tcMar>
              <w:left w:w="57" w:type="dxa"/>
              <w:right w:w="57" w:type="dxa"/>
            </w:tcMar>
            <w:vAlign w:val="center"/>
          </w:tcPr>
          <w:p w:rsidR="00095171" w:rsidRPr="003D1B91"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448,5</w:t>
            </w:r>
          </w:p>
        </w:tc>
        <w:tc>
          <w:tcPr>
            <w:tcW w:w="782" w:type="dxa"/>
            <w:noWrap/>
            <w:tcMar>
              <w:left w:w="57" w:type="dxa"/>
              <w:right w:w="57" w:type="dxa"/>
            </w:tcMar>
            <w:vAlign w:val="center"/>
          </w:tcPr>
          <w:p w:rsidR="00095171" w:rsidRPr="003D1B91"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428,7</w:t>
            </w:r>
          </w:p>
        </w:tc>
        <w:tc>
          <w:tcPr>
            <w:tcW w:w="850" w:type="dxa"/>
            <w:tcBorders>
              <w:right w:val="double" w:sz="4" w:space="0" w:color="9CC2E5" w:themeColor="accent1" w:themeTint="99"/>
            </w:tcBorders>
            <w:noWrap/>
            <w:tcMar>
              <w:left w:w="57" w:type="dxa"/>
              <w:right w:w="57" w:type="dxa"/>
            </w:tcMar>
            <w:vAlign w:val="center"/>
          </w:tcPr>
          <w:p w:rsidR="00095171" w:rsidRPr="00A747F7"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324,9</w:t>
            </w:r>
          </w:p>
        </w:tc>
        <w:tc>
          <w:tcPr>
            <w:tcW w:w="709" w:type="dxa"/>
            <w:tcBorders>
              <w:left w:val="double" w:sz="4" w:space="0" w:color="9CC2E5" w:themeColor="accent1" w:themeTint="99"/>
            </w:tcBorders>
            <w:noWrap/>
            <w:tcMar>
              <w:left w:w="57" w:type="dxa"/>
              <w:right w:w="57" w:type="dxa"/>
            </w:tcMar>
            <w:vAlign w:val="center"/>
          </w:tcPr>
          <w:p w:rsidR="00095171" w:rsidRPr="006D3EFF"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0,4</w:t>
            </w:r>
          </w:p>
        </w:tc>
        <w:tc>
          <w:tcPr>
            <w:tcW w:w="633" w:type="dxa"/>
            <w:noWrap/>
            <w:tcMar>
              <w:left w:w="57" w:type="dxa"/>
              <w:right w:w="57" w:type="dxa"/>
            </w:tcMar>
            <w:vAlign w:val="center"/>
          </w:tcPr>
          <w:p w:rsidR="00095171" w:rsidRPr="006D3EFF"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743" w:type="dxa"/>
            <w:noWrap/>
            <w:tcMar>
              <w:left w:w="57" w:type="dxa"/>
              <w:right w:w="57" w:type="dxa"/>
            </w:tcMar>
            <w:vAlign w:val="center"/>
          </w:tcPr>
          <w:p w:rsidR="00095171" w:rsidRPr="006D3EFF"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4,6</w:t>
            </w:r>
          </w:p>
        </w:tc>
        <w:tc>
          <w:tcPr>
            <w:tcW w:w="744" w:type="dxa"/>
            <w:noWrap/>
            <w:tcMar>
              <w:left w:w="57" w:type="dxa"/>
              <w:right w:w="57" w:type="dxa"/>
            </w:tcMar>
            <w:vAlign w:val="center"/>
          </w:tcPr>
          <w:p w:rsidR="00095171" w:rsidRPr="006D3EFF"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3,5</w:t>
            </w:r>
          </w:p>
        </w:tc>
      </w:tr>
      <w:tr w:rsidR="00095171" w:rsidRPr="0024257A" w:rsidTr="00623C3B">
        <w:trPr>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D05292" w:rsidRDefault="00095171" w:rsidP="00B9413F">
            <w:pPr>
              <w:ind w:left="26"/>
              <w:rPr>
                <w:rFonts w:ascii="Times New Roman" w:hAnsi="Times New Roman" w:cs="Times New Roman"/>
                <w:b w:val="0"/>
                <w:color w:val="auto"/>
                <w:sz w:val="20"/>
                <w:szCs w:val="20"/>
              </w:rPr>
            </w:pPr>
            <w:r w:rsidRPr="00D05292">
              <w:rPr>
                <w:rFonts w:ascii="Times New Roman" w:hAnsi="Times New Roman" w:cs="Times New Roman"/>
                <w:b w:val="0"/>
                <w:color w:val="auto"/>
                <w:sz w:val="20"/>
                <w:szCs w:val="20"/>
              </w:rPr>
              <w:t>Procentu izdevumi pamatbudžetā</w:t>
            </w:r>
          </w:p>
        </w:tc>
        <w:tc>
          <w:tcPr>
            <w:tcW w:w="743" w:type="dxa"/>
            <w:noWrap/>
            <w:tcMar>
              <w:left w:w="57" w:type="dxa"/>
              <w:right w:w="57" w:type="dxa"/>
            </w:tcMar>
            <w:vAlign w:val="center"/>
          </w:tcPr>
          <w:p w:rsidR="00095171" w:rsidRPr="00D05292"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05292">
              <w:rPr>
                <w:rFonts w:ascii="Times New Roman" w:hAnsi="Times New Roman" w:cs="Times New Roman"/>
                <w:color w:val="auto"/>
                <w:sz w:val="20"/>
                <w:szCs w:val="20"/>
              </w:rPr>
              <w:t>233,3</w:t>
            </w:r>
          </w:p>
        </w:tc>
        <w:tc>
          <w:tcPr>
            <w:tcW w:w="743" w:type="dxa"/>
            <w:noWrap/>
            <w:tcMar>
              <w:left w:w="57" w:type="dxa"/>
              <w:right w:w="57" w:type="dxa"/>
            </w:tcMar>
            <w:vAlign w:val="center"/>
          </w:tcPr>
          <w:p w:rsidR="00095171" w:rsidRPr="00D05292"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239,4</w:t>
            </w:r>
          </w:p>
        </w:tc>
        <w:tc>
          <w:tcPr>
            <w:tcW w:w="782" w:type="dxa"/>
            <w:noWrap/>
            <w:tcMar>
              <w:left w:w="57" w:type="dxa"/>
              <w:right w:w="57" w:type="dxa"/>
            </w:tcMar>
            <w:vAlign w:val="center"/>
          </w:tcPr>
          <w:p w:rsidR="00095171" w:rsidRPr="00D05292"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272,3</w:t>
            </w:r>
          </w:p>
        </w:tc>
        <w:tc>
          <w:tcPr>
            <w:tcW w:w="850" w:type="dxa"/>
            <w:tcBorders>
              <w:right w:val="double" w:sz="4" w:space="0" w:color="9CC2E5" w:themeColor="accent1" w:themeTint="99"/>
            </w:tcBorders>
            <w:noWrap/>
            <w:tcMar>
              <w:left w:w="57" w:type="dxa"/>
              <w:right w:w="57" w:type="dxa"/>
            </w:tcMar>
            <w:vAlign w:val="center"/>
          </w:tcPr>
          <w:p w:rsidR="00095171" w:rsidRPr="00D05292"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269,3</w:t>
            </w:r>
          </w:p>
        </w:tc>
        <w:tc>
          <w:tcPr>
            <w:tcW w:w="709" w:type="dxa"/>
            <w:tcBorders>
              <w:left w:val="double" w:sz="4" w:space="0" w:color="9CC2E5" w:themeColor="accent1" w:themeTint="99"/>
            </w:tcBorders>
            <w:noWrap/>
            <w:tcMar>
              <w:left w:w="57" w:type="dxa"/>
              <w:right w:w="57" w:type="dxa"/>
            </w:tcMar>
            <w:vAlign w:val="center"/>
          </w:tcPr>
          <w:p w:rsidR="00095171" w:rsidRPr="00D05292"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05292">
              <w:rPr>
                <w:rFonts w:ascii="Times New Roman" w:hAnsi="Times New Roman" w:cs="Times New Roman"/>
                <w:color w:val="auto"/>
                <w:sz w:val="20"/>
                <w:szCs w:val="20"/>
              </w:rPr>
              <w:t>0,0</w:t>
            </w:r>
          </w:p>
        </w:tc>
        <w:tc>
          <w:tcPr>
            <w:tcW w:w="633" w:type="dxa"/>
            <w:noWrap/>
            <w:tcMar>
              <w:left w:w="57" w:type="dxa"/>
              <w:right w:w="57" w:type="dxa"/>
            </w:tcMar>
            <w:vAlign w:val="center"/>
          </w:tcPr>
          <w:p w:rsidR="00095171" w:rsidRPr="00D05292"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r w:rsidRPr="00D05292">
              <w:rPr>
                <w:rFonts w:ascii="Times New Roman" w:hAnsi="Times New Roman" w:cs="Times New Roman"/>
                <w:color w:val="auto"/>
                <w:sz w:val="20"/>
                <w:szCs w:val="20"/>
              </w:rPr>
              <w:t>0,3</w:t>
            </w:r>
          </w:p>
        </w:tc>
        <w:tc>
          <w:tcPr>
            <w:tcW w:w="743" w:type="dxa"/>
            <w:noWrap/>
            <w:tcMar>
              <w:left w:w="57" w:type="dxa"/>
              <w:right w:w="57" w:type="dxa"/>
            </w:tcMar>
            <w:vAlign w:val="center"/>
          </w:tcPr>
          <w:p w:rsidR="00095171" w:rsidRPr="00D05292"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r w:rsidRPr="00D05292">
              <w:rPr>
                <w:rFonts w:ascii="Times New Roman" w:hAnsi="Times New Roman" w:cs="Times New Roman"/>
                <w:color w:val="auto"/>
                <w:sz w:val="20"/>
                <w:szCs w:val="20"/>
              </w:rPr>
              <w:t>2,6</w:t>
            </w:r>
          </w:p>
        </w:tc>
        <w:tc>
          <w:tcPr>
            <w:tcW w:w="744" w:type="dxa"/>
            <w:noWrap/>
            <w:tcMar>
              <w:left w:w="57" w:type="dxa"/>
              <w:right w:w="57" w:type="dxa"/>
            </w:tcMar>
            <w:vAlign w:val="center"/>
          </w:tcPr>
          <w:p w:rsidR="00095171" w:rsidRPr="00D05292"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r w:rsidRPr="00D05292">
              <w:rPr>
                <w:rFonts w:ascii="Times New Roman" w:hAnsi="Times New Roman" w:cs="Times New Roman"/>
                <w:color w:val="auto"/>
                <w:sz w:val="20"/>
                <w:szCs w:val="20"/>
              </w:rPr>
              <w:t>5,6</w:t>
            </w:r>
          </w:p>
        </w:tc>
      </w:tr>
      <w:tr w:rsidR="00095171" w:rsidRPr="0024257A" w:rsidTr="00623C3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B9413F">
            <w:pPr>
              <w:ind w:left="26"/>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 xml:space="preserve">Vispārējās valdības </w:t>
            </w:r>
            <w:r>
              <w:rPr>
                <w:rFonts w:ascii="Times New Roman" w:hAnsi="Times New Roman" w:cs="Times New Roman"/>
                <w:b w:val="0"/>
                <w:color w:val="auto"/>
                <w:sz w:val="20"/>
                <w:szCs w:val="20"/>
              </w:rPr>
              <w:t>budžeta bilance, % no IKP</w:t>
            </w:r>
          </w:p>
        </w:tc>
        <w:tc>
          <w:tcPr>
            <w:tcW w:w="743" w:type="dxa"/>
            <w:noWrap/>
            <w:tcMar>
              <w:left w:w="57" w:type="dxa"/>
              <w:right w:w="57" w:type="dxa"/>
            </w:tcMar>
            <w:vAlign w:val="center"/>
          </w:tcPr>
          <w:p w:rsidR="00095171" w:rsidRPr="00675B2F"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5B2F">
              <w:rPr>
                <w:rFonts w:ascii="Times New Roman" w:hAnsi="Times New Roman" w:cs="Times New Roman"/>
                <w:color w:val="auto"/>
                <w:sz w:val="20"/>
                <w:szCs w:val="20"/>
              </w:rPr>
              <w:t>-</w:t>
            </w:r>
            <w:r>
              <w:rPr>
                <w:rFonts w:ascii="Times New Roman" w:hAnsi="Times New Roman" w:cs="Times New Roman"/>
                <w:color w:val="auto"/>
                <w:sz w:val="20"/>
                <w:szCs w:val="20"/>
              </w:rPr>
              <w:t>0,9</w:t>
            </w:r>
          </w:p>
        </w:tc>
        <w:tc>
          <w:tcPr>
            <w:tcW w:w="743" w:type="dxa"/>
            <w:noWrap/>
            <w:tcMar>
              <w:left w:w="57" w:type="dxa"/>
              <w:right w:w="57" w:type="dxa"/>
            </w:tcMar>
            <w:vAlign w:val="center"/>
          </w:tcPr>
          <w:p w:rsidR="00095171" w:rsidRPr="00675B2F"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5B2F">
              <w:rPr>
                <w:rFonts w:ascii="Times New Roman" w:hAnsi="Times New Roman" w:cs="Times New Roman"/>
                <w:color w:val="auto"/>
                <w:sz w:val="20"/>
                <w:szCs w:val="20"/>
              </w:rPr>
              <w:t>-</w:t>
            </w:r>
            <w:r>
              <w:rPr>
                <w:rFonts w:ascii="Times New Roman" w:hAnsi="Times New Roman" w:cs="Times New Roman"/>
                <w:color w:val="auto"/>
                <w:sz w:val="20"/>
                <w:szCs w:val="20"/>
              </w:rPr>
              <w:t>0,7</w:t>
            </w:r>
          </w:p>
        </w:tc>
        <w:tc>
          <w:tcPr>
            <w:tcW w:w="782" w:type="dxa"/>
            <w:noWrap/>
            <w:tcMar>
              <w:left w:w="57" w:type="dxa"/>
              <w:right w:w="57" w:type="dxa"/>
            </w:tcMar>
            <w:vAlign w:val="center"/>
          </w:tcPr>
          <w:p w:rsidR="00095171" w:rsidRPr="00675B2F"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5B2F">
              <w:rPr>
                <w:rFonts w:ascii="Times New Roman" w:hAnsi="Times New Roman" w:cs="Times New Roman"/>
                <w:color w:val="auto"/>
                <w:sz w:val="20"/>
                <w:szCs w:val="20"/>
              </w:rPr>
              <w:t>-</w:t>
            </w:r>
            <w:r>
              <w:rPr>
                <w:rFonts w:ascii="Times New Roman" w:hAnsi="Times New Roman" w:cs="Times New Roman"/>
                <w:color w:val="auto"/>
                <w:sz w:val="20"/>
                <w:szCs w:val="20"/>
              </w:rPr>
              <w:t>0,1</w:t>
            </w:r>
          </w:p>
        </w:tc>
        <w:tc>
          <w:tcPr>
            <w:tcW w:w="850" w:type="dxa"/>
            <w:tcBorders>
              <w:right w:val="double" w:sz="4" w:space="0" w:color="9CC2E5" w:themeColor="accent1" w:themeTint="99"/>
            </w:tcBorders>
            <w:noWrap/>
            <w:tcMar>
              <w:left w:w="57" w:type="dxa"/>
              <w:right w:w="57" w:type="dxa"/>
            </w:tcMar>
            <w:vAlign w:val="center"/>
          </w:tcPr>
          <w:p w:rsidR="00095171" w:rsidRPr="00CA3049"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Pr>
                <w:rFonts w:ascii="Times New Roman" w:hAnsi="Times New Roman" w:cs="Times New Roman"/>
                <w:color w:val="auto"/>
                <w:sz w:val="20"/>
                <w:szCs w:val="20"/>
              </w:rPr>
              <w:t>-0,1</w:t>
            </w:r>
          </w:p>
        </w:tc>
        <w:tc>
          <w:tcPr>
            <w:tcW w:w="709" w:type="dxa"/>
            <w:tcBorders>
              <w:left w:val="double" w:sz="4" w:space="0" w:color="9CC2E5" w:themeColor="accent1" w:themeTint="99"/>
            </w:tcBorders>
            <w:noWrap/>
            <w:tcMar>
              <w:left w:w="57" w:type="dxa"/>
              <w:right w:w="57" w:type="dxa"/>
            </w:tcMar>
            <w:vAlign w:val="center"/>
          </w:tcPr>
          <w:p w:rsidR="00095171" w:rsidRPr="00471B61"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0,03</w:t>
            </w:r>
          </w:p>
        </w:tc>
        <w:tc>
          <w:tcPr>
            <w:tcW w:w="633" w:type="dxa"/>
            <w:noWrap/>
            <w:tcMar>
              <w:left w:w="57" w:type="dxa"/>
              <w:right w:w="57" w:type="dxa"/>
            </w:tcMar>
            <w:vAlign w:val="center"/>
          </w:tcPr>
          <w:p w:rsidR="00095171" w:rsidRPr="00471B61"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0,2</w:t>
            </w:r>
          </w:p>
        </w:tc>
        <w:tc>
          <w:tcPr>
            <w:tcW w:w="743" w:type="dxa"/>
            <w:noWrap/>
            <w:tcMar>
              <w:left w:w="57" w:type="dxa"/>
              <w:right w:w="57" w:type="dxa"/>
            </w:tcMar>
            <w:vAlign w:val="center"/>
          </w:tcPr>
          <w:p w:rsidR="00095171" w:rsidRPr="00471B61"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0,3</w:t>
            </w:r>
          </w:p>
        </w:tc>
        <w:tc>
          <w:tcPr>
            <w:tcW w:w="744" w:type="dxa"/>
            <w:noWrap/>
            <w:tcMar>
              <w:left w:w="57" w:type="dxa"/>
              <w:right w:w="57" w:type="dxa"/>
            </w:tcMar>
            <w:vAlign w:val="center"/>
          </w:tcPr>
          <w:p w:rsidR="00095171" w:rsidRPr="00471B61" w:rsidRDefault="00095171" w:rsidP="00623C3B">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0,3</w:t>
            </w:r>
          </w:p>
        </w:tc>
      </w:tr>
      <w:tr w:rsidR="00095171" w:rsidRPr="0024257A" w:rsidTr="00623C3B">
        <w:trPr>
          <w:trHeight w:val="397"/>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8A2C81" w:rsidRDefault="00095171" w:rsidP="00B9413F">
            <w:pPr>
              <w:ind w:left="26"/>
              <w:rPr>
                <w:rFonts w:ascii="Times New Roman" w:hAnsi="Times New Roman" w:cs="Times New Roman"/>
                <w:b w:val="0"/>
                <w:color w:val="auto"/>
                <w:sz w:val="20"/>
                <w:szCs w:val="20"/>
              </w:rPr>
            </w:pPr>
            <w:r w:rsidRPr="008A2C81">
              <w:rPr>
                <w:rFonts w:ascii="Times New Roman" w:hAnsi="Times New Roman" w:cs="Times New Roman"/>
                <w:b w:val="0"/>
                <w:color w:val="auto"/>
                <w:sz w:val="20"/>
                <w:szCs w:val="20"/>
              </w:rPr>
              <w:t>Vispārējās valdības parāds</w:t>
            </w:r>
            <w:r w:rsidRPr="008A2C81">
              <w:rPr>
                <w:rStyle w:val="FootnoteReference"/>
                <w:rFonts w:cs="Times New Roman"/>
                <w:b w:val="0"/>
                <w:color w:val="auto"/>
                <w:szCs w:val="20"/>
              </w:rPr>
              <w:footnoteReference w:id="29"/>
            </w:r>
          </w:p>
        </w:tc>
        <w:tc>
          <w:tcPr>
            <w:tcW w:w="743" w:type="dxa"/>
            <w:noWrap/>
            <w:tcMar>
              <w:left w:w="57" w:type="dxa"/>
              <w:right w:w="57" w:type="dxa"/>
            </w:tcMar>
            <w:vAlign w:val="center"/>
          </w:tcPr>
          <w:p w:rsidR="00095171" w:rsidRPr="008A2C8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2C81">
              <w:rPr>
                <w:rFonts w:ascii="Times New Roman" w:hAnsi="Times New Roman" w:cs="Times New Roman"/>
                <w:color w:val="auto"/>
                <w:sz w:val="20"/>
                <w:szCs w:val="20"/>
              </w:rPr>
              <w:t>-</w:t>
            </w:r>
          </w:p>
        </w:tc>
        <w:tc>
          <w:tcPr>
            <w:tcW w:w="743" w:type="dxa"/>
            <w:noWrap/>
            <w:tcMar>
              <w:left w:w="57" w:type="dxa"/>
              <w:right w:w="57" w:type="dxa"/>
            </w:tcMar>
            <w:vAlign w:val="center"/>
          </w:tcPr>
          <w:p w:rsidR="00095171" w:rsidRPr="008A2C8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2C81">
              <w:rPr>
                <w:rFonts w:ascii="Times New Roman" w:hAnsi="Times New Roman" w:cs="Times New Roman"/>
                <w:color w:val="auto"/>
                <w:sz w:val="20"/>
                <w:szCs w:val="20"/>
              </w:rPr>
              <w:t>-</w:t>
            </w:r>
          </w:p>
        </w:tc>
        <w:tc>
          <w:tcPr>
            <w:tcW w:w="782" w:type="dxa"/>
            <w:noWrap/>
            <w:tcMar>
              <w:left w:w="57" w:type="dxa"/>
              <w:right w:w="57" w:type="dxa"/>
            </w:tcMar>
            <w:vAlign w:val="center"/>
          </w:tcPr>
          <w:p w:rsidR="00095171" w:rsidRPr="008A2C8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2C81">
              <w:rPr>
                <w:rFonts w:ascii="Times New Roman" w:hAnsi="Times New Roman" w:cs="Times New Roman"/>
                <w:color w:val="auto"/>
                <w:sz w:val="20"/>
                <w:szCs w:val="20"/>
              </w:rPr>
              <w:t>-</w:t>
            </w:r>
          </w:p>
        </w:tc>
        <w:tc>
          <w:tcPr>
            <w:tcW w:w="850" w:type="dxa"/>
            <w:tcBorders>
              <w:right w:val="double" w:sz="4" w:space="0" w:color="9CC2E5" w:themeColor="accent1" w:themeTint="99"/>
            </w:tcBorders>
            <w:noWrap/>
            <w:tcMar>
              <w:left w:w="57" w:type="dxa"/>
              <w:right w:w="57" w:type="dxa"/>
            </w:tcMar>
            <w:vAlign w:val="center"/>
          </w:tcPr>
          <w:p w:rsidR="00095171" w:rsidRPr="008A2C8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2C81">
              <w:rPr>
                <w:rFonts w:ascii="Times New Roman" w:hAnsi="Times New Roman" w:cs="Times New Roman"/>
                <w:color w:val="auto"/>
                <w:sz w:val="20"/>
                <w:szCs w:val="20"/>
              </w:rPr>
              <w:t>-</w:t>
            </w:r>
          </w:p>
        </w:tc>
        <w:tc>
          <w:tcPr>
            <w:tcW w:w="709" w:type="dxa"/>
            <w:tcBorders>
              <w:left w:val="double" w:sz="4" w:space="0" w:color="9CC2E5" w:themeColor="accent1" w:themeTint="99"/>
            </w:tcBorders>
            <w:noWrap/>
            <w:tcMar>
              <w:left w:w="57" w:type="dxa"/>
              <w:right w:w="57" w:type="dxa"/>
            </w:tcMar>
            <w:vAlign w:val="center"/>
          </w:tcPr>
          <w:p w:rsidR="00095171" w:rsidRPr="008A2C8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2C81">
              <w:rPr>
                <w:rFonts w:ascii="Times New Roman" w:hAnsi="Times New Roman" w:cs="Times New Roman"/>
                <w:color w:val="auto"/>
                <w:sz w:val="20"/>
                <w:szCs w:val="20"/>
              </w:rPr>
              <w:t>-0,1%</w:t>
            </w:r>
          </w:p>
        </w:tc>
        <w:tc>
          <w:tcPr>
            <w:tcW w:w="633" w:type="dxa"/>
            <w:noWrap/>
            <w:tcMar>
              <w:left w:w="57" w:type="dxa"/>
              <w:right w:w="57" w:type="dxa"/>
            </w:tcMar>
            <w:vAlign w:val="center"/>
          </w:tcPr>
          <w:p w:rsidR="00095171" w:rsidRPr="008A2C8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2C81">
              <w:rPr>
                <w:rFonts w:ascii="Times New Roman" w:hAnsi="Times New Roman" w:cs="Times New Roman"/>
                <w:color w:val="auto"/>
                <w:sz w:val="20"/>
                <w:szCs w:val="20"/>
              </w:rPr>
              <w:t>-0,7%</w:t>
            </w:r>
          </w:p>
        </w:tc>
        <w:tc>
          <w:tcPr>
            <w:tcW w:w="743" w:type="dxa"/>
            <w:noWrap/>
            <w:tcMar>
              <w:left w:w="57" w:type="dxa"/>
              <w:right w:w="57" w:type="dxa"/>
            </w:tcMar>
            <w:vAlign w:val="center"/>
          </w:tcPr>
          <w:p w:rsidR="00095171" w:rsidRPr="008A2C8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2C81">
              <w:rPr>
                <w:rFonts w:ascii="Times New Roman" w:hAnsi="Times New Roman" w:cs="Times New Roman"/>
                <w:color w:val="auto"/>
                <w:sz w:val="20"/>
                <w:szCs w:val="20"/>
              </w:rPr>
              <w:t>-1,4%</w:t>
            </w:r>
          </w:p>
        </w:tc>
        <w:tc>
          <w:tcPr>
            <w:tcW w:w="744" w:type="dxa"/>
            <w:noWrap/>
            <w:tcMar>
              <w:left w:w="57" w:type="dxa"/>
              <w:right w:w="57" w:type="dxa"/>
            </w:tcMar>
            <w:vAlign w:val="center"/>
          </w:tcPr>
          <w:p w:rsidR="00095171" w:rsidRPr="008A2C81" w:rsidRDefault="00095171" w:rsidP="00623C3B">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2C81">
              <w:rPr>
                <w:rFonts w:ascii="Times New Roman" w:hAnsi="Times New Roman" w:cs="Times New Roman"/>
                <w:color w:val="auto"/>
                <w:sz w:val="20"/>
                <w:szCs w:val="20"/>
              </w:rPr>
              <w:t>-2,3%</w:t>
            </w:r>
          </w:p>
        </w:tc>
      </w:tr>
    </w:tbl>
    <w:p w:rsidR="00095171" w:rsidRPr="008E57FF" w:rsidRDefault="00095171" w:rsidP="00095171">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rsidR="00095171" w:rsidRDefault="00095171"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A2C81">
        <w:rPr>
          <w:rFonts w:ascii="Times New Roman" w:eastAsia="Times New Roman" w:hAnsi="Times New Roman" w:cs="Times New Roman"/>
          <w:color w:val="000000"/>
          <w:sz w:val="24"/>
          <w:szCs w:val="24"/>
          <w:lang w:eastAsia="lv-LV"/>
        </w:rPr>
        <w:t>Īstenojoties ekonomiskās attīstības optimistiskajam scenārijam, nodokļu ieņēmumu palielināšanās ietekmē uzlabotos valsts budžeta finansiālā bilance, kā rezultātā samazinātos kopējā finansēšanas nepieciešamība un attiecīgi arī aizņemšanās apjoms attiecīgajā periodā, salīdzinot ar bāzes scenāriju. Mazāki aizņēmumi izraisītu ietaupījumu procentu izdevumos. Optimistiskā scenārija gadījumā procentu izdevumi 2019.gadā būtu par 0,3 milj.</w:t>
      </w:r>
      <w:r>
        <w:rPr>
          <w:rFonts w:ascii="Times New Roman" w:eastAsia="Times New Roman" w:hAnsi="Times New Roman" w:cs="Times New Roman"/>
          <w:color w:val="000000"/>
          <w:sz w:val="24"/>
          <w:szCs w:val="24"/>
          <w:lang w:eastAsia="lv-LV"/>
        </w:rPr>
        <w:t xml:space="preserve"> </w:t>
      </w:r>
      <w:r w:rsidRPr="008A2C81">
        <w:rPr>
          <w:rFonts w:ascii="Times New Roman" w:eastAsia="Times New Roman" w:hAnsi="Times New Roman" w:cs="Times New Roman"/>
          <w:i/>
          <w:color w:val="000000"/>
          <w:sz w:val="24"/>
          <w:szCs w:val="24"/>
          <w:lang w:eastAsia="lv-LV"/>
        </w:rPr>
        <w:t>euro</w:t>
      </w:r>
      <w:r w:rsidRPr="008A2C81">
        <w:rPr>
          <w:rFonts w:ascii="Times New Roman" w:eastAsia="Times New Roman" w:hAnsi="Times New Roman" w:cs="Times New Roman"/>
          <w:color w:val="000000"/>
          <w:sz w:val="24"/>
          <w:szCs w:val="24"/>
          <w:lang w:eastAsia="lv-LV"/>
        </w:rPr>
        <w:t xml:space="preserve"> jeb 0,001% no IKP mazāki, 2020.gadā par 2,6 milj.</w:t>
      </w:r>
      <w:r>
        <w:rPr>
          <w:rFonts w:ascii="Times New Roman" w:eastAsia="Times New Roman" w:hAnsi="Times New Roman" w:cs="Times New Roman"/>
          <w:color w:val="000000"/>
          <w:sz w:val="24"/>
          <w:szCs w:val="24"/>
          <w:lang w:eastAsia="lv-LV"/>
        </w:rPr>
        <w:t xml:space="preserve"> </w:t>
      </w:r>
      <w:r w:rsidRPr="008A2C81">
        <w:rPr>
          <w:rFonts w:ascii="Times New Roman" w:eastAsia="Times New Roman" w:hAnsi="Times New Roman" w:cs="Times New Roman"/>
          <w:i/>
          <w:color w:val="000000"/>
          <w:sz w:val="24"/>
          <w:szCs w:val="24"/>
          <w:lang w:eastAsia="lv-LV"/>
        </w:rPr>
        <w:t>euro</w:t>
      </w:r>
      <w:r w:rsidRPr="008A2C81">
        <w:rPr>
          <w:rFonts w:ascii="Times New Roman" w:eastAsia="Times New Roman" w:hAnsi="Times New Roman" w:cs="Times New Roman"/>
          <w:color w:val="000000"/>
          <w:sz w:val="24"/>
          <w:szCs w:val="24"/>
          <w:lang w:eastAsia="lv-LV"/>
        </w:rPr>
        <w:t xml:space="preserve"> jeb 0,008% no IKP un 2021.gadā attiecīgi par 5,6 milj.</w:t>
      </w:r>
      <w:r>
        <w:rPr>
          <w:rFonts w:ascii="Times New Roman" w:eastAsia="Times New Roman" w:hAnsi="Times New Roman" w:cs="Times New Roman"/>
          <w:color w:val="000000"/>
          <w:sz w:val="24"/>
          <w:szCs w:val="24"/>
          <w:lang w:eastAsia="lv-LV"/>
        </w:rPr>
        <w:t xml:space="preserve"> </w:t>
      </w:r>
      <w:r w:rsidRPr="008A2C81">
        <w:rPr>
          <w:rFonts w:ascii="Times New Roman" w:eastAsia="Times New Roman" w:hAnsi="Times New Roman" w:cs="Times New Roman"/>
          <w:i/>
          <w:color w:val="000000"/>
          <w:sz w:val="24"/>
          <w:szCs w:val="24"/>
          <w:lang w:eastAsia="lv-LV"/>
        </w:rPr>
        <w:t>euro</w:t>
      </w:r>
      <w:r w:rsidRPr="008A2C81">
        <w:rPr>
          <w:rFonts w:ascii="Times New Roman" w:eastAsia="Times New Roman" w:hAnsi="Times New Roman" w:cs="Times New Roman"/>
          <w:color w:val="000000"/>
          <w:sz w:val="24"/>
          <w:szCs w:val="24"/>
          <w:lang w:eastAsia="lv-LV"/>
        </w:rPr>
        <w:t xml:space="preserve"> jeb 0,016% no IKP mazāki nekā bāzes scenārijā.</w:t>
      </w:r>
    </w:p>
    <w:p w:rsidR="00623C3B" w:rsidRPr="008E57FF" w:rsidRDefault="00623C3B"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rsidR="00095171" w:rsidRPr="0063406B" w:rsidRDefault="00095171" w:rsidP="00C756E1">
      <w:pPr>
        <w:pStyle w:val="Heading2"/>
        <w:numPr>
          <w:ilvl w:val="2"/>
          <w:numId w:val="22"/>
        </w:numPr>
        <w:spacing w:before="120" w:after="120"/>
        <w:ind w:left="1134" w:hanging="425"/>
        <w:rPr>
          <w:rFonts w:ascii="Times New Roman" w:hAnsi="Times New Roman" w:cs="Times New Roman"/>
          <w:sz w:val="24"/>
        </w:rPr>
      </w:pPr>
      <w:bookmarkStart w:id="49" w:name="_Toc510790670"/>
      <w:bookmarkStart w:id="50" w:name="_Toc511027830"/>
      <w:r w:rsidRPr="0063406B">
        <w:rPr>
          <w:rFonts w:ascii="Times New Roman" w:hAnsi="Times New Roman" w:cs="Times New Roman"/>
          <w:sz w:val="24"/>
        </w:rPr>
        <w:t>Pesimistiskais scenārijs</w:t>
      </w:r>
      <w:bookmarkEnd w:id="49"/>
      <w:bookmarkEnd w:id="50"/>
    </w:p>
    <w:p w:rsidR="00095171" w:rsidRDefault="00095171" w:rsidP="0049031F">
      <w:pPr>
        <w:autoSpaceDE w:val="0"/>
        <w:autoSpaceDN w:val="0"/>
        <w:adjustRightInd w:val="0"/>
        <w:spacing w:after="0" w:line="240" w:lineRule="auto"/>
        <w:ind w:firstLine="709"/>
        <w:jc w:val="both"/>
        <w:rPr>
          <w:rFonts w:ascii="Times New Roman" w:hAnsi="Times New Roman" w:cs="Times New Roman"/>
          <w:sz w:val="24"/>
          <w:szCs w:val="24"/>
        </w:rPr>
      </w:pPr>
      <w:r w:rsidRPr="008E57FF">
        <w:rPr>
          <w:rFonts w:ascii="Times New Roman" w:eastAsia="Times New Roman" w:hAnsi="Times New Roman" w:cs="Times New Roman"/>
          <w:b/>
          <w:color w:val="000000"/>
          <w:sz w:val="24"/>
          <w:szCs w:val="24"/>
          <w:lang w:eastAsia="lv-LV"/>
        </w:rPr>
        <w:t>Ietekme uz ekonomiku.</w:t>
      </w:r>
      <w:r w:rsidRPr="008E57FF">
        <w:rPr>
          <w:rFonts w:ascii="Times New Roman" w:eastAsia="Times New Roman" w:hAnsi="Times New Roman" w:cs="Times New Roman"/>
          <w:color w:val="000000"/>
          <w:sz w:val="24"/>
          <w:szCs w:val="24"/>
          <w:lang w:eastAsia="lv-LV"/>
        </w:rPr>
        <w:t xml:space="preserve"> </w:t>
      </w:r>
      <w:r w:rsidRPr="00AB32E5">
        <w:rPr>
          <w:rFonts w:ascii="Times New Roman" w:eastAsia="Times New Roman" w:hAnsi="Times New Roman" w:cs="Times New Roman"/>
          <w:color w:val="000000"/>
          <w:sz w:val="24"/>
          <w:szCs w:val="24"/>
          <w:lang w:eastAsia="lv-LV"/>
        </w:rPr>
        <w:t>Pēdējie divi gadi Latvijas finanšu sistēmā ir iezīmējušies ar nerezidentu apkalpošanas biznesa</w:t>
      </w:r>
      <w:r w:rsidRPr="00AB32E5">
        <w:rPr>
          <w:rFonts w:ascii="Times New Roman" w:eastAsia="Times New Roman" w:hAnsi="Times New Roman" w:cs="Times New Roman"/>
          <w:color w:val="262626" w:themeColor="text1" w:themeTint="D9"/>
          <w:sz w:val="24"/>
          <w:szCs w:val="24"/>
          <w:lang w:eastAsia="lv-LV"/>
        </w:rPr>
        <w:t xml:space="preserve"> </w:t>
      </w:r>
      <w:r w:rsidRPr="00AB32E5">
        <w:rPr>
          <w:rFonts w:ascii="Times New Roman" w:eastAsia="Times New Roman" w:hAnsi="Times New Roman" w:cs="Times New Roman"/>
          <w:color w:val="000000"/>
          <w:sz w:val="24"/>
          <w:szCs w:val="24"/>
          <w:lang w:eastAsia="lv-LV"/>
        </w:rPr>
        <w:t xml:space="preserve">pārkārtošanu </w:t>
      </w:r>
      <w:r>
        <w:rPr>
          <w:rFonts w:ascii="Times New Roman" w:eastAsia="Times New Roman" w:hAnsi="Times New Roman" w:cs="Times New Roman"/>
          <w:color w:val="000000"/>
          <w:sz w:val="24"/>
          <w:szCs w:val="24"/>
          <w:lang w:eastAsia="lv-LV"/>
        </w:rPr>
        <w:t>atbilstoši jaun</w:t>
      </w:r>
      <w:r w:rsidRPr="00AB32E5">
        <w:rPr>
          <w:rFonts w:ascii="Times New Roman" w:eastAsia="Times New Roman" w:hAnsi="Times New Roman" w:cs="Times New Roman"/>
          <w:color w:val="000000"/>
          <w:sz w:val="24"/>
          <w:szCs w:val="24"/>
          <w:lang w:eastAsia="lv-LV"/>
        </w:rPr>
        <w:t>ām riska prasībām.</w:t>
      </w:r>
      <w:r>
        <w:rPr>
          <w:rFonts w:ascii="Times New Roman" w:eastAsia="Times New Roman" w:hAnsi="Times New Roman" w:cs="Times New Roman"/>
          <w:color w:val="000000"/>
          <w:sz w:val="24"/>
          <w:szCs w:val="24"/>
          <w:lang w:eastAsia="lv-LV"/>
        </w:rPr>
        <w:t xml:space="preserve"> Ņemot vērā, ka šogad, pamatojoties uz finanšu iestāžu uzraugu norādēm, šis process ir paātrinājies, pastāv risks, ka  </w:t>
      </w:r>
      <w:r w:rsidRPr="00AB32E5">
        <w:rPr>
          <w:rFonts w:ascii="Times New Roman" w:eastAsia="Times New Roman" w:hAnsi="Times New Roman" w:cs="Times New Roman"/>
          <w:color w:val="000000"/>
          <w:sz w:val="24"/>
          <w:szCs w:val="24"/>
          <w:lang w:eastAsia="lv-LV"/>
        </w:rPr>
        <w:t>nerezidentu biznesa apkalpošanas pakalpojum</w:t>
      </w:r>
      <w:r>
        <w:rPr>
          <w:rFonts w:ascii="Times New Roman" w:eastAsia="Times New Roman" w:hAnsi="Times New Roman" w:cs="Times New Roman"/>
          <w:color w:val="000000"/>
          <w:sz w:val="24"/>
          <w:szCs w:val="24"/>
          <w:lang w:eastAsia="lv-LV"/>
        </w:rPr>
        <w:t>i varētu s</w:t>
      </w:r>
      <w:r w:rsidRPr="00AB32E5">
        <w:rPr>
          <w:rFonts w:ascii="Times New Roman" w:eastAsia="Times New Roman" w:hAnsi="Times New Roman" w:cs="Times New Roman"/>
          <w:color w:val="000000"/>
          <w:sz w:val="24"/>
          <w:szCs w:val="24"/>
          <w:lang w:eastAsia="lv-LV"/>
        </w:rPr>
        <w:t>trauj</w:t>
      </w:r>
      <w:r>
        <w:rPr>
          <w:rFonts w:ascii="Times New Roman" w:eastAsia="Times New Roman" w:hAnsi="Times New Roman" w:cs="Times New Roman"/>
          <w:color w:val="000000"/>
          <w:sz w:val="24"/>
          <w:szCs w:val="24"/>
          <w:lang w:eastAsia="lv-LV"/>
        </w:rPr>
        <w:t>i</w:t>
      </w:r>
      <w:r w:rsidRPr="00AB32E5">
        <w:rPr>
          <w:rFonts w:ascii="Times New Roman" w:eastAsia="Times New Roman" w:hAnsi="Times New Roman" w:cs="Times New Roman"/>
          <w:color w:val="000000"/>
          <w:sz w:val="24"/>
          <w:szCs w:val="24"/>
          <w:lang w:eastAsia="lv-LV"/>
        </w:rPr>
        <w:t xml:space="preserve"> un nekontrolēt</w:t>
      </w:r>
      <w:r>
        <w:rPr>
          <w:rFonts w:ascii="Times New Roman" w:eastAsia="Times New Roman" w:hAnsi="Times New Roman" w:cs="Times New Roman"/>
          <w:color w:val="000000"/>
          <w:sz w:val="24"/>
          <w:szCs w:val="24"/>
          <w:lang w:eastAsia="lv-LV"/>
        </w:rPr>
        <w:t>i kristies</w:t>
      </w:r>
      <w:r w:rsidRPr="00AB32E5">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 xml:space="preserve">radot </w:t>
      </w:r>
      <w:r w:rsidRPr="00AB32E5">
        <w:rPr>
          <w:rFonts w:ascii="Times New Roman" w:eastAsia="Times New Roman" w:hAnsi="Times New Roman" w:cs="Times New Roman"/>
          <w:color w:val="000000"/>
          <w:sz w:val="24"/>
          <w:szCs w:val="24"/>
          <w:lang w:eastAsia="lv-LV"/>
        </w:rPr>
        <w:t>nevēlamu spri</w:t>
      </w:r>
      <w:r>
        <w:rPr>
          <w:rFonts w:ascii="Times New Roman" w:eastAsia="Times New Roman" w:hAnsi="Times New Roman" w:cs="Times New Roman"/>
          <w:color w:val="000000"/>
          <w:sz w:val="24"/>
          <w:szCs w:val="24"/>
          <w:lang w:eastAsia="lv-LV"/>
        </w:rPr>
        <w:t>edzi finanšu sektorā un samazino</w:t>
      </w:r>
      <w:r w:rsidRPr="00AB32E5">
        <w:rPr>
          <w:rFonts w:ascii="Times New Roman" w:eastAsia="Times New Roman" w:hAnsi="Times New Roman" w:cs="Times New Roman"/>
          <w:color w:val="000000"/>
          <w:sz w:val="24"/>
          <w:szCs w:val="24"/>
          <w:lang w:eastAsia="lv-LV"/>
        </w:rPr>
        <w:t>t vidējās algas un privātā patēriņa pieaugumu. Vienlaikus, ņemot vērā ierobežoto nerezidentu biznesa apkalpošanā nodarbināto</w:t>
      </w:r>
      <w:r>
        <w:rPr>
          <w:rFonts w:ascii="Times New Roman" w:hAnsi="Times New Roman" w:cs="Times New Roman"/>
          <w:sz w:val="24"/>
          <w:szCs w:val="24"/>
        </w:rPr>
        <w:t xml:space="preserve"> cilvēku skaitu, izmaiņu ietekme uz kopējo nodarbinātību valstī būs ierobežota, jo augsta pieprasījuma pēc kvalificēta darbaspēka apstākļos lielākajai daļai potenciāli darbu zaudējušo cilvēku nebūs problēmu iekļauties atpakaļ darba tirgū.</w:t>
      </w:r>
    </w:p>
    <w:p w:rsidR="00095171" w:rsidRDefault="00095171"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Ņemot vērā, ka starptautiskās institūcijas norāda uz to, ka </w:t>
      </w:r>
      <w:r w:rsidRPr="008E57FF">
        <w:rPr>
          <w:rFonts w:ascii="Times New Roman" w:eastAsia="Times New Roman" w:hAnsi="Times New Roman" w:cs="Times New Roman"/>
          <w:color w:val="000000"/>
          <w:sz w:val="24"/>
          <w:szCs w:val="24"/>
          <w:lang w:eastAsia="lv-LV"/>
        </w:rPr>
        <w:t xml:space="preserve">pasaules un ES ekonomikas </w:t>
      </w:r>
      <w:r>
        <w:rPr>
          <w:rFonts w:ascii="Times New Roman" w:eastAsia="Times New Roman" w:hAnsi="Times New Roman" w:cs="Times New Roman"/>
          <w:color w:val="000000"/>
          <w:sz w:val="24"/>
          <w:szCs w:val="24"/>
          <w:lang w:eastAsia="lv-LV"/>
        </w:rPr>
        <w:t xml:space="preserve">atrodas </w:t>
      </w:r>
      <w:r w:rsidRPr="008E57FF">
        <w:rPr>
          <w:rFonts w:ascii="Times New Roman" w:eastAsia="Times New Roman" w:hAnsi="Times New Roman" w:cs="Times New Roman"/>
          <w:color w:val="000000"/>
          <w:sz w:val="24"/>
          <w:szCs w:val="24"/>
          <w:lang w:eastAsia="lv-LV"/>
        </w:rPr>
        <w:t xml:space="preserve">izaugsmes </w:t>
      </w:r>
      <w:r>
        <w:rPr>
          <w:rFonts w:ascii="Times New Roman" w:eastAsia="Times New Roman" w:hAnsi="Times New Roman" w:cs="Times New Roman"/>
          <w:color w:val="000000"/>
          <w:sz w:val="24"/>
          <w:szCs w:val="24"/>
          <w:lang w:eastAsia="lv-LV"/>
        </w:rPr>
        <w:t xml:space="preserve">augšupejošās fāzes virsotnē, tad atbilstoši ekonomiskajam ciklam var sagaidīt tās </w:t>
      </w:r>
      <w:r w:rsidRPr="008E57FF">
        <w:rPr>
          <w:rFonts w:ascii="Times New Roman" w:eastAsia="Times New Roman" w:hAnsi="Times New Roman" w:cs="Times New Roman"/>
          <w:color w:val="000000"/>
          <w:sz w:val="24"/>
          <w:szCs w:val="24"/>
          <w:lang w:eastAsia="lv-LV"/>
        </w:rPr>
        <w:t>tempu sabremzēšanos</w:t>
      </w:r>
      <w:r>
        <w:rPr>
          <w:rFonts w:ascii="Times New Roman" w:eastAsia="Times New Roman" w:hAnsi="Times New Roman" w:cs="Times New Roman"/>
          <w:color w:val="000000"/>
          <w:sz w:val="24"/>
          <w:szCs w:val="24"/>
          <w:lang w:eastAsia="lv-LV"/>
        </w:rPr>
        <w:t>, un tas var notikt straujāk nekā gaidīts. Tāpēc scenārijs paredz eksporta sabremzēšanos par 0,5 un 0,9 procentpunktiem attiecīgi 2018. un 2019.gadā.</w:t>
      </w:r>
    </w:p>
    <w:p w:rsidR="000C3005" w:rsidRDefault="000C3005" w:rsidP="00044EB5">
      <w:pPr>
        <w:autoSpaceDE w:val="0"/>
        <w:autoSpaceDN w:val="0"/>
        <w:adjustRightInd w:val="0"/>
        <w:spacing w:before="120" w:after="60" w:line="240" w:lineRule="auto"/>
        <w:jc w:val="right"/>
        <w:rPr>
          <w:rFonts w:ascii="Times New Roman" w:hAnsi="Times New Roman" w:cs="Times New Roman"/>
          <w:b/>
          <w:sz w:val="24"/>
          <w:szCs w:val="24"/>
        </w:rPr>
      </w:pPr>
    </w:p>
    <w:p w:rsidR="00B9413F" w:rsidRDefault="00B9413F" w:rsidP="00044EB5">
      <w:pPr>
        <w:autoSpaceDE w:val="0"/>
        <w:autoSpaceDN w:val="0"/>
        <w:adjustRightInd w:val="0"/>
        <w:spacing w:before="120" w:after="60" w:line="240" w:lineRule="auto"/>
        <w:jc w:val="right"/>
        <w:rPr>
          <w:rFonts w:ascii="Times New Roman" w:hAnsi="Times New Roman" w:cs="Times New Roman"/>
          <w:b/>
          <w:sz w:val="24"/>
          <w:szCs w:val="24"/>
        </w:rPr>
      </w:pPr>
    </w:p>
    <w:p w:rsidR="00B9413F" w:rsidRDefault="00B9413F" w:rsidP="00044EB5">
      <w:pPr>
        <w:autoSpaceDE w:val="0"/>
        <w:autoSpaceDN w:val="0"/>
        <w:adjustRightInd w:val="0"/>
        <w:spacing w:before="120" w:after="60" w:line="240" w:lineRule="auto"/>
        <w:jc w:val="right"/>
        <w:rPr>
          <w:rFonts w:ascii="Times New Roman" w:hAnsi="Times New Roman" w:cs="Times New Roman"/>
          <w:b/>
          <w:sz w:val="24"/>
          <w:szCs w:val="24"/>
        </w:rPr>
      </w:pPr>
    </w:p>
    <w:p w:rsidR="00095171" w:rsidRPr="00946603" w:rsidRDefault="00095171" w:rsidP="00044EB5">
      <w:pPr>
        <w:autoSpaceDE w:val="0"/>
        <w:autoSpaceDN w:val="0"/>
        <w:adjustRightInd w:val="0"/>
        <w:spacing w:before="120" w:after="60" w:line="240" w:lineRule="auto"/>
        <w:jc w:val="right"/>
        <w:rPr>
          <w:rFonts w:ascii="Times New Roman" w:hAnsi="Times New Roman"/>
          <w:b/>
          <w:sz w:val="24"/>
        </w:rPr>
      </w:pPr>
      <w:r w:rsidRPr="008E57FF">
        <w:rPr>
          <w:rFonts w:ascii="Times New Roman" w:hAnsi="Times New Roman" w:cs="Times New Roman"/>
          <w:b/>
          <w:sz w:val="24"/>
          <w:szCs w:val="24"/>
        </w:rPr>
        <w:lastRenderedPageBreak/>
        <w:t>4</w:t>
      </w:r>
      <w:r>
        <w:rPr>
          <w:rFonts w:ascii="Times New Roman" w:hAnsi="Times New Roman" w:cs="Times New Roman"/>
          <w:b/>
          <w:sz w:val="24"/>
          <w:szCs w:val="24"/>
        </w:rPr>
        <w:t>.3</w:t>
      </w:r>
      <w:r w:rsidRPr="008E57FF">
        <w:rPr>
          <w:rFonts w:ascii="Times New Roman" w:hAnsi="Times New Roman" w:cs="Times New Roman"/>
          <w:b/>
          <w:sz w:val="24"/>
          <w:szCs w:val="24"/>
        </w:rPr>
        <w:t>.tabula. Pesimistiskais makroekonomiskais scenārijs</w:t>
      </w:r>
    </w:p>
    <w:tbl>
      <w:tblPr>
        <w:tblStyle w:val="GridTable6Colorful-Accent12"/>
        <w:tblW w:w="9061" w:type="dxa"/>
        <w:jc w:val="center"/>
        <w:tblLayout w:type="fixed"/>
        <w:tblLook w:val="04A0" w:firstRow="1" w:lastRow="0" w:firstColumn="1" w:lastColumn="0" w:noHBand="0" w:noVBand="1"/>
      </w:tblPr>
      <w:tblGrid>
        <w:gridCol w:w="3114"/>
        <w:gridCol w:w="743"/>
        <w:gridCol w:w="743"/>
        <w:gridCol w:w="744"/>
        <w:gridCol w:w="743"/>
        <w:gridCol w:w="743"/>
        <w:gridCol w:w="744"/>
        <w:gridCol w:w="743"/>
        <w:gridCol w:w="744"/>
      </w:tblGrid>
      <w:tr w:rsidR="00095171" w:rsidRPr="003D1B91" w:rsidTr="00824FFC">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jc w:val="both"/>
              <w:rPr>
                <w:rFonts w:ascii="Times New Roman" w:hAnsi="Times New Roman" w:cs="Times New Roman"/>
                <w:b w:val="0"/>
                <w:color w:val="auto"/>
                <w:sz w:val="20"/>
                <w:szCs w:val="20"/>
              </w:rPr>
            </w:pPr>
          </w:p>
        </w:tc>
        <w:tc>
          <w:tcPr>
            <w:tcW w:w="2973" w:type="dxa"/>
            <w:gridSpan w:val="4"/>
            <w:tcBorders>
              <w:right w:val="double" w:sz="4" w:space="0" w:color="9CC2E5" w:themeColor="accent1" w:themeTint="99"/>
            </w:tcBorders>
            <w:noWrap/>
            <w:vAlign w:val="center"/>
          </w:tcPr>
          <w:p w:rsidR="00095171" w:rsidRPr="003D1B91" w:rsidRDefault="00095171" w:rsidP="00824FFC">
            <w:pPr>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Riska scenārijs</w:t>
            </w:r>
          </w:p>
        </w:tc>
        <w:tc>
          <w:tcPr>
            <w:tcW w:w="2974" w:type="dxa"/>
            <w:gridSpan w:val="4"/>
            <w:tcBorders>
              <w:left w:val="double" w:sz="4" w:space="0" w:color="9CC2E5" w:themeColor="accent1" w:themeTint="99"/>
            </w:tcBorders>
            <w:noWrap/>
            <w:vAlign w:val="center"/>
          </w:tcPr>
          <w:p w:rsidR="00095171" w:rsidRPr="003D1B91" w:rsidRDefault="00095171" w:rsidP="00824FFC">
            <w:pPr>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Novirze no bāzes scenārija</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jc w:val="both"/>
              <w:rPr>
                <w:rFonts w:ascii="Times New Roman" w:hAnsi="Times New Roman" w:cs="Times New Roman"/>
                <w:b w:val="0"/>
                <w:color w:val="auto"/>
                <w:sz w:val="20"/>
                <w:szCs w:val="20"/>
              </w:rPr>
            </w:pPr>
          </w:p>
        </w:tc>
        <w:tc>
          <w:tcPr>
            <w:tcW w:w="743" w:type="dxa"/>
            <w:noWrap/>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2018</w:t>
            </w:r>
          </w:p>
        </w:tc>
        <w:tc>
          <w:tcPr>
            <w:tcW w:w="743" w:type="dxa"/>
            <w:noWrap/>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2019</w:t>
            </w:r>
          </w:p>
        </w:tc>
        <w:tc>
          <w:tcPr>
            <w:tcW w:w="744" w:type="dxa"/>
            <w:noWrap/>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2020</w:t>
            </w:r>
          </w:p>
        </w:tc>
        <w:tc>
          <w:tcPr>
            <w:tcW w:w="743" w:type="dxa"/>
            <w:tcBorders>
              <w:right w:val="double" w:sz="4" w:space="0" w:color="9CC2E5" w:themeColor="accent1" w:themeTint="99"/>
            </w:tcBorders>
            <w:noWrap/>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2021</w:t>
            </w:r>
          </w:p>
        </w:tc>
        <w:tc>
          <w:tcPr>
            <w:tcW w:w="743" w:type="dxa"/>
            <w:tcBorders>
              <w:left w:val="double" w:sz="4" w:space="0" w:color="9CC2E5" w:themeColor="accent1" w:themeTint="99"/>
            </w:tcBorders>
            <w:noWrap/>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2018</w:t>
            </w:r>
          </w:p>
        </w:tc>
        <w:tc>
          <w:tcPr>
            <w:tcW w:w="744" w:type="dxa"/>
            <w:noWrap/>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2019</w:t>
            </w:r>
          </w:p>
        </w:tc>
        <w:tc>
          <w:tcPr>
            <w:tcW w:w="743" w:type="dxa"/>
            <w:noWrap/>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2020</w:t>
            </w:r>
          </w:p>
        </w:tc>
        <w:tc>
          <w:tcPr>
            <w:tcW w:w="744" w:type="dxa"/>
            <w:noWrap/>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2021</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rsidR="00095171" w:rsidRPr="003D1B91" w:rsidRDefault="00095171" w:rsidP="000C3005">
            <w:pPr>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 xml:space="preserve">IKP, faktiskajās cenās, milj. </w:t>
            </w:r>
            <w:r w:rsidRPr="003D1B91">
              <w:rPr>
                <w:rFonts w:ascii="Times New Roman" w:hAnsi="Times New Roman" w:cs="Times New Roman"/>
                <w:b w:val="0"/>
                <w:i/>
                <w:color w:val="auto"/>
                <w:sz w:val="20"/>
                <w:szCs w:val="20"/>
              </w:rPr>
              <w:t>euro</w:t>
            </w:r>
          </w:p>
        </w:tc>
        <w:tc>
          <w:tcPr>
            <w:tcW w:w="743"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28</w:t>
            </w:r>
            <w:r w:rsidR="00824FFC">
              <w:rPr>
                <w:rFonts w:ascii="Times New Roman" w:hAnsi="Times New Roman" w:cs="Times New Roman"/>
                <w:color w:val="auto"/>
                <w:sz w:val="20"/>
                <w:szCs w:val="20"/>
              </w:rPr>
              <w:t> </w:t>
            </w:r>
            <w:r w:rsidRPr="00A747F7">
              <w:rPr>
                <w:rFonts w:ascii="Times New Roman" w:hAnsi="Times New Roman" w:cs="Times New Roman"/>
                <w:color w:val="auto"/>
                <w:sz w:val="20"/>
                <w:szCs w:val="20"/>
              </w:rPr>
              <w:t>627</w:t>
            </w:r>
          </w:p>
        </w:tc>
        <w:tc>
          <w:tcPr>
            <w:tcW w:w="743"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30</w:t>
            </w:r>
            <w:r w:rsidR="00824FFC">
              <w:rPr>
                <w:rFonts w:ascii="Times New Roman" w:hAnsi="Times New Roman" w:cs="Times New Roman"/>
                <w:color w:val="auto"/>
                <w:sz w:val="20"/>
                <w:szCs w:val="20"/>
              </w:rPr>
              <w:t> </w:t>
            </w:r>
            <w:r w:rsidRPr="00A747F7">
              <w:rPr>
                <w:rFonts w:ascii="Times New Roman" w:hAnsi="Times New Roman" w:cs="Times New Roman"/>
                <w:color w:val="auto"/>
                <w:sz w:val="20"/>
                <w:szCs w:val="20"/>
              </w:rPr>
              <w:t>113</w:t>
            </w:r>
          </w:p>
        </w:tc>
        <w:tc>
          <w:tcPr>
            <w:tcW w:w="744"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31</w:t>
            </w:r>
            <w:r w:rsidR="00824FFC">
              <w:rPr>
                <w:rFonts w:ascii="Times New Roman" w:hAnsi="Times New Roman" w:cs="Times New Roman"/>
                <w:color w:val="auto"/>
                <w:sz w:val="20"/>
                <w:szCs w:val="20"/>
              </w:rPr>
              <w:t> </w:t>
            </w:r>
            <w:r w:rsidRPr="00A747F7">
              <w:rPr>
                <w:rFonts w:ascii="Times New Roman" w:hAnsi="Times New Roman" w:cs="Times New Roman"/>
                <w:color w:val="auto"/>
                <w:sz w:val="20"/>
                <w:szCs w:val="20"/>
              </w:rPr>
              <w:t>782</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33</w:t>
            </w:r>
            <w:r w:rsidR="00824FFC">
              <w:rPr>
                <w:rFonts w:ascii="Times New Roman" w:hAnsi="Times New Roman" w:cs="Times New Roman"/>
                <w:color w:val="auto"/>
                <w:sz w:val="20"/>
                <w:szCs w:val="20"/>
              </w:rPr>
              <w:t> </w:t>
            </w:r>
            <w:r w:rsidRPr="00A747F7">
              <w:rPr>
                <w:rFonts w:ascii="Times New Roman" w:hAnsi="Times New Roman" w:cs="Times New Roman"/>
                <w:color w:val="auto"/>
                <w:sz w:val="20"/>
                <w:szCs w:val="20"/>
              </w:rPr>
              <w:t>485</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-170</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-559</w:t>
            </w:r>
          </w:p>
        </w:tc>
        <w:tc>
          <w:tcPr>
            <w:tcW w:w="743"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-673</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-733</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ind w:left="26"/>
              <w:jc w:val="both"/>
              <w:rPr>
                <w:rFonts w:ascii="Times New Roman" w:hAnsi="Times New Roman" w:cs="Times New Roman"/>
                <w:b w:val="0"/>
                <w:sz w:val="20"/>
                <w:szCs w:val="20"/>
              </w:rPr>
            </w:pPr>
            <w:r>
              <w:rPr>
                <w:rFonts w:ascii="Times New Roman" w:hAnsi="Times New Roman" w:cs="Times New Roman"/>
                <w:b w:val="0"/>
                <w:color w:val="auto"/>
                <w:sz w:val="20"/>
                <w:szCs w:val="20"/>
              </w:rPr>
              <w:t>- pieaugums faktiskajās cenās</w:t>
            </w:r>
            <w:r w:rsidRPr="003D1B91">
              <w:rPr>
                <w:rFonts w:ascii="Times New Roman" w:hAnsi="Times New Roman" w:cs="Times New Roman"/>
                <w:b w:val="0"/>
                <w:color w:val="auto"/>
                <w:sz w:val="20"/>
                <w:szCs w:val="20"/>
              </w:rPr>
              <w:t>, %</w:t>
            </w:r>
          </w:p>
        </w:tc>
        <w:tc>
          <w:tcPr>
            <w:tcW w:w="743"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6</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6</w:t>
            </w:r>
          </w:p>
        </w:tc>
        <w:tc>
          <w:tcPr>
            <w:tcW w:w="743"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2</w:t>
            </w:r>
          </w:p>
        </w:tc>
        <w:tc>
          <w:tcPr>
            <w:tcW w:w="744"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4</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6</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-1</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3</w:t>
            </w:r>
          </w:p>
        </w:tc>
        <w:tc>
          <w:tcPr>
            <w:tcW w:w="743"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3</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,0</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ind w:left="26"/>
              <w:jc w:val="both"/>
              <w:rPr>
                <w:rFonts w:ascii="Times New Roman" w:hAnsi="Times New Roman" w:cs="Times New Roman"/>
                <w:b w:val="0"/>
                <w:sz w:val="20"/>
                <w:szCs w:val="20"/>
              </w:rPr>
            </w:pP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43" w:type="dxa"/>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4</w:t>
            </w:r>
          </w:p>
        </w:tc>
        <w:tc>
          <w:tcPr>
            <w:tcW w:w="743" w:type="dxa"/>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1</w:t>
            </w:r>
          </w:p>
        </w:tc>
        <w:tc>
          <w:tcPr>
            <w:tcW w:w="744" w:type="dxa"/>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7</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6</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-1</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3</w:t>
            </w:r>
          </w:p>
        </w:tc>
        <w:tc>
          <w:tcPr>
            <w:tcW w:w="743"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3</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,0</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Privātais patēriņš</w:t>
            </w: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43"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3"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6</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3</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3"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Sabiedriskais patēriņš,</w:t>
            </w:r>
            <w:r>
              <w:rPr>
                <w:rFonts w:ascii="Times New Roman" w:hAnsi="Times New Roman" w:cs="Times New Roman"/>
                <w:b w:val="0"/>
                <w:color w:val="auto"/>
                <w:sz w:val="20"/>
                <w:szCs w:val="20"/>
              </w:rPr>
              <w:t xml:space="preserve"> p</w:t>
            </w:r>
            <w:r w:rsidRPr="003D1B91">
              <w:rPr>
                <w:rFonts w:ascii="Times New Roman" w:hAnsi="Times New Roman" w:cs="Times New Roman"/>
                <w:b w:val="0"/>
                <w:color w:val="auto"/>
                <w:sz w:val="20"/>
                <w:szCs w:val="20"/>
              </w:rPr>
              <w:t xml:space="preserve">ieaugums salīdzināmās cenās, % </w:t>
            </w:r>
          </w:p>
        </w:tc>
        <w:tc>
          <w:tcPr>
            <w:tcW w:w="743" w:type="dxa"/>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1</w:t>
            </w:r>
          </w:p>
        </w:tc>
        <w:tc>
          <w:tcPr>
            <w:tcW w:w="743" w:type="dxa"/>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4" w:type="dxa"/>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2</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6</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3"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Kopējā pamatkapitāla veidošana</w:t>
            </w: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43"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8</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3"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4</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7</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2</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3"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-1</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6</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Preču un pakalpojumu eksports</w:t>
            </w: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43"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3"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9</w:t>
            </w:r>
          </w:p>
        </w:tc>
        <w:tc>
          <w:tcPr>
            <w:tcW w:w="743"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ind w:left="26"/>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Preču un pakalpojumu imports</w:t>
            </w:r>
            <w:r>
              <w:rPr>
                <w:rFonts w:ascii="Times New Roman" w:hAnsi="Times New Roman" w:cs="Times New Roman"/>
                <w:b w:val="0"/>
                <w:color w:val="auto"/>
                <w:sz w:val="20"/>
                <w:szCs w:val="20"/>
              </w:rPr>
              <w:t>, p</w:t>
            </w:r>
            <w:r w:rsidRPr="003D1B91">
              <w:rPr>
                <w:rFonts w:ascii="Times New Roman" w:hAnsi="Times New Roman" w:cs="Times New Roman"/>
                <w:b w:val="0"/>
                <w:color w:val="auto"/>
                <w:sz w:val="20"/>
                <w:szCs w:val="20"/>
              </w:rPr>
              <w:t>ieaugums salīdzināmās cenās, %</w:t>
            </w:r>
          </w:p>
        </w:tc>
        <w:tc>
          <w:tcPr>
            <w:tcW w:w="743" w:type="dxa"/>
            <w:noWrap/>
            <w:tcMar>
              <w:left w:w="57" w:type="dxa"/>
              <w:right w:w="57" w:type="dxa"/>
            </w:tcMar>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6</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3" w:type="dxa"/>
            <w:noWrap/>
            <w:tcMar>
              <w:left w:w="57" w:type="dxa"/>
              <w:right w:w="57" w:type="dxa"/>
            </w:tcMar>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3</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7</w:t>
            </w:r>
          </w:p>
        </w:tc>
        <w:tc>
          <w:tcPr>
            <w:tcW w:w="744" w:type="dxa"/>
            <w:noWrap/>
            <w:tcMar>
              <w:left w:w="57" w:type="dxa"/>
              <w:right w:w="57" w:type="dxa"/>
            </w:tcMar>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4</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4</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4</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8</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-1</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3"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2</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rsidR="00095171" w:rsidRPr="003D1B91" w:rsidRDefault="00095171" w:rsidP="000C3005">
            <w:pPr>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Vidējā</w:t>
            </w:r>
            <w:r>
              <w:rPr>
                <w:rFonts w:ascii="Times New Roman" w:hAnsi="Times New Roman" w:cs="Times New Roman"/>
                <w:b w:val="0"/>
                <w:color w:val="auto"/>
                <w:sz w:val="20"/>
                <w:szCs w:val="20"/>
              </w:rPr>
              <w:t>s</w:t>
            </w:r>
            <w:r w:rsidRPr="003D1B91">
              <w:rPr>
                <w:rFonts w:ascii="Times New Roman" w:hAnsi="Times New Roman" w:cs="Times New Roman"/>
                <w:b w:val="0"/>
                <w:color w:val="auto"/>
                <w:sz w:val="20"/>
                <w:szCs w:val="20"/>
              </w:rPr>
              <w:t xml:space="preserve"> darba samaksa</w:t>
            </w:r>
            <w:r>
              <w:rPr>
                <w:rFonts w:ascii="Times New Roman" w:hAnsi="Times New Roman" w:cs="Times New Roman"/>
                <w:b w:val="0"/>
                <w:color w:val="auto"/>
                <w:sz w:val="20"/>
                <w:szCs w:val="20"/>
              </w:rPr>
              <w:t>s</w:t>
            </w:r>
            <w:r w:rsidRPr="003D1B91">
              <w:rPr>
                <w:rFonts w:ascii="Times New Roman" w:hAnsi="Times New Roman" w:cs="Times New Roman"/>
                <w:b w:val="0"/>
                <w:color w:val="auto"/>
                <w:sz w:val="20"/>
                <w:szCs w:val="20"/>
              </w:rPr>
              <w:t xml:space="preserve"> tautsaimniecīb</w:t>
            </w:r>
            <w:r>
              <w:rPr>
                <w:rFonts w:ascii="Times New Roman" w:hAnsi="Times New Roman" w:cs="Times New Roman"/>
                <w:b w:val="0"/>
                <w:color w:val="auto"/>
                <w:sz w:val="20"/>
                <w:szCs w:val="20"/>
              </w:rPr>
              <w:t>ā p</w:t>
            </w:r>
            <w:r w:rsidRPr="003D1B91">
              <w:rPr>
                <w:rFonts w:ascii="Times New Roman" w:hAnsi="Times New Roman" w:cs="Times New Roman"/>
                <w:b w:val="0"/>
                <w:color w:val="auto"/>
                <w:sz w:val="20"/>
                <w:szCs w:val="20"/>
              </w:rPr>
              <w:t>ieaugums faktiskajās cenās, %</w:t>
            </w:r>
          </w:p>
        </w:tc>
        <w:tc>
          <w:tcPr>
            <w:tcW w:w="743"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7</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3"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7</w:t>
            </w:r>
          </w:p>
        </w:tc>
        <w:tc>
          <w:tcPr>
            <w:tcW w:w="744" w:type="dxa"/>
            <w:noWrap/>
            <w:tcMar>
              <w:left w:w="57" w:type="dxa"/>
              <w:right w:w="57" w:type="dxa"/>
            </w:tcMar>
            <w:vAlign w:val="center"/>
          </w:tcPr>
          <w:p w:rsidR="00095171" w:rsidRPr="003D1B91"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5</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5</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3</w:t>
            </w:r>
          </w:p>
        </w:tc>
        <w:tc>
          <w:tcPr>
            <w:tcW w:w="743"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6D3EF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hideMark/>
          </w:tcPr>
          <w:p w:rsidR="00095171" w:rsidRPr="003D1B91" w:rsidRDefault="00095171" w:rsidP="000C3005">
            <w:pPr>
              <w:jc w:val="both"/>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Nodarbinātība</w:t>
            </w:r>
            <w:r>
              <w:rPr>
                <w:rFonts w:ascii="Times New Roman" w:hAnsi="Times New Roman" w:cs="Times New Roman"/>
                <w:b w:val="0"/>
                <w:color w:val="auto"/>
                <w:sz w:val="20"/>
                <w:szCs w:val="20"/>
              </w:rPr>
              <w:t>s pieaugums, %</w:t>
            </w:r>
          </w:p>
        </w:tc>
        <w:tc>
          <w:tcPr>
            <w:tcW w:w="743" w:type="dxa"/>
            <w:noWrap/>
            <w:tcMar>
              <w:left w:w="57" w:type="dxa"/>
              <w:right w:w="57" w:type="dxa"/>
            </w:tcMar>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1</w:t>
            </w:r>
          </w:p>
        </w:tc>
        <w:tc>
          <w:tcPr>
            <w:tcW w:w="743" w:type="dxa"/>
            <w:noWrap/>
            <w:tcMar>
              <w:left w:w="57" w:type="dxa"/>
              <w:right w:w="57" w:type="dxa"/>
            </w:tcMar>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r>
              <w:rPr>
                <w:rFonts w:ascii="Times New Roman" w:hAnsi="Times New Roman" w:cs="Times New Roman"/>
                <w:color w:val="auto"/>
                <w:sz w:val="20"/>
                <w:szCs w:val="20"/>
              </w:rPr>
              <w:t>,1</w:t>
            </w:r>
          </w:p>
        </w:tc>
        <w:tc>
          <w:tcPr>
            <w:tcW w:w="744" w:type="dxa"/>
            <w:noWrap/>
            <w:tcMar>
              <w:left w:w="57" w:type="dxa"/>
              <w:right w:w="57" w:type="dxa"/>
            </w:tcMar>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3" w:type="dxa"/>
            <w:tcBorders>
              <w:right w:val="double" w:sz="4" w:space="0" w:color="9CC2E5" w:themeColor="accent1" w:themeTint="99"/>
            </w:tcBorders>
            <w:noWrap/>
            <w:tcMar>
              <w:left w:w="57" w:type="dxa"/>
              <w:right w:w="57" w:type="dxa"/>
            </w:tcMar>
            <w:vAlign w:val="center"/>
          </w:tcPr>
          <w:p w:rsidR="00095171" w:rsidRPr="00A747F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1</w:t>
            </w:r>
          </w:p>
        </w:tc>
        <w:tc>
          <w:tcPr>
            <w:tcW w:w="743" w:type="dxa"/>
            <w:tcBorders>
              <w:left w:val="double" w:sz="4" w:space="0" w:color="9CC2E5" w:themeColor="accent1" w:themeTint="99"/>
            </w:tcBorders>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r>
              <w:rPr>
                <w:rFonts w:ascii="Times New Roman" w:hAnsi="Times New Roman" w:cs="Times New Roman"/>
                <w:color w:val="auto"/>
                <w:sz w:val="20"/>
                <w:szCs w:val="20"/>
              </w:rPr>
              <w:t>,1</w:t>
            </w:r>
          </w:p>
        </w:tc>
        <w:tc>
          <w:tcPr>
            <w:tcW w:w="743"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c>
          <w:tcPr>
            <w:tcW w:w="744" w:type="dxa"/>
            <w:noWrap/>
            <w:tcMar>
              <w:left w:w="57" w:type="dxa"/>
              <w:right w:w="57" w:type="dxa"/>
            </w:tcMar>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747F7">
              <w:rPr>
                <w:rFonts w:ascii="Times New Roman" w:hAnsi="Times New Roman" w:cs="Times New Roman"/>
                <w:color w:val="auto"/>
                <w:sz w:val="20"/>
                <w:szCs w:val="20"/>
              </w:rPr>
              <w:t>0</w:t>
            </w:r>
            <w:r>
              <w:rPr>
                <w:rFonts w:ascii="Times New Roman" w:hAnsi="Times New Roman" w:cs="Times New Roman"/>
                <w:color w:val="auto"/>
                <w:sz w:val="20"/>
                <w:szCs w:val="20"/>
              </w:rPr>
              <w:t>,</w:t>
            </w:r>
            <w:r w:rsidRPr="00A747F7">
              <w:rPr>
                <w:rFonts w:ascii="Times New Roman" w:hAnsi="Times New Roman" w:cs="Times New Roman"/>
                <w:color w:val="auto"/>
                <w:sz w:val="20"/>
                <w:szCs w:val="20"/>
              </w:rPr>
              <w:t>0</w:t>
            </w:r>
          </w:p>
        </w:tc>
      </w:tr>
    </w:tbl>
    <w:p w:rsidR="00095171" w:rsidRDefault="00095171"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rsidR="00095171" w:rsidRDefault="00095171" w:rsidP="00824FF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Kopumā a</w:t>
      </w:r>
      <w:r w:rsidRPr="008E57FF">
        <w:rPr>
          <w:rFonts w:ascii="Times New Roman" w:eastAsia="Times New Roman" w:hAnsi="Times New Roman" w:cs="Times New Roman"/>
          <w:color w:val="000000"/>
          <w:sz w:val="24"/>
          <w:szCs w:val="24"/>
          <w:lang w:eastAsia="lv-LV"/>
        </w:rPr>
        <w:t xml:space="preserve">tbilstoši </w:t>
      </w:r>
      <w:r>
        <w:rPr>
          <w:rFonts w:ascii="Times New Roman" w:eastAsia="Times New Roman" w:hAnsi="Times New Roman" w:cs="Times New Roman"/>
          <w:color w:val="000000"/>
          <w:sz w:val="24"/>
          <w:szCs w:val="24"/>
          <w:lang w:eastAsia="lv-LV"/>
        </w:rPr>
        <w:t xml:space="preserve">pesimistiskajam </w:t>
      </w:r>
      <w:r w:rsidRPr="008E57FF">
        <w:rPr>
          <w:rFonts w:ascii="Times New Roman" w:eastAsia="Times New Roman" w:hAnsi="Times New Roman" w:cs="Times New Roman"/>
          <w:color w:val="000000"/>
          <w:sz w:val="24"/>
          <w:szCs w:val="24"/>
          <w:lang w:eastAsia="lv-LV"/>
        </w:rPr>
        <w:t xml:space="preserve">scenārijam, mazinoties </w:t>
      </w:r>
      <w:r>
        <w:rPr>
          <w:rFonts w:ascii="Times New Roman" w:eastAsia="Times New Roman" w:hAnsi="Times New Roman" w:cs="Times New Roman"/>
          <w:color w:val="000000"/>
          <w:sz w:val="24"/>
          <w:szCs w:val="24"/>
          <w:lang w:eastAsia="lv-LV"/>
        </w:rPr>
        <w:t xml:space="preserve">iedzīvotāju </w:t>
      </w:r>
      <w:r w:rsidRPr="008E57FF">
        <w:rPr>
          <w:rFonts w:ascii="Times New Roman" w:eastAsia="Times New Roman" w:hAnsi="Times New Roman" w:cs="Times New Roman"/>
          <w:color w:val="000000"/>
          <w:sz w:val="24"/>
          <w:szCs w:val="24"/>
          <w:lang w:eastAsia="lv-LV"/>
        </w:rPr>
        <w:t xml:space="preserve">ienākumiem, nodarbināto darba samaksas pieaugums </w:t>
      </w:r>
      <w:r>
        <w:rPr>
          <w:rFonts w:ascii="Times New Roman" w:eastAsia="Times New Roman" w:hAnsi="Times New Roman" w:cs="Times New Roman"/>
          <w:color w:val="000000"/>
          <w:sz w:val="24"/>
          <w:szCs w:val="24"/>
          <w:lang w:eastAsia="lv-LV"/>
        </w:rPr>
        <w:t>2018. un 2019.gadā</w:t>
      </w:r>
      <w:r w:rsidRPr="008E57FF">
        <w:rPr>
          <w:rFonts w:ascii="Times New Roman" w:eastAsia="Times New Roman" w:hAnsi="Times New Roman" w:cs="Times New Roman"/>
          <w:color w:val="000000"/>
          <w:sz w:val="24"/>
          <w:szCs w:val="24"/>
          <w:lang w:eastAsia="lv-LV"/>
        </w:rPr>
        <w:t xml:space="preserve"> būtu vidēji par 0,4 procentpunktiem mazāks. Līdz ar to arī privātā patēriņa pieaugums </w:t>
      </w:r>
      <w:r>
        <w:rPr>
          <w:rFonts w:ascii="Times New Roman" w:eastAsia="Times New Roman" w:hAnsi="Times New Roman" w:cs="Times New Roman"/>
          <w:color w:val="000000"/>
          <w:sz w:val="24"/>
          <w:szCs w:val="24"/>
          <w:lang w:eastAsia="lv-LV"/>
        </w:rPr>
        <w:t xml:space="preserve">2018. un 2019.gadā </w:t>
      </w:r>
      <w:r w:rsidRPr="008E57FF">
        <w:rPr>
          <w:rFonts w:ascii="Times New Roman" w:eastAsia="Times New Roman" w:hAnsi="Times New Roman" w:cs="Times New Roman"/>
          <w:color w:val="000000"/>
          <w:sz w:val="24"/>
          <w:szCs w:val="24"/>
          <w:lang w:eastAsia="lv-LV"/>
        </w:rPr>
        <w:t xml:space="preserve">būtu par </w:t>
      </w:r>
      <w:r>
        <w:rPr>
          <w:rFonts w:ascii="Times New Roman" w:eastAsia="Times New Roman" w:hAnsi="Times New Roman" w:cs="Times New Roman"/>
          <w:color w:val="000000"/>
          <w:sz w:val="24"/>
          <w:szCs w:val="24"/>
          <w:lang w:eastAsia="lv-LV"/>
        </w:rPr>
        <w:t xml:space="preserve">attiecīgi </w:t>
      </w:r>
      <w:r w:rsidRPr="008E57FF">
        <w:rPr>
          <w:rFonts w:ascii="Times New Roman" w:eastAsia="Times New Roman" w:hAnsi="Times New Roman" w:cs="Times New Roman"/>
          <w:color w:val="000000"/>
          <w:sz w:val="24"/>
          <w:szCs w:val="24"/>
          <w:lang w:eastAsia="lv-LV"/>
        </w:rPr>
        <w:t xml:space="preserve">0,3 </w:t>
      </w:r>
      <w:r>
        <w:rPr>
          <w:rFonts w:ascii="Times New Roman" w:eastAsia="Times New Roman" w:hAnsi="Times New Roman" w:cs="Times New Roman"/>
          <w:color w:val="000000"/>
          <w:sz w:val="24"/>
          <w:szCs w:val="24"/>
          <w:lang w:eastAsia="lv-LV"/>
        </w:rPr>
        <w:t xml:space="preserve">un 0,5 </w:t>
      </w:r>
      <w:r w:rsidRPr="008E57FF">
        <w:rPr>
          <w:rFonts w:ascii="Times New Roman" w:eastAsia="Times New Roman" w:hAnsi="Times New Roman" w:cs="Times New Roman"/>
          <w:color w:val="000000"/>
          <w:sz w:val="24"/>
          <w:szCs w:val="24"/>
          <w:lang w:eastAsia="lv-LV"/>
        </w:rPr>
        <w:t xml:space="preserve">procentpunktiem mazāks nekā paredzēts </w:t>
      </w:r>
      <w:r>
        <w:rPr>
          <w:rFonts w:ascii="Times New Roman" w:eastAsia="Times New Roman" w:hAnsi="Times New Roman" w:cs="Times New Roman"/>
          <w:color w:val="000000"/>
          <w:sz w:val="24"/>
          <w:szCs w:val="24"/>
          <w:lang w:eastAsia="lv-LV"/>
        </w:rPr>
        <w:t>bāzes</w:t>
      </w:r>
      <w:r w:rsidRPr="008E57FF">
        <w:rPr>
          <w:rFonts w:ascii="Times New Roman" w:eastAsia="Times New Roman" w:hAnsi="Times New Roman" w:cs="Times New Roman"/>
          <w:color w:val="000000"/>
          <w:sz w:val="24"/>
          <w:szCs w:val="24"/>
          <w:lang w:eastAsia="lv-LV"/>
        </w:rPr>
        <w:t xml:space="preserve"> scenārijā</w:t>
      </w:r>
      <w:r>
        <w:rPr>
          <w:rFonts w:ascii="Times New Roman" w:eastAsia="Times New Roman" w:hAnsi="Times New Roman" w:cs="Times New Roman"/>
          <w:color w:val="000000"/>
          <w:sz w:val="24"/>
          <w:szCs w:val="24"/>
          <w:lang w:eastAsia="lv-LV"/>
        </w:rPr>
        <w:t>.</w:t>
      </w:r>
    </w:p>
    <w:p w:rsidR="00095171" w:rsidRPr="008E57FF" w:rsidRDefault="00095171" w:rsidP="00824FFC">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Investīciju pieaugumu balstīs 2014.</w:t>
      </w:r>
      <w:r w:rsidR="000C3005" w:rsidRPr="000C3005">
        <w:rPr>
          <w:rFonts w:ascii="Times New Roman" w:eastAsia="Calibri" w:hAnsi="Times New Roman" w:cs="Times New Roman"/>
          <w:sz w:val="24"/>
          <w:szCs w:val="24"/>
        </w:rPr>
        <w:t xml:space="preserve"> </w:t>
      </w:r>
      <w:r w:rsidR="000C3005" w:rsidRPr="00F14E08">
        <w:rPr>
          <w:rFonts w:ascii="Times New Roman" w:eastAsia="Calibri" w:hAnsi="Times New Roman" w:cs="Times New Roman"/>
          <w:sz w:val="24"/>
          <w:szCs w:val="24"/>
        </w:rPr>
        <w:t>–</w:t>
      </w:r>
      <w:r w:rsidR="000C3005">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lang w:eastAsia="lv-LV"/>
        </w:rPr>
        <w:t>2020.gada plānošanas perioda ES fondu investīciju projekti. Tomēr problēmas finanšu sektorā un ārējā pieprasījuma mazināšanās varētu mazināt investīciju dinamiku, uzņēmumiem nogaidot ar investīciju veikšanu, kas nozīmētu, ka kopējā pamatkapitāla veidošana laikā no 2018.gada līdz 2020.gadam varētu būt attiecīgi par 3,2 procentpunktiem, 5,0 procentpunktiem un 1,6 procentpunktiem lēnāka nekā bāzes scenārijā.</w:t>
      </w:r>
    </w:p>
    <w:p w:rsidR="00095171" w:rsidRPr="00C756E1" w:rsidRDefault="00095171" w:rsidP="00C756E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Pesimistiskā scenārija gadījumā Latvijas IKP izaugsme salīdzināmās cenās 201</w:t>
      </w:r>
      <w:r>
        <w:rPr>
          <w:rFonts w:ascii="Times New Roman" w:eastAsia="Times New Roman" w:hAnsi="Times New Roman" w:cs="Times New Roman"/>
          <w:color w:val="000000"/>
          <w:sz w:val="24"/>
          <w:szCs w:val="24"/>
          <w:lang w:eastAsia="lv-LV"/>
        </w:rPr>
        <w:t>8</w:t>
      </w:r>
      <w:r w:rsidRPr="008E57FF">
        <w:rPr>
          <w:rFonts w:ascii="Times New Roman" w:eastAsia="Times New Roman" w:hAnsi="Times New Roman" w:cs="Times New Roman"/>
          <w:color w:val="000000"/>
          <w:sz w:val="24"/>
          <w:szCs w:val="24"/>
          <w:lang w:eastAsia="lv-LV"/>
        </w:rPr>
        <w:t>.gadā būtu par 0,</w:t>
      </w:r>
      <w:r>
        <w:rPr>
          <w:rFonts w:ascii="Times New Roman" w:eastAsia="Times New Roman" w:hAnsi="Times New Roman" w:cs="Times New Roman"/>
          <w:color w:val="000000"/>
          <w:sz w:val="24"/>
          <w:szCs w:val="24"/>
          <w:lang w:eastAsia="lv-LV"/>
        </w:rPr>
        <w:t>6</w:t>
      </w:r>
      <w:r w:rsidRPr="008E57FF">
        <w:rPr>
          <w:rFonts w:ascii="Times New Roman" w:eastAsia="Times New Roman" w:hAnsi="Times New Roman" w:cs="Times New Roman"/>
          <w:color w:val="000000"/>
          <w:sz w:val="24"/>
          <w:szCs w:val="24"/>
          <w:lang w:eastAsia="lv-LV"/>
        </w:rPr>
        <w:t xml:space="preserve"> procentpunktiem lēnāka nekā pamata scenārijā un 201</w:t>
      </w:r>
      <w:r>
        <w:rPr>
          <w:rFonts w:ascii="Times New Roman" w:eastAsia="Times New Roman" w:hAnsi="Times New Roman" w:cs="Times New Roman"/>
          <w:color w:val="000000"/>
          <w:sz w:val="24"/>
          <w:szCs w:val="24"/>
          <w:lang w:eastAsia="lv-LV"/>
        </w:rPr>
        <w:t>9</w:t>
      </w:r>
      <w:r w:rsidRPr="008E57FF">
        <w:rPr>
          <w:rFonts w:ascii="Times New Roman" w:eastAsia="Times New Roman" w:hAnsi="Times New Roman" w:cs="Times New Roman"/>
          <w:color w:val="000000"/>
          <w:sz w:val="24"/>
          <w:szCs w:val="24"/>
          <w:lang w:eastAsia="lv-LV"/>
        </w:rPr>
        <w:t>.gadā</w:t>
      </w:r>
      <w:r>
        <w:rPr>
          <w:rFonts w:ascii="Times New Roman" w:eastAsia="Times New Roman" w:hAnsi="Times New Roman" w:cs="Times New Roman"/>
          <w:color w:val="000000"/>
          <w:sz w:val="24"/>
          <w:szCs w:val="24"/>
          <w:lang w:eastAsia="lv-LV"/>
        </w:rPr>
        <w:t xml:space="preserve"> </w:t>
      </w:r>
      <w:r w:rsidRPr="008E57FF">
        <w:rPr>
          <w:rFonts w:ascii="Times New Roman" w:eastAsia="Times New Roman" w:hAnsi="Times New Roman" w:cs="Times New Roman"/>
          <w:color w:val="000000"/>
          <w:sz w:val="24"/>
          <w:szCs w:val="24"/>
          <w:lang w:eastAsia="lv-LV"/>
        </w:rPr>
        <w:t xml:space="preserve">par </w:t>
      </w:r>
      <w:r>
        <w:rPr>
          <w:rFonts w:ascii="Times New Roman" w:eastAsia="Times New Roman" w:hAnsi="Times New Roman" w:cs="Times New Roman"/>
          <w:color w:val="000000"/>
          <w:sz w:val="24"/>
          <w:szCs w:val="24"/>
          <w:lang w:eastAsia="lv-LV"/>
        </w:rPr>
        <w:t>1</w:t>
      </w:r>
      <w:r w:rsidRPr="008E57FF">
        <w:rPr>
          <w:rFonts w:ascii="Times New Roman" w:eastAsia="Times New Roman" w:hAnsi="Times New Roman" w:cs="Times New Roman"/>
          <w:color w:val="000000"/>
          <w:sz w:val="24"/>
          <w:szCs w:val="24"/>
          <w:lang w:eastAsia="lv-LV"/>
        </w:rPr>
        <w:t>,</w:t>
      </w:r>
      <w:r>
        <w:rPr>
          <w:rFonts w:ascii="Times New Roman" w:eastAsia="Times New Roman" w:hAnsi="Times New Roman" w:cs="Times New Roman"/>
          <w:color w:val="000000"/>
          <w:sz w:val="24"/>
          <w:szCs w:val="24"/>
          <w:lang w:eastAsia="lv-LV"/>
        </w:rPr>
        <w:t>3</w:t>
      </w:r>
      <w:r w:rsidR="000C3005">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procentpunktiem lēnāka.</w:t>
      </w:r>
    </w:p>
    <w:p w:rsidR="00095171" w:rsidRDefault="00095171" w:rsidP="00C756E1">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r w:rsidRPr="00C30384">
        <w:rPr>
          <w:rFonts w:ascii="Times New Roman" w:eastAsia="Times New Roman" w:hAnsi="Times New Roman" w:cs="Times New Roman"/>
          <w:b/>
          <w:color w:val="000000"/>
          <w:sz w:val="24"/>
          <w:szCs w:val="24"/>
          <w:lang w:eastAsia="lv-LV"/>
        </w:rPr>
        <w:t>Ietekme uz budžetu un parāda apkalpošanu.</w:t>
      </w:r>
      <w:r w:rsidRPr="00C30384">
        <w:rPr>
          <w:rFonts w:ascii="Times New Roman" w:eastAsia="Times New Roman" w:hAnsi="Times New Roman" w:cs="Times New Roman"/>
          <w:color w:val="000000"/>
          <w:sz w:val="24"/>
          <w:szCs w:val="24"/>
          <w:lang w:eastAsia="lv-LV"/>
        </w:rPr>
        <w:t xml:space="preserve"> </w:t>
      </w:r>
      <w:r w:rsidRPr="00CD6BA7">
        <w:rPr>
          <w:rFonts w:ascii="Times New Roman" w:eastAsia="Times New Roman" w:hAnsi="Times New Roman" w:cs="Times New Roman"/>
          <w:color w:val="000000"/>
          <w:sz w:val="24"/>
          <w:szCs w:val="24"/>
          <w:lang w:eastAsia="lv-LV"/>
        </w:rPr>
        <w:t xml:space="preserve">Īstenojoties pesimistiskajam scenārijam, būtiski samazinātos nodokļu ieņēmumi, pasliktinātos vispārējās valdības budžeta bilance. Salīdzinājumā ar pamata scenāriju pie nemainīgas politikas pesimistiskā scenārija gadījumā vispārējās valdības deficīts 2018.gadā </w:t>
      </w:r>
      <w:r w:rsidRPr="006352B7">
        <w:rPr>
          <w:rFonts w:ascii="Times New Roman" w:eastAsia="Times New Roman" w:hAnsi="Times New Roman" w:cs="Times New Roman"/>
          <w:color w:val="000000"/>
          <w:sz w:val="24"/>
          <w:szCs w:val="24"/>
          <w:lang w:eastAsia="lv-LV"/>
        </w:rPr>
        <w:t xml:space="preserve">pieaugtu par 50,4 milj. </w:t>
      </w:r>
      <w:r w:rsidRPr="006352B7">
        <w:rPr>
          <w:rFonts w:ascii="Times New Roman" w:eastAsia="Times New Roman" w:hAnsi="Times New Roman" w:cs="Times New Roman"/>
          <w:i/>
          <w:color w:val="000000"/>
          <w:sz w:val="24"/>
          <w:szCs w:val="24"/>
          <w:lang w:eastAsia="lv-LV"/>
        </w:rPr>
        <w:t>euro</w:t>
      </w:r>
      <w:r w:rsidRPr="006352B7">
        <w:rPr>
          <w:rFonts w:ascii="Times New Roman" w:eastAsia="Times New Roman" w:hAnsi="Times New Roman" w:cs="Times New Roman"/>
          <w:color w:val="000000"/>
          <w:sz w:val="24"/>
          <w:szCs w:val="24"/>
          <w:lang w:eastAsia="lv-LV"/>
        </w:rPr>
        <w:t xml:space="preserve"> jeb 0,2</w:t>
      </w:r>
      <w:r w:rsidRPr="006918DD">
        <w:rPr>
          <w:rFonts w:ascii="Times New Roman" w:eastAsia="Times New Roman" w:hAnsi="Times New Roman" w:cs="Times New Roman"/>
          <w:color w:val="000000"/>
          <w:sz w:val="24"/>
          <w:szCs w:val="24"/>
          <w:lang w:eastAsia="lv-LV"/>
        </w:rPr>
        <w:t xml:space="preserve"> procentpunktiem</w:t>
      </w:r>
      <w:r w:rsidRPr="00CD6BA7">
        <w:rPr>
          <w:rFonts w:ascii="Times New Roman" w:eastAsia="Times New Roman" w:hAnsi="Times New Roman" w:cs="Times New Roman"/>
          <w:color w:val="000000"/>
          <w:sz w:val="24"/>
          <w:szCs w:val="24"/>
          <w:lang w:eastAsia="lv-LV"/>
        </w:rPr>
        <w:t xml:space="preserve"> no IKP. Savukārt 2019., 2020. un 2021.gadā vispārējās valdības bilance pasliktinātos attiecīgi par </w:t>
      </w:r>
      <w:r w:rsidRPr="00502F70">
        <w:rPr>
          <w:rFonts w:ascii="Times New Roman" w:eastAsia="Times New Roman" w:hAnsi="Times New Roman" w:cs="Times New Roman"/>
          <w:color w:val="000000"/>
          <w:sz w:val="24"/>
          <w:szCs w:val="24"/>
          <w:lang w:eastAsia="lv-LV"/>
        </w:rPr>
        <w:t xml:space="preserve">0,5 (162,7 milj. </w:t>
      </w:r>
      <w:r w:rsidRPr="00502F70">
        <w:rPr>
          <w:rFonts w:ascii="Times New Roman" w:eastAsia="Times New Roman" w:hAnsi="Times New Roman" w:cs="Times New Roman"/>
          <w:i/>
          <w:color w:val="000000"/>
          <w:sz w:val="24"/>
          <w:szCs w:val="24"/>
          <w:lang w:eastAsia="lv-LV"/>
        </w:rPr>
        <w:t>euro</w:t>
      </w:r>
      <w:r w:rsidRPr="00502F70">
        <w:rPr>
          <w:rFonts w:ascii="Times New Roman" w:eastAsia="Times New Roman" w:hAnsi="Times New Roman" w:cs="Times New Roman"/>
          <w:color w:val="000000"/>
          <w:sz w:val="24"/>
          <w:szCs w:val="24"/>
          <w:lang w:eastAsia="lv-LV"/>
        </w:rPr>
        <w:t xml:space="preserve">), 0,6 (202,4 milj. </w:t>
      </w:r>
      <w:r w:rsidRPr="00502F70">
        <w:rPr>
          <w:rFonts w:ascii="Times New Roman" w:eastAsia="Times New Roman" w:hAnsi="Times New Roman" w:cs="Times New Roman"/>
          <w:i/>
          <w:color w:val="000000"/>
          <w:sz w:val="24"/>
          <w:szCs w:val="24"/>
          <w:lang w:eastAsia="lv-LV"/>
        </w:rPr>
        <w:t>euro</w:t>
      </w:r>
      <w:r w:rsidRPr="00502F70">
        <w:rPr>
          <w:rFonts w:ascii="Times New Roman" w:eastAsia="Times New Roman" w:hAnsi="Times New Roman" w:cs="Times New Roman"/>
          <w:color w:val="000000"/>
          <w:sz w:val="24"/>
          <w:szCs w:val="24"/>
          <w:lang w:eastAsia="lv-LV"/>
        </w:rPr>
        <w:t>) un 0,</w:t>
      </w:r>
      <w:r>
        <w:rPr>
          <w:rFonts w:ascii="Times New Roman" w:eastAsia="Times New Roman" w:hAnsi="Times New Roman" w:cs="Times New Roman"/>
          <w:color w:val="000000"/>
          <w:sz w:val="24"/>
          <w:szCs w:val="24"/>
          <w:lang w:eastAsia="lv-LV"/>
        </w:rPr>
        <w:t>7</w:t>
      </w:r>
      <w:r w:rsidRPr="00502F70">
        <w:rPr>
          <w:rFonts w:ascii="Times New Roman" w:eastAsia="Times New Roman" w:hAnsi="Times New Roman" w:cs="Times New Roman"/>
          <w:color w:val="000000"/>
          <w:sz w:val="24"/>
          <w:szCs w:val="24"/>
          <w:lang w:eastAsia="lv-LV"/>
        </w:rPr>
        <w:t xml:space="preserve"> (222,1 milj. </w:t>
      </w:r>
      <w:r w:rsidRPr="00502F70">
        <w:rPr>
          <w:rFonts w:ascii="Times New Roman" w:eastAsia="Times New Roman" w:hAnsi="Times New Roman" w:cs="Times New Roman"/>
          <w:i/>
          <w:color w:val="000000"/>
          <w:sz w:val="24"/>
          <w:szCs w:val="24"/>
          <w:lang w:eastAsia="lv-LV"/>
        </w:rPr>
        <w:t>euro</w:t>
      </w:r>
      <w:r w:rsidRPr="00502F70">
        <w:rPr>
          <w:rFonts w:ascii="Times New Roman" w:eastAsia="Times New Roman" w:hAnsi="Times New Roman" w:cs="Times New Roman"/>
          <w:color w:val="000000"/>
          <w:sz w:val="24"/>
          <w:szCs w:val="24"/>
          <w:lang w:eastAsia="lv-LV"/>
        </w:rPr>
        <w:t>) procentpunktiem no IKP salīdzinājumā ar pamata scenāriju. Nomināli vispārējās valdības deficīts 2018.gadā pieaugtu līdz 1,1% no IKP, 2019.gadā līdz 1,</w:t>
      </w:r>
      <w:r>
        <w:rPr>
          <w:rFonts w:ascii="Times New Roman" w:eastAsia="Times New Roman" w:hAnsi="Times New Roman" w:cs="Times New Roman"/>
          <w:color w:val="000000"/>
          <w:sz w:val="24"/>
          <w:szCs w:val="24"/>
          <w:lang w:eastAsia="lv-LV"/>
        </w:rPr>
        <w:t>5</w:t>
      </w:r>
      <w:r w:rsidRPr="00502F70">
        <w:rPr>
          <w:rFonts w:ascii="Times New Roman" w:eastAsia="Times New Roman" w:hAnsi="Times New Roman" w:cs="Times New Roman"/>
          <w:color w:val="000000"/>
          <w:sz w:val="24"/>
          <w:szCs w:val="24"/>
          <w:lang w:eastAsia="lv-LV"/>
        </w:rPr>
        <w:t xml:space="preserve">% no IKP, 2020.gadā līdz 1,1% no IKP, bet 2021.gadā līdz </w:t>
      </w:r>
      <w:r>
        <w:rPr>
          <w:rFonts w:ascii="Times New Roman" w:eastAsia="Times New Roman" w:hAnsi="Times New Roman" w:cs="Times New Roman"/>
          <w:color w:val="000000"/>
          <w:sz w:val="24"/>
          <w:szCs w:val="24"/>
          <w:lang w:eastAsia="lv-LV"/>
        </w:rPr>
        <w:t>1</w:t>
      </w:r>
      <w:r w:rsidRPr="00502F70">
        <w:rPr>
          <w:rFonts w:ascii="Times New Roman" w:eastAsia="Times New Roman" w:hAnsi="Times New Roman" w:cs="Times New Roman"/>
          <w:color w:val="000000"/>
          <w:sz w:val="24"/>
          <w:szCs w:val="24"/>
          <w:lang w:eastAsia="lv-LV"/>
        </w:rPr>
        <w:t>,</w:t>
      </w:r>
      <w:r>
        <w:rPr>
          <w:rFonts w:ascii="Times New Roman" w:eastAsia="Times New Roman" w:hAnsi="Times New Roman" w:cs="Times New Roman"/>
          <w:color w:val="000000"/>
          <w:sz w:val="24"/>
          <w:szCs w:val="24"/>
          <w:lang w:eastAsia="lv-LV"/>
        </w:rPr>
        <w:t>0</w:t>
      </w:r>
      <w:r w:rsidRPr="00502F70">
        <w:rPr>
          <w:rFonts w:ascii="Times New Roman" w:eastAsia="Times New Roman" w:hAnsi="Times New Roman" w:cs="Times New Roman"/>
          <w:color w:val="000000"/>
          <w:sz w:val="24"/>
          <w:szCs w:val="24"/>
          <w:lang w:eastAsia="lv-LV"/>
        </w:rPr>
        <w:t>% no IKP.</w:t>
      </w:r>
    </w:p>
    <w:p w:rsidR="00095171" w:rsidRPr="008E57FF" w:rsidRDefault="00095171" w:rsidP="00095171">
      <w:pPr>
        <w:spacing w:before="120" w:after="60" w:line="240" w:lineRule="auto"/>
        <w:jc w:val="right"/>
        <w:rPr>
          <w:rFonts w:ascii="Times New Roman" w:hAnsi="Times New Roman" w:cs="Times New Roman"/>
          <w:b/>
          <w:sz w:val="24"/>
          <w:szCs w:val="24"/>
        </w:rPr>
      </w:pPr>
      <w:r w:rsidRPr="006D4C6B">
        <w:rPr>
          <w:rFonts w:ascii="Times New Roman" w:hAnsi="Times New Roman" w:cs="Times New Roman"/>
          <w:b/>
          <w:sz w:val="24"/>
          <w:szCs w:val="24"/>
        </w:rPr>
        <w:t>4.4.tabula. Pesimistiskais budžeta scenārijs</w:t>
      </w:r>
      <w:r>
        <w:rPr>
          <w:rFonts w:ascii="Times New Roman" w:hAnsi="Times New Roman" w:cs="Times New Roman"/>
          <w:b/>
          <w:sz w:val="24"/>
          <w:szCs w:val="24"/>
        </w:rPr>
        <w:t xml:space="preserve">, milj. </w:t>
      </w:r>
      <w:r w:rsidRPr="002A077D">
        <w:rPr>
          <w:rFonts w:ascii="Times New Roman" w:hAnsi="Times New Roman" w:cs="Times New Roman"/>
          <w:b/>
          <w:i/>
          <w:sz w:val="24"/>
          <w:szCs w:val="24"/>
        </w:rPr>
        <w:t>euro</w:t>
      </w:r>
    </w:p>
    <w:tbl>
      <w:tblPr>
        <w:tblStyle w:val="GridTable6Colorful-Accent12"/>
        <w:tblW w:w="9061" w:type="dxa"/>
        <w:jc w:val="center"/>
        <w:tblLayout w:type="fixed"/>
        <w:tblLook w:val="04A0" w:firstRow="1" w:lastRow="0" w:firstColumn="1" w:lastColumn="0" w:noHBand="0" w:noVBand="1"/>
      </w:tblPr>
      <w:tblGrid>
        <w:gridCol w:w="3114"/>
        <w:gridCol w:w="743"/>
        <w:gridCol w:w="743"/>
        <w:gridCol w:w="744"/>
        <w:gridCol w:w="743"/>
        <w:gridCol w:w="743"/>
        <w:gridCol w:w="744"/>
        <w:gridCol w:w="743"/>
        <w:gridCol w:w="744"/>
      </w:tblGrid>
      <w:tr w:rsidR="00095171" w:rsidRPr="003D1B91" w:rsidTr="00824FFC">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jc w:val="both"/>
              <w:rPr>
                <w:rFonts w:ascii="Times New Roman" w:hAnsi="Times New Roman" w:cs="Times New Roman"/>
                <w:b w:val="0"/>
                <w:color w:val="auto"/>
                <w:sz w:val="20"/>
                <w:szCs w:val="20"/>
              </w:rPr>
            </w:pPr>
          </w:p>
        </w:tc>
        <w:tc>
          <w:tcPr>
            <w:tcW w:w="2973" w:type="dxa"/>
            <w:gridSpan w:val="4"/>
            <w:tcBorders>
              <w:right w:val="double" w:sz="4" w:space="0" w:color="9CC2E5" w:themeColor="accent1" w:themeTint="99"/>
            </w:tcBorders>
            <w:noWrap/>
            <w:vAlign w:val="center"/>
          </w:tcPr>
          <w:p w:rsidR="00095171" w:rsidRPr="003D1B91" w:rsidRDefault="00095171" w:rsidP="00824FFC">
            <w:pPr>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Riska scenārijs</w:t>
            </w:r>
          </w:p>
        </w:tc>
        <w:tc>
          <w:tcPr>
            <w:tcW w:w="2974" w:type="dxa"/>
            <w:gridSpan w:val="4"/>
            <w:tcBorders>
              <w:left w:val="double" w:sz="4" w:space="0" w:color="9CC2E5" w:themeColor="accent1" w:themeTint="99"/>
            </w:tcBorders>
            <w:noWrap/>
            <w:vAlign w:val="center"/>
          </w:tcPr>
          <w:p w:rsidR="00095171" w:rsidRPr="003D1B91" w:rsidRDefault="00095171" w:rsidP="00824FFC">
            <w:pPr>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3D1B91">
              <w:rPr>
                <w:rFonts w:ascii="Times New Roman" w:hAnsi="Times New Roman" w:cs="Times New Roman"/>
                <w:b w:val="0"/>
                <w:color w:val="auto"/>
                <w:sz w:val="20"/>
                <w:szCs w:val="20"/>
              </w:rPr>
              <w:t>Novirze no bāzes scenārija</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rsidR="00095171" w:rsidRPr="003D1B91" w:rsidRDefault="00095171" w:rsidP="000C3005">
            <w:pPr>
              <w:jc w:val="both"/>
              <w:rPr>
                <w:rFonts w:ascii="Times New Roman" w:hAnsi="Times New Roman" w:cs="Times New Roman"/>
                <w:b w:val="0"/>
                <w:color w:val="auto"/>
                <w:sz w:val="20"/>
                <w:szCs w:val="20"/>
              </w:rPr>
            </w:pPr>
          </w:p>
        </w:tc>
        <w:tc>
          <w:tcPr>
            <w:tcW w:w="743" w:type="dxa"/>
            <w:noWrap/>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2018</w:t>
            </w:r>
          </w:p>
        </w:tc>
        <w:tc>
          <w:tcPr>
            <w:tcW w:w="743" w:type="dxa"/>
            <w:noWrap/>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2019</w:t>
            </w:r>
          </w:p>
        </w:tc>
        <w:tc>
          <w:tcPr>
            <w:tcW w:w="744" w:type="dxa"/>
            <w:noWrap/>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2020</w:t>
            </w:r>
          </w:p>
        </w:tc>
        <w:tc>
          <w:tcPr>
            <w:tcW w:w="743" w:type="dxa"/>
            <w:tcBorders>
              <w:right w:val="double" w:sz="4" w:space="0" w:color="9CC2E5" w:themeColor="accent1" w:themeTint="99"/>
            </w:tcBorders>
            <w:noWrap/>
            <w:vAlign w:val="center"/>
          </w:tcPr>
          <w:p w:rsidR="00095171" w:rsidRPr="003D1B91"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2021</w:t>
            </w:r>
          </w:p>
        </w:tc>
        <w:tc>
          <w:tcPr>
            <w:tcW w:w="743" w:type="dxa"/>
            <w:tcBorders>
              <w:left w:val="double" w:sz="4" w:space="0" w:color="9CC2E5" w:themeColor="accent1" w:themeTint="99"/>
            </w:tcBorders>
            <w:noWrap/>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2018</w:t>
            </w:r>
          </w:p>
        </w:tc>
        <w:tc>
          <w:tcPr>
            <w:tcW w:w="744" w:type="dxa"/>
            <w:noWrap/>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2019</w:t>
            </w:r>
          </w:p>
        </w:tc>
        <w:tc>
          <w:tcPr>
            <w:tcW w:w="743" w:type="dxa"/>
            <w:noWrap/>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2020</w:t>
            </w:r>
          </w:p>
        </w:tc>
        <w:tc>
          <w:tcPr>
            <w:tcW w:w="744" w:type="dxa"/>
            <w:noWrap/>
            <w:vAlign w:val="center"/>
          </w:tcPr>
          <w:p w:rsidR="00095171" w:rsidRPr="006D3EFF"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D1B91">
              <w:rPr>
                <w:rFonts w:ascii="Times New Roman" w:hAnsi="Times New Roman" w:cs="Times New Roman"/>
                <w:color w:val="auto"/>
                <w:sz w:val="20"/>
                <w:szCs w:val="20"/>
              </w:rPr>
              <w:t>2021</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hideMark/>
          </w:tcPr>
          <w:p w:rsidR="00095171" w:rsidRPr="003D1B91" w:rsidRDefault="00095171" w:rsidP="000C3005">
            <w:pPr>
              <w:ind w:left="26"/>
              <w:jc w:val="both"/>
              <w:rPr>
                <w:rFonts w:ascii="Times New Roman" w:hAnsi="Times New Roman" w:cs="Times New Roman"/>
                <w:b w:val="0"/>
                <w:color w:val="auto"/>
                <w:sz w:val="20"/>
                <w:szCs w:val="20"/>
              </w:rPr>
            </w:pPr>
            <w:r>
              <w:rPr>
                <w:rFonts w:ascii="Times New Roman" w:hAnsi="Times New Roman" w:cs="Times New Roman"/>
                <w:b w:val="0"/>
                <w:color w:val="auto"/>
                <w:sz w:val="20"/>
                <w:szCs w:val="20"/>
              </w:rPr>
              <w:t>Nodokļu ieņēmumi</w:t>
            </w:r>
          </w:p>
        </w:tc>
        <w:tc>
          <w:tcPr>
            <w:tcW w:w="743" w:type="dxa"/>
            <w:noWrap/>
            <w:tcMar>
              <w:left w:w="57" w:type="dxa"/>
              <w:right w:w="57" w:type="dxa"/>
            </w:tcMar>
            <w:vAlign w:val="center"/>
          </w:tcPr>
          <w:p w:rsidR="00095171" w:rsidRPr="005E1DF2"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8</w:t>
            </w:r>
            <w:r w:rsidR="00824FFC">
              <w:rPr>
                <w:rFonts w:ascii="Times New Roman" w:hAnsi="Times New Roman" w:cs="Times New Roman"/>
                <w:color w:val="auto"/>
                <w:sz w:val="20"/>
                <w:szCs w:val="20"/>
              </w:rPr>
              <w:t> </w:t>
            </w:r>
            <w:r w:rsidRPr="005E1DF2">
              <w:rPr>
                <w:rFonts w:ascii="Times New Roman" w:hAnsi="Times New Roman" w:cs="Times New Roman"/>
                <w:color w:val="auto"/>
                <w:sz w:val="20"/>
                <w:szCs w:val="20"/>
              </w:rPr>
              <w:t>506,6</w:t>
            </w:r>
          </w:p>
        </w:tc>
        <w:tc>
          <w:tcPr>
            <w:tcW w:w="743" w:type="dxa"/>
            <w:noWrap/>
            <w:tcMar>
              <w:left w:w="57" w:type="dxa"/>
              <w:right w:w="57" w:type="dxa"/>
            </w:tcMar>
            <w:vAlign w:val="center"/>
          </w:tcPr>
          <w:p w:rsidR="00095171" w:rsidRPr="005E1DF2"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8</w:t>
            </w:r>
            <w:r w:rsidR="00824FFC">
              <w:rPr>
                <w:rFonts w:ascii="Times New Roman" w:hAnsi="Times New Roman" w:cs="Times New Roman"/>
                <w:color w:val="auto"/>
                <w:sz w:val="20"/>
                <w:szCs w:val="20"/>
              </w:rPr>
              <w:t> </w:t>
            </w:r>
            <w:r w:rsidRPr="005E1DF2">
              <w:rPr>
                <w:rFonts w:ascii="Times New Roman" w:hAnsi="Times New Roman" w:cs="Times New Roman"/>
                <w:color w:val="auto"/>
                <w:sz w:val="20"/>
                <w:szCs w:val="20"/>
              </w:rPr>
              <w:t>768,5</w:t>
            </w:r>
          </w:p>
        </w:tc>
        <w:tc>
          <w:tcPr>
            <w:tcW w:w="744" w:type="dxa"/>
            <w:noWrap/>
            <w:tcMar>
              <w:left w:w="57" w:type="dxa"/>
              <w:right w:w="57" w:type="dxa"/>
            </w:tcMar>
            <w:vAlign w:val="center"/>
          </w:tcPr>
          <w:p w:rsidR="00095171" w:rsidRPr="005E1DF2"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9</w:t>
            </w:r>
            <w:r w:rsidR="00824FFC">
              <w:rPr>
                <w:rFonts w:ascii="Times New Roman" w:hAnsi="Times New Roman" w:cs="Times New Roman"/>
                <w:color w:val="auto"/>
                <w:sz w:val="20"/>
                <w:szCs w:val="20"/>
              </w:rPr>
              <w:t> </w:t>
            </w:r>
            <w:r w:rsidRPr="005E1DF2">
              <w:rPr>
                <w:rFonts w:ascii="Times New Roman" w:hAnsi="Times New Roman" w:cs="Times New Roman"/>
                <w:color w:val="auto"/>
                <w:sz w:val="20"/>
                <w:szCs w:val="20"/>
              </w:rPr>
              <w:t>388,8</w:t>
            </w:r>
          </w:p>
        </w:tc>
        <w:tc>
          <w:tcPr>
            <w:tcW w:w="743" w:type="dxa"/>
            <w:tcBorders>
              <w:right w:val="double" w:sz="4" w:space="0" w:color="9CC2E5" w:themeColor="accent1" w:themeTint="99"/>
            </w:tcBorders>
            <w:noWrap/>
            <w:tcMar>
              <w:left w:w="57" w:type="dxa"/>
              <w:right w:w="57" w:type="dxa"/>
            </w:tcMar>
            <w:vAlign w:val="center"/>
          </w:tcPr>
          <w:p w:rsidR="00095171" w:rsidRPr="005E1DF2"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9</w:t>
            </w:r>
            <w:r w:rsidR="00824FFC">
              <w:rPr>
                <w:rFonts w:ascii="Times New Roman" w:hAnsi="Times New Roman" w:cs="Times New Roman"/>
                <w:color w:val="auto"/>
                <w:sz w:val="20"/>
                <w:szCs w:val="20"/>
              </w:rPr>
              <w:t> </w:t>
            </w:r>
            <w:r w:rsidRPr="005E1DF2">
              <w:rPr>
                <w:rFonts w:ascii="Times New Roman" w:hAnsi="Times New Roman" w:cs="Times New Roman"/>
                <w:color w:val="auto"/>
                <w:sz w:val="20"/>
                <w:szCs w:val="20"/>
              </w:rPr>
              <w:t>843,3</w:t>
            </w:r>
          </w:p>
        </w:tc>
        <w:tc>
          <w:tcPr>
            <w:tcW w:w="743" w:type="dxa"/>
            <w:tcBorders>
              <w:left w:val="double" w:sz="4" w:space="0" w:color="9CC2E5" w:themeColor="accent1" w:themeTint="99"/>
            </w:tcBorders>
            <w:noWrap/>
            <w:tcMar>
              <w:left w:w="57" w:type="dxa"/>
              <w:right w:w="57" w:type="dxa"/>
            </w:tcMar>
            <w:vAlign w:val="center"/>
          </w:tcPr>
          <w:p w:rsidR="00095171" w:rsidRPr="005E1DF2"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-47,7</w:t>
            </w:r>
          </w:p>
        </w:tc>
        <w:tc>
          <w:tcPr>
            <w:tcW w:w="744" w:type="dxa"/>
            <w:noWrap/>
            <w:tcMar>
              <w:left w:w="57" w:type="dxa"/>
              <w:right w:w="57" w:type="dxa"/>
            </w:tcMar>
            <w:vAlign w:val="center"/>
          </w:tcPr>
          <w:p w:rsidR="00095171" w:rsidRPr="005E1DF2"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-153,1</w:t>
            </w:r>
          </w:p>
        </w:tc>
        <w:tc>
          <w:tcPr>
            <w:tcW w:w="743" w:type="dxa"/>
            <w:noWrap/>
            <w:tcMar>
              <w:left w:w="57" w:type="dxa"/>
              <w:right w:w="57" w:type="dxa"/>
            </w:tcMar>
            <w:vAlign w:val="center"/>
          </w:tcPr>
          <w:p w:rsidR="00095171" w:rsidRPr="005E1DF2"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-187,5</w:t>
            </w:r>
          </w:p>
        </w:tc>
        <w:tc>
          <w:tcPr>
            <w:tcW w:w="744" w:type="dxa"/>
            <w:noWrap/>
            <w:tcMar>
              <w:left w:w="57" w:type="dxa"/>
              <w:right w:w="57" w:type="dxa"/>
            </w:tcMar>
            <w:vAlign w:val="center"/>
          </w:tcPr>
          <w:p w:rsidR="00095171" w:rsidRPr="005E1DF2"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-203,4</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tcPr>
          <w:p w:rsidR="00095171" w:rsidRPr="00A747F7" w:rsidRDefault="00095171" w:rsidP="000C3005">
            <w:pPr>
              <w:ind w:left="26"/>
              <w:jc w:val="both"/>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Iedzīvotāju ienākuma nodoklis</w:t>
            </w:r>
          </w:p>
        </w:tc>
        <w:tc>
          <w:tcPr>
            <w:tcW w:w="743" w:type="dxa"/>
            <w:noWrap/>
            <w:tcMar>
              <w:left w:w="57" w:type="dxa"/>
              <w:right w:w="57" w:type="dxa"/>
            </w:tcMar>
            <w:vAlign w:val="center"/>
          </w:tcPr>
          <w:p w:rsidR="00095171" w:rsidRPr="00A158D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1</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715,4</w:t>
            </w:r>
          </w:p>
        </w:tc>
        <w:tc>
          <w:tcPr>
            <w:tcW w:w="743" w:type="dxa"/>
            <w:noWrap/>
            <w:tcMar>
              <w:left w:w="57" w:type="dxa"/>
              <w:right w:w="57" w:type="dxa"/>
            </w:tcMar>
            <w:vAlign w:val="center"/>
          </w:tcPr>
          <w:p w:rsidR="00095171" w:rsidRPr="00A158D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1</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610,6</w:t>
            </w:r>
          </w:p>
        </w:tc>
        <w:tc>
          <w:tcPr>
            <w:tcW w:w="744" w:type="dxa"/>
            <w:noWrap/>
            <w:tcMar>
              <w:left w:w="57" w:type="dxa"/>
              <w:right w:w="57" w:type="dxa"/>
            </w:tcMar>
            <w:vAlign w:val="center"/>
          </w:tcPr>
          <w:p w:rsidR="00095171" w:rsidRPr="00A158D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1</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640,3</w:t>
            </w:r>
          </w:p>
        </w:tc>
        <w:tc>
          <w:tcPr>
            <w:tcW w:w="743" w:type="dxa"/>
            <w:tcBorders>
              <w:right w:val="double" w:sz="4" w:space="0" w:color="9CC2E5" w:themeColor="accent1" w:themeTint="99"/>
            </w:tcBorders>
            <w:noWrap/>
            <w:tcMar>
              <w:left w:w="57" w:type="dxa"/>
              <w:right w:w="57" w:type="dxa"/>
            </w:tcMar>
            <w:vAlign w:val="center"/>
          </w:tcPr>
          <w:p w:rsidR="00095171" w:rsidRPr="00A158D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1</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706,4</w:t>
            </w:r>
          </w:p>
        </w:tc>
        <w:tc>
          <w:tcPr>
            <w:tcW w:w="743" w:type="dxa"/>
            <w:tcBorders>
              <w:left w:val="double" w:sz="4" w:space="0" w:color="9CC2E5" w:themeColor="accent1" w:themeTint="99"/>
            </w:tcBorders>
            <w:noWrap/>
            <w:tcMar>
              <w:left w:w="57" w:type="dxa"/>
              <w:right w:w="57" w:type="dxa"/>
            </w:tcMar>
            <w:vAlign w:val="center"/>
          </w:tcPr>
          <w:p w:rsidR="00095171" w:rsidRPr="00A94A8C"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-10,2</w:t>
            </w:r>
          </w:p>
        </w:tc>
        <w:tc>
          <w:tcPr>
            <w:tcW w:w="744" w:type="dxa"/>
            <w:noWrap/>
            <w:tcMar>
              <w:left w:w="57" w:type="dxa"/>
              <w:right w:w="57" w:type="dxa"/>
            </w:tcMar>
            <w:vAlign w:val="center"/>
          </w:tcPr>
          <w:p w:rsidR="00095171" w:rsidRPr="00A94A8C"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-29,9</w:t>
            </w:r>
          </w:p>
        </w:tc>
        <w:tc>
          <w:tcPr>
            <w:tcW w:w="743" w:type="dxa"/>
            <w:noWrap/>
            <w:tcMar>
              <w:left w:w="57" w:type="dxa"/>
              <w:right w:w="57" w:type="dxa"/>
            </w:tcMar>
            <w:vAlign w:val="center"/>
          </w:tcPr>
          <w:p w:rsidR="00095171" w:rsidRPr="00A94A8C"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-34,7</w:t>
            </w:r>
          </w:p>
        </w:tc>
        <w:tc>
          <w:tcPr>
            <w:tcW w:w="744" w:type="dxa"/>
            <w:noWrap/>
            <w:tcMar>
              <w:left w:w="57" w:type="dxa"/>
              <w:right w:w="57" w:type="dxa"/>
            </w:tcMar>
            <w:vAlign w:val="center"/>
          </w:tcPr>
          <w:p w:rsidR="00095171" w:rsidRPr="00A94A8C"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-37,4</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tcPr>
          <w:p w:rsidR="00095171" w:rsidRPr="00A747F7" w:rsidRDefault="00095171" w:rsidP="000C3005">
            <w:pPr>
              <w:ind w:left="26"/>
              <w:jc w:val="both"/>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Uzņēmuma ienākuma nodoklis</w:t>
            </w:r>
          </w:p>
        </w:tc>
        <w:tc>
          <w:tcPr>
            <w:tcW w:w="743" w:type="dxa"/>
            <w:noWrap/>
            <w:tcMar>
              <w:left w:w="57" w:type="dxa"/>
              <w:right w:w="57" w:type="dxa"/>
            </w:tcMar>
            <w:vAlign w:val="center"/>
          </w:tcPr>
          <w:p w:rsidR="00095171" w:rsidRPr="00A158D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220,8</w:t>
            </w:r>
          </w:p>
        </w:tc>
        <w:tc>
          <w:tcPr>
            <w:tcW w:w="743" w:type="dxa"/>
            <w:noWrap/>
            <w:tcMar>
              <w:left w:w="57" w:type="dxa"/>
              <w:right w:w="57" w:type="dxa"/>
            </w:tcMar>
            <w:vAlign w:val="center"/>
          </w:tcPr>
          <w:p w:rsidR="00095171" w:rsidRPr="00A158D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239,6</w:t>
            </w:r>
          </w:p>
        </w:tc>
        <w:tc>
          <w:tcPr>
            <w:tcW w:w="744" w:type="dxa"/>
            <w:noWrap/>
            <w:tcMar>
              <w:left w:w="57" w:type="dxa"/>
              <w:right w:w="57" w:type="dxa"/>
            </w:tcMar>
            <w:vAlign w:val="center"/>
          </w:tcPr>
          <w:p w:rsidR="00095171" w:rsidRPr="00A158D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376,4</w:t>
            </w:r>
          </w:p>
        </w:tc>
        <w:tc>
          <w:tcPr>
            <w:tcW w:w="743" w:type="dxa"/>
            <w:tcBorders>
              <w:right w:val="double" w:sz="4" w:space="0" w:color="9CC2E5" w:themeColor="accent1" w:themeTint="99"/>
            </w:tcBorders>
            <w:noWrap/>
            <w:tcMar>
              <w:left w:w="57" w:type="dxa"/>
              <w:right w:w="57" w:type="dxa"/>
            </w:tcMar>
            <w:vAlign w:val="center"/>
          </w:tcPr>
          <w:p w:rsidR="00095171" w:rsidRPr="00A158D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381,4</w:t>
            </w:r>
          </w:p>
        </w:tc>
        <w:tc>
          <w:tcPr>
            <w:tcW w:w="743" w:type="dxa"/>
            <w:tcBorders>
              <w:left w:val="double" w:sz="4" w:space="0" w:color="9CC2E5" w:themeColor="accent1" w:themeTint="99"/>
            </w:tcBorders>
            <w:noWrap/>
            <w:tcMar>
              <w:left w:w="57" w:type="dxa"/>
              <w:right w:w="57" w:type="dxa"/>
            </w:tcMar>
            <w:vAlign w:val="center"/>
          </w:tcPr>
          <w:p w:rsidR="00095171" w:rsidRPr="00A94A8C"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-1,3</w:t>
            </w:r>
          </w:p>
        </w:tc>
        <w:tc>
          <w:tcPr>
            <w:tcW w:w="744" w:type="dxa"/>
            <w:noWrap/>
            <w:tcMar>
              <w:left w:w="57" w:type="dxa"/>
              <w:right w:w="57" w:type="dxa"/>
            </w:tcMar>
            <w:vAlign w:val="center"/>
          </w:tcPr>
          <w:p w:rsidR="00095171" w:rsidRPr="00A94A8C"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-4,4</w:t>
            </w:r>
          </w:p>
        </w:tc>
        <w:tc>
          <w:tcPr>
            <w:tcW w:w="743" w:type="dxa"/>
            <w:noWrap/>
            <w:tcMar>
              <w:left w:w="57" w:type="dxa"/>
              <w:right w:w="57" w:type="dxa"/>
            </w:tcMar>
            <w:vAlign w:val="center"/>
          </w:tcPr>
          <w:p w:rsidR="00095171" w:rsidRPr="00A94A8C"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-8,0</w:t>
            </w:r>
          </w:p>
        </w:tc>
        <w:tc>
          <w:tcPr>
            <w:tcW w:w="744" w:type="dxa"/>
            <w:noWrap/>
            <w:tcMar>
              <w:left w:w="57" w:type="dxa"/>
              <w:right w:w="57" w:type="dxa"/>
            </w:tcMar>
            <w:vAlign w:val="center"/>
          </w:tcPr>
          <w:p w:rsidR="00095171" w:rsidRPr="00A94A8C"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-8,4</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tcPr>
          <w:p w:rsidR="00095171" w:rsidRPr="003D1B91" w:rsidRDefault="00095171" w:rsidP="000C3005">
            <w:pPr>
              <w:ind w:left="26"/>
              <w:jc w:val="both"/>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lastRenderedPageBreak/>
              <w:t>Pievienotās vērtības nodoklis</w:t>
            </w:r>
          </w:p>
        </w:tc>
        <w:tc>
          <w:tcPr>
            <w:tcW w:w="743" w:type="dxa"/>
            <w:noWrap/>
            <w:tcMar>
              <w:left w:w="57" w:type="dxa"/>
              <w:right w:w="57" w:type="dxa"/>
            </w:tcMar>
            <w:vAlign w:val="center"/>
          </w:tcPr>
          <w:p w:rsidR="00095171" w:rsidRPr="00A158D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419,6</w:t>
            </w:r>
          </w:p>
        </w:tc>
        <w:tc>
          <w:tcPr>
            <w:tcW w:w="743" w:type="dxa"/>
            <w:noWrap/>
            <w:tcMar>
              <w:left w:w="57" w:type="dxa"/>
              <w:right w:w="57" w:type="dxa"/>
            </w:tcMar>
            <w:vAlign w:val="center"/>
          </w:tcPr>
          <w:p w:rsidR="00095171" w:rsidRPr="00A158D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585,6</w:t>
            </w:r>
          </w:p>
        </w:tc>
        <w:tc>
          <w:tcPr>
            <w:tcW w:w="744" w:type="dxa"/>
            <w:noWrap/>
            <w:tcMar>
              <w:left w:w="57" w:type="dxa"/>
              <w:right w:w="57" w:type="dxa"/>
            </w:tcMar>
            <w:vAlign w:val="center"/>
          </w:tcPr>
          <w:p w:rsidR="00095171" w:rsidRPr="00A158D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771,7</w:t>
            </w:r>
          </w:p>
        </w:tc>
        <w:tc>
          <w:tcPr>
            <w:tcW w:w="743" w:type="dxa"/>
            <w:tcBorders>
              <w:right w:val="double" w:sz="4" w:space="0" w:color="9CC2E5" w:themeColor="accent1" w:themeTint="99"/>
            </w:tcBorders>
            <w:noWrap/>
            <w:tcMar>
              <w:left w:w="57" w:type="dxa"/>
              <w:right w:w="57" w:type="dxa"/>
            </w:tcMar>
            <w:vAlign w:val="center"/>
          </w:tcPr>
          <w:p w:rsidR="00095171" w:rsidRPr="00A158D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937,3</w:t>
            </w:r>
          </w:p>
        </w:tc>
        <w:tc>
          <w:tcPr>
            <w:tcW w:w="743" w:type="dxa"/>
            <w:tcBorders>
              <w:left w:val="double" w:sz="4" w:space="0" w:color="9CC2E5" w:themeColor="accent1" w:themeTint="99"/>
            </w:tcBorders>
            <w:noWrap/>
            <w:tcMar>
              <w:left w:w="57" w:type="dxa"/>
              <w:right w:w="57" w:type="dxa"/>
            </w:tcMar>
            <w:vAlign w:val="center"/>
          </w:tcPr>
          <w:p w:rsidR="00095171" w:rsidRPr="00A94A8C"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-14,4</w:t>
            </w:r>
          </w:p>
        </w:tc>
        <w:tc>
          <w:tcPr>
            <w:tcW w:w="744" w:type="dxa"/>
            <w:noWrap/>
            <w:tcMar>
              <w:left w:w="57" w:type="dxa"/>
              <w:right w:w="57" w:type="dxa"/>
            </w:tcMar>
            <w:vAlign w:val="center"/>
          </w:tcPr>
          <w:p w:rsidR="00095171" w:rsidRPr="00A94A8C"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-48,0</w:t>
            </w:r>
          </w:p>
        </w:tc>
        <w:tc>
          <w:tcPr>
            <w:tcW w:w="743" w:type="dxa"/>
            <w:noWrap/>
            <w:tcMar>
              <w:left w:w="57" w:type="dxa"/>
              <w:right w:w="57" w:type="dxa"/>
            </w:tcMar>
            <w:vAlign w:val="center"/>
          </w:tcPr>
          <w:p w:rsidR="00095171" w:rsidRPr="00A94A8C"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-58,7</w:t>
            </w:r>
          </w:p>
        </w:tc>
        <w:tc>
          <w:tcPr>
            <w:tcW w:w="744" w:type="dxa"/>
            <w:noWrap/>
            <w:tcMar>
              <w:left w:w="57" w:type="dxa"/>
              <w:right w:w="57" w:type="dxa"/>
            </w:tcMar>
            <w:vAlign w:val="center"/>
          </w:tcPr>
          <w:p w:rsidR="00095171" w:rsidRPr="00A94A8C"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-64,3</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tcPr>
          <w:p w:rsidR="00095171" w:rsidRPr="003D1B91" w:rsidRDefault="00095171" w:rsidP="000C3005">
            <w:pPr>
              <w:ind w:left="26"/>
              <w:jc w:val="both"/>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Valsts sociālās apdrošināšanas obligātās iemaksas</w:t>
            </w:r>
            <w:r>
              <w:rPr>
                <w:rStyle w:val="FootnoteReference"/>
                <w:rFonts w:cs="Times New Roman"/>
                <w:b w:val="0"/>
                <w:color w:val="auto"/>
                <w:szCs w:val="20"/>
              </w:rPr>
              <w:footnoteReference w:id="30"/>
            </w:r>
          </w:p>
        </w:tc>
        <w:tc>
          <w:tcPr>
            <w:tcW w:w="743" w:type="dxa"/>
            <w:noWrap/>
            <w:tcMar>
              <w:left w:w="57" w:type="dxa"/>
              <w:right w:w="57" w:type="dxa"/>
            </w:tcMar>
            <w:vAlign w:val="center"/>
          </w:tcPr>
          <w:p w:rsidR="00095171" w:rsidRPr="00CD6BA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A158D7">
              <w:rPr>
                <w:rFonts w:ascii="Times New Roman" w:hAnsi="Times New Roman" w:cs="Times New Roman"/>
                <w:color w:val="auto"/>
                <w:sz w:val="20"/>
                <w:szCs w:val="20"/>
              </w:rPr>
              <w:t>2</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631,3</w:t>
            </w:r>
          </w:p>
        </w:tc>
        <w:tc>
          <w:tcPr>
            <w:tcW w:w="743" w:type="dxa"/>
            <w:noWrap/>
            <w:tcMar>
              <w:left w:w="57" w:type="dxa"/>
              <w:right w:w="57" w:type="dxa"/>
            </w:tcMar>
            <w:vAlign w:val="center"/>
          </w:tcPr>
          <w:p w:rsidR="00095171" w:rsidRPr="00A158D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732,</w:t>
            </w:r>
            <w:r>
              <w:rPr>
                <w:rFonts w:ascii="Times New Roman" w:hAnsi="Times New Roman" w:cs="Times New Roman"/>
                <w:color w:val="auto"/>
                <w:sz w:val="20"/>
                <w:szCs w:val="20"/>
              </w:rPr>
              <w:t>7</w:t>
            </w:r>
          </w:p>
        </w:tc>
        <w:tc>
          <w:tcPr>
            <w:tcW w:w="744" w:type="dxa"/>
            <w:noWrap/>
            <w:tcMar>
              <w:left w:w="57" w:type="dxa"/>
              <w:right w:w="57" w:type="dxa"/>
            </w:tcMar>
            <w:vAlign w:val="center"/>
          </w:tcPr>
          <w:p w:rsidR="00095171" w:rsidRPr="00A158D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2</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885,1</w:t>
            </w:r>
          </w:p>
        </w:tc>
        <w:tc>
          <w:tcPr>
            <w:tcW w:w="743" w:type="dxa"/>
            <w:tcBorders>
              <w:right w:val="double" w:sz="4" w:space="0" w:color="9CC2E5" w:themeColor="accent1" w:themeTint="99"/>
            </w:tcBorders>
            <w:noWrap/>
            <w:tcMar>
              <w:left w:w="57" w:type="dxa"/>
              <w:right w:w="57" w:type="dxa"/>
            </w:tcMar>
            <w:vAlign w:val="center"/>
          </w:tcPr>
          <w:p w:rsidR="00095171" w:rsidRPr="00A158D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158D7">
              <w:rPr>
                <w:rFonts w:ascii="Times New Roman" w:hAnsi="Times New Roman" w:cs="Times New Roman"/>
                <w:color w:val="auto"/>
                <w:sz w:val="20"/>
                <w:szCs w:val="20"/>
              </w:rPr>
              <w:t>3</w:t>
            </w:r>
            <w:r w:rsidR="00824FFC">
              <w:rPr>
                <w:rFonts w:ascii="Times New Roman" w:hAnsi="Times New Roman" w:cs="Times New Roman"/>
                <w:color w:val="auto"/>
                <w:sz w:val="20"/>
                <w:szCs w:val="20"/>
              </w:rPr>
              <w:t> </w:t>
            </w:r>
            <w:r w:rsidRPr="00A158D7">
              <w:rPr>
                <w:rFonts w:ascii="Times New Roman" w:hAnsi="Times New Roman" w:cs="Times New Roman"/>
                <w:color w:val="auto"/>
                <w:sz w:val="20"/>
                <w:szCs w:val="20"/>
              </w:rPr>
              <w:t>041,5</w:t>
            </w:r>
          </w:p>
        </w:tc>
        <w:tc>
          <w:tcPr>
            <w:tcW w:w="743" w:type="dxa"/>
            <w:tcBorders>
              <w:left w:val="double" w:sz="4" w:space="0" w:color="9CC2E5" w:themeColor="accent1" w:themeTint="99"/>
            </w:tcBorders>
            <w:noWrap/>
            <w:tcMar>
              <w:left w:w="57" w:type="dxa"/>
              <w:right w:w="57" w:type="dxa"/>
            </w:tcMar>
            <w:vAlign w:val="center"/>
          </w:tcPr>
          <w:p w:rsidR="00095171" w:rsidRPr="00A94A8C"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-15,7</w:t>
            </w:r>
          </w:p>
        </w:tc>
        <w:tc>
          <w:tcPr>
            <w:tcW w:w="744" w:type="dxa"/>
            <w:noWrap/>
            <w:tcMar>
              <w:left w:w="57" w:type="dxa"/>
              <w:right w:w="57" w:type="dxa"/>
            </w:tcMar>
            <w:vAlign w:val="center"/>
          </w:tcPr>
          <w:p w:rsidR="00095171" w:rsidRPr="00A94A8C"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-50,7</w:t>
            </w:r>
          </w:p>
        </w:tc>
        <w:tc>
          <w:tcPr>
            <w:tcW w:w="743" w:type="dxa"/>
            <w:noWrap/>
            <w:tcMar>
              <w:left w:w="57" w:type="dxa"/>
              <w:right w:w="57" w:type="dxa"/>
            </w:tcMar>
            <w:vAlign w:val="center"/>
          </w:tcPr>
          <w:p w:rsidR="00095171" w:rsidRPr="00A94A8C"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-61,1</w:t>
            </w:r>
          </w:p>
        </w:tc>
        <w:tc>
          <w:tcPr>
            <w:tcW w:w="744" w:type="dxa"/>
            <w:noWrap/>
            <w:tcMar>
              <w:left w:w="57" w:type="dxa"/>
              <w:right w:w="57" w:type="dxa"/>
            </w:tcMar>
            <w:vAlign w:val="center"/>
          </w:tcPr>
          <w:p w:rsidR="00095171" w:rsidRPr="00A94A8C"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94A8C">
              <w:rPr>
                <w:rFonts w:ascii="Times New Roman" w:hAnsi="Times New Roman" w:cs="Times New Roman"/>
                <w:color w:val="auto"/>
                <w:sz w:val="20"/>
                <w:szCs w:val="20"/>
              </w:rPr>
              <w:t>-66,6</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tcPr>
          <w:p w:rsidR="00095171" w:rsidRPr="003D1B91" w:rsidRDefault="00095171" w:rsidP="000C3005">
            <w:pPr>
              <w:ind w:left="26"/>
              <w:jc w:val="both"/>
              <w:rPr>
                <w:rFonts w:ascii="Times New Roman" w:hAnsi="Times New Roman" w:cs="Times New Roman"/>
                <w:b w:val="0"/>
                <w:color w:val="auto"/>
                <w:sz w:val="20"/>
                <w:szCs w:val="20"/>
              </w:rPr>
            </w:pPr>
            <w:r>
              <w:rPr>
                <w:rFonts w:ascii="Times New Roman" w:hAnsi="Times New Roman" w:cs="Times New Roman"/>
                <w:b w:val="0"/>
                <w:color w:val="auto"/>
                <w:sz w:val="20"/>
                <w:szCs w:val="20"/>
              </w:rPr>
              <w:t>Ne-nodokļu ieņēmumi pamatbudžetā</w:t>
            </w:r>
          </w:p>
        </w:tc>
        <w:tc>
          <w:tcPr>
            <w:tcW w:w="743" w:type="dxa"/>
            <w:noWrap/>
            <w:tcMar>
              <w:left w:w="57" w:type="dxa"/>
              <w:right w:w="57" w:type="dxa"/>
            </w:tcMar>
            <w:vAlign w:val="center"/>
          </w:tcPr>
          <w:p w:rsidR="00095171" w:rsidRPr="005E1DF2"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451,2</w:t>
            </w:r>
          </w:p>
        </w:tc>
        <w:tc>
          <w:tcPr>
            <w:tcW w:w="743" w:type="dxa"/>
            <w:noWrap/>
            <w:tcMar>
              <w:left w:w="57" w:type="dxa"/>
              <w:right w:w="57" w:type="dxa"/>
            </w:tcMar>
            <w:vAlign w:val="center"/>
          </w:tcPr>
          <w:p w:rsidR="00095171" w:rsidRPr="005E1DF2"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436,6</w:t>
            </w:r>
          </w:p>
        </w:tc>
        <w:tc>
          <w:tcPr>
            <w:tcW w:w="744" w:type="dxa"/>
            <w:noWrap/>
            <w:tcMar>
              <w:left w:w="57" w:type="dxa"/>
              <w:right w:w="57" w:type="dxa"/>
            </w:tcMar>
            <w:vAlign w:val="center"/>
          </w:tcPr>
          <w:p w:rsidR="00095171" w:rsidRPr="005E1DF2"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415,3</w:t>
            </w:r>
          </w:p>
        </w:tc>
        <w:tc>
          <w:tcPr>
            <w:tcW w:w="743" w:type="dxa"/>
            <w:tcBorders>
              <w:right w:val="double" w:sz="4" w:space="0" w:color="9CC2E5" w:themeColor="accent1" w:themeTint="99"/>
            </w:tcBorders>
            <w:noWrap/>
            <w:tcMar>
              <w:left w:w="57" w:type="dxa"/>
              <w:right w:w="57" w:type="dxa"/>
            </w:tcMar>
            <w:vAlign w:val="center"/>
          </w:tcPr>
          <w:p w:rsidR="00095171" w:rsidRPr="005E1DF2"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314,5</w:t>
            </w:r>
          </w:p>
        </w:tc>
        <w:tc>
          <w:tcPr>
            <w:tcW w:w="743" w:type="dxa"/>
            <w:tcBorders>
              <w:left w:val="double" w:sz="4" w:space="0" w:color="9CC2E5" w:themeColor="accent1" w:themeTint="99"/>
            </w:tcBorders>
            <w:noWrap/>
            <w:tcMar>
              <w:left w:w="57" w:type="dxa"/>
              <w:right w:w="57" w:type="dxa"/>
            </w:tcMar>
            <w:vAlign w:val="center"/>
          </w:tcPr>
          <w:p w:rsidR="00095171" w:rsidRPr="005E1DF2"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-2,7</w:t>
            </w:r>
          </w:p>
        </w:tc>
        <w:tc>
          <w:tcPr>
            <w:tcW w:w="744" w:type="dxa"/>
            <w:noWrap/>
            <w:tcMar>
              <w:left w:w="57" w:type="dxa"/>
              <w:right w:w="57" w:type="dxa"/>
            </w:tcMar>
            <w:vAlign w:val="center"/>
          </w:tcPr>
          <w:p w:rsidR="00095171" w:rsidRPr="005E1DF2"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-8,1</w:t>
            </w:r>
          </w:p>
        </w:tc>
        <w:tc>
          <w:tcPr>
            <w:tcW w:w="743" w:type="dxa"/>
            <w:noWrap/>
            <w:tcMar>
              <w:left w:w="57" w:type="dxa"/>
              <w:right w:w="57" w:type="dxa"/>
            </w:tcMar>
            <w:vAlign w:val="center"/>
          </w:tcPr>
          <w:p w:rsidR="00095171" w:rsidRPr="005E1DF2"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-8,8</w:t>
            </w:r>
          </w:p>
        </w:tc>
        <w:tc>
          <w:tcPr>
            <w:tcW w:w="744" w:type="dxa"/>
            <w:noWrap/>
            <w:tcMar>
              <w:left w:w="57" w:type="dxa"/>
              <w:right w:w="57" w:type="dxa"/>
            </w:tcMar>
            <w:vAlign w:val="center"/>
          </w:tcPr>
          <w:p w:rsidR="00095171" w:rsidRPr="005E1DF2"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E1DF2">
              <w:rPr>
                <w:rFonts w:ascii="Times New Roman" w:hAnsi="Times New Roman" w:cs="Times New Roman"/>
                <w:color w:val="auto"/>
                <w:sz w:val="20"/>
                <w:szCs w:val="20"/>
              </w:rPr>
              <w:t>-6,9</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tcPr>
          <w:p w:rsidR="00095171" w:rsidRPr="00D05292" w:rsidRDefault="00095171" w:rsidP="000C3005">
            <w:pPr>
              <w:ind w:left="26"/>
              <w:jc w:val="both"/>
              <w:rPr>
                <w:rFonts w:ascii="Times New Roman" w:hAnsi="Times New Roman" w:cs="Times New Roman"/>
                <w:b w:val="0"/>
                <w:color w:val="auto"/>
                <w:sz w:val="20"/>
                <w:szCs w:val="20"/>
              </w:rPr>
            </w:pPr>
            <w:r w:rsidRPr="00D05292">
              <w:rPr>
                <w:rFonts w:ascii="Times New Roman" w:hAnsi="Times New Roman" w:cs="Times New Roman"/>
                <w:b w:val="0"/>
                <w:color w:val="auto"/>
                <w:sz w:val="20"/>
                <w:szCs w:val="20"/>
              </w:rPr>
              <w:t>Procentu izdevumi pamatbudžetā</w:t>
            </w:r>
          </w:p>
        </w:tc>
        <w:tc>
          <w:tcPr>
            <w:tcW w:w="743" w:type="dxa"/>
            <w:noWrap/>
            <w:tcMar>
              <w:left w:w="57" w:type="dxa"/>
              <w:right w:w="57" w:type="dxa"/>
            </w:tcMar>
            <w:vAlign w:val="center"/>
          </w:tcPr>
          <w:p w:rsidR="00095171" w:rsidRPr="006352B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233,3</w:t>
            </w:r>
          </w:p>
        </w:tc>
        <w:tc>
          <w:tcPr>
            <w:tcW w:w="743" w:type="dxa"/>
            <w:noWrap/>
            <w:tcMar>
              <w:left w:w="57" w:type="dxa"/>
              <w:right w:w="57" w:type="dxa"/>
            </w:tcMar>
            <w:vAlign w:val="center"/>
          </w:tcPr>
          <w:p w:rsidR="00095171" w:rsidRPr="006352B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241,2</w:t>
            </w:r>
          </w:p>
        </w:tc>
        <w:tc>
          <w:tcPr>
            <w:tcW w:w="744" w:type="dxa"/>
            <w:noWrap/>
            <w:tcMar>
              <w:left w:w="57" w:type="dxa"/>
              <w:right w:w="57" w:type="dxa"/>
            </w:tcMar>
            <w:vAlign w:val="center"/>
          </w:tcPr>
          <w:p w:rsidR="00095171" w:rsidRPr="006352B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281,0</w:t>
            </w:r>
          </w:p>
        </w:tc>
        <w:tc>
          <w:tcPr>
            <w:tcW w:w="743" w:type="dxa"/>
            <w:tcBorders>
              <w:right w:val="double" w:sz="4" w:space="0" w:color="9CC2E5" w:themeColor="accent1" w:themeTint="99"/>
            </w:tcBorders>
            <w:noWrap/>
            <w:tcMar>
              <w:left w:w="57" w:type="dxa"/>
              <w:right w:w="57" w:type="dxa"/>
            </w:tcMar>
            <w:vAlign w:val="center"/>
          </w:tcPr>
          <w:p w:rsidR="00095171" w:rsidRPr="006352B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286,7</w:t>
            </w:r>
          </w:p>
        </w:tc>
        <w:tc>
          <w:tcPr>
            <w:tcW w:w="743" w:type="dxa"/>
            <w:tcBorders>
              <w:left w:val="double" w:sz="4" w:space="0" w:color="9CC2E5" w:themeColor="accent1" w:themeTint="99"/>
            </w:tcBorders>
            <w:noWrap/>
            <w:tcMar>
              <w:left w:w="57" w:type="dxa"/>
              <w:right w:w="57" w:type="dxa"/>
            </w:tcMar>
            <w:vAlign w:val="center"/>
          </w:tcPr>
          <w:p w:rsidR="00095171" w:rsidRPr="006352B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0,0</w:t>
            </w:r>
          </w:p>
        </w:tc>
        <w:tc>
          <w:tcPr>
            <w:tcW w:w="744" w:type="dxa"/>
            <w:noWrap/>
            <w:tcMar>
              <w:left w:w="57" w:type="dxa"/>
              <w:right w:w="57" w:type="dxa"/>
            </w:tcMar>
            <w:vAlign w:val="center"/>
          </w:tcPr>
          <w:p w:rsidR="00095171" w:rsidRPr="006352B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1,5</w:t>
            </w:r>
          </w:p>
        </w:tc>
        <w:tc>
          <w:tcPr>
            <w:tcW w:w="743" w:type="dxa"/>
            <w:noWrap/>
            <w:tcMar>
              <w:left w:w="57" w:type="dxa"/>
              <w:right w:w="57" w:type="dxa"/>
            </w:tcMar>
            <w:vAlign w:val="center"/>
          </w:tcPr>
          <w:p w:rsidR="00095171" w:rsidRPr="006352B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6,1</w:t>
            </w:r>
          </w:p>
        </w:tc>
        <w:tc>
          <w:tcPr>
            <w:tcW w:w="744" w:type="dxa"/>
            <w:noWrap/>
            <w:tcMar>
              <w:left w:w="57" w:type="dxa"/>
              <w:right w:w="57" w:type="dxa"/>
            </w:tcMar>
            <w:vAlign w:val="center"/>
          </w:tcPr>
          <w:p w:rsidR="00095171" w:rsidRPr="006352B7"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11,8</w:t>
            </w:r>
          </w:p>
        </w:tc>
      </w:tr>
      <w:tr w:rsidR="00095171" w:rsidRPr="0024257A" w:rsidTr="00824F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tcPr>
          <w:p w:rsidR="00095171" w:rsidRPr="003D1B91" w:rsidRDefault="00095171" w:rsidP="000C3005">
            <w:pPr>
              <w:ind w:left="26"/>
              <w:jc w:val="both"/>
              <w:rPr>
                <w:rFonts w:ascii="Times New Roman" w:hAnsi="Times New Roman" w:cs="Times New Roman"/>
                <w:b w:val="0"/>
                <w:color w:val="auto"/>
                <w:sz w:val="20"/>
                <w:szCs w:val="20"/>
              </w:rPr>
            </w:pPr>
            <w:r w:rsidRPr="00A747F7">
              <w:rPr>
                <w:rFonts w:ascii="Times New Roman" w:hAnsi="Times New Roman" w:cs="Times New Roman"/>
                <w:b w:val="0"/>
                <w:color w:val="auto"/>
                <w:sz w:val="20"/>
                <w:szCs w:val="20"/>
              </w:rPr>
              <w:t xml:space="preserve">Vispārējās valdības </w:t>
            </w:r>
            <w:r>
              <w:rPr>
                <w:rFonts w:ascii="Times New Roman" w:hAnsi="Times New Roman" w:cs="Times New Roman"/>
                <w:b w:val="0"/>
                <w:color w:val="auto"/>
                <w:sz w:val="20"/>
                <w:szCs w:val="20"/>
              </w:rPr>
              <w:t>budžeta bilance, % no IKP</w:t>
            </w:r>
          </w:p>
        </w:tc>
        <w:tc>
          <w:tcPr>
            <w:tcW w:w="743" w:type="dxa"/>
            <w:noWrap/>
            <w:tcMar>
              <w:left w:w="57" w:type="dxa"/>
              <w:right w:w="57" w:type="dxa"/>
            </w:tcMar>
            <w:vAlign w:val="center"/>
          </w:tcPr>
          <w:p w:rsidR="00095171" w:rsidRPr="006352B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w:t>
            </w:r>
            <w:r>
              <w:rPr>
                <w:rFonts w:ascii="Times New Roman" w:hAnsi="Times New Roman" w:cs="Times New Roman"/>
                <w:color w:val="auto"/>
                <w:sz w:val="20"/>
                <w:szCs w:val="20"/>
              </w:rPr>
              <w:t>1,1</w:t>
            </w:r>
          </w:p>
        </w:tc>
        <w:tc>
          <w:tcPr>
            <w:tcW w:w="743" w:type="dxa"/>
            <w:noWrap/>
            <w:tcMar>
              <w:left w:w="57" w:type="dxa"/>
              <w:right w:w="57" w:type="dxa"/>
            </w:tcMar>
            <w:vAlign w:val="center"/>
          </w:tcPr>
          <w:p w:rsidR="00095171" w:rsidRPr="006352B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w:t>
            </w:r>
            <w:r>
              <w:rPr>
                <w:rFonts w:ascii="Times New Roman" w:hAnsi="Times New Roman" w:cs="Times New Roman"/>
                <w:color w:val="auto"/>
                <w:sz w:val="20"/>
                <w:szCs w:val="20"/>
              </w:rPr>
              <w:t>1,5</w:t>
            </w:r>
          </w:p>
        </w:tc>
        <w:tc>
          <w:tcPr>
            <w:tcW w:w="744" w:type="dxa"/>
            <w:noWrap/>
            <w:tcMar>
              <w:left w:w="57" w:type="dxa"/>
              <w:right w:w="57" w:type="dxa"/>
            </w:tcMar>
            <w:vAlign w:val="center"/>
          </w:tcPr>
          <w:p w:rsidR="00095171" w:rsidRPr="006352B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w:t>
            </w:r>
            <w:r>
              <w:rPr>
                <w:rFonts w:ascii="Times New Roman" w:hAnsi="Times New Roman" w:cs="Times New Roman"/>
                <w:color w:val="auto"/>
                <w:sz w:val="20"/>
                <w:szCs w:val="20"/>
              </w:rPr>
              <w:t>1,1</w:t>
            </w:r>
          </w:p>
        </w:tc>
        <w:tc>
          <w:tcPr>
            <w:tcW w:w="743" w:type="dxa"/>
            <w:tcBorders>
              <w:right w:val="double" w:sz="4" w:space="0" w:color="9CC2E5" w:themeColor="accent1" w:themeTint="99"/>
            </w:tcBorders>
            <w:noWrap/>
            <w:tcMar>
              <w:left w:w="57" w:type="dxa"/>
              <w:right w:w="57" w:type="dxa"/>
            </w:tcMar>
            <w:vAlign w:val="center"/>
          </w:tcPr>
          <w:p w:rsidR="00095171" w:rsidRPr="006352B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352B7">
              <w:rPr>
                <w:rFonts w:ascii="Times New Roman" w:hAnsi="Times New Roman" w:cs="Times New Roman"/>
                <w:color w:val="auto"/>
                <w:sz w:val="20"/>
                <w:szCs w:val="20"/>
              </w:rPr>
              <w:t>-</w:t>
            </w:r>
            <w:r>
              <w:rPr>
                <w:rFonts w:ascii="Times New Roman" w:hAnsi="Times New Roman" w:cs="Times New Roman"/>
                <w:color w:val="auto"/>
                <w:sz w:val="20"/>
                <w:szCs w:val="20"/>
              </w:rPr>
              <w:t>1,0</w:t>
            </w:r>
          </w:p>
        </w:tc>
        <w:tc>
          <w:tcPr>
            <w:tcW w:w="743" w:type="dxa"/>
            <w:tcBorders>
              <w:left w:val="double" w:sz="4" w:space="0" w:color="9CC2E5" w:themeColor="accent1" w:themeTint="99"/>
            </w:tcBorders>
            <w:noWrap/>
            <w:tcMar>
              <w:left w:w="57" w:type="dxa"/>
              <w:right w:w="57" w:type="dxa"/>
            </w:tcMar>
            <w:vAlign w:val="center"/>
          </w:tcPr>
          <w:p w:rsidR="00095171" w:rsidRPr="006352B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0,2</w:t>
            </w:r>
          </w:p>
        </w:tc>
        <w:tc>
          <w:tcPr>
            <w:tcW w:w="744" w:type="dxa"/>
            <w:noWrap/>
            <w:tcMar>
              <w:left w:w="57" w:type="dxa"/>
              <w:right w:w="57" w:type="dxa"/>
            </w:tcMar>
            <w:vAlign w:val="center"/>
          </w:tcPr>
          <w:p w:rsidR="00095171" w:rsidRPr="006352B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0,5</w:t>
            </w:r>
          </w:p>
        </w:tc>
        <w:tc>
          <w:tcPr>
            <w:tcW w:w="743" w:type="dxa"/>
            <w:noWrap/>
            <w:tcMar>
              <w:left w:w="57" w:type="dxa"/>
              <w:right w:w="57" w:type="dxa"/>
            </w:tcMar>
            <w:vAlign w:val="center"/>
          </w:tcPr>
          <w:p w:rsidR="00095171" w:rsidRPr="006352B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0,6</w:t>
            </w:r>
          </w:p>
        </w:tc>
        <w:tc>
          <w:tcPr>
            <w:tcW w:w="744" w:type="dxa"/>
            <w:noWrap/>
            <w:tcMar>
              <w:left w:w="57" w:type="dxa"/>
              <w:right w:w="57" w:type="dxa"/>
            </w:tcMar>
            <w:vAlign w:val="center"/>
          </w:tcPr>
          <w:p w:rsidR="00095171" w:rsidRPr="006352B7" w:rsidRDefault="00095171" w:rsidP="00824FFC">
            <w:pPr>
              <w:ind w:right="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0,7</w:t>
            </w:r>
          </w:p>
        </w:tc>
      </w:tr>
      <w:tr w:rsidR="00095171" w:rsidRPr="0024257A" w:rsidTr="00824FFC">
        <w:trPr>
          <w:trHeight w:val="300"/>
          <w:jc w:val="center"/>
        </w:trPr>
        <w:tc>
          <w:tcPr>
            <w:cnfStyle w:val="001000000000" w:firstRow="0" w:lastRow="0" w:firstColumn="1" w:lastColumn="0" w:oddVBand="0" w:evenVBand="0" w:oddHBand="0" w:evenHBand="0" w:firstRowFirstColumn="0" w:firstRowLastColumn="0" w:lastRowFirstColumn="0" w:lastRowLastColumn="0"/>
            <w:tcW w:w="3114" w:type="dxa"/>
            <w:noWrap/>
          </w:tcPr>
          <w:p w:rsidR="00095171" w:rsidRPr="0012783F" w:rsidRDefault="00095171" w:rsidP="000C3005">
            <w:pPr>
              <w:ind w:left="26"/>
              <w:jc w:val="both"/>
              <w:rPr>
                <w:rFonts w:ascii="Times New Roman" w:hAnsi="Times New Roman" w:cs="Times New Roman"/>
                <w:b w:val="0"/>
                <w:color w:val="auto"/>
                <w:sz w:val="20"/>
                <w:szCs w:val="20"/>
              </w:rPr>
            </w:pPr>
            <w:r w:rsidRPr="0012783F">
              <w:rPr>
                <w:rFonts w:ascii="Times New Roman" w:hAnsi="Times New Roman" w:cs="Times New Roman"/>
                <w:b w:val="0"/>
                <w:color w:val="auto"/>
                <w:sz w:val="20"/>
                <w:szCs w:val="20"/>
              </w:rPr>
              <w:t>Vispārējās valdības parāds</w:t>
            </w:r>
            <w:r w:rsidRPr="0012783F">
              <w:rPr>
                <w:rStyle w:val="FootnoteReference"/>
                <w:rFonts w:cs="Times New Roman"/>
                <w:b w:val="0"/>
                <w:color w:val="auto"/>
                <w:szCs w:val="20"/>
              </w:rPr>
              <w:footnoteReference w:id="31"/>
            </w:r>
          </w:p>
        </w:tc>
        <w:tc>
          <w:tcPr>
            <w:tcW w:w="743" w:type="dxa"/>
            <w:noWrap/>
            <w:tcMar>
              <w:left w:w="57" w:type="dxa"/>
              <w:right w:w="57" w:type="dxa"/>
            </w:tcMar>
            <w:vAlign w:val="center"/>
          </w:tcPr>
          <w:p w:rsidR="00095171" w:rsidRPr="0012783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783F">
              <w:rPr>
                <w:rFonts w:ascii="Times New Roman" w:hAnsi="Times New Roman" w:cs="Times New Roman"/>
                <w:color w:val="auto"/>
                <w:sz w:val="20"/>
                <w:szCs w:val="20"/>
              </w:rPr>
              <w:t>-</w:t>
            </w:r>
          </w:p>
        </w:tc>
        <w:tc>
          <w:tcPr>
            <w:tcW w:w="743" w:type="dxa"/>
            <w:noWrap/>
            <w:tcMar>
              <w:left w:w="57" w:type="dxa"/>
              <w:right w:w="57" w:type="dxa"/>
            </w:tcMar>
            <w:vAlign w:val="center"/>
          </w:tcPr>
          <w:p w:rsidR="00095171" w:rsidRPr="0012783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783F">
              <w:rPr>
                <w:rFonts w:ascii="Times New Roman" w:hAnsi="Times New Roman" w:cs="Times New Roman"/>
                <w:color w:val="auto"/>
                <w:sz w:val="20"/>
                <w:szCs w:val="20"/>
              </w:rPr>
              <w:t>-</w:t>
            </w:r>
          </w:p>
        </w:tc>
        <w:tc>
          <w:tcPr>
            <w:tcW w:w="744" w:type="dxa"/>
            <w:noWrap/>
            <w:tcMar>
              <w:left w:w="57" w:type="dxa"/>
              <w:right w:w="57" w:type="dxa"/>
            </w:tcMar>
            <w:vAlign w:val="center"/>
          </w:tcPr>
          <w:p w:rsidR="00095171" w:rsidRPr="0012783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783F">
              <w:rPr>
                <w:rFonts w:ascii="Times New Roman" w:hAnsi="Times New Roman" w:cs="Times New Roman"/>
                <w:color w:val="auto"/>
                <w:sz w:val="20"/>
                <w:szCs w:val="20"/>
              </w:rPr>
              <w:t>-</w:t>
            </w:r>
          </w:p>
        </w:tc>
        <w:tc>
          <w:tcPr>
            <w:tcW w:w="743" w:type="dxa"/>
            <w:tcBorders>
              <w:right w:val="double" w:sz="4" w:space="0" w:color="9CC2E5" w:themeColor="accent1" w:themeTint="99"/>
            </w:tcBorders>
            <w:noWrap/>
            <w:tcMar>
              <w:left w:w="57" w:type="dxa"/>
              <w:right w:w="57" w:type="dxa"/>
            </w:tcMar>
            <w:vAlign w:val="center"/>
          </w:tcPr>
          <w:p w:rsidR="00095171" w:rsidRPr="0012783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783F">
              <w:rPr>
                <w:rFonts w:ascii="Times New Roman" w:hAnsi="Times New Roman" w:cs="Times New Roman"/>
                <w:color w:val="auto"/>
                <w:sz w:val="20"/>
                <w:szCs w:val="20"/>
              </w:rPr>
              <w:t>-</w:t>
            </w:r>
          </w:p>
        </w:tc>
        <w:tc>
          <w:tcPr>
            <w:tcW w:w="743" w:type="dxa"/>
            <w:tcBorders>
              <w:left w:val="double" w:sz="4" w:space="0" w:color="9CC2E5" w:themeColor="accent1" w:themeTint="99"/>
            </w:tcBorders>
            <w:noWrap/>
            <w:tcMar>
              <w:left w:w="57" w:type="dxa"/>
              <w:right w:w="57" w:type="dxa"/>
            </w:tcMar>
            <w:vAlign w:val="center"/>
          </w:tcPr>
          <w:p w:rsidR="00095171" w:rsidRPr="0012783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783F">
              <w:rPr>
                <w:rFonts w:ascii="Times New Roman" w:hAnsi="Times New Roman" w:cs="Times New Roman"/>
                <w:color w:val="auto"/>
                <w:sz w:val="20"/>
                <w:szCs w:val="20"/>
              </w:rPr>
              <w:t>0,5%</w:t>
            </w:r>
          </w:p>
        </w:tc>
        <w:tc>
          <w:tcPr>
            <w:tcW w:w="744" w:type="dxa"/>
            <w:noWrap/>
            <w:tcMar>
              <w:left w:w="57" w:type="dxa"/>
              <w:right w:w="57" w:type="dxa"/>
            </w:tcMar>
            <w:vAlign w:val="center"/>
          </w:tcPr>
          <w:p w:rsidR="00095171" w:rsidRPr="0012783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783F">
              <w:rPr>
                <w:rFonts w:ascii="Times New Roman" w:hAnsi="Times New Roman" w:cs="Times New Roman"/>
                <w:color w:val="auto"/>
                <w:sz w:val="20"/>
                <w:szCs w:val="20"/>
              </w:rPr>
              <w:t>1,7%</w:t>
            </w:r>
          </w:p>
        </w:tc>
        <w:tc>
          <w:tcPr>
            <w:tcW w:w="743" w:type="dxa"/>
            <w:noWrap/>
            <w:tcMar>
              <w:left w:w="57" w:type="dxa"/>
              <w:right w:w="57" w:type="dxa"/>
            </w:tcMar>
            <w:vAlign w:val="center"/>
          </w:tcPr>
          <w:p w:rsidR="00095171" w:rsidRPr="0012783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783F">
              <w:rPr>
                <w:rFonts w:ascii="Times New Roman" w:hAnsi="Times New Roman" w:cs="Times New Roman"/>
                <w:color w:val="auto"/>
                <w:sz w:val="20"/>
                <w:szCs w:val="20"/>
              </w:rPr>
              <w:t>2,9%</w:t>
            </w:r>
          </w:p>
        </w:tc>
        <w:tc>
          <w:tcPr>
            <w:tcW w:w="744" w:type="dxa"/>
            <w:noWrap/>
            <w:tcMar>
              <w:left w:w="57" w:type="dxa"/>
              <w:right w:w="57" w:type="dxa"/>
            </w:tcMar>
            <w:vAlign w:val="center"/>
          </w:tcPr>
          <w:p w:rsidR="00095171" w:rsidRPr="0012783F" w:rsidRDefault="00095171" w:rsidP="00824FFC">
            <w:pPr>
              <w:ind w:right="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783F">
              <w:rPr>
                <w:rFonts w:ascii="Times New Roman" w:hAnsi="Times New Roman" w:cs="Times New Roman"/>
                <w:color w:val="auto"/>
                <w:sz w:val="20"/>
                <w:szCs w:val="20"/>
              </w:rPr>
              <w:t>4,6%</w:t>
            </w:r>
          </w:p>
        </w:tc>
      </w:tr>
    </w:tbl>
    <w:p w:rsidR="0049031F" w:rsidRDefault="0049031F"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p>
    <w:p w:rsidR="00095171" w:rsidRPr="009A2010" w:rsidRDefault="00095171"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5553B4">
        <w:rPr>
          <w:rFonts w:ascii="Times New Roman" w:eastAsia="Times New Roman" w:hAnsi="Times New Roman" w:cs="Times New Roman"/>
          <w:color w:val="000000"/>
          <w:sz w:val="24"/>
          <w:szCs w:val="24"/>
          <w:lang w:eastAsia="lv-LV"/>
        </w:rPr>
        <w:t xml:space="preserve">Īstenojoties ekonomiskās attīstības riska scenārijam, nodokļu ieņēmumu samazināšanās </w:t>
      </w:r>
      <w:r w:rsidR="009C44D7">
        <w:rPr>
          <w:rFonts w:ascii="Times New Roman" w:eastAsia="Times New Roman" w:hAnsi="Times New Roman" w:cs="Times New Roman"/>
          <w:color w:val="000000"/>
          <w:sz w:val="24"/>
          <w:szCs w:val="24"/>
          <w:lang w:eastAsia="lv-LV"/>
        </w:rPr>
        <w:t>ietekmē pieaugtu valsts budžeta</w:t>
      </w:r>
      <w:r w:rsidRPr="005553B4">
        <w:rPr>
          <w:rFonts w:ascii="Times New Roman" w:eastAsia="Times New Roman" w:hAnsi="Times New Roman" w:cs="Times New Roman"/>
          <w:color w:val="000000"/>
          <w:sz w:val="24"/>
          <w:szCs w:val="24"/>
          <w:lang w:eastAsia="lv-LV"/>
        </w:rPr>
        <w:t xml:space="preserve"> deficīts, kā rezultātā palielinātos kopējā finansēšanas nepieciešamība un attiecīgi arī aizņemšanās apjoms attiecīgajā periodā, salīdzinot ar bāzes scenāriju. Papildu aizņemšanās izraisītu procentu izdevumu pieaugumu. Riska scenārija gadījumā procentu izdevumi 2019.gadā būtu par 1,5 milj.</w:t>
      </w:r>
      <w:r>
        <w:rPr>
          <w:rFonts w:ascii="Times New Roman" w:eastAsia="Times New Roman" w:hAnsi="Times New Roman" w:cs="Times New Roman"/>
          <w:color w:val="000000"/>
          <w:sz w:val="24"/>
          <w:szCs w:val="24"/>
          <w:lang w:eastAsia="lv-LV"/>
        </w:rPr>
        <w:t xml:space="preserve"> </w:t>
      </w:r>
      <w:r w:rsidRPr="00134D18">
        <w:rPr>
          <w:rFonts w:ascii="Times New Roman" w:eastAsia="Times New Roman" w:hAnsi="Times New Roman" w:cs="Times New Roman"/>
          <w:i/>
          <w:color w:val="000000"/>
          <w:sz w:val="24"/>
          <w:szCs w:val="24"/>
          <w:lang w:eastAsia="lv-LV"/>
        </w:rPr>
        <w:t>euro</w:t>
      </w:r>
      <w:r w:rsidRPr="005553B4">
        <w:rPr>
          <w:rFonts w:ascii="Times New Roman" w:eastAsia="Times New Roman" w:hAnsi="Times New Roman" w:cs="Times New Roman"/>
          <w:color w:val="000000"/>
          <w:sz w:val="24"/>
          <w:szCs w:val="24"/>
          <w:lang w:eastAsia="lv-LV"/>
        </w:rPr>
        <w:t xml:space="preserve"> jeb 0,005% no IKP lielāki, 2020.gadā par 6,1 milj.</w:t>
      </w:r>
      <w:r>
        <w:rPr>
          <w:rFonts w:ascii="Times New Roman" w:eastAsia="Times New Roman" w:hAnsi="Times New Roman" w:cs="Times New Roman"/>
          <w:color w:val="000000"/>
          <w:sz w:val="24"/>
          <w:szCs w:val="24"/>
          <w:lang w:eastAsia="lv-LV"/>
        </w:rPr>
        <w:t xml:space="preserve"> </w:t>
      </w:r>
      <w:r w:rsidRPr="00134D18">
        <w:rPr>
          <w:rFonts w:ascii="Times New Roman" w:eastAsia="Times New Roman" w:hAnsi="Times New Roman" w:cs="Times New Roman"/>
          <w:i/>
          <w:color w:val="000000"/>
          <w:sz w:val="24"/>
          <w:szCs w:val="24"/>
          <w:lang w:eastAsia="lv-LV"/>
        </w:rPr>
        <w:t>euro</w:t>
      </w:r>
      <w:r w:rsidRPr="005553B4">
        <w:rPr>
          <w:rFonts w:ascii="Times New Roman" w:eastAsia="Times New Roman" w:hAnsi="Times New Roman" w:cs="Times New Roman"/>
          <w:color w:val="000000"/>
          <w:sz w:val="24"/>
          <w:szCs w:val="24"/>
          <w:lang w:eastAsia="lv-LV"/>
        </w:rPr>
        <w:t xml:space="preserve"> jeb 0,019% no IKP un 2021.gadā attiecīgi par 11,8 milj.</w:t>
      </w:r>
      <w:r>
        <w:rPr>
          <w:rFonts w:ascii="Times New Roman" w:eastAsia="Times New Roman" w:hAnsi="Times New Roman" w:cs="Times New Roman"/>
          <w:color w:val="000000"/>
          <w:sz w:val="24"/>
          <w:szCs w:val="24"/>
          <w:lang w:eastAsia="lv-LV"/>
        </w:rPr>
        <w:t xml:space="preserve"> </w:t>
      </w:r>
      <w:r w:rsidRPr="00134D18">
        <w:rPr>
          <w:rFonts w:ascii="Times New Roman" w:eastAsia="Times New Roman" w:hAnsi="Times New Roman" w:cs="Times New Roman"/>
          <w:i/>
          <w:color w:val="000000"/>
          <w:sz w:val="24"/>
          <w:szCs w:val="24"/>
          <w:lang w:eastAsia="lv-LV"/>
        </w:rPr>
        <w:t>euro</w:t>
      </w:r>
      <w:r w:rsidRPr="005553B4">
        <w:rPr>
          <w:rFonts w:ascii="Times New Roman" w:eastAsia="Times New Roman" w:hAnsi="Times New Roman" w:cs="Times New Roman"/>
          <w:color w:val="000000"/>
          <w:sz w:val="24"/>
          <w:szCs w:val="24"/>
          <w:lang w:eastAsia="lv-LV"/>
        </w:rPr>
        <w:t xml:space="preserve"> jeb 0,035% no IKP lielāki nekā bāzes scenārijā.</w:t>
      </w:r>
    </w:p>
    <w:p w:rsidR="00095171" w:rsidRPr="009A2010" w:rsidRDefault="00095171"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8E57FF">
        <w:rPr>
          <w:rFonts w:ascii="Times New Roman" w:eastAsia="Times New Roman" w:hAnsi="Times New Roman" w:cs="Times New Roman"/>
          <w:color w:val="000000"/>
          <w:sz w:val="24"/>
          <w:szCs w:val="24"/>
          <w:lang w:eastAsia="lv-LV"/>
        </w:rPr>
        <w:t xml:space="preserve">Saskaņā ar </w:t>
      </w:r>
      <w:r w:rsidRPr="00596DA2">
        <w:rPr>
          <w:rFonts w:ascii="Times New Roman" w:eastAsia="Times New Roman" w:hAnsi="Times New Roman" w:cs="Times New Roman"/>
          <w:color w:val="000000"/>
          <w:sz w:val="24"/>
          <w:szCs w:val="24"/>
          <w:lang w:eastAsia="lv-LV"/>
        </w:rPr>
        <w:t>Likuma par budžetu un finanšu vadību</w:t>
      </w:r>
      <w:r>
        <w:rPr>
          <w:rFonts w:ascii="Times New Roman" w:eastAsia="Times New Roman" w:hAnsi="Times New Roman" w:cs="Times New Roman"/>
          <w:color w:val="000000"/>
          <w:sz w:val="24"/>
          <w:szCs w:val="24"/>
          <w:lang w:eastAsia="lv-LV"/>
        </w:rPr>
        <w:t xml:space="preserve"> </w:t>
      </w:r>
      <w:r w:rsidRPr="008E57FF">
        <w:rPr>
          <w:rFonts w:ascii="Times New Roman" w:eastAsia="Times New Roman" w:hAnsi="Times New Roman" w:cs="Times New Roman"/>
          <w:color w:val="000000"/>
          <w:sz w:val="24"/>
          <w:szCs w:val="24"/>
          <w:lang w:eastAsia="lv-LV"/>
        </w:rPr>
        <w:t>25.panta (2</w:t>
      </w:r>
      <w:r w:rsidRPr="009A2010">
        <w:rPr>
          <w:rFonts w:ascii="Times New Roman" w:eastAsia="Times New Roman" w:hAnsi="Times New Roman" w:cs="Times New Roman"/>
          <w:color w:val="000000"/>
          <w:sz w:val="24"/>
          <w:szCs w:val="24"/>
          <w:lang w:eastAsia="lv-LV"/>
        </w:rPr>
        <w:t>2</w:t>
      </w:r>
      <w:r w:rsidRPr="008E57FF">
        <w:rPr>
          <w:rFonts w:ascii="Times New Roman" w:eastAsia="Times New Roman" w:hAnsi="Times New Roman" w:cs="Times New Roman"/>
          <w:color w:val="000000"/>
          <w:sz w:val="24"/>
          <w:szCs w:val="24"/>
          <w:lang w:eastAsia="lv-LV"/>
        </w:rPr>
        <w:t xml:space="preserve">) daļu, gadījumā, ja triju mēnešu </w:t>
      </w:r>
      <w:r w:rsidRPr="009A2010">
        <w:rPr>
          <w:rFonts w:ascii="Times New Roman" w:eastAsia="Times New Roman" w:hAnsi="Times New Roman" w:cs="Times New Roman"/>
          <w:color w:val="000000"/>
          <w:sz w:val="24"/>
          <w:szCs w:val="24"/>
          <w:lang w:eastAsia="lv-LV"/>
        </w:rPr>
        <w:t>periodā valsts budžeta nodokļu un ne-nodokļu faktiskie ieņēmumi attiecībā pret attiecīgajā periodā paredzētajiem ieņēmumiem samazinās vairāk nekā par 0,5 procentiem no gadskārtējā valsts budžeta</w:t>
      </w:r>
      <w:r>
        <w:rPr>
          <w:rFonts w:ascii="Times New Roman" w:eastAsia="Times New Roman" w:hAnsi="Times New Roman" w:cs="Times New Roman"/>
          <w:color w:val="000000"/>
          <w:sz w:val="24"/>
          <w:szCs w:val="24"/>
          <w:lang w:eastAsia="lv-LV"/>
        </w:rPr>
        <w:t xml:space="preserve"> likumā noteiktās IKP prognozes </w:t>
      </w:r>
      <w:r w:rsidRPr="009A2010">
        <w:rPr>
          <w:rFonts w:ascii="Times New Roman" w:eastAsia="Times New Roman" w:hAnsi="Times New Roman" w:cs="Times New Roman"/>
          <w:color w:val="000000"/>
          <w:sz w:val="24"/>
          <w:szCs w:val="24"/>
          <w:lang w:eastAsia="lv-LV"/>
        </w:rPr>
        <w:t xml:space="preserve">vai faktiskais uzkrātais valsts budžeta finansiālais deficīts triju mēnešu periodā pārsniedz attiecīgajam periodam paredzēto valsts budžeta finansiālo deficītu vairāk nekā par 0,5 procentiem no gadskārtējā valsts budžeta likumā noteiktās IKP prognozes, vai </w:t>
      </w:r>
      <w:r w:rsidR="009C44D7">
        <w:rPr>
          <w:rFonts w:ascii="Times New Roman" w:eastAsia="Times New Roman" w:hAnsi="Times New Roman" w:cs="Times New Roman"/>
          <w:color w:val="000000"/>
          <w:sz w:val="24"/>
          <w:szCs w:val="24"/>
          <w:lang w:eastAsia="lv-LV"/>
        </w:rPr>
        <w:t>VK</w:t>
      </w:r>
      <w:r w:rsidRPr="009A2010">
        <w:rPr>
          <w:rFonts w:ascii="Times New Roman" w:eastAsia="Times New Roman" w:hAnsi="Times New Roman" w:cs="Times New Roman"/>
          <w:color w:val="000000"/>
          <w:sz w:val="24"/>
          <w:szCs w:val="24"/>
          <w:lang w:eastAsia="lv-LV"/>
        </w:rPr>
        <w:t xml:space="preserve"> budžeta kontos nav pietiekama līdzekļu apjoma, lai segtu nākamajam mēnesim plānotās maksājumu saistības, finanšu ministram ir tiesības dot rīkojumu VK noteiktam periodam aizkavēt vai samazināt asignējumus, ja šāda darbība nav pretrunā ar Satversmi, likumiem un MK noteikumiem. Tādējādi normatīvos tiek paredzēts regulējums gadījumiem, kas var iestāties pesimistiskā scenārijā.</w:t>
      </w:r>
    </w:p>
    <w:p w:rsidR="00095171" w:rsidRPr="008E57FF" w:rsidRDefault="00095171" w:rsidP="0009517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lv-LV"/>
        </w:rPr>
      </w:pPr>
      <w:r w:rsidRPr="009A2010">
        <w:rPr>
          <w:rFonts w:ascii="Times New Roman" w:eastAsia="Times New Roman" w:hAnsi="Times New Roman" w:cs="Times New Roman"/>
          <w:color w:val="000000"/>
          <w:sz w:val="24"/>
          <w:szCs w:val="24"/>
          <w:lang w:eastAsia="lv-LV"/>
        </w:rPr>
        <w:t>Pesimistiskā scenārija iestāšanās samazinātu ekonomiskās izaugsmes tempus, kas nozīmētu arī samazinājumu atsevišķās izdevumu pozīcijās, piemēram, zemāki IKP pieauguma tempi rezultētos zemākās iemaksās ES budžetā, kas piesaistītas IKP, dodot arī nelielu pozitīvo efektu.</w:t>
      </w:r>
    </w:p>
    <w:p w:rsidR="008E57FF" w:rsidRPr="008E57FF" w:rsidRDefault="008E57FF" w:rsidP="00095171"/>
    <w:p w:rsidR="009D2D01" w:rsidRDefault="009D2D01">
      <w:pPr>
        <w:rPr>
          <w:rFonts w:ascii="Times New Roman" w:eastAsiaTheme="majorEastAsia" w:hAnsi="Times New Roman" w:cs="Times New Roman"/>
          <w:b/>
          <w:bCs/>
          <w:smallCaps/>
          <w:color w:val="000000" w:themeColor="text1"/>
          <w:sz w:val="32"/>
          <w:szCs w:val="36"/>
        </w:rPr>
      </w:pPr>
      <w:r>
        <w:rPr>
          <w:rFonts w:ascii="Times New Roman" w:hAnsi="Times New Roman" w:cs="Times New Roman"/>
          <w:sz w:val="32"/>
        </w:rPr>
        <w:br w:type="page"/>
      </w:r>
    </w:p>
    <w:p w:rsidR="005536A9" w:rsidRPr="00F51615" w:rsidRDefault="005536A9" w:rsidP="00095171">
      <w:pPr>
        <w:pStyle w:val="Heading1"/>
        <w:numPr>
          <w:ilvl w:val="0"/>
          <w:numId w:val="22"/>
        </w:numPr>
        <w:ind w:left="284" w:hanging="283"/>
        <w:jc w:val="center"/>
        <w:rPr>
          <w:rFonts w:ascii="Times New Roman" w:hAnsi="Times New Roman" w:cs="Times New Roman"/>
          <w:sz w:val="32"/>
        </w:rPr>
      </w:pPr>
      <w:bookmarkStart w:id="51" w:name="_Toc510790671"/>
      <w:bookmarkStart w:id="52" w:name="_Toc511027831"/>
      <w:r w:rsidRPr="00F51615">
        <w:rPr>
          <w:rFonts w:ascii="Times New Roman" w:hAnsi="Times New Roman" w:cs="Times New Roman"/>
          <w:sz w:val="32"/>
        </w:rPr>
        <w:lastRenderedPageBreak/>
        <w:t>Vispārējās valdības budžeta bilances un parāda prognožu salīdzinājums ar Latvijas Stabilitātes programmu 201</w:t>
      </w:r>
      <w:r w:rsidR="00FD5100">
        <w:rPr>
          <w:rFonts w:ascii="Times New Roman" w:hAnsi="Times New Roman" w:cs="Times New Roman"/>
          <w:sz w:val="32"/>
        </w:rPr>
        <w:t>7</w:t>
      </w:r>
      <w:r w:rsidRPr="00F51615">
        <w:rPr>
          <w:rFonts w:ascii="Times New Roman" w:hAnsi="Times New Roman" w:cs="Times New Roman"/>
          <w:sz w:val="32"/>
        </w:rPr>
        <w:t>.</w:t>
      </w:r>
      <w:r w:rsidR="000C3005" w:rsidRPr="000C3005">
        <w:rPr>
          <w:rFonts w:ascii="Times New Roman" w:eastAsia="Calibri" w:hAnsi="Times New Roman" w:cs="Times New Roman"/>
          <w:sz w:val="24"/>
          <w:szCs w:val="24"/>
        </w:rPr>
        <w:t xml:space="preserve"> </w:t>
      </w:r>
      <w:r w:rsidR="000C3005" w:rsidRPr="00F14E08">
        <w:rPr>
          <w:rFonts w:ascii="Times New Roman" w:eastAsia="Calibri" w:hAnsi="Times New Roman" w:cs="Times New Roman"/>
          <w:sz w:val="24"/>
          <w:szCs w:val="24"/>
        </w:rPr>
        <w:t>–</w:t>
      </w:r>
      <w:r w:rsidR="000C3005">
        <w:rPr>
          <w:rFonts w:ascii="Times New Roman" w:eastAsia="Calibri" w:hAnsi="Times New Roman" w:cs="Times New Roman"/>
          <w:sz w:val="24"/>
          <w:szCs w:val="24"/>
        </w:rPr>
        <w:t xml:space="preserve"> </w:t>
      </w:r>
      <w:r w:rsidRPr="00F51615">
        <w:rPr>
          <w:rFonts w:ascii="Times New Roman" w:hAnsi="Times New Roman" w:cs="Times New Roman"/>
          <w:sz w:val="32"/>
        </w:rPr>
        <w:t>20</w:t>
      </w:r>
      <w:r w:rsidR="00FD5100">
        <w:rPr>
          <w:rFonts w:ascii="Times New Roman" w:hAnsi="Times New Roman" w:cs="Times New Roman"/>
          <w:sz w:val="32"/>
        </w:rPr>
        <w:t>20</w:t>
      </w:r>
      <w:r w:rsidRPr="00F51615">
        <w:rPr>
          <w:rFonts w:ascii="Times New Roman" w:hAnsi="Times New Roman" w:cs="Times New Roman"/>
          <w:sz w:val="32"/>
        </w:rPr>
        <w:t>.</w:t>
      </w:r>
      <w:r w:rsidR="00E04576">
        <w:rPr>
          <w:rFonts w:ascii="Times New Roman" w:hAnsi="Times New Roman" w:cs="Times New Roman"/>
          <w:sz w:val="32"/>
        </w:rPr>
        <w:t xml:space="preserve"> </w:t>
      </w:r>
      <w:r w:rsidRPr="00F51615">
        <w:rPr>
          <w:rFonts w:ascii="Times New Roman" w:hAnsi="Times New Roman" w:cs="Times New Roman"/>
          <w:sz w:val="32"/>
        </w:rPr>
        <w:t>gadam</w:t>
      </w:r>
      <w:bookmarkEnd w:id="51"/>
      <w:bookmarkEnd w:id="52"/>
    </w:p>
    <w:p w:rsidR="00824FFC" w:rsidRDefault="00824FFC" w:rsidP="00A07882">
      <w:pPr>
        <w:pStyle w:val="teksts"/>
        <w:ind w:firstLine="720"/>
        <w:rPr>
          <w:rFonts w:ascii="Times New Roman" w:eastAsia="Calibri" w:hAnsi="Times New Roman"/>
          <w:szCs w:val="24"/>
        </w:rPr>
      </w:pPr>
    </w:p>
    <w:p w:rsidR="00A07882" w:rsidRPr="00A07882" w:rsidRDefault="00A07882" w:rsidP="00824FFC">
      <w:pPr>
        <w:pStyle w:val="teksts"/>
        <w:spacing w:after="0"/>
        <w:ind w:firstLine="720"/>
        <w:rPr>
          <w:rFonts w:ascii="Times New Roman" w:eastAsia="Calibri" w:hAnsi="Times New Roman"/>
          <w:szCs w:val="24"/>
        </w:rPr>
      </w:pPr>
      <w:r w:rsidRPr="00A07882">
        <w:rPr>
          <w:rFonts w:ascii="Times New Roman" w:eastAsia="Calibri" w:hAnsi="Times New Roman"/>
          <w:szCs w:val="24"/>
        </w:rPr>
        <w:t>IKP pieaugums 2017.gadā bija būtiski straujāks, nekā to paredzēja Latvijas Stabilitātes programmas 2017.</w:t>
      </w:r>
      <w:r w:rsidR="000C3005" w:rsidRPr="000C3005">
        <w:rPr>
          <w:rFonts w:ascii="Times New Roman" w:eastAsia="Calibri" w:hAnsi="Times New Roman"/>
          <w:szCs w:val="24"/>
        </w:rPr>
        <w:t xml:space="preserve"> </w:t>
      </w:r>
      <w:r w:rsidR="000C3005" w:rsidRPr="00F14E08">
        <w:rPr>
          <w:rFonts w:ascii="Times New Roman" w:eastAsia="Calibri" w:hAnsi="Times New Roman"/>
          <w:szCs w:val="24"/>
        </w:rPr>
        <w:t>–</w:t>
      </w:r>
      <w:r w:rsidR="000C3005">
        <w:rPr>
          <w:rFonts w:ascii="Times New Roman" w:eastAsia="Calibri" w:hAnsi="Times New Roman"/>
          <w:szCs w:val="24"/>
        </w:rPr>
        <w:t xml:space="preserve"> </w:t>
      </w:r>
      <w:r w:rsidRPr="00A07882">
        <w:rPr>
          <w:rFonts w:ascii="Times New Roman" w:eastAsia="Calibri" w:hAnsi="Times New Roman"/>
          <w:szCs w:val="24"/>
        </w:rPr>
        <w:t>2020.gadam scenārijs. Straujāka ekonomikas izaugsme bija saistīta ar situācijas uzlabošanos ārējos tirgos un būtisku ārējā pieprasījuma pieaugumu, kā arī ievērojami straujāku, nekā prognozēts, investīciju aktivitātes atjaunošanos. Tāpat straujāk nekā prognozēt</w:t>
      </w:r>
      <w:r>
        <w:rPr>
          <w:rFonts w:ascii="Times New Roman" w:eastAsia="Calibri" w:hAnsi="Times New Roman"/>
          <w:szCs w:val="24"/>
        </w:rPr>
        <w:t>s</w:t>
      </w:r>
      <w:r w:rsidRPr="00A07882">
        <w:rPr>
          <w:rFonts w:ascii="Times New Roman" w:eastAsia="Calibri" w:hAnsi="Times New Roman"/>
          <w:szCs w:val="24"/>
        </w:rPr>
        <w:t xml:space="preserve"> palielinājās privātais patēriņš, ko nodrošināja spēcīgāks mēneša vidējai bruto darba samaksas kāpums. Atbilstoši jaunākajam izaugsmes scenārijam, IKP pieauguma prognoze 2018.gadam ir 4,0%, kas ir par 0,6 procentpunktiem vairāk, nekā paredzēja Stab</w:t>
      </w:r>
      <w:r w:rsidR="00824FFC">
        <w:rPr>
          <w:rFonts w:ascii="Times New Roman" w:eastAsia="Calibri" w:hAnsi="Times New Roman"/>
          <w:szCs w:val="24"/>
        </w:rPr>
        <w:t>ilitātes programmas 2017.</w:t>
      </w:r>
      <w:r w:rsidR="000C3005" w:rsidRPr="000C3005">
        <w:rPr>
          <w:rFonts w:ascii="Times New Roman" w:eastAsia="Calibri" w:hAnsi="Times New Roman"/>
          <w:szCs w:val="24"/>
        </w:rPr>
        <w:t xml:space="preserve"> </w:t>
      </w:r>
      <w:r w:rsidR="000C3005" w:rsidRPr="00F14E08">
        <w:rPr>
          <w:rFonts w:ascii="Times New Roman" w:eastAsia="Calibri" w:hAnsi="Times New Roman"/>
          <w:szCs w:val="24"/>
        </w:rPr>
        <w:t>–</w:t>
      </w:r>
      <w:r w:rsidR="000C3005">
        <w:rPr>
          <w:rFonts w:ascii="Times New Roman" w:eastAsia="Calibri" w:hAnsi="Times New Roman"/>
          <w:szCs w:val="24"/>
        </w:rPr>
        <w:t xml:space="preserve"> </w:t>
      </w:r>
      <w:r w:rsidR="00824FFC">
        <w:rPr>
          <w:rFonts w:ascii="Times New Roman" w:eastAsia="Calibri" w:hAnsi="Times New Roman"/>
          <w:szCs w:val="24"/>
        </w:rPr>
        <w:t>2020.</w:t>
      </w:r>
      <w:r w:rsidRPr="00A07882">
        <w:rPr>
          <w:rFonts w:ascii="Times New Roman" w:eastAsia="Calibri" w:hAnsi="Times New Roman"/>
          <w:szCs w:val="24"/>
        </w:rPr>
        <w:t xml:space="preserve">gadam scenārijs. IKP pieauguma prognoze 2019.gadam attiecīgi ir paaugstināta par 0,2 procentpunktiem, bet 2020.gada izaugsmes prognoze nav mainīta un ir tuvu potenciālā IKP pieauguma tempam. </w:t>
      </w:r>
    </w:p>
    <w:p w:rsidR="00A07882" w:rsidRPr="00A07882" w:rsidRDefault="00A07882" w:rsidP="00824FFC">
      <w:pPr>
        <w:pStyle w:val="T"/>
        <w:spacing w:before="240" w:after="0"/>
        <w:ind w:left="360"/>
        <w:jc w:val="right"/>
        <w:rPr>
          <w:rFonts w:ascii="Times New Roman" w:hAnsi="Times New Roman"/>
        </w:rPr>
      </w:pPr>
      <w:r w:rsidRPr="00A07882">
        <w:rPr>
          <w:rFonts w:ascii="Times New Roman" w:hAnsi="Times New Roman"/>
        </w:rPr>
        <w:t>5.1.tabula. Salīdzinājums ar 2017. – 2020.gada Stabilitātes programmas prognozēm</w:t>
      </w:r>
    </w:p>
    <w:tbl>
      <w:tblPr>
        <w:tblW w:w="8997"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481"/>
        <w:gridCol w:w="774"/>
        <w:gridCol w:w="948"/>
        <w:gridCol w:w="949"/>
        <w:gridCol w:w="948"/>
        <w:gridCol w:w="949"/>
        <w:gridCol w:w="948"/>
      </w:tblGrid>
      <w:tr w:rsidR="00A07882" w:rsidRPr="00A07882" w:rsidTr="00623C3B">
        <w:trPr>
          <w:trHeight w:val="463"/>
          <w:jc w:val="center"/>
        </w:trPr>
        <w:tc>
          <w:tcPr>
            <w:tcW w:w="3481" w:type="dxa"/>
            <w:shd w:val="clear" w:color="auto" w:fill="auto"/>
          </w:tcPr>
          <w:p w:rsidR="00A07882" w:rsidRPr="00A07882" w:rsidRDefault="00A07882" w:rsidP="00824FFC">
            <w:pPr>
              <w:spacing w:after="0" w:line="240" w:lineRule="auto"/>
              <w:jc w:val="both"/>
              <w:rPr>
                <w:rFonts w:ascii="Times New Roman" w:hAnsi="Times New Roman" w:cs="Times New Roman"/>
                <w:b/>
                <w:bCs/>
                <w:sz w:val="20"/>
                <w:szCs w:val="20"/>
              </w:rPr>
            </w:pP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b/>
                <w:bCs/>
                <w:sz w:val="20"/>
                <w:szCs w:val="20"/>
              </w:rPr>
            </w:pPr>
            <w:r w:rsidRPr="00A07882">
              <w:rPr>
                <w:rFonts w:ascii="Times New Roman" w:hAnsi="Times New Roman" w:cs="Times New Roman"/>
                <w:b/>
                <w:bCs/>
                <w:sz w:val="20"/>
                <w:szCs w:val="20"/>
              </w:rPr>
              <w:t>EKS kods</w:t>
            </w:r>
          </w:p>
        </w:tc>
        <w:tc>
          <w:tcPr>
            <w:tcW w:w="948"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b/>
                <w:bCs/>
                <w:sz w:val="20"/>
                <w:szCs w:val="20"/>
              </w:rPr>
            </w:pPr>
            <w:r w:rsidRPr="00A07882">
              <w:rPr>
                <w:rFonts w:ascii="Times New Roman" w:hAnsi="Times New Roman" w:cs="Times New Roman"/>
                <w:b/>
                <w:bCs/>
                <w:sz w:val="20"/>
                <w:szCs w:val="20"/>
              </w:rPr>
              <w:t>2017</w:t>
            </w:r>
          </w:p>
        </w:tc>
        <w:tc>
          <w:tcPr>
            <w:tcW w:w="949"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b/>
                <w:bCs/>
                <w:sz w:val="20"/>
                <w:szCs w:val="20"/>
              </w:rPr>
            </w:pPr>
            <w:r w:rsidRPr="00A07882">
              <w:rPr>
                <w:rFonts w:ascii="Times New Roman" w:hAnsi="Times New Roman" w:cs="Times New Roman"/>
                <w:b/>
                <w:bCs/>
                <w:sz w:val="20"/>
                <w:szCs w:val="20"/>
              </w:rPr>
              <w:t>2018</w:t>
            </w:r>
          </w:p>
        </w:tc>
        <w:tc>
          <w:tcPr>
            <w:tcW w:w="948"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b/>
                <w:bCs/>
                <w:sz w:val="20"/>
                <w:szCs w:val="20"/>
              </w:rPr>
            </w:pPr>
            <w:r w:rsidRPr="00A07882">
              <w:rPr>
                <w:rFonts w:ascii="Times New Roman" w:hAnsi="Times New Roman" w:cs="Times New Roman"/>
                <w:b/>
                <w:bCs/>
                <w:sz w:val="20"/>
                <w:szCs w:val="20"/>
              </w:rPr>
              <w:t>2019</w:t>
            </w:r>
          </w:p>
        </w:tc>
        <w:tc>
          <w:tcPr>
            <w:tcW w:w="949"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b/>
                <w:bCs/>
                <w:sz w:val="20"/>
                <w:szCs w:val="20"/>
              </w:rPr>
            </w:pPr>
            <w:r w:rsidRPr="00A07882">
              <w:rPr>
                <w:rFonts w:ascii="Times New Roman" w:hAnsi="Times New Roman" w:cs="Times New Roman"/>
                <w:b/>
                <w:bCs/>
                <w:sz w:val="20"/>
                <w:szCs w:val="20"/>
              </w:rPr>
              <w:t>2020</w:t>
            </w:r>
          </w:p>
        </w:tc>
        <w:tc>
          <w:tcPr>
            <w:tcW w:w="948"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b/>
                <w:bCs/>
                <w:sz w:val="20"/>
                <w:szCs w:val="20"/>
              </w:rPr>
            </w:pPr>
            <w:r w:rsidRPr="00A07882">
              <w:rPr>
                <w:rFonts w:ascii="Times New Roman" w:hAnsi="Times New Roman" w:cs="Times New Roman"/>
                <w:b/>
                <w:bCs/>
                <w:sz w:val="20"/>
                <w:szCs w:val="20"/>
              </w:rPr>
              <w:t>2021</w:t>
            </w:r>
          </w:p>
        </w:tc>
      </w:tr>
      <w:tr w:rsidR="00A07882" w:rsidRPr="00A07882" w:rsidTr="00623C3B">
        <w:trPr>
          <w:trHeight w:val="223"/>
          <w:jc w:val="center"/>
        </w:trPr>
        <w:tc>
          <w:tcPr>
            <w:tcW w:w="3481" w:type="dxa"/>
            <w:shd w:val="clear" w:color="auto" w:fill="auto"/>
          </w:tcPr>
          <w:p w:rsidR="00A07882" w:rsidRPr="00A07882" w:rsidRDefault="00A07882" w:rsidP="00824FFC">
            <w:pPr>
              <w:spacing w:after="0" w:line="240" w:lineRule="auto"/>
              <w:jc w:val="both"/>
              <w:rPr>
                <w:rFonts w:ascii="Times New Roman" w:hAnsi="Times New Roman" w:cs="Times New Roman"/>
                <w:b/>
                <w:bCs/>
                <w:snapToGrid w:val="0"/>
                <w:sz w:val="20"/>
                <w:szCs w:val="20"/>
              </w:rPr>
            </w:pPr>
            <w:r w:rsidRPr="00A07882">
              <w:rPr>
                <w:rFonts w:ascii="Times New Roman" w:hAnsi="Times New Roman" w:cs="Times New Roman"/>
                <w:bCs/>
                <w:sz w:val="20"/>
                <w:szCs w:val="20"/>
              </w:rPr>
              <w:t>IKP pieaugums (%)</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r w:rsidRPr="00A07882">
              <w:rPr>
                <w:rFonts w:ascii="Times New Roman" w:hAnsi="Times New Roman" w:cs="Times New Roman"/>
                <w:sz w:val="20"/>
                <w:szCs w:val="20"/>
              </w:rPr>
              <w:t>B1g</w:t>
            </w:r>
          </w:p>
        </w:tc>
        <w:tc>
          <w:tcPr>
            <w:tcW w:w="948"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9"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p>
        </w:tc>
        <w:tc>
          <w:tcPr>
            <w:tcW w:w="949"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r>
      <w:tr w:rsidR="00A07882" w:rsidRPr="00A07882" w:rsidTr="00623C3B">
        <w:trPr>
          <w:trHeight w:val="240"/>
          <w:jc w:val="center"/>
        </w:trPr>
        <w:tc>
          <w:tcPr>
            <w:tcW w:w="3481" w:type="dxa"/>
            <w:shd w:val="clear" w:color="auto" w:fill="auto"/>
          </w:tcPr>
          <w:p w:rsidR="00A07882" w:rsidRPr="00A07882" w:rsidRDefault="00824FFC" w:rsidP="00495C47">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2017.</w:t>
            </w:r>
            <w:r w:rsidR="00A07882" w:rsidRPr="00A07882">
              <w:rPr>
                <w:rFonts w:ascii="Times New Roman" w:hAnsi="Times New Roman" w:cs="Times New Roman"/>
                <w:bCs/>
                <w:sz w:val="20"/>
                <w:szCs w:val="20"/>
              </w:rPr>
              <w:t>gads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3,2</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3,4</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3,2</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3,0</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w:t>
            </w:r>
          </w:p>
        </w:tc>
      </w:tr>
      <w:tr w:rsidR="00A07882" w:rsidRPr="00A07882" w:rsidTr="00623C3B">
        <w:trPr>
          <w:trHeight w:val="223"/>
          <w:jc w:val="center"/>
        </w:trPr>
        <w:tc>
          <w:tcPr>
            <w:tcW w:w="3481" w:type="dxa"/>
            <w:shd w:val="clear" w:color="auto" w:fill="auto"/>
          </w:tcPr>
          <w:p w:rsidR="00A07882" w:rsidRPr="00A07882" w:rsidRDefault="00824FFC" w:rsidP="00495C47">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2018.</w:t>
            </w:r>
            <w:r w:rsidR="00A07882" w:rsidRPr="00A07882">
              <w:rPr>
                <w:rFonts w:ascii="Times New Roman" w:hAnsi="Times New Roman" w:cs="Times New Roman"/>
                <w:bCs/>
                <w:sz w:val="20"/>
                <w:szCs w:val="20"/>
              </w:rPr>
              <w:t>gads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4,5</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4,0</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3,4</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3,0</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2,9</w:t>
            </w:r>
          </w:p>
        </w:tc>
      </w:tr>
      <w:tr w:rsidR="00A07882" w:rsidRPr="00A07882" w:rsidTr="00623C3B">
        <w:trPr>
          <w:trHeight w:val="223"/>
          <w:jc w:val="center"/>
        </w:trPr>
        <w:tc>
          <w:tcPr>
            <w:tcW w:w="3481" w:type="dxa"/>
            <w:shd w:val="clear" w:color="auto" w:fill="auto"/>
          </w:tcPr>
          <w:p w:rsidR="00A07882" w:rsidRPr="00A07882" w:rsidRDefault="00A07882" w:rsidP="00495C47">
            <w:pPr>
              <w:spacing w:after="0" w:line="240" w:lineRule="auto"/>
              <w:jc w:val="right"/>
              <w:rPr>
                <w:rFonts w:ascii="Times New Roman" w:hAnsi="Times New Roman" w:cs="Times New Roman"/>
                <w:bCs/>
                <w:snapToGrid w:val="0"/>
                <w:sz w:val="20"/>
                <w:szCs w:val="20"/>
              </w:rPr>
            </w:pPr>
            <w:r w:rsidRPr="00A07882">
              <w:rPr>
                <w:rFonts w:ascii="Times New Roman" w:hAnsi="Times New Roman" w:cs="Times New Roman"/>
                <w:bCs/>
                <w:snapToGrid w:val="0"/>
                <w:sz w:val="20"/>
                <w:szCs w:val="20"/>
              </w:rPr>
              <w:t>Izmaiņas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1,3</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0,6</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0,2</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0,0</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Calibri" w:hAnsi="Times New Roman" w:cs="Times New Roman"/>
                <w:sz w:val="20"/>
                <w:szCs w:val="20"/>
              </w:rPr>
            </w:pPr>
            <w:r w:rsidRPr="00A07882">
              <w:rPr>
                <w:rFonts w:ascii="Times New Roman" w:eastAsia="Calibri" w:hAnsi="Times New Roman" w:cs="Times New Roman"/>
                <w:sz w:val="20"/>
                <w:szCs w:val="20"/>
              </w:rPr>
              <w:t>-</w:t>
            </w:r>
          </w:p>
        </w:tc>
      </w:tr>
      <w:tr w:rsidR="00A07882" w:rsidRPr="00A07882" w:rsidTr="00623C3B">
        <w:trPr>
          <w:trHeight w:val="463"/>
          <w:jc w:val="center"/>
        </w:trPr>
        <w:tc>
          <w:tcPr>
            <w:tcW w:w="3481" w:type="dxa"/>
            <w:shd w:val="clear" w:color="auto" w:fill="auto"/>
          </w:tcPr>
          <w:p w:rsidR="00A07882" w:rsidRPr="00A07882" w:rsidRDefault="00A07882" w:rsidP="00824FFC">
            <w:pPr>
              <w:spacing w:after="0" w:line="240" w:lineRule="auto"/>
              <w:jc w:val="both"/>
              <w:rPr>
                <w:rFonts w:ascii="Times New Roman" w:hAnsi="Times New Roman" w:cs="Times New Roman"/>
                <w:bCs/>
                <w:sz w:val="20"/>
                <w:szCs w:val="20"/>
              </w:rPr>
            </w:pPr>
            <w:r w:rsidRPr="00A07882">
              <w:rPr>
                <w:rFonts w:ascii="Times New Roman" w:hAnsi="Times New Roman" w:cs="Times New Roman"/>
                <w:bCs/>
                <w:sz w:val="20"/>
                <w:szCs w:val="20"/>
              </w:rPr>
              <w:t>Faktiskā budžeta bilance</w:t>
            </w:r>
          </w:p>
          <w:p w:rsidR="00A07882" w:rsidRPr="00A07882" w:rsidRDefault="00A07882" w:rsidP="00824FFC">
            <w:pPr>
              <w:spacing w:after="0" w:line="240" w:lineRule="auto"/>
              <w:jc w:val="both"/>
              <w:rPr>
                <w:rFonts w:ascii="Times New Roman" w:hAnsi="Times New Roman" w:cs="Times New Roman"/>
                <w:b/>
                <w:bCs/>
                <w:snapToGrid w:val="0"/>
                <w:sz w:val="20"/>
                <w:szCs w:val="20"/>
              </w:rPr>
            </w:pPr>
            <w:r w:rsidRPr="00A07882">
              <w:rPr>
                <w:rFonts w:ascii="Times New Roman" w:hAnsi="Times New Roman" w:cs="Times New Roman"/>
                <w:bCs/>
                <w:sz w:val="20"/>
                <w:szCs w:val="20"/>
              </w:rPr>
              <w:t>(% no IKP)</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r w:rsidRPr="00A07882">
              <w:rPr>
                <w:rFonts w:ascii="Times New Roman" w:hAnsi="Times New Roman" w:cs="Times New Roman"/>
                <w:sz w:val="20"/>
                <w:szCs w:val="20"/>
              </w:rPr>
              <w:t>B.9</w:t>
            </w:r>
          </w:p>
        </w:tc>
        <w:tc>
          <w:tcPr>
            <w:tcW w:w="948"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rPr>
            </w:pPr>
          </w:p>
        </w:tc>
        <w:tc>
          <w:tcPr>
            <w:tcW w:w="949"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rPr>
            </w:pPr>
          </w:p>
        </w:tc>
        <w:tc>
          <w:tcPr>
            <w:tcW w:w="949" w:type="dxa"/>
            <w:shd w:val="clear" w:color="auto" w:fill="auto"/>
            <w:vAlign w:val="center"/>
          </w:tcPr>
          <w:p w:rsidR="00A07882" w:rsidRPr="00A07882" w:rsidRDefault="00A07882" w:rsidP="00824FFC">
            <w:pPr>
              <w:tabs>
                <w:tab w:val="decimal" w:pos="330"/>
              </w:tabs>
              <w:spacing w:after="0" w:line="240" w:lineRule="auto"/>
              <w:jc w:val="center"/>
              <w:rPr>
                <w:rFonts w:ascii="Times New Roman" w:eastAsia="Arial Unicode MS" w:hAnsi="Times New Roman" w:cs="Times New Roman"/>
                <w:sz w:val="20"/>
                <w:szCs w:val="20"/>
              </w:rPr>
            </w:pPr>
          </w:p>
        </w:tc>
        <w:tc>
          <w:tcPr>
            <w:tcW w:w="948"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rPr>
            </w:pPr>
          </w:p>
        </w:tc>
      </w:tr>
      <w:tr w:rsidR="00A07882" w:rsidRPr="00A07882" w:rsidTr="00623C3B">
        <w:trPr>
          <w:trHeight w:val="240"/>
          <w:jc w:val="center"/>
        </w:trPr>
        <w:tc>
          <w:tcPr>
            <w:tcW w:w="3481" w:type="dxa"/>
            <w:shd w:val="clear" w:color="auto" w:fill="auto"/>
          </w:tcPr>
          <w:p w:rsidR="00A07882" w:rsidRPr="00A07882" w:rsidRDefault="00824FFC" w:rsidP="00495C47">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2017.</w:t>
            </w:r>
            <w:r w:rsidR="00A07882" w:rsidRPr="00A07882">
              <w:rPr>
                <w:rFonts w:ascii="Times New Roman" w:hAnsi="Times New Roman" w:cs="Times New Roman"/>
                <w:bCs/>
                <w:sz w:val="20"/>
                <w:szCs w:val="20"/>
              </w:rPr>
              <w:t>gads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-0,8</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-1,6</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-1,2</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-0,5</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w:t>
            </w:r>
          </w:p>
        </w:tc>
      </w:tr>
      <w:tr w:rsidR="00A07882" w:rsidRPr="00A07882" w:rsidTr="00623C3B">
        <w:trPr>
          <w:trHeight w:val="223"/>
          <w:jc w:val="center"/>
        </w:trPr>
        <w:tc>
          <w:tcPr>
            <w:tcW w:w="3481" w:type="dxa"/>
            <w:shd w:val="clear" w:color="auto" w:fill="auto"/>
          </w:tcPr>
          <w:p w:rsidR="00A07882" w:rsidRPr="00A07882" w:rsidRDefault="00824FFC" w:rsidP="00495C47">
            <w:pPr>
              <w:spacing w:after="0" w:line="240" w:lineRule="auto"/>
              <w:jc w:val="right"/>
              <w:rPr>
                <w:rFonts w:ascii="Times New Roman" w:hAnsi="Times New Roman" w:cs="Times New Roman"/>
                <w:bCs/>
                <w:sz w:val="20"/>
                <w:szCs w:val="20"/>
              </w:rPr>
            </w:pPr>
            <w:r>
              <w:rPr>
                <w:rFonts w:ascii="Times New Roman" w:hAnsi="Times New Roman" w:cs="Times New Roman"/>
                <w:bCs/>
                <w:sz w:val="20"/>
                <w:szCs w:val="20"/>
              </w:rPr>
              <w:t>2018.</w:t>
            </w:r>
            <w:r w:rsidR="00A07882" w:rsidRPr="00A07882">
              <w:rPr>
                <w:rFonts w:ascii="Times New Roman" w:hAnsi="Times New Roman" w:cs="Times New Roman"/>
                <w:bCs/>
                <w:sz w:val="20"/>
                <w:szCs w:val="20"/>
              </w:rPr>
              <w:t>gads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-0,5</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-0,9</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-0,9</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-0,4</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-0,4</w:t>
            </w:r>
          </w:p>
        </w:tc>
      </w:tr>
      <w:tr w:rsidR="00A07882" w:rsidRPr="00A07882" w:rsidTr="00623C3B">
        <w:trPr>
          <w:trHeight w:val="223"/>
          <w:jc w:val="center"/>
        </w:trPr>
        <w:tc>
          <w:tcPr>
            <w:tcW w:w="3481" w:type="dxa"/>
            <w:shd w:val="clear" w:color="auto" w:fill="auto"/>
          </w:tcPr>
          <w:p w:rsidR="00A07882" w:rsidRPr="00A07882" w:rsidRDefault="00A07882" w:rsidP="00495C47">
            <w:pPr>
              <w:spacing w:after="0" w:line="240" w:lineRule="auto"/>
              <w:jc w:val="right"/>
              <w:rPr>
                <w:rFonts w:ascii="Times New Roman" w:hAnsi="Times New Roman" w:cs="Times New Roman"/>
                <w:bCs/>
                <w:snapToGrid w:val="0"/>
                <w:sz w:val="20"/>
                <w:szCs w:val="20"/>
              </w:rPr>
            </w:pPr>
            <w:r w:rsidRPr="00A07882">
              <w:rPr>
                <w:rFonts w:ascii="Times New Roman" w:hAnsi="Times New Roman" w:cs="Times New Roman"/>
                <w:bCs/>
                <w:snapToGrid w:val="0"/>
                <w:sz w:val="20"/>
                <w:szCs w:val="20"/>
              </w:rPr>
              <w:t>Izmaiņas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0,3</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0,7</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0,3</w:t>
            </w:r>
          </w:p>
        </w:tc>
        <w:tc>
          <w:tcPr>
            <w:tcW w:w="949"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0,1</w:t>
            </w:r>
          </w:p>
        </w:tc>
        <w:tc>
          <w:tcPr>
            <w:tcW w:w="948" w:type="dxa"/>
            <w:shd w:val="clear" w:color="auto" w:fill="auto"/>
            <w:vAlign w:val="center"/>
          </w:tcPr>
          <w:p w:rsidR="00A07882" w:rsidRPr="00A07882" w:rsidRDefault="00A07882" w:rsidP="00824FFC">
            <w:pPr>
              <w:spacing w:after="0" w:line="240" w:lineRule="auto"/>
              <w:jc w:val="center"/>
              <w:rPr>
                <w:rFonts w:ascii="Times New Roman" w:eastAsia="Arial Unicode MS" w:hAnsi="Times New Roman" w:cs="Times New Roman"/>
                <w:sz w:val="20"/>
                <w:szCs w:val="20"/>
              </w:rPr>
            </w:pPr>
            <w:r w:rsidRPr="00A07882">
              <w:rPr>
                <w:rFonts w:ascii="Times New Roman" w:eastAsia="Arial Unicode MS" w:hAnsi="Times New Roman" w:cs="Times New Roman"/>
                <w:sz w:val="20"/>
                <w:szCs w:val="20"/>
              </w:rPr>
              <w:t>-</w:t>
            </w:r>
          </w:p>
        </w:tc>
      </w:tr>
      <w:tr w:rsidR="00A07882" w:rsidRPr="00A07882" w:rsidTr="00623C3B">
        <w:trPr>
          <w:trHeight w:val="594"/>
          <w:jc w:val="center"/>
        </w:trPr>
        <w:tc>
          <w:tcPr>
            <w:tcW w:w="3481" w:type="dxa"/>
            <w:shd w:val="clear" w:color="auto" w:fill="auto"/>
          </w:tcPr>
          <w:p w:rsidR="00A07882" w:rsidRPr="00A07882" w:rsidRDefault="00A07882" w:rsidP="00824FFC">
            <w:pPr>
              <w:spacing w:after="0" w:line="240" w:lineRule="auto"/>
              <w:jc w:val="both"/>
              <w:rPr>
                <w:rFonts w:ascii="Times New Roman" w:hAnsi="Times New Roman" w:cs="Times New Roman"/>
                <w:b/>
                <w:bCs/>
                <w:snapToGrid w:val="0"/>
                <w:sz w:val="20"/>
                <w:szCs w:val="20"/>
              </w:rPr>
            </w:pPr>
            <w:r w:rsidRPr="00A07882">
              <w:rPr>
                <w:rFonts w:ascii="Times New Roman" w:hAnsi="Times New Roman" w:cs="Times New Roman"/>
                <w:bCs/>
                <w:sz w:val="20"/>
                <w:szCs w:val="20"/>
              </w:rPr>
              <w:t>Vispārējās valdības kopējais parāds (% no IKP)</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rPr>
            </w:pPr>
          </w:p>
        </w:tc>
        <w:tc>
          <w:tcPr>
            <w:tcW w:w="948"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highlight w:val="yellow"/>
              </w:rPr>
            </w:pPr>
          </w:p>
        </w:tc>
        <w:tc>
          <w:tcPr>
            <w:tcW w:w="949"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highlight w:val="yellow"/>
              </w:rPr>
            </w:pPr>
          </w:p>
        </w:tc>
        <w:tc>
          <w:tcPr>
            <w:tcW w:w="948"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highlight w:val="yellow"/>
              </w:rPr>
            </w:pPr>
          </w:p>
        </w:tc>
        <w:tc>
          <w:tcPr>
            <w:tcW w:w="949" w:type="dxa"/>
            <w:shd w:val="clear" w:color="auto" w:fill="auto"/>
            <w:vAlign w:val="center"/>
          </w:tcPr>
          <w:p w:rsidR="00A07882" w:rsidRPr="00A07882" w:rsidRDefault="00A07882" w:rsidP="00824FFC">
            <w:pPr>
              <w:tabs>
                <w:tab w:val="decimal" w:pos="330"/>
              </w:tabs>
              <w:spacing w:after="0" w:line="240" w:lineRule="auto"/>
              <w:jc w:val="center"/>
              <w:rPr>
                <w:rFonts w:ascii="Times New Roman" w:eastAsia="Arial Unicode MS" w:hAnsi="Times New Roman" w:cs="Times New Roman"/>
                <w:sz w:val="20"/>
                <w:szCs w:val="20"/>
                <w:highlight w:val="yellow"/>
              </w:rPr>
            </w:pPr>
          </w:p>
        </w:tc>
        <w:tc>
          <w:tcPr>
            <w:tcW w:w="948"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highlight w:val="yellow"/>
              </w:rPr>
            </w:pPr>
          </w:p>
        </w:tc>
      </w:tr>
      <w:tr w:rsidR="00A07882" w:rsidRPr="00A07882" w:rsidTr="00623C3B">
        <w:trPr>
          <w:trHeight w:val="223"/>
          <w:jc w:val="center"/>
        </w:trPr>
        <w:tc>
          <w:tcPr>
            <w:tcW w:w="3481" w:type="dxa"/>
            <w:shd w:val="clear" w:color="auto" w:fill="auto"/>
          </w:tcPr>
          <w:p w:rsidR="00A07882" w:rsidRPr="001361E8" w:rsidRDefault="00824FFC" w:rsidP="00495C47">
            <w:pPr>
              <w:spacing w:after="0" w:line="240" w:lineRule="auto"/>
              <w:jc w:val="right"/>
              <w:rPr>
                <w:rFonts w:ascii="Times New Roman" w:hAnsi="Times New Roman"/>
                <w:sz w:val="20"/>
              </w:rPr>
            </w:pPr>
            <w:r>
              <w:rPr>
                <w:rFonts w:ascii="Times New Roman" w:hAnsi="Times New Roman"/>
                <w:sz w:val="20"/>
              </w:rPr>
              <w:t>2017.</w:t>
            </w:r>
            <w:r w:rsidR="00A07882" w:rsidRPr="001361E8">
              <w:rPr>
                <w:rFonts w:ascii="Times New Roman" w:hAnsi="Times New Roman"/>
                <w:sz w:val="20"/>
              </w:rPr>
              <w:t>gads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highlight w:val="yellow"/>
              </w:rPr>
            </w:pPr>
          </w:p>
        </w:tc>
        <w:tc>
          <w:tcPr>
            <w:tcW w:w="948" w:type="dxa"/>
            <w:shd w:val="clear" w:color="auto" w:fill="auto"/>
            <w:vAlign w:val="center"/>
          </w:tcPr>
          <w:p w:rsidR="00A07882" w:rsidRPr="001361E8" w:rsidRDefault="006C67E6" w:rsidP="00824FFC">
            <w:pPr>
              <w:spacing w:after="0" w:line="240" w:lineRule="auto"/>
              <w:jc w:val="center"/>
              <w:rPr>
                <w:rFonts w:ascii="Times New Roman" w:hAnsi="Times New Roman" w:cs="Times New Roman"/>
                <w:sz w:val="20"/>
                <w:szCs w:val="20"/>
              </w:rPr>
            </w:pPr>
            <w:r w:rsidRPr="001361E8">
              <w:rPr>
                <w:rFonts w:ascii="Times New Roman" w:hAnsi="Times New Roman"/>
                <w:color w:val="000000" w:themeColor="text1"/>
                <w:sz w:val="20"/>
              </w:rPr>
              <w:t>39,2</w:t>
            </w:r>
          </w:p>
        </w:tc>
        <w:tc>
          <w:tcPr>
            <w:tcW w:w="949" w:type="dxa"/>
            <w:shd w:val="clear" w:color="auto" w:fill="auto"/>
            <w:vAlign w:val="center"/>
          </w:tcPr>
          <w:p w:rsidR="00A07882" w:rsidRPr="001361E8" w:rsidRDefault="00A07882" w:rsidP="00824FFC">
            <w:pPr>
              <w:spacing w:after="0" w:line="240" w:lineRule="auto"/>
              <w:jc w:val="center"/>
              <w:rPr>
                <w:rFonts w:ascii="Times New Roman" w:hAnsi="Times New Roman" w:cs="Times New Roman"/>
                <w:sz w:val="20"/>
                <w:szCs w:val="20"/>
              </w:rPr>
            </w:pPr>
            <w:r w:rsidRPr="001361E8">
              <w:rPr>
                <w:rFonts w:ascii="Times New Roman" w:hAnsi="Times New Roman"/>
                <w:sz w:val="20"/>
              </w:rPr>
              <w:t>38,</w:t>
            </w:r>
            <w:r w:rsidR="00C869E3" w:rsidRPr="001361E8">
              <w:rPr>
                <w:rFonts w:ascii="Times New Roman" w:hAnsi="Times New Roman" w:cs="Times New Roman"/>
                <w:sz w:val="20"/>
              </w:rPr>
              <w:t>2</w:t>
            </w:r>
          </w:p>
        </w:tc>
        <w:tc>
          <w:tcPr>
            <w:tcW w:w="948" w:type="dxa"/>
            <w:shd w:val="clear" w:color="auto" w:fill="auto"/>
            <w:vAlign w:val="center"/>
          </w:tcPr>
          <w:p w:rsidR="00A07882" w:rsidRPr="001361E8" w:rsidRDefault="001361E8" w:rsidP="00824FFC">
            <w:pPr>
              <w:spacing w:after="0" w:line="240" w:lineRule="auto"/>
              <w:jc w:val="center"/>
              <w:rPr>
                <w:rFonts w:ascii="Times New Roman" w:hAnsi="Times New Roman" w:cs="Times New Roman"/>
                <w:sz w:val="20"/>
                <w:szCs w:val="20"/>
              </w:rPr>
            </w:pPr>
            <w:r w:rsidRPr="001361E8">
              <w:rPr>
                <w:rFonts w:ascii="Times New Roman" w:hAnsi="Times New Roman" w:cs="Times New Roman"/>
                <w:sz w:val="20"/>
                <w:szCs w:val="20"/>
              </w:rPr>
              <w:t>39,4</w:t>
            </w:r>
          </w:p>
        </w:tc>
        <w:tc>
          <w:tcPr>
            <w:tcW w:w="949" w:type="dxa"/>
            <w:shd w:val="clear" w:color="auto" w:fill="auto"/>
            <w:vAlign w:val="center"/>
          </w:tcPr>
          <w:p w:rsidR="00A07882" w:rsidRPr="00A07882" w:rsidRDefault="001361E8" w:rsidP="00824FFC">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rPr>
              <w:t>40,4</w:t>
            </w:r>
          </w:p>
        </w:tc>
        <w:tc>
          <w:tcPr>
            <w:tcW w:w="948"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highlight w:val="yellow"/>
              </w:rPr>
            </w:pPr>
            <w:r w:rsidRPr="001361E8">
              <w:rPr>
                <w:rFonts w:ascii="Times New Roman" w:hAnsi="Times New Roman"/>
                <w:sz w:val="20"/>
              </w:rPr>
              <w:t>-</w:t>
            </w:r>
          </w:p>
        </w:tc>
      </w:tr>
      <w:tr w:rsidR="00A07882" w:rsidRPr="00A07882" w:rsidTr="00623C3B">
        <w:trPr>
          <w:trHeight w:val="71"/>
          <w:jc w:val="center"/>
        </w:trPr>
        <w:tc>
          <w:tcPr>
            <w:tcW w:w="3481" w:type="dxa"/>
            <w:shd w:val="clear" w:color="auto" w:fill="auto"/>
          </w:tcPr>
          <w:p w:rsidR="00A07882" w:rsidRPr="001361E8" w:rsidRDefault="00824FFC" w:rsidP="00495C47">
            <w:pPr>
              <w:spacing w:after="0" w:line="240" w:lineRule="auto"/>
              <w:jc w:val="right"/>
              <w:rPr>
                <w:rFonts w:ascii="Times New Roman" w:hAnsi="Times New Roman"/>
                <w:sz w:val="20"/>
              </w:rPr>
            </w:pPr>
            <w:r>
              <w:rPr>
                <w:rFonts w:ascii="Times New Roman" w:hAnsi="Times New Roman"/>
                <w:sz w:val="20"/>
              </w:rPr>
              <w:t>2018.</w:t>
            </w:r>
            <w:r w:rsidR="00A07882" w:rsidRPr="001361E8">
              <w:rPr>
                <w:rFonts w:ascii="Times New Roman" w:hAnsi="Times New Roman"/>
                <w:sz w:val="20"/>
              </w:rPr>
              <w:t>gads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highlight w:val="yellow"/>
              </w:rPr>
            </w:pPr>
          </w:p>
        </w:tc>
        <w:tc>
          <w:tcPr>
            <w:tcW w:w="948" w:type="dxa"/>
            <w:shd w:val="clear" w:color="auto" w:fill="auto"/>
            <w:vAlign w:val="center"/>
          </w:tcPr>
          <w:p w:rsidR="00A07882" w:rsidRPr="00A07882" w:rsidRDefault="00A07882" w:rsidP="00824FFC">
            <w:pPr>
              <w:tabs>
                <w:tab w:val="decimal" w:pos="330"/>
              </w:tabs>
              <w:spacing w:after="0" w:line="240" w:lineRule="auto"/>
              <w:jc w:val="center"/>
              <w:rPr>
                <w:rFonts w:ascii="Times New Roman" w:hAnsi="Times New Roman" w:cs="Times New Roman"/>
                <w:sz w:val="20"/>
                <w:szCs w:val="20"/>
                <w:highlight w:val="yellow"/>
              </w:rPr>
            </w:pPr>
            <w:r w:rsidRPr="001361E8">
              <w:rPr>
                <w:rFonts w:ascii="Times New Roman" w:hAnsi="Times New Roman"/>
                <w:sz w:val="20"/>
              </w:rPr>
              <w:t>40,</w:t>
            </w:r>
            <w:r w:rsidR="001361E8">
              <w:rPr>
                <w:rFonts w:ascii="Times New Roman" w:hAnsi="Times New Roman" w:cs="Times New Roman"/>
                <w:sz w:val="20"/>
              </w:rPr>
              <w:t>2</w:t>
            </w:r>
          </w:p>
        </w:tc>
        <w:tc>
          <w:tcPr>
            <w:tcW w:w="949" w:type="dxa"/>
            <w:shd w:val="clear" w:color="auto" w:fill="auto"/>
            <w:vAlign w:val="center"/>
          </w:tcPr>
          <w:p w:rsidR="00A07882" w:rsidRPr="00A07882" w:rsidRDefault="001361E8" w:rsidP="00824FFC">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rPr>
              <w:t>38,4</w:t>
            </w:r>
          </w:p>
        </w:tc>
        <w:tc>
          <w:tcPr>
            <w:tcW w:w="948" w:type="dxa"/>
            <w:shd w:val="clear" w:color="auto" w:fill="auto"/>
            <w:vAlign w:val="center"/>
          </w:tcPr>
          <w:p w:rsidR="00A07882" w:rsidRPr="00A07882" w:rsidRDefault="001361E8" w:rsidP="00824FFC">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rPr>
              <w:t>37,4</w:t>
            </w:r>
          </w:p>
        </w:tc>
        <w:tc>
          <w:tcPr>
            <w:tcW w:w="949" w:type="dxa"/>
            <w:shd w:val="clear" w:color="auto" w:fill="auto"/>
            <w:vAlign w:val="center"/>
          </w:tcPr>
          <w:p w:rsidR="00A07882" w:rsidRPr="00A07882" w:rsidRDefault="001361E8" w:rsidP="00824FFC">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rPr>
              <w:t>38,0</w:t>
            </w:r>
          </w:p>
        </w:tc>
        <w:tc>
          <w:tcPr>
            <w:tcW w:w="948" w:type="dxa"/>
            <w:shd w:val="clear" w:color="auto" w:fill="auto"/>
            <w:vAlign w:val="center"/>
          </w:tcPr>
          <w:p w:rsidR="00A07882" w:rsidRPr="00A07882" w:rsidRDefault="001361E8" w:rsidP="00824FFC">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rPr>
              <w:t>35,6</w:t>
            </w:r>
          </w:p>
        </w:tc>
      </w:tr>
      <w:tr w:rsidR="00A07882" w:rsidRPr="00A07882" w:rsidTr="00623C3B">
        <w:trPr>
          <w:trHeight w:val="223"/>
          <w:jc w:val="center"/>
        </w:trPr>
        <w:tc>
          <w:tcPr>
            <w:tcW w:w="3481" w:type="dxa"/>
            <w:shd w:val="clear" w:color="auto" w:fill="auto"/>
          </w:tcPr>
          <w:p w:rsidR="00A07882" w:rsidRPr="001361E8" w:rsidRDefault="00A07882" w:rsidP="00495C47">
            <w:pPr>
              <w:spacing w:after="0" w:line="240" w:lineRule="auto"/>
              <w:jc w:val="right"/>
              <w:rPr>
                <w:rFonts w:ascii="Times New Roman" w:hAnsi="Times New Roman"/>
                <w:sz w:val="20"/>
              </w:rPr>
            </w:pPr>
            <w:r w:rsidRPr="001361E8">
              <w:rPr>
                <w:rFonts w:ascii="Times New Roman" w:hAnsi="Times New Roman"/>
                <w:sz w:val="20"/>
              </w:rPr>
              <w:t>Izmaiņas</w:t>
            </w:r>
          </w:p>
        </w:tc>
        <w:tc>
          <w:tcPr>
            <w:tcW w:w="774" w:type="dxa"/>
            <w:shd w:val="clear" w:color="auto" w:fill="auto"/>
            <w:vAlign w:val="center"/>
          </w:tcPr>
          <w:p w:rsidR="00A07882" w:rsidRPr="00A07882" w:rsidRDefault="00A07882" w:rsidP="00824FFC">
            <w:pPr>
              <w:spacing w:after="0" w:line="240" w:lineRule="auto"/>
              <w:jc w:val="center"/>
              <w:rPr>
                <w:rFonts w:ascii="Times New Roman" w:hAnsi="Times New Roman" w:cs="Times New Roman"/>
                <w:sz w:val="20"/>
                <w:szCs w:val="20"/>
                <w:highlight w:val="yellow"/>
              </w:rPr>
            </w:pPr>
          </w:p>
        </w:tc>
        <w:tc>
          <w:tcPr>
            <w:tcW w:w="948" w:type="dxa"/>
            <w:shd w:val="clear" w:color="auto" w:fill="auto"/>
            <w:vAlign w:val="center"/>
          </w:tcPr>
          <w:p w:rsidR="00A07882" w:rsidRPr="00824FFC" w:rsidRDefault="00A07882" w:rsidP="00824FFC">
            <w:pPr>
              <w:tabs>
                <w:tab w:val="decimal" w:pos="330"/>
              </w:tabs>
              <w:spacing w:after="0" w:line="240" w:lineRule="auto"/>
              <w:jc w:val="center"/>
              <w:rPr>
                <w:rFonts w:ascii="Times New Roman" w:hAnsi="Times New Roman" w:cs="Times New Roman"/>
                <w:sz w:val="20"/>
                <w:szCs w:val="20"/>
              </w:rPr>
            </w:pPr>
            <w:r w:rsidRPr="00824FFC">
              <w:rPr>
                <w:rFonts w:ascii="Times New Roman" w:hAnsi="Times New Roman"/>
                <w:sz w:val="20"/>
              </w:rPr>
              <w:t>+1,</w:t>
            </w:r>
            <w:r w:rsidR="001361E8" w:rsidRPr="00824FFC">
              <w:rPr>
                <w:rFonts w:ascii="Times New Roman" w:hAnsi="Times New Roman" w:cs="Times New Roman"/>
                <w:sz w:val="20"/>
              </w:rPr>
              <w:t>0</w:t>
            </w:r>
          </w:p>
        </w:tc>
        <w:tc>
          <w:tcPr>
            <w:tcW w:w="949" w:type="dxa"/>
            <w:shd w:val="clear" w:color="auto" w:fill="auto"/>
            <w:vAlign w:val="center"/>
          </w:tcPr>
          <w:p w:rsidR="00A07882" w:rsidRPr="00824FFC" w:rsidRDefault="00A07882" w:rsidP="00824FFC">
            <w:pPr>
              <w:tabs>
                <w:tab w:val="decimal" w:pos="330"/>
              </w:tabs>
              <w:spacing w:after="0" w:line="240" w:lineRule="auto"/>
              <w:jc w:val="center"/>
              <w:rPr>
                <w:rFonts w:ascii="Times New Roman" w:hAnsi="Times New Roman" w:cs="Times New Roman"/>
                <w:sz w:val="20"/>
                <w:szCs w:val="20"/>
              </w:rPr>
            </w:pPr>
            <w:r w:rsidRPr="00824FFC">
              <w:rPr>
                <w:rFonts w:ascii="Times New Roman" w:hAnsi="Times New Roman"/>
                <w:sz w:val="20"/>
              </w:rPr>
              <w:t>+</w:t>
            </w:r>
            <w:r w:rsidR="001361E8" w:rsidRPr="00824FFC">
              <w:rPr>
                <w:rFonts w:ascii="Times New Roman" w:hAnsi="Times New Roman" w:cs="Times New Roman"/>
                <w:sz w:val="20"/>
              </w:rPr>
              <w:t>0,2</w:t>
            </w:r>
          </w:p>
        </w:tc>
        <w:tc>
          <w:tcPr>
            <w:tcW w:w="948" w:type="dxa"/>
            <w:shd w:val="clear" w:color="auto" w:fill="auto"/>
            <w:vAlign w:val="center"/>
          </w:tcPr>
          <w:p w:rsidR="00A07882" w:rsidRPr="00824FFC" w:rsidRDefault="001361E8" w:rsidP="00824FFC">
            <w:pPr>
              <w:tabs>
                <w:tab w:val="decimal" w:pos="330"/>
              </w:tabs>
              <w:spacing w:after="0" w:line="240" w:lineRule="auto"/>
              <w:jc w:val="center"/>
              <w:rPr>
                <w:rFonts w:ascii="Times New Roman" w:hAnsi="Times New Roman" w:cs="Times New Roman"/>
                <w:sz w:val="20"/>
                <w:szCs w:val="20"/>
              </w:rPr>
            </w:pPr>
            <w:r w:rsidRPr="00824FFC">
              <w:rPr>
                <w:rFonts w:ascii="Times New Roman" w:hAnsi="Times New Roman" w:cs="Times New Roman"/>
                <w:sz w:val="20"/>
              </w:rPr>
              <w:t>-2,0</w:t>
            </w:r>
          </w:p>
        </w:tc>
        <w:tc>
          <w:tcPr>
            <w:tcW w:w="949" w:type="dxa"/>
            <w:shd w:val="clear" w:color="auto" w:fill="auto"/>
            <w:vAlign w:val="center"/>
          </w:tcPr>
          <w:p w:rsidR="00A07882" w:rsidRPr="00824FFC" w:rsidRDefault="001361E8" w:rsidP="00824FFC">
            <w:pPr>
              <w:tabs>
                <w:tab w:val="decimal" w:pos="330"/>
              </w:tabs>
              <w:spacing w:after="0" w:line="240" w:lineRule="auto"/>
              <w:jc w:val="center"/>
              <w:rPr>
                <w:rFonts w:ascii="Times New Roman" w:hAnsi="Times New Roman" w:cs="Times New Roman"/>
                <w:sz w:val="20"/>
                <w:szCs w:val="20"/>
              </w:rPr>
            </w:pPr>
            <w:r w:rsidRPr="00824FFC">
              <w:rPr>
                <w:rFonts w:ascii="Times New Roman" w:hAnsi="Times New Roman" w:cs="Times New Roman"/>
                <w:sz w:val="20"/>
              </w:rPr>
              <w:t>-2,4</w:t>
            </w:r>
          </w:p>
        </w:tc>
        <w:tc>
          <w:tcPr>
            <w:tcW w:w="948" w:type="dxa"/>
            <w:shd w:val="clear" w:color="auto" w:fill="auto"/>
            <w:vAlign w:val="center"/>
          </w:tcPr>
          <w:p w:rsidR="00A07882" w:rsidRPr="00824FFC" w:rsidRDefault="00A07882" w:rsidP="00824FFC">
            <w:pPr>
              <w:tabs>
                <w:tab w:val="decimal" w:pos="330"/>
              </w:tabs>
              <w:spacing w:after="0" w:line="240" w:lineRule="auto"/>
              <w:jc w:val="center"/>
              <w:rPr>
                <w:rFonts w:ascii="Times New Roman" w:hAnsi="Times New Roman" w:cs="Times New Roman"/>
                <w:sz w:val="20"/>
                <w:szCs w:val="20"/>
              </w:rPr>
            </w:pPr>
            <w:r w:rsidRPr="00824FFC">
              <w:rPr>
                <w:rFonts w:ascii="Times New Roman" w:hAnsi="Times New Roman"/>
                <w:sz w:val="20"/>
              </w:rPr>
              <w:t>-</w:t>
            </w:r>
          </w:p>
        </w:tc>
      </w:tr>
    </w:tbl>
    <w:p w:rsidR="00A07882" w:rsidRPr="00C756E1" w:rsidRDefault="00A07882" w:rsidP="00B9413F">
      <w:pPr>
        <w:pStyle w:val="teksts"/>
        <w:spacing w:before="120" w:after="0"/>
        <w:ind w:firstLine="720"/>
        <w:rPr>
          <w:rFonts w:ascii="Times New Roman" w:eastAsia="Calibri" w:hAnsi="Times New Roman"/>
          <w:szCs w:val="24"/>
        </w:rPr>
      </w:pPr>
      <w:r w:rsidRPr="00C756E1">
        <w:rPr>
          <w:rFonts w:ascii="Times New Roman" w:eastAsia="Calibri" w:hAnsi="Times New Roman"/>
          <w:szCs w:val="24"/>
        </w:rPr>
        <w:t xml:space="preserve">FM vērtējumā vispārējās valdības budžeta deficīts 2017.gadā bija par 0,3 procentpunktiem zemāks nekā tika prognozēts iepriekšējā Stabilitātes programmā. Zemāku deficītu nekā prognozēts ietekmēja lielāki nodokļu un ne-nodokļu ieņēmumi, kā arī mazāki izdevumi, jo tika ietaupīti līdzekļi, galvenokārt, precēm un pakalpojumiem, sociālajiem pabalstiem un iemaksām ES budžetā. </w:t>
      </w:r>
    </w:p>
    <w:p w:rsidR="00A07882" w:rsidRPr="00C756E1" w:rsidRDefault="00A07882" w:rsidP="00824FFC">
      <w:pPr>
        <w:pStyle w:val="teksts"/>
        <w:spacing w:after="0"/>
        <w:ind w:firstLine="720"/>
        <w:rPr>
          <w:rFonts w:ascii="Times New Roman" w:eastAsia="Calibri" w:hAnsi="Times New Roman"/>
          <w:szCs w:val="24"/>
        </w:rPr>
      </w:pPr>
      <w:r w:rsidRPr="00C756E1">
        <w:rPr>
          <w:rFonts w:ascii="Times New Roman" w:eastAsia="Calibri" w:hAnsi="Times New Roman"/>
          <w:szCs w:val="24"/>
        </w:rPr>
        <w:t>Aktualizētās vispārējās valdības budžeta prognozes paredz deficītu 2018.</w:t>
      </w:r>
      <w:r w:rsidR="00824FFC" w:rsidRPr="00C756E1">
        <w:rPr>
          <w:rFonts w:ascii="Times New Roman" w:eastAsia="Calibri" w:hAnsi="Times New Roman"/>
          <w:szCs w:val="24"/>
        </w:rPr>
        <w:t>gadā 0,9% apmērā no IKP, 2019.gadā 0,9% apmērā no IKP, 2020.</w:t>
      </w:r>
      <w:r w:rsidRPr="00C756E1">
        <w:rPr>
          <w:rFonts w:ascii="Times New Roman" w:eastAsia="Calibri" w:hAnsi="Times New Roman"/>
          <w:szCs w:val="24"/>
        </w:rPr>
        <w:t xml:space="preserve">gadā 0,4% apmērā no IKP un 2021. gadā 0,4% apmērā no IKP. Vispārējās valdības budžeta deficīta prognozes ir balstītas uz aktualizētajiem strukturālās budžeta bilances mērķiem, kā arī ņemot vērā izmaiņas budžeta bilances cikliskajā komponentē. </w:t>
      </w:r>
    </w:p>
    <w:p w:rsidR="000B788C" w:rsidRPr="00C756E1" w:rsidRDefault="00A07882" w:rsidP="00824FFC">
      <w:pPr>
        <w:pStyle w:val="teksts"/>
        <w:spacing w:after="0"/>
        <w:ind w:firstLine="720"/>
        <w:rPr>
          <w:rFonts w:ascii="Times New Roman" w:eastAsia="Calibri" w:hAnsi="Times New Roman"/>
          <w:szCs w:val="24"/>
        </w:rPr>
      </w:pPr>
      <w:r w:rsidRPr="00C756E1">
        <w:rPr>
          <w:rFonts w:ascii="Times New Roman" w:hAnsi="Times New Roman"/>
          <w:szCs w:val="24"/>
        </w:rPr>
        <w:t xml:space="preserve">Vispārējās valdības parāda prognoze </w:t>
      </w:r>
      <w:r w:rsidR="00C869E3" w:rsidRPr="00C756E1">
        <w:rPr>
          <w:rFonts w:ascii="Times New Roman" w:eastAsia="Calibri" w:hAnsi="Times New Roman"/>
          <w:szCs w:val="24"/>
        </w:rPr>
        <w:t>2019.</w:t>
      </w:r>
      <w:r w:rsidR="000C3005" w:rsidRPr="000C3005">
        <w:rPr>
          <w:rFonts w:ascii="Times New Roman" w:eastAsia="Calibri" w:hAnsi="Times New Roman"/>
          <w:szCs w:val="24"/>
        </w:rPr>
        <w:t xml:space="preserve"> </w:t>
      </w:r>
      <w:r w:rsidR="000C3005" w:rsidRPr="00F14E08">
        <w:rPr>
          <w:rFonts w:ascii="Times New Roman" w:eastAsia="Calibri" w:hAnsi="Times New Roman"/>
          <w:szCs w:val="24"/>
        </w:rPr>
        <w:t>–</w:t>
      </w:r>
      <w:r w:rsidR="000C3005">
        <w:rPr>
          <w:rFonts w:ascii="Times New Roman" w:eastAsia="Calibri" w:hAnsi="Times New Roman"/>
          <w:szCs w:val="24"/>
        </w:rPr>
        <w:t xml:space="preserve"> </w:t>
      </w:r>
      <w:r w:rsidR="00C869E3" w:rsidRPr="00C756E1">
        <w:rPr>
          <w:rFonts w:ascii="Times New Roman" w:eastAsia="Calibri" w:hAnsi="Times New Roman"/>
          <w:szCs w:val="24"/>
        </w:rPr>
        <w:t>2020.gadā</w:t>
      </w:r>
      <w:r w:rsidRPr="00C756E1">
        <w:rPr>
          <w:rFonts w:ascii="Times New Roman" w:hAnsi="Times New Roman"/>
          <w:szCs w:val="24"/>
        </w:rPr>
        <w:t>, salīdzinot ar 2017.</w:t>
      </w:r>
      <w:r w:rsidR="00C869E3" w:rsidRPr="00C756E1">
        <w:rPr>
          <w:rFonts w:ascii="Times New Roman" w:eastAsia="Calibri" w:hAnsi="Times New Roman"/>
          <w:szCs w:val="24"/>
        </w:rPr>
        <w:t xml:space="preserve"> – 2020.</w:t>
      </w:r>
      <w:r w:rsidRPr="00C756E1">
        <w:rPr>
          <w:rFonts w:ascii="Times New Roman" w:hAnsi="Times New Roman"/>
          <w:szCs w:val="24"/>
        </w:rPr>
        <w:t>gada Stabilitātes programmas prognozēm</w:t>
      </w:r>
      <w:r w:rsidR="00C869E3" w:rsidRPr="00C756E1">
        <w:rPr>
          <w:rFonts w:ascii="Times New Roman" w:eastAsia="Calibri" w:hAnsi="Times New Roman"/>
          <w:szCs w:val="24"/>
        </w:rPr>
        <w:t xml:space="preserve"> (sk.1.tabulu), ir samazināta attiecīgi par 2,0</w:t>
      </w:r>
      <w:r w:rsidR="001361E8" w:rsidRPr="00C756E1">
        <w:rPr>
          <w:rFonts w:ascii="Times New Roman" w:eastAsia="Calibri" w:hAnsi="Times New Roman"/>
          <w:szCs w:val="24"/>
        </w:rPr>
        <w:t>%</w:t>
      </w:r>
      <w:r w:rsidRPr="00C756E1">
        <w:rPr>
          <w:rFonts w:ascii="Times New Roman" w:hAnsi="Times New Roman"/>
          <w:szCs w:val="24"/>
        </w:rPr>
        <w:t xml:space="preserve"> un </w:t>
      </w:r>
      <w:r w:rsidR="00C869E3" w:rsidRPr="00C756E1">
        <w:rPr>
          <w:rFonts w:ascii="Times New Roman" w:eastAsia="Calibri" w:hAnsi="Times New Roman"/>
          <w:szCs w:val="24"/>
        </w:rPr>
        <w:t>2,4% no IKP. Izmaiņas galvenokārt noteica aktualizētās ekonomikas attīstības prognozes un precizēta</w:t>
      </w:r>
      <w:r w:rsidR="001361E8" w:rsidRPr="00C756E1">
        <w:rPr>
          <w:rFonts w:ascii="Times New Roman" w:eastAsia="Calibri" w:hAnsi="Times New Roman"/>
          <w:szCs w:val="24"/>
        </w:rPr>
        <w:t xml:space="preserve"> </w:t>
      </w:r>
      <w:r w:rsidRPr="00C756E1">
        <w:rPr>
          <w:rFonts w:ascii="Times New Roman" w:hAnsi="Times New Roman"/>
          <w:szCs w:val="24"/>
        </w:rPr>
        <w:t xml:space="preserve">aizņemšanās </w:t>
      </w:r>
      <w:r w:rsidR="00C869E3" w:rsidRPr="00C756E1">
        <w:rPr>
          <w:rFonts w:ascii="Times New Roman" w:eastAsia="Calibri" w:hAnsi="Times New Roman"/>
          <w:szCs w:val="24"/>
        </w:rPr>
        <w:t>stratēģija</w:t>
      </w:r>
      <w:r w:rsidRPr="00C756E1">
        <w:rPr>
          <w:rFonts w:ascii="Times New Roman" w:hAnsi="Times New Roman"/>
          <w:szCs w:val="24"/>
        </w:rPr>
        <w:t xml:space="preserve"> vidējam termiņam</w:t>
      </w:r>
      <w:r w:rsidR="001361E8" w:rsidRPr="00C756E1">
        <w:rPr>
          <w:rFonts w:ascii="Times New Roman" w:hAnsi="Times New Roman"/>
          <w:szCs w:val="24"/>
        </w:rPr>
        <w:t>.</w:t>
      </w:r>
      <w:r w:rsidR="000B788C" w:rsidRPr="00C756E1">
        <w:rPr>
          <w:rFonts w:ascii="Times New Roman" w:hAnsi="Times New Roman"/>
          <w:szCs w:val="24"/>
        </w:rPr>
        <w:br w:type="page"/>
      </w:r>
    </w:p>
    <w:p w:rsidR="005536A9" w:rsidRPr="00F51615" w:rsidRDefault="005536A9" w:rsidP="00095171">
      <w:pPr>
        <w:pStyle w:val="Heading1"/>
        <w:numPr>
          <w:ilvl w:val="0"/>
          <w:numId w:val="22"/>
        </w:numPr>
        <w:ind w:left="284" w:hanging="283"/>
        <w:jc w:val="center"/>
        <w:rPr>
          <w:rFonts w:ascii="Times New Roman" w:hAnsi="Times New Roman" w:cs="Times New Roman"/>
          <w:sz w:val="32"/>
        </w:rPr>
      </w:pPr>
      <w:bookmarkStart w:id="53" w:name="_Toc510790672"/>
      <w:bookmarkStart w:id="54" w:name="_Toc511027832"/>
      <w:r w:rsidRPr="00F51615">
        <w:rPr>
          <w:rFonts w:ascii="Times New Roman" w:hAnsi="Times New Roman" w:cs="Times New Roman"/>
          <w:sz w:val="32"/>
        </w:rPr>
        <w:lastRenderedPageBreak/>
        <w:t>Valsts finanšu kvalitāte</w:t>
      </w:r>
      <w:bookmarkEnd w:id="53"/>
      <w:bookmarkEnd w:id="54"/>
    </w:p>
    <w:p w:rsidR="00A34463" w:rsidRDefault="00A34463" w:rsidP="004301DE">
      <w:pPr>
        <w:pStyle w:val="Heading2"/>
        <w:numPr>
          <w:ilvl w:val="1"/>
          <w:numId w:val="22"/>
        </w:numPr>
        <w:spacing w:before="120" w:after="120" w:line="240" w:lineRule="auto"/>
        <w:ind w:left="1134" w:hanging="425"/>
        <w:jc w:val="both"/>
        <w:rPr>
          <w:rFonts w:ascii="Times New Roman" w:hAnsi="Times New Roman" w:cs="Times New Roman"/>
        </w:rPr>
      </w:pPr>
      <w:bookmarkStart w:id="55" w:name="_Toc510790673"/>
      <w:bookmarkStart w:id="56" w:name="_Toc511027833"/>
      <w:r w:rsidRPr="00551458">
        <w:rPr>
          <w:rFonts w:ascii="Times New Roman" w:hAnsi="Times New Roman" w:cs="Times New Roman"/>
        </w:rPr>
        <w:t>Valsts budžeta līdzekļu efektivitāte un izlietojuma kontrole</w:t>
      </w:r>
      <w:bookmarkEnd w:id="55"/>
      <w:bookmarkEnd w:id="56"/>
    </w:p>
    <w:p w:rsidR="00E10BBE" w:rsidRPr="00E10BBE" w:rsidRDefault="00E10BBE" w:rsidP="00E10BBE">
      <w:pPr>
        <w:pStyle w:val="Default"/>
        <w:ind w:firstLine="720"/>
        <w:jc w:val="both"/>
        <w:rPr>
          <w:color w:val="auto"/>
        </w:rPr>
      </w:pPr>
      <w:r w:rsidRPr="00E10BBE">
        <w:t>Valsts budžeta izstrādāšanas, apstiprināšanas un izpildes kārtību un atbildību budžeta procesā nosaka LBFV.</w:t>
      </w:r>
    </w:p>
    <w:p w:rsidR="00E10BBE" w:rsidRPr="001361E8" w:rsidRDefault="00E10BBE" w:rsidP="00E10BBE">
      <w:pPr>
        <w:pStyle w:val="Default"/>
        <w:ind w:firstLine="720"/>
        <w:jc w:val="both"/>
      </w:pPr>
      <w:r w:rsidRPr="00E10BBE">
        <w:t xml:space="preserve">Saskaņā ar LBFV finanšu ministrs nodrošina gadskārtējā valsts budžeta likuma projekta izstrādi, </w:t>
      </w:r>
      <w:r w:rsidRPr="00E10BBE">
        <w:rPr>
          <w:color w:val="auto"/>
        </w:rPr>
        <w:t>pamatojoties uz vidēja termiņa budžeta ietvara likumu un budžeta pieprasījumiem. Finanšu ministrs izvērtē budžeta pieprasījumu atbilstību vidēja termiņa budžeta ietvara likumā noteiktajiem budžeta mērķiem un prioritārajiem attīstības virzieniem, kā arī  ekonomiskuma un efektivitātes principiem un, ja nepieciešams, pieprasa papildu informāciju. Pamatojoties uz izvērtējumu</w:t>
      </w:r>
      <w:r w:rsidRPr="00E10BBE">
        <w:t xml:space="preserve"> un sniegto informāciju, finanšu ministrs (līdz gadskārtējā valsts budžeta likuma projekta iesniegšanai MK) pieņem lēmumu par budžeta pieprasījumu iekļaušanu gadskārtējā valsts budžeta likuma projektā. Finanšu ministrs jebkurā valsts budžeta likuma projekta izskatīšanas stadijā var izteikt savu viedokli, pievienot nepieciešamos atzinumus, kā arī atsevišķu revīziju rezultātus.</w:t>
      </w:r>
    </w:p>
    <w:p w:rsidR="00E10BBE" w:rsidRPr="00E10BBE" w:rsidRDefault="00E10BBE" w:rsidP="00E10BBE">
      <w:pPr>
        <w:pStyle w:val="Default"/>
        <w:ind w:firstLine="720"/>
        <w:jc w:val="both"/>
        <w:rPr>
          <w:color w:val="auto"/>
        </w:rPr>
      </w:pPr>
      <w:r w:rsidRPr="00E10BBE">
        <w:rPr>
          <w:color w:val="auto"/>
        </w:rPr>
        <w:t>Finanšu ministrs</w:t>
      </w:r>
      <w:r w:rsidRPr="00E10BBE">
        <w:t xml:space="preserve"> </w:t>
      </w:r>
      <w:r w:rsidRPr="00E10BBE">
        <w:rPr>
          <w:color w:val="auto"/>
        </w:rPr>
        <w:t>ir arī atbildīgs</w:t>
      </w:r>
      <w:r w:rsidRPr="00E10BBE">
        <w:t xml:space="preserve"> par valsts budžeta izpildes procesa organizāciju un vadību, </w:t>
      </w:r>
      <w:r w:rsidRPr="00E10BBE">
        <w:rPr>
          <w:color w:val="auto"/>
        </w:rPr>
        <w:t xml:space="preserve">kā arī </w:t>
      </w:r>
      <w:r w:rsidR="00824FFC">
        <w:rPr>
          <w:color w:val="auto"/>
        </w:rPr>
        <w:t>VK</w:t>
      </w:r>
      <w:r w:rsidRPr="00E10BBE">
        <w:rPr>
          <w:color w:val="auto"/>
        </w:rPr>
        <w:t xml:space="preserve"> darbības uzraudzību atbilstoši LBFV prasībām.</w:t>
      </w:r>
    </w:p>
    <w:p w:rsidR="00E10BBE" w:rsidRPr="00E10BBE" w:rsidRDefault="00E10BBE" w:rsidP="00E10BBE">
      <w:pPr>
        <w:pStyle w:val="Default"/>
        <w:ind w:firstLine="720"/>
        <w:jc w:val="both"/>
      </w:pPr>
      <w:r w:rsidRPr="00E10BBE">
        <w:t xml:space="preserve">Finanšu ministrs informē Saeimas Budžeta un finanšu (nodokļu) komisiju gadskārtējā valsts budžeta likumprojekta vai tā grozījumu izstrādes procesa laikā par valsts budžeta plānošanas gaitu, kā arī ne retāk kā reizi ceturksnī </w:t>
      </w:r>
      <w:r w:rsidR="000C3005" w:rsidRPr="00F14E08">
        <w:rPr>
          <w:rFonts w:eastAsia="Calibri"/>
        </w:rPr>
        <w:t>–</w:t>
      </w:r>
      <w:r w:rsidRPr="00E10BBE">
        <w:t xml:space="preserve"> par valsts budžeta izpildes gaitu.</w:t>
      </w:r>
    </w:p>
    <w:p w:rsidR="00E10BBE" w:rsidRPr="00E10BBE" w:rsidRDefault="00E10BBE" w:rsidP="00E10BBE">
      <w:pPr>
        <w:pStyle w:val="Default"/>
        <w:ind w:firstLine="720"/>
        <w:jc w:val="both"/>
      </w:pPr>
      <w:r w:rsidRPr="00E10BBE">
        <w:rPr>
          <w:color w:val="auto"/>
        </w:rPr>
        <w:t>Sa</w:t>
      </w:r>
      <w:r w:rsidRPr="00E10BBE">
        <w:t xml:space="preserve">skaņā ar LBFV budžeta finansētu institūciju, budžeta nefinansētu iestāžu un pašvaldību, kā arī kapitālsabiedrību, kurās ieguldīta valsts vai pašvaldību kapitāla daļa, vadītāji ir atbildīgi par minētajā likumā noteiktās kārtības un prasību ievērošanu, izpildi un kontroli, kā arī par budžeta līdzekļu efektīvu un ekonomisku izlietošanu atbilstoši paredzētajiem mērķiem. </w:t>
      </w:r>
    </w:p>
    <w:p w:rsidR="00E10BBE" w:rsidRPr="00E10BBE" w:rsidRDefault="00E10BBE" w:rsidP="00E10BBE">
      <w:pPr>
        <w:pStyle w:val="Default"/>
        <w:ind w:firstLine="720"/>
        <w:jc w:val="both"/>
      </w:pPr>
      <w:r w:rsidRPr="00E10BBE">
        <w:rPr>
          <w:color w:val="auto"/>
        </w:rPr>
        <w:t xml:space="preserve">Ar 2016.gada 1.janvāri LBFV ir iekļauta norma, kas paredz MK nodrošināt pastāvīgu un sistemātisku valsts budžeta izdevumu pārskatīšanu, ļaujot efektīvāk un ekonomiskāk īstenot valsts politiku, kā arī optimizēt budžeta izdevumus un izvērtēt to atbilstību attīstības plānošanas dokumentos noteiktajām prioritātēm un mērķiem. </w:t>
      </w:r>
      <w:r w:rsidRPr="00E10BBE">
        <w:t>MK ik gadu pieņem lēmumu par valsts budžeta izdevumu pārskatīšanas tvērumu vienlaikus ar budžeta sagatavošanas grafika apstiprināšanu. Savukārt, finanšu ministrs atbilstoši minētajam grafikam iesniedz MK valsts budžeta izdevumu pārskatīšanas rezultātus un priekšlikumus par šo rezultātu izmantošanu vidēja termiņa budžeta ietvara likuma projekta un gadskārtējā valsts budžeta likuma projekta izstrādes procesā.</w:t>
      </w:r>
    </w:p>
    <w:p w:rsidR="00E10BBE" w:rsidRPr="00E10BBE" w:rsidRDefault="00E10BBE" w:rsidP="00E10BBE">
      <w:pPr>
        <w:pStyle w:val="Default"/>
        <w:ind w:firstLine="720"/>
        <w:jc w:val="both"/>
        <w:rPr>
          <w:color w:val="auto"/>
        </w:rPr>
      </w:pPr>
      <w:r w:rsidRPr="00E10BBE">
        <w:t>Valsts budžetu veido</w:t>
      </w:r>
      <w:r w:rsidRPr="00E10BBE">
        <w:rPr>
          <w:color w:val="auto"/>
        </w:rPr>
        <w:t xml:space="preserve"> budžeta programmas, kuru struktūru nosaka institūcijas darbības stratēģijā definētie darbības (rīcības) virzieni vai ministrijas</w:t>
      </w:r>
      <w:r w:rsidR="009338DB">
        <w:rPr>
          <w:color w:val="auto"/>
        </w:rPr>
        <w:t>,</w:t>
      </w:r>
      <w:r w:rsidRPr="00E10BBE">
        <w:rPr>
          <w:color w:val="auto"/>
        </w:rPr>
        <w:t xml:space="preserve"> vai citas centrālās valsts iestādes nolikumā noteiktās funkcijas. Tādējādi tiek veidota sasaiste budžeta izstrādei ar politikas plānošanu, jo viens no institūciju darbības stratēģijas uzdevumiem vidējā termiņā ir panākt, ka budžeta programmas nodrošina attīstības plānošanas dokumentos izvirzīto mērķu un plānoto rezultātu un to rezultatīvo rādītāju sasniegšanu. Ministrijas un citas centrālās valsts iestādes katru gadu iekļauj budžeta pieprasījumos valsts budžeta programmu darbības rezultātus, kurus</w:t>
      </w:r>
      <w:r w:rsidRPr="00E10BBE">
        <w:t xml:space="preserve"> </w:t>
      </w:r>
      <w:r w:rsidRPr="00E10BBE">
        <w:rPr>
          <w:color w:val="auto"/>
        </w:rPr>
        <w:t xml:space="preserve">pēc iespējas veido attīstības plānošanas dokumentos plānotie darbības rezultāti un to rezultatīvie rādītāji. Jāatzīmē, ka 2017. un 2018.gadā ir veikti grozījumi normatīvajā aktā, kas pilnveido līdzšinējo budžeta paskaidrojumu saturu ar mērķi sniegt informāciju par valsts budžetu kā politikas realizācijas instrumentu, kā arī palielina budžeta paskaidrojumos esošās informācijas uztveramību. Būtiskākais jauninājums ir Politikas un resursu vadības karšu ieviešana, ar kuru palīdzību tiek sniegts priekšstats par nozaru politiku rezultātu sasniegšanā </w:t>
      </w:r>
      <w:r w:rsidRPr="00E10BBE">
        <w:rPr>
          <w:color w:val="auto"/>
        </w:rPr>
        <w:lastRenderedPageBreak/>
        <w:t>ieguldītajiem resursiem (finanšu un cilvēkresursiem) un par nozares darbības rezultātā sniegto labumu sabiedrībai.</w:t>
      </w:r>
    </w:p>
    <w:p w:rsidR="00E10BBE" w:rsidRPr="00E10BBE" w:rsidRDefault="00E10BBE" w:rsidP="00E10BBE">
      <w:pPr>
        <w:pStyle w:val="Default"/>
        <w:ind w:firstLine="720"/>
        <w:jc w:val="both"/>
        <w:rPr>
          <w:color w:val="auto"/>
        </w:rPr>
      </w:pPr>
      <w:r w:rsidRPr="00E10BBE">
        <w:rPr>
          <w:color w:val="auto"/>
        </w:rPr>
        <w:t xml:space="preserve">Papildus jaunais budžeta formāts ir devis iespēju interaktīvā un uzskatāmākā veidā informēt Latvijas iedzīvotājus par to, kādās jomās un kādā apmērā tiek ieguldīta nodokļu maksātāju nauda un kādi rezultāti sagaidāmi. Ikvienam interesentam FM tīmekļa vietnē ir pieejama: </w:t>
      </w:r>
    </w:p>
    <w:p w:rsidR="00E10BBE" w:rsidRPr="00E10BBE" w:rsidRDefault="00E10BBE" w:rsidP="00747DC7">
      <w:pPr>
        <w:pStyle w:val="Default"/>
        <w:numPr>
          <w:ilvl w:val="0"/>
          <w:numId w:val="13"/>
        </w:numPr>
        <w:ind w:left="993" w:hanging="284"/>
        <w:jc w:val="both"/>
      </w:pPr>
      <w:r w:rsidRPr="00E10BBE">
        <w:t>interaktīvā budžeta infografika, kas ļauj lietotājam iepazīties ar deviņām budžeta ieguldījuma jomām (piemēram, veselība, izglītība, sociālā aizsardzība u.c.) un tām novirzīto finansējumu, kā arī uzzināt detalizētu informāciju par ieguldījuma virzieniem katrā no nozarēm un finansējuma avotiem. Papildus tiek sniegta informācija par rezultātiem, kuri sagaidāmi no valsts budžeta finansējuma ieguldīšanas attiecīgajā jomā;</w:t>
      </w:r>
    </w:p>
    <w:p w:rsidR="00E10BBE" w:rsidRPr="00E10BBE" w:rsidRDefault="00E10BBE" w:rsidP="00747DC7">
      <w:pPr>
        <w:pStyle w:val="Default"/>
        <w:numPr>
          <w:ilvl w:val="0"/>
          <w:numId w:val="13"/>
        </w:numPr>
        <w:ind w:left="993" w:hanging="284"/>
        <w:jc w:val="both"/>
      </w:pPr>
      <w:r w:rsidRPr="00E10BBE">
        <w:t xml:space="preserve">vizualizēti ministriju un citu centrālo iestāžu budžeti gan kopsavilkumā, gan detalizēti. Lietotājs var iepazīties ar ministriju un citu centrālo iestāžu darbības jomām un tām novirzīto finansējumu, kā arī gūt priekšstatu par nozares darbības rezultātā sniegto labumu sabiedrībai. Tas tiek atspoguļots politikas un resursu vadības kartēs, kurās vienkopus ir sniegta iespējami aptveroša un raksturojoša informācija par nozares darbu attiecīgajā jomā – mērķis, tā sasniegšanā ieguldāmie resursi (angļu val. – </w:t>
      </w:r>
      <w:r w:rsidRPr="00E10BBE">
        <w:rPr>
          <w:i/>
        </w:rPr>
        <w:t>inputs</w:t>
      </w:r>
      <w:r w:rsidRPr="00E10BBE">
        <w:t xml:space="preserve">), sagaidāmie darbības rezultāti (angļu val. – </w:t>
      </w:r>
      <w:r w:rsidRPr="00E10BBE">
        <w:rPr>
          <w:i/>
        </w:rPr>
        <w:t>outputs</w:t>
      </w:r>
      <w:r w:rsidRPr="00E10BBE">
        <w:t xml:space="preserve">) un augstākā līmeņa sasniedzamie nozaru politikas un kvalitātes rādītāji (angļu val. – </w:t>
      </w:r>
      <w:r w:rsidRPr="00E10BBE">
        <w:rPr>
          <w:i/>
        </w:rPr>
        <w:t>outcomes</w:t>
      </w:r>
      <w:r w:rsidRPr="00E10BBE">
        <w:t>).</w:t>
      </w:r>
    </w:p>
    <w:p w:rsidR="00E10BBE" w:rsidRPr="00E10BBE" w:rsidRDefault="00E10BBE" w:rsidP="00E10BBE">
      <w:pPr>
        <w:pStyle w:val="Default"/>
        <w:ind w:firstLine="720"/>
        <w:jc w:val="both"/>
        <w:rPr>
          <w:color w:val="auto"/>
        </w:rPr>
      </w:pPr>
      <w:r w:rsidRPr="00E10BBE">
        <w:rPr>
          <w:color w:val="auto"/>
        </w:rPr>
        <w:t>Sagatavojot pārskatu par valsts budžeta izpildes analīzi, ministrijas un citas centrālās valsts iestādes sniedz skaidrojumus par iepriekš plānotajiem darbības rezultātiem un to rezultatīvajiem rādītājiem, to izpildi gada laikā, kā arī par rezultatīvo rādītāju vērtību izpildes novirzēm no plānotajām rezultatīvo rādītāju vērtībām, kas pārsniedz 15 procentus (gan pozitīvā, gan negatīvā nozīmē). FM apkopo, izvērtē un nodrošina valsts budžeta programmu (apakšprogrammu) darbības rezultātu un to rezultatīvo rādītāju uzkrāšanu.</w:t>
      </w:r>
    </w:p>
    <w:p w:rsidR="00E10BBE" w:rsidRPr="00E10BBE" w:rsidRDefault="00E10BBE" w:rsidP="00E10BBE">
      <w:pPr>
        <w:pStyle w:val="Default"/>
        <w:ind w:firstLine="720"/>
        <w:jc w:val="both"/>
        <w:rPr>
          <w:color w:val="auto"/>
        </w:rPr>
      </w:pPr>
      <w:r w:rsidRPr="00E10BBE">
        <w:rPr>
          <w:color w:val="auto"/>
        </w:rPr>
        <w:t>Ministrijas un citas centrālās valsts budžeta iestādes un pašvaldības MK noteiktajā kārtībā sagatavo un iesniedz VK mēneša, ceturkšņa un gada pārskatus, savukārt, VK kārto valsts budžeta finanšu uzskaiti. VK sagatavo regulārus oficiālos un operatīvos pārskatus un sniedz informāciju par valsts un pašvaldību budžetu izpildi, nodrošinot FM, citu iestāžu, kā arī sabiedrības informēšanu par budžeta izpildes gaitu.</w:t>
      </w:r>
    </w:p>
    <w:p w:rsidR="00E10BBE" w:rsidRPr="00E10BBE" w:rsidRDefault="00E10BBE" w:rsidP="00E10BBE">
      <w:pPr>
        <w:pStyle w:val="Default"/>
        <w:ind w:firstLine="720"/>
        <w:jc w:val="both"/>
      </w:pPr>
      <w:r w:rsidRPr="00E10BBE">
        <w:t>LBFV nosaka sekojošus valsts budžeta izpildes organizatoriskos aspektus:</w:t>
      </w:r>
    </w:p>
    <w:p w:rsidR="00E10BBE" w:rsidRPr="00E10BBE" w:rsidRDefault="00E10BBE" w:rsidP="00747DC7">
      <w:pPr>
        <w:pStyle w:val="Default"/>
        <w:numPr>
          <w:ilvl w:val="0"/>
          <w:numId w:val="13"/>
        </w:numPr>
        <w:ind w:left="993" w:hanging="284"/>
        <w:jc w:val="both"/>
        <w:rPr>
          <w:color w:val="auto"/>
        </w:rPr>
      </w:pPr>
      <w:r w:rsidRPr="00E10BBE">
        <w:t xml:space="preserve">valsts budžeta izpildītāji var veikt valsts budžeta izdevumus vai uzņemties īstermiņa saistības tikai to finansēšanas plānos noteikto asignējumu ietvaros, kurus izsniedz VK. Savukārt VK piešķir asignējumus izdevumiem, pamatojoties uz gadskārtējā valsts budžeta likumā noteikto apropriāciju un nodrošina to izpildi MK noteiktajā kārtībā. </w:t>
      </w:r>
      <w:r w:rsidRPr="00E10BBE">
        <w:rPr>
          <w:color w:val="auto"/>
        </w:rPr>
        <w:t>Ministrijas un citas centrālās valsts iestādes ir atbildīgas par gadskārtējā valsts budžeta likumā noteiktās apropriācijas izpildes kontroles sistēmas izveidi un par VK norēķinu kontos ieskaitīto valsts budžeta līdzekļu izlietojuma kontroli atbilstoši paredzētajiem mērķiem;</w:t>
      </w:r>
    </w:p>
    <w:p w:rsidR="00E10BBE" w:rsidRPr="00E10BBE" w:rsidRDefault="00E10BBE" w:rsidP="00747DC7">
      <w:pPr>
        <w:pStyle w:val="Default"/>
        <w:numPr>
          <w:ilvl w:val="0"/>
          <w:numId w:val="13"/>
        </w:numPr>
        <w:ind w:left="993" w:hanging="284"/>
        <w:jc w:val="both"/>
      </w:pPr>
      <w:r w:rsidRPr="00E10BBE">
        <w:t>budžeta iestādes var uzņemties valsts budžeta ilgtermiņa saistības, nepārsniedzot saimnieciskā gada valsts budžeta likumā noteiktos valsts budžeta ilgtermiņa saistību maksimāli pieļaujamos apjomus;</w:t>
      </w:r>
    </w:p>
    <w:p w:rsidR="00E10BBE" w:rsidRPr="00E10BBE" w:rsidRDefault="00E10BBE" w:rsidP="00747DC7">
      <w:pPr>
        <w:pStyle w:val="Default"/>
        <w:numPr>
          <w:ilvl w:val="0"/>
          <w:numId w:val="13"/>
        </w:numPr>
        <w:ind w:left="993" w:hanging="284"/>
        <w:jc w:val="both"/>
        <w:rPr>
          <w:color w:val="auto"/>
        </w:rPr>
      </w:pPr>
      <w:r w:rsidRPr="00E10BBE">
        <w:rPr>
          <w:color w:val="auto"/>
        </w:rPr>
        <w:t xml:space="preserve">valsts budžeta iestādes asignējumu saņemšanai un izdevumu veikšanai no valsts budžeta līdzekļiem atver valsts pamatbudžeta un valsts speciālā budžeta kontus tikai VK. Budžeta nefinansētas iestādes atver norēķinu kontus tikai VK. Valsts budžeta līdzekļu saņemšanai un no tiem finansēto izdevumu izdarīšanai budžeta finansētas institūcijas (izņemot valsts budžeta iestādes) atver norēķinu kontus tikai </w:t>
      </w:r>
      <w:r w:rsidRPr="00E10BBE">
        <w:rPr>
          <w:color w:val="auto"/>
        </w:rPr>
        <w:lastRenderedPageBreak/>
        <w:t>VK, ja citos normatīvajos aktos nav noteikts citādi. Pašvaldības un no valsts budžeta daļēji finansētas atvasinātas publiskas personas, kā arī kapitālsabiedrības, kurās ieguldīta valsts vai pašvaldību kapitāla daļa, var atvērt norēķinu kontus VK;</w:t>
      </w:r>
    </w:p>
    <w:p w:rsidR="00E10BBE" w:rsidRPr="00E10BBE" w:rsidRDefault="00E10BBE" w:rsidP="00747DC7">
      <w:pPr>
        <w:pStyle w:val="Default"/>
        <w:numPr>
          <w:ilvl w:val="0"/>
          <w:numId w:val="13"/>
        </w:numPr>
        <w:ind w:left="993" w:hanging="284"/>
        <w:jc w:val="both"/>
      </w:pPr>
      <w:r w:rsidRPr="00E10BBE">
        <w:t>ministrijas un citas centrālās valsts budžeta iestādes un pašvaldības MK noteiktajā kārtībā sagatavo un iesniedz VK mēneša, ceturkšņa un gada pārskatus, savukārt, VK kārto valsts budžeta finanšu uzskaiti. VK sagatavo regulārus oficiālos un operatīvos pārskatus un sniedz informāciju par valsts un pašvaldību budžetu izpildi, nodrošinot FM, citu iestāžu, kā arī sabiedrības informēšanu par budžeta izpildes gaitu.</w:t>
      </w:r>
    </w:p>
    <w:p w:rsidR="00E10BBE" w:rsidRPr="00E10BBE" w:rsidRDefault="00E10BBE" w:rsidP="00495C47">
      <w:pPr>
        <w:pStyle w:val="Default"/>
        <w:spacing w:before="120"/>
        <w:ind w:firstLine="720"/>
        <w:jc w:val="both"/>
        <w:rPr>
          <w:color w:val="auto"/>
        </w:rPr>
      </w:pPr>
      <w:r w:rsidRPr="00E10BBE">
        <w:rPr>
          <w:color w:val="auto"/>
        </w:rPr>
        <w:t>Lai stiprinātu līdzekļu izlietojuma kontroles iespējas, LBFV ir ietverta norma, kas nosaka, ka finanšu ministram ir tiesības dot rīkojumu VK aizkavēt vai samazināt asignējumu uz laiku līdz trim mēnešiem, ja finanšu ministrs ir saņēmis rakstveida ziņojumu par vismaz viena šāda nosacījuma iestāšanos:</w:t>
      </w:r>
    </w:p>
    <w:p w:rsidR="00E10BBE" w:rsidRPr="00E10BBE" w:rsidRDefault="00E10BBE" w:rsidP="001D6D6D">
      <w:pPr>
        <w:pStyle w:val="Default"/>
        <w:numPr>
          <w:ilvl w:val="0"/>
          <w:numId w:val="9"/>
        </w:numPr>
        <w:ind w:left="993"/>
        <w:jc w:val="both"/>
        <w:rPr>
          <w:color w:val="auto"/>
        </w:rPr>
      </w:pPr>
      <w:r w:rsidRPr="00E10BBE">
        <w:rPr>
          <w:color w:val="auto"/>
        </w:rPr>
        <w:t>triju mēnešu periodā valsts budžeta nodokļu un ne</w:t>
      </w:r>
      <w:r w:rsidR="004301DE" w:rsidRPr="004301DE">
        <w:rPr>
          <w:color w:val="auto"/>
        </w:rPr>
        <w:t>–</w:t>
      </w:r>
      <w:r w:rsidRPr="00E10BBE">
        <w:rPr>
          <w:color w:val="auto"/>
        </w:rPr>
        <w:t>nodokļu faktiskie ieņēmumi attiecībā pret attiecīgajā periodā paredzētajiem ieņēmumie</w:t>
      </w:r>
      <w:r w:rsidR="00824FFC">
        <w:rPr>
          <w:color w:val="auto"/>
        </w:rPr>
        <w:t>m samazinās vairāk nekā par 0,5</w:t>
      </w:r>
      <w:r w:rsidRPr="00E10BBE">
        <w:rPr>
          <w:color w:val="auto"/>
        </w:rPr>
        <w:t>% no gadskārtējā valsts budžeta likumā noteiktās IKP prognozes;</w:t>
      </w:r>
    </w:p>
    <w:p w:rsidR="00E10BBE" w:rsidRPr="00E10BBE" w:rsidRDefault="00E10BBE" w:rsidP="00747DC7">
      <w:pPr>
        <w:pStyle w:val="Default"/>
        <w:numPr>
          <w:ilvl w:val="0"/>
          <w:numId w:val="9"/>
        </w:numPr>
        <w:ind w:left="993" w:hanging="284"/>
        <w:jc w:val="both"/>
        <w:rPr>
          <w:color w:val="auto"/>
        </w:rPr>
      </w:pPr>
      <w:r w:rsidRPr="00E10BBE">
        <w:rPr>
          <w:color w:val="auto"/>
        </w:rPr>
        <w:t>faktiskais uzkrātais valsts budžeta finansiālais deficīts triju mēnešu periodā pārsniedz attiecīgajam periodam paredzēto valsts budžeta finansiālo deficī</w:t>
      </w:r>
      <w:r w:rsidR="00824FFC">
        <w:rPr>
          <w:color w:val="auto"/>
        </w:rPr>
        <w:t>tu vairāk nekā par 0,5</w:t>
      </w:r>
      <w:r w:rsidRPr="00E10BBE">
        <w:rPr>
          <w:color w:val="auto"/>
        </w:rPr>
        <w:t>% no gadskārtējā valsts budžeta likumā noteiktās IKP prognozes;</w:t>
      </w:r>
    </w:p>
    <w:p w:rsidR="00E10BBE" w:rsidRPr="00E10BBE" w:rsidRDefault="00E10BBE" w:rsidP="00747DC7">
      <w:pPr>
        <w:pStyle w:val="Default"/>
        <w:numPr>
          <w:ilvl w:val="0"/>
          <w:numId w:val="9"/>
        </w:numPr>
        <w:ind w:left="993" w:hanging="284"/>
        <w:jc w:val="both"/>
        <w:rPr>
          <w:color w:val="auto"/>
        </w:rPr>
      </w:pPr>
      <w:r w:rsidRPr="00E10BBE">
        <w:rPr>
          <w:color w:val="auto"/>
        </w:rPr>
        <w:t xml:space="preserve">ja VK budžeta kontos nav pietiekama līdzekļu apjoma, lai segtu nākamajam mēnesim plānotās maksājumu saistības. </w:t>
      </w:r>
    </w:p>
    <w:p w:rsidR="00E10BBE" w:rsidRPr="00E10BBE" w:rsidRDefault="00E10BBE" w:rsidP="00353DFF">
      <w:pPr>
        <w:pStyle w:val="Default"/>
        <w:ind w:left="993" w:hanging="284"/>
        <w:jc w:val="both"/>
        <w:rPr>
          <w:color w:val="auto"/>
        </w:rPr>
      </w:pPr>
      <w:r w:rsidRPr="00E10BBE">
        <w:rPr>
          <w:color w:val="auto"/>
        </w:rPr>
        <w:t xml:space="preserve">Galvenās LBFV noteiktās sankcijas par neatbilstošu rīcību ar budžeta līdzekļiem: </w:t>
      </w:r>
    </w:p>
    <w:p w:rsidR="00E10BBE" w:rsidRPr="00E10BBE" w:rsidRDefault="00E10BBE" w:rsidP="00747DC7">
      <w:pPr>
        <w:pStyle w:val="Default"/>
        <w:numPr>
          <w:ilvl w:val="0"/>
          <w:numId w:val="10"/>
        </w:numPr>
        <w:ind w:left="993" w:hanging="284"/>
        <w:jc w:val="both"/>
        <w:rPr>
          <w:color w:val="auto"/>
        </w:rPr>
      </w:pPr>
      <w:r w:rsidRPr="00E10BBE">
        <w:rPr>
          <w:color w:val="auto"/>
        </w:rPr>
        <w:t>par valsts budžetam pienākošos summu nesavlaicīgu vai nepilnīgu iemaksu VK budžeta kontos – VK (ja tas nav paredzēts citas valsts institūcijas kompetencē) piedzen iemaksāšanai pamatbudžeta ieņēmumos neiemaksāto summu un v</w:t>
      </w:r>
      <w:r w:rsidR="000C3005">
        <w:rPr>
          <w:color w:val="auto"/>
        </w:rPr>
        <w:t>ar piedzīt nokavējuma naudu 0,1</w:t>
      </w:r>
      <w:r w:rsidRPr="00E10BBE">
        <w:rPr>
          <w:color w:val="auto"/>
        </w:rPr>
        <w:t>%</w:t>
      </w:r>
      <w:r w:rsidR="000C3005">
        <w:rPr>
          <w:color w:val="auto"/>
        </w:rPr>
        <w:t xml:space="preserve"> </w:t>
      </w:r>
      <w:r w:rsidRPr="00E10BBE">
        <w:rPr>
          <w:color w:val="auto"/>
        </w:rPr>
        <w:t xml:space="preserve">apmērā no laikā nenomaksātās summas par katru nokavēto maksājuma dienu, ja normatīvajos aktos nav noteikta cita kārtība; </w:t>
      </w:r>
    </w:p>
    <w:p w:rsidR="00E10BBE" w:rsidRPr="00E10BBE" w:rsidRDefault="00E10BBE" w:rsidP="00747DC7">
      <w:pPr>
        <w:pStyle w:val="Default"/>
        <w:numPr>
          <w:ilvl w:val="0"/>
          <w:numId w:val="10"/>
        </w:numPr>
        <w:ind w:left="993" w:hanging="284"/>
        <w:jc w:val="both"/>
        <w:rPr>
          <w:color w:val="auto"/>
        </w:rPr>
      </w:pPr>
      <w:r w:rsidRPr="00E10BBE">
        <w:rPr>
          <w:color w:val="auto"/>
        </w:rPr>
        <w:t xml:space="preserve">ja jāsedz budžetam radušies zaudējumi – VK var ieskaitīt summas pamatbudžeta ieņēmumos, atsaukt vai apturēt asignējumus, ja nav laikā iesniegti vai ir nepilnīgi ziņojumi par budžetu un finanšu vadību, ja likumā noteiktajā kārtībā nav reģistrēti budžeta līdzekļi un darījumi ar šiem līdzekļiem, kā arī nav ziņots par tiem, ja uzskaite neatbilst noteiktajai kārtībai un tādējādi tiek slēpti budžetam pienākošie līdzekļi, kā arī, ja budžeta finansētas institūcijas vadītājs ir uzņēmies saistības, pārsniedzot VK sniegto asignējumu; </w:t>
      </w:r>
    </w:p>
    <w:p w:rsidR="00E10BBE" w:rsidRPr="00E10BBE" w:rsidRDefault="00E10BBE" w:rsidP="00747DC7">
      <w:pPr>
        <w:pStyle w:val="Default"/>
        <w:numPr>
          <w:ilvl w:val="0"/>
          <w:numId w:val="10"/>
        </w:numPr>
        <w:ind w:left="993" w:hanging="284"/>
        <w:jc w:val="both"/>
        <w:rPr>
          <w:color w:val="auto"/>
        </w:rPr>
      </w:pPr>
      <w:r w:rsidRPr="00E10BBE">
        <w:rPr>
          <w:color w:val="auto"/>
        </w:rPr>
        <w:t>ja budžeta finansētas institūcijas, budžeta nefinansētas iestādes un pašvaldības, kā arī kapitālsabiedrības, kurās ir ieguldīta valsts vai pašvaldību kapitāla daļa, ir pārkāpušas LBFV paredzētos finanšu vadības noteikumus, finanšu ministrs, VK pārvaldnieks, ministriju un citu centrālo valsts iestāžu vadītāji (atbilstoši savai kompetencei) var uz laiku atņemt pilnvarojumu asignēt vai rīkot budžeta ieņēmumus vai izdevumus, noteikt kontu lietošanas ierobežojumus, atsaukt vai apturēt asignējumus, lai tiktu atlīdzināti nelikumīgi izlietotie līdzekļi, vai arī pieprasīt nelikumīgi izlietoto līdzekļu atmaksāšanu, iesniegt tiesā civilprasību vai nodot mater</w:t>
      </w:r>
      <w:r w:rsidR="0003523D">
        <w:rPr>
          <w:color w:val="auto"/>
        </w:rPr>
        <w:t>iālus kompetentajām amatpersonām,</w:t>
      </w:r>
      <w:r w:rsidRPr="00E10BBE">
        <w:rPr>
          <w:color w:val="auto"/>
        </w:rPr>
        <w:t xml:space="preserve"> jautājuma par kriminālprocesa uzsākšanu izlemšanai, kā arī </w:t>
      </w:r>
      <w:r w:rsidR="00824FFC">
        <w:rPr>
          <w:color w:val="auto"/>
        </w:rPr>
        <w:t>atsaukt vai apturēt maksājumus.</w:t>
      </w:r>
    </w:p>
    <w:p w:rsidR="00E10BBE" w:rsidRPr="00E10BBE" w:rsidRDefault="00E10BBE" w:rsidP="004301DE">
      <w:pPr>
        <w:pStyle w:val="Default"/>
        <w:spacing w:before="120"/>
        <w:ind w:firstLine="709"/>
        <w:jc w:val="both"/>
        <w:rPr>
          <w:color w:val="auto"/>
        </w:rPr>
      </w:pPr>
      <w:r w:rsidRPr="00E10BBE">
        <w:rPr>
          <w:color w:val="auto"/>
        </w:rPr>
        <w:t>Lai saglabātu vispārējo ekonomisko līdzsvaru un nodrošinātu vienotu valsts finansiālo politiku, gadskārtējā valsts budžeta likumā atsevišķi tiek noteikti pašvaldību aizņēmumu un galvojumu kopējā palielinājuma apjomi.</w:t>
      </w:r>
    </w:p>
    <w:p w:rsidR="00E10BBE" w:rsidRPr="00E10BBE" w:rsidRDefault="00E10BBE" w:rsidP="00353DFF">
      <w:pPr>
        <w:pStyle w:val="Default"/>
        <w:ind w:firstLine="709"/>
        <w:jc w:val="both"/>
        <w:rPr>
          <w:color w:val="auto"/>
        </w:rPr>
      </w:pPr>
      <w:r w:rsidRPr="00E10BBE">
        <w:rPr>
          <w:color w:val="auto"/>
        </w:rPr>
        <w:lastRenderedPageBreak/>
        <w:t xml:space="preserve">No summas, kas pašvaldībai pienākas no iedzīvotāju ienākuma nodokļa, vai no pašvaldību finanšu izlīdzināšanas fonda dotācijas VK ir tiesības ieturēt summas šādos gadījumos un šādā apmērā: </w:t>
      </w:r>
    </w:p>
    <w:p w:rsidR="00E10BBE" w:rsidRPr="00E10BBE" w:rsidRDefault="00E10BBE" w:rsidP="00747DC7">
      <w:pPr>
        <w:pStyle w:val="Default"/>
        <w:numPr>
          <w:ilvl w:val="0"/>
          <w:numId w:val="12"/>
        </w:numPr>
        <w:ind w:left="993" w:hanging="284"/>
        <w:jc w:val="both"/>
        <w:rPr>
          <w:color w:val="auto"/>
        </w:rPr>
      </w:pPr>
      <w:r w:rsidRPr="00E10BBE">
        <w:rPr>
          <w:color w:val="auto"/>
        </w:rPr>
        <w:t xml:space="preserve">ja pašvaldība nenodrošina valsts aizdevumu līgumos noteikto saistību savlaicīgu izpildi – savlaicīgi nesamaksātās summas apmērā; </w:t>
      </w:r>
    </w:p>
    <w:p w:rsidR="00E10BBE" w:rsidRPr="00E10BBE" w:rsidRDefault="00E10BBE" w:rsidP="00747DC7">
      <w:pPr>
        <w:pStyle w:val="Default"/>
        <w:numPr>
          <w:ilvl w:val="0"/>
          <w:numId w:val="11"/>
        </w:numPr>
        <w:ind w:left="993" w:hanging="284"/>
        <w:jc w:val="both"/>
        <w:rPr>
          <w:color w:val="auto"/>
        </w:rPr>
      </w:pPr>
      <w:r w:rsidRPr="00E10BBE">
        <w:rPr>
          <w:color w:val="auto"/>
        </w:rPr>
        <w:t>ja pašvaldība nenodrošina valsts aizdevuma izmantošanu atbilstoši aizdevumu līgumā noteiktajam mērķim – pēc finanšu ministra rīkojuma neatbilstoši līgumā noteiktajam mērķim izmantotās aizdevuma summas apmērā.</w:t>
      </w:r>
    </w:p>
    <w:p w:rsidR="00E10BBE" w:rsidRPr="00E10BBE" w:rsidRDefault="00E10BBE" w:rsidP="00824FFC">
      <w:pPr>
        <w:spacing w:after="0"/>
      </w:pPr>
    </w:p>
    <w:p w:rsidR="00A34463" w:rsidRDefault="00A34463" w:rsidP="00824FFC">
      <w:pPr>
        <w:pStyle w:val="Heading2"/>
        <w:numPr>
          <w:ilvl w:val="1"/>
          <w:numId w:val="22"/>
        </w:numPr>
        <w:spacing w:before="0"/>
        <w:ind w:left="709"/>
        <w:rPr>
          <w:rFonts w:ascii="Times New Roman" w:hAnsi="Times New Roman" w:cs="Times New Roman"/>
          <w:sz w:val="24"/>
        </w:rPr>
      </w:pPr>
      <w:bookmarkStart w:id="57" w:name="_Toc510790674"/>
      <w:bookmarkStart w:id="58" w:name="_Toc511027834"/>
      <w:r w:rsidRPr="00F51615">
        <w:rPr>
          <w:rFonts w:ascii="Times New Roman" w:hAnsi="Times New Roman" w:cs="Times New Roman"/>
          <w:sz w:val="24"/>
        </w:rPr>
        <w:t>Ieņēmumu struktūras un sistēmas efektivitāte</w:t>
      </w:r>
      <w:bookmarkEnd w:id="57"/>
      <w:bookmarkEnd w:id="58"/>
    </w:p>
    <w:p w:rsidR="005E7359" w:rsidRDefault="005E7359" w:rsidP="00747DC7">
      <w:pPr>
        <w:spacing w:after="0" w:line="240" w:lineRule="auto"/>
        <w:ind w:firstLine="720"/>
        <w:jc w:val="both"/>
        <w:rPr>
          <w:rFonts w:ascii="Times New Roman" w:eastAsia="Times New Roman" w:hAnsi="Times New Roman" w:cs="Times New Roman"/>
          <w:sz w:val="24"/>
          <w:szCs w:val="20"/>
        </w:rPr>
      </w:pPr>
    </w:p>
    <w:p w:rsidR="00747DC7" w:rsidRDefault="00747DC7" w:rsidP="00747DC7">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 xml:space="preserve">2017.gadā tika pabeigts darbs pie </w:t>
      </w:r>
      <w:r w:rsidRPr="00A33442">
        <w:rPr>
          <w:rFonts w:ascii="Times New Roman" w:eastAsia="Times New Roman" w:hAnsi="Times New Roman" w:cs="Times New Roman"/>
          <w:i/>
          <w:sz w:val="24"/>
          <w:szCs w:val="20"/>
        </w:rPr>
        <w:t>Valsts nodokļu politikas pamatnostādnēm 2018. – 2021.gadam</w:t>
      </w:r>
      <w:r w:rsidRPr="00A33442">
        <w:rPr>
          <w:rFonts w:ascii="Times New Roman" w:eastAsia="Times New Roman" w:hAnsi="Times New Roman" w:cs="Times New Roman"/>
          <w:sz w:val="24"/>
          <w:szCs w:val="20"/>
        </w:rPr>
        <w:t xml:space="preserve"> un 2017.gada 28.jūlijā Saeimā tika apstiprināti dažādi būtiski ar pamatnostādnēm saistīti nodokļu pasākumi (turpmāk – </w:t>
      </w:r>
      <w:r w:rsidRPr="00A33442">
        <w:rPr>
          <w:rFonts w:ascii="Times New Roman" w:eastAsia="Times New Roman" w:hAnsi="Times New Roman" w:cs="Times New Roman"/>
          <w:i/>
          <w:sz w:val="24"/>
          <w:szCs w:val="20"/>
        </w:rPr>
        <w:t>Nodokļu reforma</w:t>
      </w:r>
      <w:r w:rsidRPr="00A33442">
        <w:rPr>
          <w:rFonts w:ascii="Times New Roman" w:eastAsia="Times New Roman" w:hAnsi="Times New Roman" w:cs="Times New Roman"/>
          <w:sz w:val="24"/>
          <w:szCs w:val="20"/>
        </w:rPr>
        <w:t>). Valsts nodokļu politikas pamatnostādņu mērķis ir ieviest stabilu un prognozējamu nodokļu politiku, kas vērsta uz tautsaimniecības izaugsmi un konkurētspēju, kā arī ienākumu nevienlīdzības valstī ierobežošanu, vienlaikus nodrošinot stabilus un pietiekamus nodokļu ieņēmumus publiskās pārvaldes un pakalpojumu finansēšanai.</w:t>
      </w:r>
    </w:p>
    <w:p w:rsidR="00747DC7" w:rsidRPr="00A33442" w:rsidRDefault="00747DC7" w:rsidP="005E7359">
      <w:pPr>
        <w:keepNext/>
        <w:spacing w:before="120" w:after="6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6.1.tabula. Nodokļu ieņēmumi vispārējās valdības budžetā (S.13), milj.</w:t>
      </w:r>
      <w:r w:rsidR="00E177E9">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4"/>
        </w:rPr>
        <w:t>euro</w:t>
      </w:r>
    </w:p>
    <w:tbl>
      <w:tblPr>
        <w:tblStyle w:val="GridTable6Colorful-Accent11"/>
        <w:tblW w:w="9078" w:type="dxa"/>
        <w:tblLayout w:type="fixed"/>
        <w:tblLook w:val="04A0" w:firstRow="1" w:lastRow="0" w:firstColumn="1" w:lastColumn="0" w:noHBand="0" w:noVBand="1"/>
      </w:tblPr>
      <w:tblGrid>
        <w:gridCol w:w="2689"/>
        <w:gridCol w:w="1286"/>
        <w:gridCol w:w="992"/>
        <w:gridCol w:w="993"/>
        <w:gridCol w:w="1134"/>
        <w:gridCol w:w="992"/>
        <w:gridCol w:w="992"/>
      </w:tblGrid>
      <w:tr w:rsidR="00747DC7" w:rsidRPr="00A33442" w:rsidTr="00E17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47DC7" w:rsidRPr="00A33442" w:rsidRDefault="00747DC7" w:rsidP="001509AF">
            <w:pPr>
              <w:rPr>
                <w:rFonts w:ascii="Times New Roman" w:eastAsia="Times New Roman" w:hAnsi="Times New Roman" w:cs="Times New Roman"/>
                <w:color w:val="auto"/>
                <w:sz w:val="20"/>
                <w:szCs w:val="20"/>
              </w:rPr>
            </w:pPr>
          </w:p>
        </w:tc>
        <w:tc>
          <w:tcPr>
            <w:tcW w:w="1286" w:type="dxa"/>
            <w:vAlign w:val="center"/>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Kods (EKS)</w:t>
            </w:r>
          </w:p>
        </w:tc>
        <w:tc>
          <w:tcPr>
            <w:tcW w:w="992" w:type="dxa"/>
            <w:vAlign w:val="center"/>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2017</w:t>
            </w:r>
          </w:p>
        </w:tc>
        <w:tc>
          <w:tcPr>
            <w:tcW w:w="993" w:type="dxa"/>
            <w:vAlign w:val="center"/>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2018</w:t>
            </w:r>
          </w:p>
        </w:tc>
        <w:tc>
          <w:tcPr>
            <w:tcW w:w="1134" w:type="dxa"/>
            <w:vAlign w:val="center"/>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2019</w:t>
            </w:r>
          </w:p>
        </w:tc>
        <w:tc>
          <w:tcPr>
            <w:tcW w:w="992" w:type="dxa"/>
            <w:vAlign w:val="center"/>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2020</w:t>
            </w:r>
          </w:p>
        </w:tc>
        <w:tc>
          <w:tcPr>
            <w:tcW w:w="992" w:type="dxa"/>
            <w:vAlign w:val="center"/>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2021</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47DC7" w:rsidRPr="00A33442" w:rsidRDefault="00747DC7" w:rsidP="001509AF">
            <w:pPr>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Nodokļu ieņēmumi</w:t>
            </w:r>
          </w:p>
        </w:tc>
        <w:tc>
          <w:tcPr>
            <w:tcW w:w="1286"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992" w:type="dxa"/>
            <w:vAlign w:val="center"/>
          </w:tcPr>
          <w:p w:rsidR="00747DC7" w:rsidRPr="00A33442" w:rsidRDefault="00747DC7" w:rsidP="00E177E9">
            <w:pPr>
              <w:tabs>
                <w:tab w:val="decimal" w:pos="48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993" w:type="dxa"/>
            <w:vAlign w:val="center"/>
          </w:tcPr>
          <w:p w:rsidR="00747DC7" w:rsidRPr="00A33442" w:rsidRDefault="00747DC7" w:rsidP="00E177E9">
            <w:pPr>
              <w:tabs>
                <w:tab w:val="decimal" w:pos="48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1134" w:type="dxa"/>
            <w:vAlign w:val="center"/>
          </w:tcPr>
          <w:p w:rsidR="00747DC7" w:rsidRPr="00A33442" w:rsidRDefault="00747DC7" w:rsidP="00E177E9">
            <w:pPr>
              <w:tabs>
                <w:tab w:val="decimal" w:pos="48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992" w:type="dxa"/>
            <w:vAlign w:val="center"/>
          </w:tcPr>
          <w:p w:rsidR="00747DC7" w:rsidRPr="00A33442" w:rsidRDefault="00747DC7" w:rsidP="00E177E9">
            <w:pPr>
              <w:tabs>
                <w:tab w:val="decimal" w:pos="48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992" w:type="dxa"/>
            <w:vAlign w:val="center"/>
          </w:tcPr>
          <w:p w:rsidR="00747DC7" w:rsidRPr="00A33442" w:rsidRDefault="00747DC7" w:rsidP="00E177E9">
            <w:pPr>
              <w:tabs>
                <w:tab w:val="decimal" w:pos="48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r>
      <w:tr w:rsidR="00747DC7" w:rsidRPr="00A33442" w:rsidTr="00E177E9">
        <w:tc>
          <w:tcPr>
            <w:cnfStyle w:val="001000000000" w:firstRow="0" w:lastRow="0" w:firstColumn="1" w:lastColumn="0" w:oddVBand="0" w:evenVBand="0" w:oddHBand="0" w:evenHBand="0" w:firstRowFirstColumn="0" w:firstRowLastColumn="0" w:lastRowFirstColumn="0" w:lastRowLastColumn="0"/>
            <w:tcW w:w="2689" w:type="dxa"/>
          </w:tcPr>
          <w:p w:rsidR="00747DC7" w:rsidRPr="00A33442" w:rsidRDefault="00747DC7" w:rsidP="001509AF">
            <w:pPr>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1. Ražošanas un importa nodokļi</w:t>
            </w:r>
          </w:p>
        </w:tc>
        <w:tc>
          <w:tcPr>
            <w:tcW w:w="1286"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D.2</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3 788.6</w:t>
            </w:r>
          </w:p>
        </w:tc>
        <w:tc>
          <w:tcPr>
            <w:tcW w:w="993"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4 122.5</w:t>
            </w:r>
          </w:p>
        </w:tc>
        <w:tc>
          <w:tcPr>
            <w:tcW w:w="1134"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4 410.5</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4 719.6</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4 937.1</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47DC7" w:rsidRPr="00A33442" w:rsidRDefault="00747DC7" w:rsidP="001509AF">
            <w:pPr>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2. </w:t>
            </w:r>
            <w:r w:rsidRPr="00A33442">
              <w:rPr>
                <w:rFonts w:ascii="Times New Roman" w:eastAsia="Times New Roman" w:hAnsi="Times New Roman" w:cs="Times New Roman"/>
                <w:b w:val="0"/>
                <w:snapToGrid w:val="0"/>
                <w:color w:val="auto"/>
                <w:sz w:val="20"/>
                <w:szCs w:val="20"/>
              </w:rPr>
              <w:t>Ienākuma un mantas kārtējie nodokļi</w:t>
            </w:r>
          </w:p>
        </w:tc>
        <w:tc>
          <w:tcPr>
            <w:tcW w:w="1286"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D.5</w:t>
            </w:r>
          </w:p>
        </w:tc>
        <w:tc>
          <w:tcPr>
            <w:tcW w:w="992"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2 301.0</w:t>
            </w:r>
          </w:p>
        </w:tc>
        <w:tc>
          <w:tcPr>
            <w:tcW w:w="993"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2 042.9</w:t>
            </w:r>
          </w:p>
        </w:tc>
        <w:tc>
          <w:tcPr>
            <w:tcW w:w="1134"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1 999.0</w:t>
            </w:r>
          </w:p>
        </w:tc>
        <w:tc>
          <w:tcPr>
            <w:tcW w:w="992"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2 179.6</w:t>
            </w:r>
          </w:p>
        </w:tc>
        <w:tc>
          <w:tcPr>
            <w:tcW w:w="992"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2 260.0</w:t>
            </w:r>
          </w:p>
        </w:tc>
      </w:tr>
      <w:tr w:rsidR="00747DC7" w:rsidRPr="00A33442" w:rsidTr="00E177E9">
        <w:tc>
          <w:tcPr>
            <w:cnfStyle w:val="001000000000" w:firstRow="0" w:lastRow="0" w:firstColumn="1" w:lastColumn="0" w:oddVBand="0" w:evenVBand="0" w:oddHBand="0" w:evenHBand="0" w:firstRowFirstColumn="0" w:firstRowLastColumn="0" w:lastRowFirstColumn="0" w:lastRowLastColumn="0"/>
            <w:tcW w:w="2689" w:type="dxa"/>
          </w:tcPr>
          <w:p w:rsidR="00747DC7" w:rsidRPr="00A33442" w:rsidRDefault="00747DC7" w:rsidP="001509AF">
            <w:pPr>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3. Kapitāla nodokļi</w:t>
            </w:r>
          </w:p>
        </w:tc>
        <w:tc>
          <w:tcPr>
            <w:tcW w:w="1286"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D.91</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2.8</w:t>
            </w:r>
          </w:p>
        </w:tc>
        <w:tc>
          <w:tcPr>
            <w:tcW w:w="993"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2.7</w:t>
            </w:r>
          </w:p>
        </w:tc>
        <w:tc>
          <w:tcPr>
            <w:tcW w:w="1134"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2.9</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2.9</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2.9</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47DC7" w:rsidRPr="00A33442" w:rsidRDefault="00747DC7" w:rsidP="001509AF">
            <w:pPr>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4. Sociālās iemaksas</w:t>
            </w:r>
          </w:p>
        </w:tc>
        <w:tc>
          <w:tcPr>
            <w:tcW w:w="1286"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D.61</w:t>
            </w:r>
          </w:p>
        </w:tc>
        <w:tc>
          <w:tcPr>
            <w:tcW w:w="992"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2 343.1</w:t>
            </w:r>
          </w:p>
        </w:tc>
        <w:tc>
          <w:tcPr>
            <w:tcW w:w="993"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2 721.8</w:t>
            </w:r>
          </w:p>
        </w:tc>
        <w:tc>
          <w:tcPr>
            <w:tcW w:w="1134"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2 873.8</w:t>
            </w:r>
          </w:p>
        </w:tc>
        <w:tc>
          <w:tcPr>
            <w:tcW w:w="992"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3 035.9</w:t>
            </w:r>
          </w:p>
        </w:tc>
        <w:tc>
          <w:tcPr>
            <w:tcW w:w="992"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3 197.5</w:t>
            </w:r>
          </w:p>
        </w:tc>
      </w:tr>
      <w:tr w:rsidR="00747DC7" w:rsidRPr="00A33442" w:rsidTr="00E177E9">
        <w:trPr>
          <w:trHeight w:val="191"/>
        </w:trPr>
        <w:tc>
          <w:tcPr>
            <w:cnfStyle w:val="001000000000" w:firstRow="0" w:lastRow="0" w:firstColumn="1" w:lastColumn="0" w:oddVBand="0" w:evenVBand="0" w:oddHBand="0" w:evenHBand="0" w:firstRowFirstColumn="0" w:firstRowLastColumn="0" w:lastRowFirstColumn="0" w:lastRowLastColumn="0"/>
            <w:tcW w:w="2689" w:type="dxa"/>
          </w:tcPr>
          <w:p w:rsidR="00747DC7" w:rsidRPr="00A33442" w:rsidRDefault="00747DC7" w:rsidP="001509AF">
            <w:pPr>
              <w:jc w:val="right"/>
              <w:rPr>
                <w:rFonts w:ascii="Times New Roman" w:eastAsia="Times New Roman" w:hAnsi="Times New Roman" w:cs="Times New Roman"/>
                <w:b w:val="0"/>
                <w:i/>
                <w:color w:val="auto"/>
                <w:sz w:val="20"/>
                <w:szCs w:val="20"/>
              </w:rPr>
            </w:pPr>
            <w:r w:rsidRPr="00A33442">
              <w:rPr>
                <w:rFonts w:ascii="Times New Roman" w:eastAsia="Times New Roman" w:hAnsi="Times New Roman" w:cs="Times New Roman"/>
                <w:b w:val="0"/>
                <w:i/>
                <w:color w:val="auto"/>
                <w:sz w:val="20"/>
                <w:szCs w:val="20"/>
              </w:rPr>
              <w:t>No tā faktiskās sociālās iemaksas</w:t>
            </w:r>
          </w:p>
        </w:tc>
        <w:tc>
          <w:tcPr>
            <w:tcW w:w="1286"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rPr>
            </w:pPr>
            <w:r w:rsidRPr="00A33442">
              <w:rPr>
                <w:rFonts w:ascii="Times New Roman" w:eastAsia="Times New Roman" w:hAnsi="Times New Roman" w:cs="Times New Roman"/>
                <w:i/>
                <w:color w:val="auto"/>
                <w:sz w:val="20"/>
                <w:szCs w:val="20"/>
              </w:rPr>
              <w:t>D.611 un D.613</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w:t>
            </w:r>
            <w:r w:rsidR="00E177E9">
              <w:rPr>
                <w:rFonts w:ascii="Times New Roman" w:hAnsi="Times New Roman" w:cs="Times New Roman"/>
                <w:color w:val="auto"/>
                <w:sz w:val="20"/>
                <w:szCs w:val="20"/>
              </w:rPr>
              <w:t> </w:t>
            </w:r>
            <w:r w:rsidRPr="00A33442">
              <w:rPr>
                <w:rFonts w:ascii="Times New Roman" w:eastAsia="Times New Roman" w:hAnsi="Times New Roman" w:cs="Times New Roman"/>
                <w:color w:val="auto"/>
                <w:sz w:val="20"/>
                <w:szCs w:val="20"/>
              </w:rPr>
              <w:t>256.5</w:t>
            </w:r>
          </w:p>
        </w:tc>
        <w:tc>
          <w:tcPr>
            <w:tcW w:w="993"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w:t>
            </w:r>
            <w:r w:rsidR="00E177E9">
              <w:rPr>
                <w:rFonts w:ascii="Times New Roman" w:hAnsi="Times New Roman" w:cs="Times New Roman"/>
                <w:color w:val="auto"/>
                <w:sz w:val="20"/>
                <w:szCs w:val="20"/>
              </w:rPr>
              <w:t> </w:t>
            </w:r>
            <w:r w:rsidRPr="00A33442">
              <w:rPr>
                <w:rFonts w:ascii="Times New Roman" w:eastAsia="Times New Roman" w:hAnsi="Times New Roman" w:cs="Times New Roman"/>
                <w:color w:val="auto"/>
                <w:sz w:val="20"/>
                <w:szCs w:val="20"/>
              </w:rPr>
              <w:t>635.2</w:t>
            </w:r>
          </w:p>
        </w:tc>
        <w:tc>
          <w:tcPr>
            <w:tcW w:w="1134"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w:t>
            </w:r>
            <w:r w:rsidR="00E177E9">
              <w:rPr>
                <w:rFonts w:ascii="Times New Roman" w:hAnsi="Times New Roman" w:cs="Times New Roman"/>
                <w:color w:val="auto"/>
                <w:sz w:val="20"/>
                <w:szCs w:val="20"/>
              </w:rPr>
              <w:t> </w:t>
            </w:r>
            <w:r w:rsidRPr="00A33442">
              <w:rPr>
                <w:rFonts w:ascii="Times New Roman" w:eastAsia="Times New Roman" w:hAnsi="Times New Roman" w:cs="Times New Roman"/>
                <w:color w:val="auto"/>
                <w:sz w:val="20"/>
                <w:szCs w:val="20"/>
              </w:rPr>
              <w:t>787.2</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w:t>
            </w:r>
            <w:r w:rsidR="00E177E9">
              <w:rPr>
                <w:rFonts w:ascii="Times New Roman" w:hAnsi="Times New Roman" w:cs="Times New Roman"/>
                <w:color w:val="auto"/>
                <w:sz w:val="20"/>
                <w:szCs w:val="20"/>
              </w:rPr>
              <w:t> </w:t>
            </w:r>
            <w:r w:rsidRPr="00A33442">
              <w:rPr>
                <w:rFonts w:ascii="Times New Roman" w:eastAsia="Times New Roman" w:hAnsi="Times New Roman" w:cs="Times New Roman"/>
                <w:color w:val="auto"/>
                <w:sz w:val="20"/>
                <w:szCs w:val="20"/>
              </w:rPr>
              <w:t>949.3</w:t>
            </w:r>
          </w:p>
        </w:tc>
        <w:tc>
          <w:tcPr>
            <w:tcW w:w="992"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w:t>
            </w:r>
            <w:r w:rsidR="00E177E9">
              <w:rPr>
                <w:rFonts w:ascii="Times New Roman" w:hAnsi="Times New Roman" w:cs="Times New Roman"/>
                <w:color w:val="auto"/>
                <w:sz w:val="20"/>
                <w:szCs w:val="20"/>
              </w:rPr>
              <w:t> </w:t>
            </w:r>
            <w:r w:rsidRPr="00A33442">
              <w:rPr>
                <w:rFonts w:ascii="Times New Roman" w:eastAsia="Times New Roman" w:hAnsi="Times New Roman" w:cs="Times New Roman"/>
                <w:color w:val="auto"/>
                <w:sz w:val="20"/>
                <w:szCs w:val="20"/>
              </w:rPr>
              <w:t>110.9</w:t>
            </w:r>
          </w:p>
        </w:tc>
      </w:tr>
    </w:tbl>
    <w:p w:rsidR="00747DC7" w:rsidRPr="00A33442" w:rsidRDefault="00747DC7" w:rsidP="00747DC7">
      <w:pPr>
        <w:spacing w:before="120" w:after="12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 xml:space="preserve">Latvijā lielāko daļu no visiem nodokļu ieņēmumiem veido darba nodokļi. Īstenojot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pasākumus, darba nodokļu īpatsvars samazināsies no 46,4% 2017.gadā līdz 45,5% 2021.gadā, līdz ar to patēriņa un kapitāla nodokļu ieņēmumu īpatsvars kopējos nodokļu ieņēmumos pakāpeniski palielināsies no 53,6% 2017.gadā līdz 54,5% 2021.gadā.</w:t>
      </w:r>
    </w:p>
    <w:p w:rsidR="00747DC7" w:rsidRPr="00A33442" w:rsidRDefault="00747DC7" w:rsidP="00747DC7">
      <w:pPr>
        <w:spacing w:before="120" w:after="120" w:line="240" w:lineRule="auto"/>
        <w:ind w:firstLine="567"/>
        <w:jc w:val="both"/>
        <w:rPr>
          <w:rFonts w:ascii="Times New Roman" w:eastAsia="Times New Roman" w:hAnsi="Times New Roman" w:cs="Times New Roman"/>
          <w:sz w:val="24"/>
          <w:szCs w:val="20"/>
        </w:rPr>
      </w:pPr>
    </w:p>
    <w:p w:rsidR="00747DC7" w:rsidRPr="00A33442" w:rsidRDefault="00747DC7" w:rsidP="00623C3B">
      <w:pPr>
        <w:spacing w:before="120" w:after="120" w:line="240" w:lineRule="auto"/>
        <w:jc w:val="center"/>
        <w:rPr>
          <w:rFonts w:ascii="Times New Roman" w:eastAsia="Times New Roman" w:hAnsi="Times New Roman" w:cs="Times New Roman"/>
          <w:sz w:val="24"/>
          <w:szCs w:val="20"/>
        </w:rPr>
      </w:pPr>
      <w:r w:rsidRPr="00A33442">
        <w:rPr>
          <w:noProof/>
          <w:lang w:eastAsia="lv-LV"/>
        </w:rPr>
        <w:lastRenderedPageBreak/>
        <w:drawing>
          <wp:inline distT="0" distB="0" distL="0" distR="0">
            <wp:extent cx="5560828" cy="3189768"/>
            <wp:effectExtent l="0" t="0" r="1905"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47DC7" w:rsidRPr="00A33442" w:rsidRDefault="00747DC7" w:rsidP="00747DC7">
      <w:pPr>
        <w:spacing w:before="60" w:after="120" w:line="240" w:lineRule="auto"/>
        <w:ind w:firstLine="567"/>
        <w:jc w:val="center"/>
        <w:rPr>
          <w:rFonts w:ascii="Times New Roman" w:eastAsia="Times New Roman" w:hAnsi="Times New Roman" w:cs="Times New Roman"/>
          <w:sz w:val="24"/>
          <w:szCs w:val="20"/>
        </w:rPr>
      </w:pPr>
      <w:r w:rsidRPr="00A33442">
        <w:rPr>
          <w:rFonts w:ascii="Times New Roman" w:eastAsia="Times New Roman" w:hAnsi="Times New Roman" w:cs="Times New Roman"/>
          <w:b/>
          <w:sz w:val="24"/>
          <w:szCs w:val="24"/>
        </w:rPr>
        <w:t>6.1.attēls. Nodokļu ieņēmumi atbilstoši ekonomiskajām funkcijām, % no IKP</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 xml:space="preserve">Vidēja termiņa nodokļu politikā galvenais virziens ir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mērķa realizēšana, nodrošinot stabilu un prognozējamu nodokļu politiku vismaz līdz 2021.gadam, kas vērsta uz tautsaimniecības izaugsmi un iedzīvotāju labklājības celšanu, t.sk., ienākumu nevienlīdzības mazināšanu, vienlaikus nodrošinot pietiekamus, paredzamus un kvalitatīvus nodokļu ieņēmumus valsts un pašvaldību funkciju finansēšanai, novirzot nodokļu slogu no darbaspēka uz patēriņa, vides un īpašuma nodokļiem. </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i/>
          <w:sz w:val="24"/>
          <w:szCs w:val="20"/>
        </w:rPr>
        <w:t>Nodokļu reforma</w:t>
      </w:r>
      <w:r w:rsidRPr="00A33442">
        <w:rPr>
          <w:rFonts w:ascii="Times New Roman" w:eastAsia="Times New Roman" w:hAnsi="Times New Roman" w:cs="Times New Roman"/>
          <w:sz w:val="24"/>
          <w:szCs w:val="20"/>
        </w:rPr>
        <w:t xml:space="preserve"> ir komplekss pasākumu kopums, ar kuras ieviešanu tiek veicināta Latvijas konkurētspēja reģionālā līmenī, motivēti iedzīvotāji uzsākt uzņēmējdarbību, veicināta investēšana uzņēmumu attīstībā un piesaistīti investori, stimulēti iedzīvotāji maksāt nodokļus, veicināta iedzīvotāju ekonomiskā aktivitāte un vēlme atgriezties darba tirgū un pilnveidota nodokļu administrēšana, lai nodokļu nomaksa un valsts kontroles darbību veikšana būtu maksimāli vienkārša un ar mazākām izmaksām.</w:t>
      </w:r>
    </w:p>
    <w:p w:rsidR="00747DC7" w:rsidRPr="00A33442" w:rsidRDefault="00747DC7" w:rsidP="00747DC7">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 xml:space="preserve">Būtiskākie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ietvaros īstenotie pasākumi ir vērsti uz darbaspēka nodokļu sloga samazināšanu, ienākumu palielināšanu strādājošiem ar zemiem ienākumiem un ģimenēm ar bērniem, kā arī nodokļa sloga pārcelšanu uz citiem nodokļu veidiem, kas mazāk iespaido ekonomisko izaugsmi.</w:t>
      </w:r>
    </w:p>
    <w:p w:rsidR="00747DC7" w:rsidRPr="00A33442" w:rsidRDefault="00747DC7" w:rsidP="00747DC7">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Tādejādi tika atbalstīta tādu nodokļu pasākumu ieviešana, kas vērsta uz tautsaimniecības izaugsmi un iedzīvotāju labklājības celšanu, veicot būtiskas izmaiņas lielākajos nodokļos.</w:t>
      </w:r>
    </w:p>
    <w:p w:rsidR="00747DC7" w:rsidRPr="00A33442" w:rsidRDefault="00747DC7" w:rsidP="00747DC7">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 xml:space="preserve">Nodokļu politikas jomā </w:t>
      </w:r>
      <w:r w:rsidRPr="00A33442">
        <w:rPr>
          <w:rFonts w:ascii="Times New Roman" w:eastAsia="Times New Roman" w:hAnsi="Times New Roman" w:cs="Times New Roman"/>
          <w:b/>
          <w:sz w:val="24"/>
          <w:szCs w:val="20"/>
        </w:rPr>
        <w:t>“</w:t>
      </w:r>
      <w:r w:rsidRPr="00A33442">
        <w:rPr>
          <w:rFonts w:ascii="Times New Roman" w:eastAsia="Times New Roman" w:hAnsi="Times New Roman" w:cs="Times New Roman"/>
          <w:sz w:val="24"/>
          <w:szCs w:val="20"/>
        </w:rPr>
        <w:t xml:space="preserve">reformēta” uzņēmuma ienākuma nodokļu politika, </w:t>
      </w:r>
      <w:r w:rsidRPr="00A33442">
        <w:rPr>
          <w:rFonts w:ascii="Times New Roman" w:eastAsia="Times New Roman" w:hAnsi="Times New Roman" w:cs="Times New Roman"/>
          <w:color w:val="000000"/>
          <w:sz w:val="24"/>
          <w:szCs w:val="24"/>
          <w:lang w:eastAsia="lv-LV"/>
        </w:rPr>
        <w:t>saskaņā ar 2017.gada 28.jūlija likumu “Par uzņēmumu ienākuma nodokli” ar 2018.gada 1.janvāri ir konceptuāli jauns uzņēmumu ienākuma nodokļa maksāšanas režīms. Jaunais modelis paredz nodokļa maksāšanas brīdi atlikt līdz brīdim, kad peļņa tiek sadalīta vai citādā veidā novirzīta tādiem izdevumiem, kuri nenodrošina uzņēmuma turpmāku attīstību</w:t>
      </w:r>
    </w:p>
    <w:p w:rsidR="00747DC7" w:rsidRPr="00A33442" w:rsidRDefault="00747DC7" w:rsidP="00747DC7">
      <w:pPr>
        <w:spacing w:after="0" w:line="240" w:lineRule="auto"/>
        <w:ind w:firstLine="709"/>
        <w:jc w:val="both"/>
        <w:rPr>
          <w:rFonts w:ascii="Times New Roman" w:eastAsia="Times New Roman" w:hAnsi="Times New Roman" w:cs="Times New Roman"/>
          <w:spacing w:val="5"/>
          <w:sz w:val="24"/>
          <w:szCs w:val="24"/>
        </w:rPr>
      </w:pPr>
      <w:r w:rsidRPr="00A33442">
        <w:rPr>
          <w:rFonts w:ascii="Times New Roman" w:eastAsia="Times New Roman" w:hAnsi="Times New Roman" w:cs="Times New Roman"/>
          <w:sz w:val="24"/>
          <w:szCs w:val="20"/>
        </w:rPr>
        <w:t xml:space="preserve">Tāpat “reformēta” iedzīvotāju ienākumu nodokļa politika ir ieviests gan progresīvais iedzīvotāju ienākuma nodoklis, gan paaugstināts diferencētais neapliekamais minimums un </w:t>
      </w:r>
      <w:r w:rsidRPr="00A33442">
        <w:rPr>
          <w:rFonts w:ascii="Times New Roman" w:eastAsia="Times New Roman" w:hAnsi="Times New Roman" w:cs="Times New Roman"/>
          <w:color w:val="000000"/>
          <w:sz w:val="24"/>
          <w:szCs w:val="24"/>
          <w:lang w:eastAsia="lv-LV"/>
        </w:rPr>
        <w:t>atvieglojums par apgādībā esošām personām</w:t>
      </w:r>
      <w:r w:rsidRPr="00A33442">
        <w:rPr>
          <w:rFonts w:ascii="Times New Roman" w:eastAsia="Times New Roman" w:hAnsi="Times New Roman" w:cs="Times New Roman"/>
          <w:sz w:val="24"/>
          <w:szCs w:val="20"/>
        </w:rPr>
        <w:t xml:space="preserve">, vienlaicīgi paaugstināts arī neapliekamais minimums pensionāriem. Iedzīvotāju ienākuma nodokļa reformā arī vienādota </w:t>
      </w:r>
      <w:r w:rsidRPr="00A33442">
        <w:rPr>
          <w:rFonts w:ascii="Times New Roman" w:eastAsia="Times New Roman" w:hAnsi="Times New Roman" w:cs="Times New Roman"/>
          <w:sz w:val="24"/>
          <w:szCs w:val="24"/>
        </w:rPr>
        <w:t xml:space="preserve">nodokļa likme kapitālam un kapitāla pieaugumam, </w:t>
      </w:r>
      <w:r w:rsidRPr="00A33442">
        <w:rPr>
          <w:rFonts w:ascii="Times New Roman" w:eastAsia="Times New Roman" w:hAnsi="Times New Roman" w:cs="Times New Roman"/>
          <w:spacing w:val="5"/>
          <w:sz w:val="24"/>
          <w:szCs w:val="24"/>
        </w:rPr>
        <w:t>nosakot to 20% apmērā.</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i/>
          <w:sz w:val="24"/>
          <w:szCs w:val="20"/>
        </w:rPr>
        <w:lastRenderedPageBreak/>
        <w:t>Nodokļu reformas</w:t>
      </w:r>
      <w:r w:rsidRPr="00A33442">
        <w:rPr>
          <w:rFonts w:ascii="Times New Roman" w:eastAsia="Times New Roman" w:hAnsi="Times New Roman" w:cs="Times New Roman"/>
          <w:sz w:val="24"/>
          <w:szCs w:val="20"/>
        </w:rPr>
        <w:t xml:space="preserve"> ietvaros ar 2018.gadu solidaritātes nodoklis ir transformēts - nodoklis ar 35,09% likmi ienākumiem, kas pārsniedz 55</w:t>
      </w:r>
      <w:r w:rsidR="00E177E9">
        <w:rPr>
          <w:rFonts w:ascii="Times New Roman" w:hAnsi="Times New Roman" w:cs="Times New Roman"/>
          <w:sz w:val="20"/>
          <w:szCs w:val="20"/>
        </w:rPr>
        <w:t> </w:t>
      </w:r>
      <w:r w:rsidRPr="00A33442">
        <w:rPr>
          <w:rFonts w:ascii="Times New Roman" w:eastAsia="Times New Roman" w:hAnsi="Times New Roman" w:cs="Times New Roman"/>
          <w:sz w:val="24"/>
          <w:szCs w:val="20"/>
        </w:rPr>
        <w:t xml:space="preserve">000 </w:t>
      </w:r>
      <w:r w:rsidRPr="00A33442">
        <w:rPr>
          <w:rFonts w:ascii="Times New Roman" w:eastAsia="Times New Roman" w:hAnsi="Times New Roman" w:cs="Times New Roman"/>
          <w:i/>
          <w:sz w:val="24"/>
          <w:szCs w:val="20"/>
        </w:rPr>
        <w:t>euro</w:t>
      </w:r>
      <w:r w:rsidRPr="00A33442">
        <w:rPr>
          <w:rFonts w:ascii="Times New Roman" w:eastAsia="Times New Roman" w:hAnsi="Times New Roman" w:cs="Times New Roman"/>
          <w:sz w:val="24"/>
          <w:szCs w:val="20"/>
        </w:rPr>
        <w:t xml:space="preserve"> gadā, tiek sadalīts (skat. sadaļu Solidaritātes nodoklis). 2016. un 2017.gadā solidaritātes nodoklis tika pilnā apmērā ieskaitīts valsts pamatbudžetā.</w:t>
      </w:r>
    </w:p>
    <w:p w:rsidR="00747DC7" w:rsidRPr="00A33442" w:rsidRDefault="00747DC7" w:rsidP="00747DC7">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No 2018.gada 1.jūlija straujāk paaugstinātas akcīzes nodokļa likmes cigaretēm nekā iepriekš plānots. Ar 2020.ga</w:t>
      </w:r>
      <w:r w:rsidR="00E177E9">
        <w:rPr>
          <w:rFonts w:ascii="Times New Roman" w:eastAsia="Times New Roman" w:hAnsi="Times New Roman" w:cs="Times New Roman"/>
          <w:sz w:val="24"/>
          <w:szCs w:val="20"/>
        </w:rPr>
        <w:t>da 1.janvāri</w:t>
      </w:r>
      <w:r w:rsidRPr="00A33442">
        <w:rPr>
          <w:rFonts w:ascii="Times New Roman" w:eastAsia="Times New Roman" w:hAnsi="Times New Roman" w:cs="Times New Roman"/>
          <w:sz w:val="24"/>
          <w:szCs w:val="20"/>
        </w:rPr>
        <w:t xml:space="preserve"> paaugstinātas akcīzes nodokļa likmes cigāriem un cigarellām un smēķējamai tabakai. Ar 2018.gada 1.janvāri un 2020.gada 1.janvāri paaugstinātas akcīzes nodokļa likmes naftas produktiem, ko izmanto par degvielu. ar 2018.gada 1.martu paaugstināt akcīzes nodokļa likmes alkoholiskajiem dzērieniem un alum straujāk nekā iepriekš plānots. Akcīzes nodokļa likmes tiks paaugstinātas arī ar 2019. un 2020.gada 1.martu. Raudzētajiem dzērieniem a</w:t>
      </w:r>
      <w:r w:rsidR="00E177E9">
        <w:rPr>
          <w:rFonts w:ascii="Times New Roman" w:eastAsia="Times New Roman" w:hAnsi="Times New Roman" w:cs="Times New Roman"/>
          <w:sz w:val="24"/>
          <w:szCs w:val="20"/>
        </w:rPr>
        <w:t xml:space="preserve">r absolūtā spirta saturu līdz 6 </w:t>
      </w:r>
      <w:r w:rsidRPr="00A33442">
        <w:rPr>
          <w:rFonts w:ascii="Times New Roman" w:eastAsia="Times New Roman" w:hAnsi="Times New Roman" w:cs="Times New Roman"/>
          <w:sz w:val="24"/>
          <w:szCs w:val="20"/>
        </w:rPr>
        <w:t>tilpumprocentiem akcīzes nodokļa likme tiks saglabāta iepriekšējā līmenī</w:t>
      </w:r>
    </w:p>
    <w:p w:rsidR="00747DC7" w:rsidRPr="00A33442" w:rsidRDefault="00747DC7" w:rsidP="00747DC7">
      <w:pPr>
        <w:spacing w:after="0" w:line="240" w:lineRule="auto"/>
        <w:ind w:firstLine="709"/>
        <w:jc w:val="both"/>
        <w:rPr>
          <w:rFonts w:ascii="Times New Roman" w:eastAsia="Times New Roman" w:hAnsi="Times New Roman" w:cs="Times New Roman"/>
          <w:bCs/>
          <w:sz w:val="24"/>
          <w:szCs w:val="20"/>
        </w:rPr>
      </w:pPr>
      <w:r w:rsidRPr="00A33442">
        <w:rPr>
          <w:rFonts w:ascii="Times New Roman" w:eastAsia="Times New Roman" w:hAnsi="Times New Roman" w:cs="Times New Roman"/>
          <w:bCs/>
          <w:sz w:val="24"/>
          <w:szCs w:val="20"/>
        </w:rPr>
        <w:t>Ēnu ekonomika atstāj negatīvu ietekmi uz kopējo valsts ekonomikas izaugsmi, kā arī apdraud valsts tiesiskumu un godīgu konkurenci uzņēmējdarbībā. Līdz ar to viena no valdības darbības prioritātēm ir ēnu ekonomikas mazināšana valstī, kuras īstenošanai 2014.gada 16.septembrī ir izveidota Ēnu ekonomikas apkarošanas padome. Padomes uzdevums ir ēnu ekonomikas apkarošanas jomā koordinēt un uzraudzīt atbildīgo institūciju darbību ar mērķi būtiski mazināt “aplokšņu algas”, apkarot nodokļu izkrāpšanas shēmas un citus negodprātīgas uzņēmējdarbības principus, kam vidējā termiņā tiks pievērsta pastiprināta uzmanība – it īpaši VID aktīva vēršanās pret nodokļu nemaksāšanu, tādejādi uzlabojot nodokļu iekasēšanu.</w:t>
      </w:r>
    </w:p>
    <w:p w:rsidR="00747DC7" w:rsidRPr="00A33442" w:rsidRDefault="00747DC7" w:rsidP="00747DC7">
      <w:pPr>
        <w:spacing w:after="0" w:line="240" w:lineRule="auto"/>
        <w:jc w:val="both"/>
        <w:rPr>
          <w:rFonts w:ascii="Times New Roman" w:eastAsia="Times New Roman" w:hAnsi="Times New Roman" w:cs="Times New Roman"/>
          <w:bCs/>
          <w:sz w:val="24"/>
          <w:szCs w:val="20"/>
        </w:rPr>
      </w:pPr>
      <w:r w:rsidRPr="00A33442">
        <w:rPr>
          <w:rFonts w:ascii="Times New Roman" w:eastAsia="Times New Roman" w:hAnsi="Times New Roman" w:cs="Times New Roman"/>
          <w:bCs/>
          <w:sz w:val="24"/>
          <w:szCs w:val="20"/>
        </w:rPr>
        <w:tab/>
        <w:t>Būtiskākie ēnu ekonomikas mazināšanas pasākumi saistās ar izmaiņām</w:t>
      </w:r>
      <w:r w:rsidRPr="00A33442">
        <w:rPr>
          <w:rFonts w:ascii="Times New Roman" w:eastAsia="Times New Roman" w:hAnsi="Times New Roman" w:cs="Times New Roman"/>
          <w:sz w:val="24"/>
          <w:szCs w:val="20"/>
        </w:rPr>
        <w:t xml:space="preserve"> pievienotās vērtības nodoklī </w:t>
      </w:r>
      <w:r w:rsidR="000C3005" w:rsidRPr="00F14E08">
        <w:rPr>
          <w:rFonts w:ascii="Times New Roman" w:eastAsia="Calibri" w:hAnsi="Times New Roman" w:cs="Times New Roman"/>
          <w:sz w:val="24"/>
          <w:szCs w:val="24"/>
        </w:rPr>
        <w:t>–</w:t>
      </w:r>
      <w:r w:rsidRPr="00A33442">
        <w:rPr>
          <w:rFonts w:ascii="Times New Roman" w:eastAsia="Times New Roman" w:hAnsi="Times New Roman" w:cs="Times New Roman"/>
          <w:sz w:val="24"/>
          <w:szCs w:val="20"/>
        </w:rPr>
        <w:t xml:space="preserve"> ieviesta reversā maksāšanas kārtība būvmateriālu un sadzīves tehnikas piegādēm, kā arī metālizstrādājumu piegādei un ar to saistītiem pakalpojumiem. Arī ir samazināts gada apgrozījuma slieksni no 50</w:t>
      </w:r>
      <w:r w:rsidR="00E177E9">
        <w:rPr>
          <w:rFonts w:ascii="Times New Roman" w:hAnsi="Times New Roman" w:cs="Times New Roman"/>
          <w:sz w:val="20"/>
          <w:szCs w:val="20"/>
        </w:rPr>
        <w:t> </w:t>
      </w:r>
      <w:r w:rsidRPr="00A33442">
        <w:rPr>
          <w:rFonts w:ascii="Times New Roman" w:eastAsia="Times New Roman" w:hAnsi="Times New Roman" w:cs="Times New Roman"/>
          <w:sz w:val="24"/>
          <w:szCs w:val="20"/>
        </w:rPr>
        <w:t xml:space="preserve">000 </w:t>
      </w:r>
      <w:r w:rsidRPr="00A33442">
        <w:rPr>
          <w:rFonts w:ascii="Times New Roman" w:eastAsia="Times New Roman" w:hAnsi="Times New Roman" w:cs="Times New Roman"/>
          <w:i/>
          <w:sz w:val="24"/>
          <w:szCs w:val="20"/>
        </w:rPr>
        <w:t>euro</w:t>
      </w:r>
      <w:r w:rsidRPr="00A33442">
        <w:rPr>
          <w:rFonts w:ascii="Times New Roman" w:eastAsia="Times New Roman" w:hAnsi="Times New Roman" w:cs="Times New Roman"/>
          <w:sz w:val="24"/>
          <w:szCs w:val="20"/>
        </w:rPr>
        <w:t xml:space="preserve"> līdz 40</w:t>
      </w:r>
      <w:r w:rsidR="00E177E9">
        <w:rPr>
          <w:rFonts w:ascii="Times New Roman" w:hAnsi="Times New Roman" w:cs="Times New Roman"/>
          <w:sz w:val="20"/>
          <w:szCs w:val="20"/>
        </w:rPr>
        <w:t> </w:t>
      </w:r>
      <w:r w:rsidRPr="00A33442">
        <w:rPr>
          <w:rFonts w:ascii="Times New Roman" w:eastAsia="Times New Roman" w:hAnsi="Times New Roman" w:cs="Times New Roman"/>
          <w:sz w:val="24"/>
          <w:szCs w:val="20"/>
        </w:rPr>
        <w:t xml:space="preserve">000 </w:t>
      </w:r>
      <w:r w:rsidRPr="00A33442">
        <w:rPr>
          <w:rFonts w:ascii="Times New Roman" w:eastAsia="Times New Roman" w:hAnsi="Times New Roman" w:cs="Times New Roman"/>
          <w:i/>
          <w:sz w:val="24"/>
          <w:szCs w:val="20"/>
        </w:rPr>
        <w:t>euro</w:t>
      </w:r>
      <w:r w:rsidRPr="00A33442">
        <w:rPr>
          <w:rFonts w:ascii="Times New Roman" w:eastAsia="Times New Roman" w:hAnsi="Times New Roman" w:cs="Times New Roman"/>
          <w:sz w:val="24"/>
          <w:szCs w:val="20"/>
        </w:rPr>
        <w:t xml:space="preserve">, līdz kuram atļauts iekšzemes pievienotās vērtības nodokļa maksātājam nereģistrēties Valsts ieņēmuma dienesta pievienotās vērtības nodokļu maksātāju reģistrā. Ir samazināts pievienotās vērtības nodokļa darījumu atšifrēšanas slieksnis, nosakot, ka reģistrētam pievienotās vērtības nodokļa maksātājam būs jāatšifrē darījumi ar reģistrētiem pievienotās vērtības nodokļa maksātājiem, kuru vērtība bez pievienotās vērtības nodokļa pārsniedz 150 </w:t>
      </w:r>
      <w:r w:rsidRPr="00A33442">
        <w:rPr>
          <w:rFonts w:ascii="Times New Roman" w:eastAsia="Times New Roman" w:hAnsi="Times New Roman" w:cs="Times New Roman"/>
          <w:i/>
          <w:sz w:val="24"/>
          <w:szCs w:val="20"/>
        </w:rPr>
        <w:t>euro</w:t>
      </w:r>
      <w:r w:rsidRPr="00A33442">
        <w:rPr>
          <w:rFonts w:ascii="Times New Roman" w:eastAsia="Times New Roman" w:hAnsi="Times New Roman" w:cs="Times New Roman"/>
          <w:sz w:val="24"/>
          <w:szCs w:val="20"/>
        </w:rPr>
        <w:t>, līdzšinējo darījumu, kuru vērtība bez pievienotās vērtības nodokļa pārsniedz 1</w:t>
      </w:r>
      <w:r w:rsidR="00E177E9">
        <w:rPr>
          <w:rFonts w:ascii="Times New Roman" w:hAnsi="Times New Roman" w:cs="Times New Roman"/>
          <w:sz w:val="20"/>
          <w:szCs w:val="20"/>
        </w:rPr>
        <w:t> </w:t>
      </w:r>
      <w:r w:rsidRPr="00A33442">
        <w:rPr>
          <w:rFonts w:ascii="Times New Roman" w:eastAsia="Times New Roman" w:hAnsi="Times New Roman" w:cs="Times New Roman"/>
          <w:sz w:val="24"/>
          <w:szCs w:val="20"/>
        </w:rPr>
        <w:t xml:space="preserve">430 </w:t>
      </w:r>
      <w:r w:rsidRPr="00A33442">
        <w:rPr>
          <w:rFonts w:ascii="Times New Roman" w:eastAsia="Times New Roman" w:hAnsi="Times New Roman" w:cs="Times New Roman"/>
          <w:i/>
          <w:sz w:val="24"/>
          <w:szCs w:val="20"/>
        </w:rPr>
        <w:t>euro</w:t>
      </w:r>
      <w:r w:rsidRPr="00A33442">
        <w:rPr>
          <w:rFonts w:ascii="Times New Roman" w:eastAsia="Times New Roman" w:hAnsi="Times New Roman" w:cs="Times New Roman"/>
          <w:sz w:val="24"/>
          <w:szCs w:val="20"/>
        </w:rPr>
        <w:t>, vietā.</w:t>
      </w:r>
    </w:p>
    <w:p w:rsidR="00747DC7" w:rsidRPr="00A33442" w:rsidRDefault="00747DC7" w:rsidP="00747DC7">
      <w:pPr>
        <w:tabs>
          <w:tab w:val="left" w:pos="709"/>
        </w:tabs>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bCs/>
          <w:sz w:val="24"/>
          <w:szCs w:val="20"/>
        </w:rPr>
        <w:tab/>
      </w:r>
      <w:r w:rsidRPr="00A33442">
        <w:rPr>
          <w:rFonts w:ascii="Times New Roman" w:eastAsia="Times New Roman" w:hAnsi="Times New Roman" w:cs="Times New Roman"/>
          <w:bCs/>
          <w:sz w:val="24"/>
          <w:szCs w:val="20"/>
        </w:rPr>
        <w:t xml:space="preserve">Tāpat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w:t>
      </w:r>
      <w:r w:rsidRPr="00A33442">
        <w:rPr>
          <w:rFonts w:ascii="Times New Roman" w:eastAsia="Times New Roman" w:hAnsi="Times New Roman" w:cs="Times New Roman"/>
          <w:bCs/>
          <w:sz w:val="24"/>
          <w:szCs w:val="20"/>
        </w:rPr>
        <w:t>ietvarā ar 2018.gadu stājās spēkā dažādi citi ēnu ekonomikas mazināšanas un administrēšanas uzlabošanas pasākumi.</w:t>
      </w:r>
    </w:p>
    <w:p w:rsidR="00747DC7" w:rsidRPr="00A33442" w:rsidRDefault="00747DC7" w:rsidP="004301DE">
      <w:pPr>
        <w:spacing w:before="120" w:after="120" w:line="240" w:lineRule="auto"/>
        <w:ind w:left="567" w:firstLine="153"/>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Pievienotās vērtības nodoklis</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Atbilstoši prognozētajai valsts ekonomikas izaugsmei, kā arī ņemot vērā pēdējo gadu PVN ieņēmumu īpatsvara IKP palielināšanos, sagaidāms</w:t>
      </w:r>
      <w:r w:rsidRPr="00A33442">
        <w:rPr>
          <w:rFonts w:ascii="Times New Roman" w:eastAsia="Times New Roman" w:hAnsi="Times New Roman" w:cs="Times New Roman"/>
          <w:sz w:val="24"/>
          <w:szCs w:val="24"/>
        </w:rPr>
        <w:t xml:space="preserve"> stabils PVN ieņēmumu kāpums. </w:t>
      </w:r>
      <w:r w:rsidRPr="00A33442">
        <w:rPr>
          <w:rFonts w:ascii="Times New Roman" w:eastAsia="Times New Roman" w:hAnsi="Times New Roman" w:cs="Times New Roman"/>
          <w:sz w:val="24"/>
          <w:szCs w:val="20"/>
        </w:rPr>
        <w:t>Turklāt PVN ieņēmumu pieaugums vidējā termiņā tiks veicināts, turpinot īstenot valdības pieņemtos pasākumus – cīņu pret nodokļu nemaksāšanu un izvairīšanos no nodokļu maksāšanas, uzlabojot nodokļa iekasēšanas efektivitāti. Uzlabojot nodokļa iekasējamību, pakāpeniski pieaugs nodokļa ieņēmumu apjoms pret IKP</w:t>
      </w:r>
      <w:r w:rsidRPr="00A33442">
        <w:rPr>
          <w:rFonts w:ascii="Arial" w:eastAsia="Times New Roman" w:hAnsi="Arial" w:cs="Arial"/>
          <w:sz w:val="24"/>
          <w:szCs w:val="20"/>
        </w:rPr>
        <w:t>.</w:t>
      </w:r>
      <w:r w:rsidRPr="00A33442">
        <w:rPr>
          <w:rFonts w:ascii="Times New Roman" w:eastAsia="Times New Roman" w:hAnsi="Times New Roman" w:cs="Times New Roman"/>
          <w:sz w:val="24"/>
          <w:szCs w:val="20"/>
        </w:rPr>
        <w:t xml:space="preserve"> </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0"/>
        </w:rPr>
        <w:t xml:space="preserve">Kā būtiskāko pasākumu, kas ietekmēs 2018.gada PVN ieņēmumus var minēt </w:t>
      </w:r>
      <w:r w:rsidRPr="00A33442">
        <w:rPr>
          <w:rFonts w:ascii="Times New Roman" w:eastAsia="Times New Roman" w:hAnsi="Times New Roman" w:cs="Times New Roman"/>
          <w:sz w:val="24"/>
          <w:szCs w:val="24"/>
        </w:rPr>
        <w:t>PVN apgrieztās maksāšanas kārtības paplašināšanu, ieviešot reverso maksāšanas kārtību būvmateriālu un sadzīves tehnikas piegādēm. Kā arī pievienotās vērtības nodokļa apgrieztās maksāšanas kārtības ieviešana metālizstrādājumu piegādei un ar to saistītiem pakalpojumiem.</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r w:rsidRPr="002327A0">
        <w:rPr>
          <w:rFonts w:ascii="Times New Roman" w:eastAsia="Times New Roman" w:hAnsi="Times New Roman" w:cs="Times New Roman"/>
          <w:sz w:val="24"/>
          <w:szCs w:val="24"/>
        </w:rPr>
        <w:t xml:space="preserve">Eiropas komisija vēl nav devusi akceptu ar PVN apgrieztās maksāšanas sistēmas piemērošanai elektriskās sadzīves aparatūras un būvmateriālu piegādēm no 2018.gada. Šobrīd turpinās aktīva komunikācija minētā jautājuma risināšanai. Reversā sistēma minēto preču piegādēm ir ieviesta praksē un darbojas, kā rezultātā tiek mazināts krāpniecisko shēmu īpatsvars attiecīgo preču nozarēs, tādējādi samazinot kopējo ēnu ekonomikas līmeni ne tikai </w:t>
      </w:r>
      <w:r w:rsidRPr="002327A0">
        <w:rPr>
          <w:rFonts w:ascii="Times New Roman" w:eastAsia="Times New Roman" w:hAnsi="Times New Roman" w:cs="Times New Roman"/>
          <w:sz w:val="24"/>
          <w:szCs w:val="24"/>
        </w:rPr>
        <w:lastRenderedPageBreak/>
        <w:t>PVN, bet arī darbaspēka nodokļu jomā kopumā. Patreiz Latvija turpina diskusiju ar Eiropas komisiju par reversās sistēmas minēto preču grupām saglabāšanu.</w:t>
      </w:r>
    </w:p>
    <w:p w:rsidR="00747DC7" w:rsidRPr="00A33442" w:rsidRDefault="00747DC7" w:rsidP="00747DC7">
      <w:pPr>
        <w:spacing w:after="0" w:line="240" w:lineRule="auto"/>
        <w:ind w:firstLine="714"/>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0"/>
        </w:rPr>
        <w:t xml:space="preserve">Tāpat PVN ieņēmumus 2018.gadā </w:t>
      </w:r>
      <w:r w:rsidRPr="00A33442">
        <w:rPr>
          <w:rFonts w:ascii="Times New Roman" w:eastAsia="Times New Roman" w:hAnsi="Times New Roman" w:cs="Times New Roman"/>
          <w:sz w:val="24"/>
          <w:szCs w:val="24"/>
        </w:rPr>
        <w:t xml:space="preserve">ietekmēs gan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w:t>
      </w:r>
      <w:r w:rsidRPr="00A33442">
        <w:rPr>
          <w:rFonts w:ascii="Times New Roman" w:eastAsia="Times New Roman" w:hAnsi="Times New Roman" w:cs="Times New Roman"/>
          <w:noProof/>
          <w:sz w:val="24"/>
          <w:szCs w:val="24"/>
          <w:lang w:eastAsia="lv-LV"/>
        </w:rPr>
        <w:t xml:space="preserve">pasākumi, gan </w:t>
      </w:r>
      <w:r w:rsidRPr="00A33442">
        <w:rPr>
          <w:rFonts w:ascii="Times New Roman" w:eastAsia="Times New Roman" w:hAnsi="Times New Roman" w:cs="Times New Roman"/>
          <w:color w:val="000000"/>
          <w:sz w:val="24"/>
          <w:szCs w:val="24"/>
        </w:rPr>
        <w:t>citas likumdošanas izmaiņas</w:t>
      </w:r>
      <w:r w:rsidRPr="00A33442">
        <w:rPr>
          <w:rFonts w:ascii="Times New Roman" w:eastAsia="Times New Roman" w:hAnsi="Times New Roman" w:cs="Times New Roman"/>
          <w:sz w:val="24"/>
          <w:szCs w:val="24"/>
        </w:rPr>
        <w:t xml:space="preserve">: </w:t>
      </w:r>
    </w:p>
    <w:p w:rsidR="00747DC7" w:rsidRPr="00A33442" w:rsidRDefault="00747DC7" w:rsidP="00747DC7">
      <w:pPr>
        <w:numPr>
          <w:ilvl w:val="0"/>
          <w:numId w:val="16"/>
        </w:numPr>
        <w:tabs>
          <w:tab w:val="left" w:pos="1134"/>
        </w:tabs>
        <w:spacing w:after="0" w:line="240" w:lineRule="auto"/>
        <w:ind w:left="993" w:hanging="357"/>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 xml:space="preserve">samazināt gada apgrozījuma slieksni </w:t>
      </w:r>
      <w:r w:rsidR="00E177E9">
        <w:rPr>
          <w:rFonts w:ascii="Times New Roman" w:eastAsia="Times New Roman" w:hAnsi="Times New Roman" w:cs="Times New Roman"/>
          <w:sz w:val="24"/>
          <w:szCs w:val="24"/>
        </w:rPr>
        <w:t xml:space="preserve">no 50 000 </w:t>
      </w:r>
      <w:r w:rsidRPr="00A33442">
        <w:rPr>
          <w:rFonts w:ascii="Times New Roman" w:eastAsia="Times New Roman" w:hAnsi="Times New Roman" w:cs="Times New Roman"/>
          <w:i/>
          <w:sz w:val="24"/>
          <w:szCs w:val="24"/>
        </w:rPr>
        <w:t>euro</w:t>
      </w:r>
      <w:r w:rsidR="00E177E9">
        <w:rPr>
          <w:rFonts w:ascii="Times New Roman" w:eastAsia="Times New Roman" w:hAnsi="Times New Roman" w:cs="Times New Roman"/>
          <w:sz w:val="24"/>
          <w:szCs w:val="24"/>
        </w:rPr>
        <w:t xml:space="preserve"> līdz 40 000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līdz kuram atļauts iekšzemes pievienotās vērtības nodokļa maksātājam nereģistrēties Valsts ieņēmuma dienesta pievienotās vērtības nodokļu maksātāju reģistrā;</w:t>
      </w:r>
    </w:p>
    <w:p w:rsidR="00747DC7" w:rsidRPr="00A33442" w:rsidRDefault="00747DC7" w:rsidP="00747DC7">
      <w:pPr>
        <w:numPr>
          <w:ilvl w:val="0"/>
          <w:numId w:val="16"/>
        </w:numPr>
        <w:tabs>
          <w:tab w:val="left" w:pos="1134"/>
        </w:tabs>
        <w:spacing w:after="0" w:line="240" w:lineRule="auto"/>
        <w:ind w:left="993"/>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 xml:space="preserve">pievienotās vērtības nodokļa darījumu atšifrēšanas sliekšņa samazināšanu, nosakot, ka reģistrētam pievienotās vērtības nodokļa maksātājam būs jāatšifrē darījumi ar reģistrētiem pievienotās vērtības nodokļa maksātājiem, kuru vērtība bez pievienotās vērtības nodokļa pārsniedz 150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līdzšinējo darījumu, kuru vērtība bez pievienotās vērtības nodokļa pārsniedz 1</w:t>
      </w:r>
      <w:r w:rsidR="00E177E9">
        <w:rPr>
          <w:rFonts w:ascii="Times New Roman" w:hAnsi="Times New Roman" w:cs="Times New Roman"/>
          <w:sz w:val="20"/>
          <w:szCs w:val="20"/>
        </w:rPr>
        <w:t> </w:t>
      </w:r>
      <w:r w:rsidR="00E177E9">
        <w:rPr>
          <w:rFonts w:ascii="Times New Roman" w:eastAsia="Times New Roman" w:hAnsi="Times New Roman" w:cs="Times New Roman"/>
          <w:sz w:val="24"/>
          <w:szCs w:val="24"/>
        </w:rPr>
        <w:t xml:space="preserve">430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vietā.;</w:t>
      </w:r>
    </w:p>
    <w:p w:rsidR="00747DC7" w:rsidRPr="00A33442" w:rsidRDefault="00747DC7" w:rsidP="00747DC7">
      <w:pPr>
        <w:numPr>
          <w:ilvl w:val="0"/>
          <w:numId w:val="16"/>
        </w:numPr>
        <w:tabs>
          <w:tab w:val="left" w:pos="1134"/>
        </w:tabs>
        <w:spacing w:after="0" w:line="240" w:lineRule="auto"/>
        <w:ind w:left="993" w:hanging="357"/>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pievienotās vērtības nodokļa samazinātās likmes ieviešana 5% apmērā Latvijai raksturīgajiem augļiem, ogām un dārzeņiem Samazinātā likme tiks ieviesta uz laiku no 2018.gada 1.janvāra līdz 2020.gada 31.decembrim.</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 xml:space="preserve">Papildus minētajām izmaiņām PVN ieņēmumus ietekmē arī citi pasākumi, kas nav tieši saistīti ar Pievienotās vērtības nodokļa likuma izmaiņām, bet veicinās tā ieņēmumu pieaugumu, piemēram, izmaiņas akcīzes nodokļa piemērošanā, mēneša minimālās algas paaugstināšana, </w:t>
      </w:r>
      <w:r w:rsidRPr="00A33442">
        <w:rPr>
          <w:rFonts w:ascii="Times New Roman" w:eastAsia="Times New Roman" w:hAnsi="Times New Roman" w:cs="Times New Roman"/>
          <w:color w:val="000000"/>
          <w:sz w:val="24"/>
          <w:szCs w:val="24"/>
        </w:rPr>
        <w:t>ēnu ekonomikas apkarošanas un nodokļu administrēšanas uzlabošanas pasākumi</w:t>
      </w:r>
      <w:r w:rsidRPr="00A33442">
        <w:rPr>
          <w:rFonts w:ascii="Times New Roman" w:eastAsia="Times New Roman" w:hAnsi="Times New Roman" w:cs="Times New Roman"/>
          <w:sz w:val="24"/>
          <w:szCs w:val="20"/>
        </w:rPr>
        <w:t>.</w:t>
      </w:r>
    </w:p>
    <w:p w:rsidR="00747DC7" w:rsidRDefault="00747DC7" w:rsidP="00747DC7">
      <w:pPr>
        <w:spacing w:after="0" w:line="240" w:lineRule="auto"/>
        <w:ind w:firstLine="567"/>
        <w:jc w:val="both"/>
        <w:rPr>
          <w:rFonts w:ascii="Times New Roman" w:eastAsia="Times New Roman" w:hAnsi="Times New Roman" w:cs="Times New Roman"/>
          <w:sz w:val="24"/>
          <w:szCs w:val="20"/>
        </w:rPr>
      </w:pPr>
    </w:p>
    <w:p w:rsidR="00747DC7" w:rsidRPr="00A33442" w:rsidRDefault="00747DC7" w:rsidP="00E177E9">
      <w:pPr>
        <w:keepNext/>
        <w:spacing w:after="0" w:line="240" w:lineRule="auto"/>
        <w:jc w:val="right"/>
        <w:rPr>
          <w:rFonts w:ascii="Times New Roman" w:eastAsia="Times New Roman" w:hAnsi="Times New Roman" w:cs="Times New Roman"/>
          <w:b/>
          <w:i/>
          <w:sz w:val="24"/>
          <w:szCs w:val="24"/>
        </w:rPr>
      </w:pPr>
      <w:r w:rsidRPr="00A33442">
        <w:rPr>
          <w:rFonts w:ascii="Times New Roman" w:eastAsia="Times New Roman" w:hAnsi="Times New Roman" w:cs="Times New Roman"/>
          <w:b/>
          <w:sz w:val="24"/>
          <w:szCs w:val="20"/>
        </w:rPr>
        <w:t>6.2.tabula.</w:t>
      </w:r>
      <w:r w:rsidRPr="00A33442">
        <w:rPr>
          <w:rFonts w:ascii="Times New Roman" w:eastAsia="Times New Roman" w:hAnsi="Times New Roman" w:cs="Times New Roman"/>
          <w:b/>
          <w:sz w:val="24"/>
          <w:szCs w:val="24"/>
        </w:rPr>
        <w:t xml:space="preserve"> Nodokļu politikas izmaiņu ietekme</w:t>
      </w:r>
      <w:r w:rsidRPr="00A33442">
        <w:rPr>
          <w:rFonts w:ascii="Times New Roman" w:eastAsia="Times New Roman" w:hAnsi="Times New Roman" w:cs="Times New Roman"/>
          <w:b/>
          <w:sz w:val="24"/>
          <w:szCs w:val="24"/>
          <w:vertAlign w:val="superscript"/>
        </w:rPr>
        <w:footnoteReference w:id="32"/>
      </w:r>
      <w:r w:rsidRPr="00A33442">
        <w:rPr>
          <w:rFonts w:ascii="Times New Roman" w:eastAsia="Times New Roman" w:hAnsi="Times New Roman" w:cs="Times New Roman"/>
          <w:b/>
          <w:sz w:val="24"/>
          <w:szCs w:val="24"/>
        </w:rPr>
        <w:t xml:space="preserve"> uz PVN ieņēmumiem, milj.</w:t>
      </w:r>
      <w:r w:rsidR="00E177E9">
        <w:rPr>
          <w:rFonts w:ascii="Times New Roman" w:eastAsia="Times New Roman" w:hAnsi="Times New Roman" w:cs="Times New Roman"/>
          <w:b/>
          <w:sz w:val="24"/>
          <w:szCs w:val="24"/>
        </w:rPr>
        <w:t xml:space="preserve"> </w:t>
      </w:r>
      <w:r w:rsidRPr="00A33442">
        <w:rPr>
          <w:rFonts w:ascii="Times New Roman" w:eastAsia="Times New Roman" w:hAnsi="Times New Roman" w:cs="Times New Roman"/>
          <w:b/>
          <w:i/>
          <w:sz w:val="24"/>
          <w:szCs w:val="24"/>
        </w:rPr>
        <w:t>euro</w:t>
      </w:r>
    </w:p>
    <w:tbl>
      <w:tblPr>
        <w:tblStyle w:val="GridTable6Colorful-Accent11"/>
        <w:tblW w:w="9215" w:type="dxa"/>
        <w:tblLayout w:type="fixed"/>
        <w:tblLook w:val="04A0" w:firstRow="1" w:lastRow="0" w:firstColumn="1" w:lastColumn="0" w:noHBand="0" w:noVBand="1"/>
      </w:tblPr>
      <w:tblGrid>
        <w:gridCol w:w="6379"/>
        <w:gridCol w:w="709"/>
        <w:gridCol w:w="709"/>
        <w:gridCol w:w="709"/>
        <w:gridCol w:w="709"/>
      </w:tblGrid>
      <w:tr w:rsidR="00747DC7" w:rsidRPr="00A33442" w:rsidTr="00E17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1509AF">
            <w:pPr>
              <w:rPr>
                <w:rFonts w:ascii="Times New Roman" w:eastAsia="Times New Roman" w:hAnsi="Times New Roman" w:cs="Times New Roman"/>
                <w:b w:val="0"/>
                <w:color w:val="auto"/>
                <w:sz w:val="20"/>
                <w:szCs w:val="20"/>
              </w:rPr>
            </w:pPr>
          </w:p>
        </w:tc>
        <w:tc>
          <w:tcPr>
            <w:tcW w:w="709" w:type="dxa"/>
            <w:vAlign w:val="center"/>
          </w:tcPr>
          <w:p w:rsidR="00747DC7" w:rsidRPr="00A33442" w:rsidRDefault="00747DC7" w:rsidP="00E177E9">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33442">
              <w:rPr>
                <w:rFonts w:ascii="Times New Roman" w:eastAsia="Times New Roman" w:hAnsi="Times New Roman" w:cs="Times New Roman"/>
                <w:color w:val="auto"/>
                <w:sz w:val="20"/>
                <w:szCs w:val="20"/>
              </w:rPr>
              <w:t>2018</w:t>
            </w:r>
          </w:p>
        </w:tc>
        <w:tc>
          <w:tcPr>
            <w:tcW w:w="709" w:type="dxa"/>
            <w:vAlign w:val="center"/>
          </w:tcPr>
          <w:p w:rsidR="00747DC7" w:rsidRPr="00A33442" w:rsidRDefault="00747DC7" w:rsidP="00E177E9">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33442">
              <w:rPr>
                <w:rFonts w:ascii="Times New Roman" w:eastAsia="Times New Roman" w:hAnsi="Times New Roman" w:cs="Times New Roman"/>
                <w:color w:val="auto"/>
                <w:sz w:val="20"/>
                <w:szCs w:val="20"/>
              </w:rPr>
              <w:t>2019</w:t>
            </w:r>
          </w:p>
        </w:tc>
        <w:tc>
          <w:tcPr>
            <w:tcW w:w="709" w:type="dxa"/>
            <w:vAlign w:val="center"/>
          </w:tcPr>
          <w:p w:rsidR="00747DC7" w:rsidRPr="00A33442" w:rsidRDefault="00747DC7" w:rsidP="00E177E9">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33442">
              <w:rPr>
                <w:rFonts w:ascii="Times New Roman" w:eastAsia="Times New Roman" w:hAnsi="Times New Roman" w:cs="Times New Roman"/>
                <w:color w:val="auto"/>
                <w:sz w:val="20"/>
                <w:szCs w:val="20"/>
              </w:rPr>
              <w:t>2020</w:t>
            </w:r>
          </w:p>
        </w:tc>
        <w:tc>
          <w:tcPr>
            <w:tcW w:w="709" w:type="dxa"/>
            <w:vAlign w:val="center"/>
          </w:tcPr>
          <w:p w:rsidR="00747DC7" w:rsidRPr="00A33442" w:rsidRDefault="00747DC7" w:rsidP="00E177E9">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2021</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apgrieztās maksāšanas kārtības ieviešana graudaugu un tehnisko kultūru piegādēm (ar 01.07.2016.)</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A33442">
              <w:rPr>
                <w:rFonts w:ascii="Times New Roman" w:eastAsia="Times New Roman" w:hAnsi="Times New Roman" w:cs="Times New Roman"/>
                <w:color w:val="auto"/>
                <w:sz w:val="20"/>
                <w:szCs w:val="20"/>
              </w:rPr>
              <w:t>-4,3</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apgrieztās maksāšanas kārtības ieviešana neapstrādātu dārgmetālu, dārgmetālu sakausējumu, dārgmetālu plaķētu metālu, dārgmetālu lūžņu un atlūzu piegādēm</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33442">
              <w:rPr>
                <w:rFonts w:ascii="Times New Roman" w:eastAsia="Times New Roman" w:hAnsi="Times New Roman" w:cs="Times New Roman"/>
                <w:color w:val="auto"/>
                <w:sz w:val="20"/>
                <w:szCs w:val="20"/>
              </w:rPr>
              <w:t>-0,5</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Akcīzes nodokļa likmes paaugstināšana cigaretēm, cigāriem un cigarellām un smēķējamai tabakai, alkoholiskajiem dzērieniem un alum, naftas produktiem</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13,4</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4,1</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6,9</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9C44D7">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reģistrācijas sliekšņa samazināšana no 50</w:t>
            </w:r>
            <w:r w:rsidR="009C44D7">
              <w:rPr>
                <w:rFonts w:ascii="Times New Roman" w:eastAsia="Times New Roman" w:hAnsi="Times New Roman" w:cs="Times New Roman"/>
                <w:b w:val="0"/>
                <w:color w:val="auto"/>
                <w:sz w:val="20"/>
                <w:szCs w:val="20"/>
              </w:rPr>
              <w:t> </w:t>
            </w:r>
            <w:r w:rsidRPr="00A33442">
              <w:rPr>
                <w:rFonts w:ascii="Times New Roman" w:eastAsia="Times New Roman" w:hAnsi="Times New Roman" w:cs="Times New Roman"/>
                <w:b w:val="0"/>
                <w:color w:val="auto"/>
                <w:sz w:val="20"/>
                <w:szCs w:val="20"/>
              </w:rPr>
              <w:t>000</w:t>
            </w:r>
            <w:r w:rsidR="009C44D7">
              <w:rPr>
                <w:rFonts w:ascii="Times New Roman" w:eastAsia="Times New Roman" w:hAnsi="Times New Roman" w:cs="Times New Roman"/>
                <w:b w:val="0"/>
                <w:color w:val="auto"/>
                <w:sz w:val="20"/>
                <w:szCs w:val="20"/>
              </w:rPr>
              <w:t xml:space="preserve"> </w:t>
            </w:r>
            <w:r w:rsidRPr="00A33442">
              <w:rPr>
                <w:rFonts w:ascii="Times New Roman" w:eastAsia="Times New Roman" w:hAnsi="Times New Roman" w:cs="Times New Roman"/>
                <w:b w:val="0"/>
                <w:i/>
                <w:color w:val="auto"/>
                <w:sz w:val="20"/>
                <w:szCs w:val="20"/>
              </w:rPr>
              <w:t>euro</w:t>
            </w:r>
            <w:r w:rsidRPr="00A33442">
              <w:rPr>
                <w:rFonts w:ascii="Times New Roman" w:eastAsia="Times New Roman" w:hAnsi="Times New Roman" w:cs="Times New Roman"/>
                <w:b w:val="0"/>
                <w:color w:val="auto"/>
                <w:sz w:val="20"/>
                <w:szCs w:val="20"/>
              </w:rPr>
              <w:t xml:space="preserve"> līdz 40</w:t>
            </w:r>
            <w:r w:rsidR="009C44D7">
              <w:rPr>
                <w:rFonts w:ascii="Times New Roman" w:eastAsia="Times New Roman" w:hAnsi="Times New Roman" w:cs="Times New Roman"/>
                <w:b w:val="0"/>
                <w:color w:val="auto"/>
                <w:sz w:val="20"/>
                <w:szCs w:val="20"/>
              </w:rPr>
              <w:t> </w:t>
            </w:r>
            <w:r w:rsidRPr="00A33442">
              <w:rPr>
                <w:rFonts w:ascii="Times New Roman" w:eastAsia="Times New Roman" w:hAnsi="Times New Roman" w:cs="Times New Roman"/>
                <w:b w:val="0"/>
                <w:color w:val="auto"/>
                <w:sz w:val="20"/>
                <w:szCs w:val="20"/>
              </w:rPr>
              <w:t>000</w:t>
            </w:r>
            <w:r w:rsidR="009C44D7">
              <w:rPr>
                <w:rFonts w:ascii="Times New Roman" w:eastAsia="Times New Roman" w:hAnsi="Times New Roman" w:cs="Times New Roman"/>
                <w:b w:val="0"/>
                <w:color w:val="auto"/>
                <w:sz w:val="20"/>
                <w:szCs w:val="20"/>
              </w:rPr>
              <w:t xml:space="preserve"> </w:t>
            </w:r>
            <w:r w:rsidRPr="00A33442">
              <w:rPr>
                <w:rFonts w:ascii="Times New Roman" w:eastAsia="Times New Roman" w:hAnsi="Times New Roman" w:cs="Times New Roman"/>
                <w:b w:val="0"/>
                <w:i/>
                <w:color w:val="auto"/>
                <w:sz w:val="20"/>
                <w:szCs w:val="20"/>
              </w:rPr>
              <w:t>euro</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5,9</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9C44D7">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darījumu atšifrēšanas sliekšņa samazināšana PVN deklarācijās no 1</w:t>
            </w:r>
            <w:r w:rsidR="009C44D7">
              <w:rPr>
                <w:rFonts w:ascii="Times New Roman" w:eastAsia="Times New Roman" w:hAnsi="Times New Roman" w:cs="Times New Roman"/>
                <w:b w:val="0"/>
                <w:color w:val="auto"/>
                <w:sz w:val="20"/>
                <w:szCs w:val="20"/>
              </w:rPr>
              <w:t> </w:t>
            </w:r>
            <w:r w:rsidRPr="00A33442">
              <w:rPr>
                <w:rFonts w:ascii="Times New Roman" w:eastAsia="Times New Roman" w:hAnsi="Times New Roman" w:cs="Times New Roman"/>
                <w:b w:val="0"/>
                <w:color w:val="auto"/>
                <w:sz w:val="20"/>
                <w:szCs w:val="20"/>
              </w:rPr>
              <w:t>430</w:t>
            </w:r>
            <w:r w:rsidR="009C44D7">
              <w:rPr>
                <w:rFonts w:ascii="Times New Roman" w:eastAsia="Times New Roman" w:hAnsi="Times New Roman" w:cs="Times New Roman"/>
                <w:b w:val="0"/>
                <w:color w:val="auto"/>
                <w:sz w:val="20"/>
                <w:szCs w:val="20"/>
              </w:rPr>
              <w:t xml:space="preserve"> </w:t>
            </w:r>
            <w:r w:rsidRPr="00A33442">
              <w:rPr>
                <w:rFonts w:ascii="Times New Roman" w:eastAsia="Times New Roman" w:hAnsi="Times New Roman" w:cs="Times New Roman"/>
                <w:b w:val="0"/>
                <w:i/>
                <w:color w:val="auto"/>
                <w:sz w:val="20"/>
                <w:szCs w:val="20"/>
              </w:rPr>
              <w:t>euro</w:t>
            </w:r>
            <w:r w:rsidRPr="00A33442">
              <w:rPr>
                <w:rFonts w:ascii="Times New Roman" w:eastAsia="Times New Roman" w:hAnsi="Times New Roman" w:cs="Times New Roman"/>
                <w:b w:val="0"/>
                <w:color w:val="auto"/>
                <w:sz w:val="20"/>
                <w:szCs w:val="20"/>
              </w:rPr>
              <w:t xml:space="preserve"> līdz 150</w:t>
            </w:r>
            <w:r w:rsidR="009C44D7">
              <w:rPr>
                <w:rFonts w:ascii="Times New Roman" w:eastAsia="Times New Roman" w:hAnsi="Times New Roman" w:cs="Times New Roman"/>
                <w:b w:val="0"/>
                <w:color w:val="auto"/>
                <w:sz w:val="20"/>
                <w:szCs w:val="20"/>
              </w:rPr>
              <w:t xml:space="preserve"> </w:t>
            </w:r>
            <w:r w:rsidRPr="00A33442">
              <w:rPr>
                <w:rFonts w:ascii="Times New Roman" w:eastAsia="Times New Roman" w:hAnsi="Times New Roman" w:cs="Times New Roman"/>
                <w:b w:val="0"/>
                <w:i/>
                <w:color w:val="auto"/>
                <w:sz w:val="20"/>
                <w:szCs w:val="20"/>
              </w:rPr>
              <w:t>euro</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38,0</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reversa paplašināšana, ieviešot būvmateriālu, metālu un sadzīves tehnikas piegādēm</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40,2</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Ēnu ekonomiku mazinošie pasākumi </w:t>
            </w:r>
            <w:r w:rsidR="000C3005" w:rsidRPr="000C3005">
              <w:rPr>
                <w:rFonts w:ascii="Times New Roman" w:eastAsia="Times New Roman" w:hAnsi="Times New Roman" w:cs="Times New Roman"/>
                <w:b w:val="0"/>
                <w:color w:val="auto"/>
                <w:sz w:val="20"/>
                <w:szCs w:val="20"/>
              </w:rPr>
              <w:t>–</w:t>
            </w:r>
            <w:r w:rsidRPr="00A33442">
              <w:rPr>
                <w:rFonts w:ascii="Times New Roman" w:eastAsia="Times New Roman" w:hAnsi="Times New Roman" w:cs="Times New Roman"/>
                <w:b w:val="0"/>
                <w:color w:val="auto"/>
                <w:sz w:val="20"/>
                <w:szCs w:val="20"/>
              </w:rPr>
              <w:t xml:space="preserve"> Administrēšanas un piedziņas uzlabošana</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9,5</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Nodokļu atbalsta pasākums </w:t>
            </w:r>
            <w:r w:rsidR="000C3005" w:rsidRPr="000C3005">
              <w:rPr>
                <w:rFonts w:ascii="Times New Roman" w:eastAsia="Times New Roman" w:hAnsi="Times New Roman" w:cs="Times New Roman"/>
                <w:b w:val="0"/>
                <w:color w:val="auto"/>
                <w:sz w:val="20"/>
                <w:szCs w:val="20"/>
              </w:rPr>
              <w:t>–</w:t>
            </w:r>
            <w:r w:rsidRPr="00A33442">
              <w:rPr>
                <w:rFonts w:ascii="Times New Roman" w:eastAsia="Times New Roman" w:hAnsi="Times New Roman" w:cs="Times New Roman"/>
                <w:b w:val="0"/>
                <w:color w:val="auto"/>
                <w:sz w:val="20"/>
                <w:szCs w:val="20"/>
              </w:rPr>
              <w:t xml:space="preserve"> bez papildus kvalificējošiem kritērijiem dos iespēju laikā līdz 2 gadiem nomaksāt parādu, rezultātā dzēšot nokavējuma naudu un soda naudu</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10,5</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-8,0</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samazinātā likme 5% apmērā Latvijai raksturīgajiem dārzeņiem, augļiem uz ogām</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-6,0</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6,0</w:t>
            </w:r>
          </w:p>
        </w:tc>
      </w:tr>
      <w:tr w:rsidR="00747DC7" w:rsidRPr="00A33442" w:rsidTr="00E177E9">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Risinājumu izstrādāšana čeku loterijas organizēšanai</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2,9</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-2,9</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apgrieztās maksāšanas kārtības ieviešana pākšaugu piegādēm</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0,5</w:t>
            </w: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09"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E177E9">
        <w:tc>
          <w:tcPr>
            <w:cnfStyle w:val="001000000000" w:firstRow="0" w:lastRow="0" w:firstColumn="1" w:lastColumn="0" w:oddVBand="0" w:evenVBand="0" w:oddHBand="0" w:evenHBand="0" w:firstRowFirstColumn="0" w:firstRowLastColumn="0" w:lastRowFirstColumn="0" w:lastRowLastColumn="0"/>
            <w:tcW w:w="6379" w:type="dxa"/>
          </w:tcPr>
          <w:p w:rsidR="00747DC7" w:rsidRPr="00A33442" w:rsidRDefault="00747DC7" w:rsidP="001509AF">
            <w:pPr>
              <w:jc w:val="right"/>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Izmaiņu ietekme kopā:</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111,5</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2,7</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-1,0</w:t>
            </w:r>
          </w:p>
        </w:tc>
        <w:tc>
          <w:tcPr>
            <w:tcW w:w="709" w:type="dxa"/>
            <w:vAlign w:val="center"/>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3,1</w:t>
            </w:r>
          </w:p>
        </w:tc>
      </w:tr>
    </w:tbl>
    <w:p w:rsidR="00E177E9" w:rsidRDefault="000C3005" w:rsidP="00F4636D">
      <w:pPr>
        <w:keepNext/>
        <w:spacing w:after="12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r>
      <w:r w:rsidR="00E177E9">
        <w:rPr>
          <w:rFonts w:ascii="Times New Roman" w:eastAsia="Times New Roman" w:hAnsi="Times New Roman" w:cs="Times New Roman"/>
          <w:b/>
          <w:sz w:val="24"/>
          <w:szCs w:val="24"/>
        </w:rPr>
        <w:t>Uzņēmumu ienākuma nodoklis</w:t>
      </w:r>
    </w:p>
    <w:p w:rsidR="00CF610A" w:rsidRPr="00E177E9" w:rsidRDefault="00CF610A" w:rsidP="00E177E9">
      <w:pPr>
        <w:keepNext/>
        <w:spacing w:after="0" w:line="240" w:lineRule="auto"/>
        <w:ind w:firstLine="709"/>
        <w:jc w:val="both"/>
        <w:rPr>
          <w:rFonts w:ascii="Times New Roman" w:eastAsia="Times New Roman" w:hAnsi="Times New Roman" w:cs="Times New Roman"/>
          <w:b/>
          <w:sz w:val="24"/>
          <w:szCs w:val="24"/>
        </w:rPr>
      </w:pPr>
      <w:r w:rsidRPr="00A33442">
        <w:rPr>
          <w:rFonts w:ascii="Times New Roman" w:eastAsia="Times New Roman" w:hAnsi="Times New Roman" w:cs="Times New Roman"/>
          <w:color w:val="000000"/>
          <w:sz w:val="24"/>
          <w:szCs w:val="24"/>
          <w:lang w:eastAsia="lv-LV"/>
        </w:rPr>
        <w:t>Saskaņā ar 2017.gada 28.jūlija likumu “Par uzņēmumu ienākuma nodokli” ar 2018.gadu tiek paredzēts konceptuāli jauns uzņēmumu ienākuma nodokļa maksāšanas režīms. Jaunais modelis paredz nodokļa maksāšanas brīdi atlikt līdz brīdim, kad peļņa tiek sadalīta vai citādā veidā novirzīta tādiem izdevumiem, kuri nenodrošina uzņēmuma turpmāku attīstību.</w:t>
      </w:r>
    </w:p>
    <w:p w:rsidR="00CF610A" w:rsidRPr="00A33442" w:rsidRDefault="00CF610A" w:rsidP="00CF610A">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iCs/>
          <w:sz w:val="24"/>
          <w:szCs w:val="20"/>
        </w:rPr>
        <w:t xml:space="preserve">Būtiskākās izmaiņas </w:t>
      </w:r>
      <w:r w:rsidRPr="00A33442">
        <w:rPr>
          <w:rFonts w:ascii="Times New Roman" w:eastAsia="Times New Roman" w:hAnsi="Times New Roman" w:cs="Times New Roman"/>
          <w:sz w:val="24"/>
          <w:szCs w:val="20"/>
        </w:rPr>
        <w:t>UIN</w:t>
      </w:r>
      <w:r w:rsidRPr="00A33442">
        <w:rPr>
          <w:rFonts w:ascii="Times New Roman" w:eastAsia="Times New Roman" w:hAnsi="Times New Roman" w:cs="Times New Roman"/>
          <w:iCs/>
          <w:sz w:val="24"/>
          <w:szCs w:val="20"/>
        </w:rPr>
        <w:t xml:space="preserve"> ieņēmumos 2018.gadā, saistās ar</w:t>
      </w:r>
      <w:r w:rsidRPr="00A33442">
        <w:rPr>
          <w:rFonts w:ascii="Times New Roman" w:eastAsia="Times New Roman" w:hAnsi="Times New Roman" w:cs="Times New Roman"/>
          <w:sz w:val="24"/>
          <w:szCs w:val="24"/>
        </w:rPr>
        <w:t xml:space="preserve"> </w:t>
      </w:r>
      <w:r w:rsidRPr="00A33442">
        <w:rPr>
          <w:rFonts w:ascii="Times New Roman" w:eastAsia="Times New Roman" w:hAnsi="Times New Roman" w:cs="Times New Roman"/>
          <w:sz w:val="24"/>
          <w:szCs w:val="20"/>
        </w:rPr>
        <w:t>jaunā modeļa ieviešanu. Tāpat UIN ieņēmumus ietekmē iepriekš pieņemtās likumdošanas izmaiņas saistībā ar mikrouzņēmuma nodokļa likmju izmaiņām.</w:t>
      </w:r>
    </w:p>
    <w:p w:rsidR="00CF610A" w:rsidRPr="00A33442" w:rsidRDefault="00CF610A" w:rsidP="00CF610A">
      <w:pPr>
        <w:spacing w:after="0" w:line="240" w:lineRule="auto"/>
        <w:ind w:firstLine="709"/>
        <w:jc w:val="both"/>
        <w:rPr>
          <w:rFonts w:ascii="Times New Roman" w:eastAsia="Times New Roman" w:hAnsi="Times New Roman" w:cs="Times New Roman"/>
          <w:iCs/>
          <w:sz w:val="24"/>
          <w:szCs w:val="20"/>
        </w:rPr>
      </w:pPr>
      <w:r w:rsidRPr="00A33442">
        <w:rPr>
          <w:rFonts w:ascii="Times New Roman" w:eastAsia="Times New Roman" w:hAnsi="Times New Roman" w:cs="Times New Roman"/>
          <w:iCs/>
          <w:sz w:val="24"/>
          <w:szCs w:val="20"/>
        </w:rPr>
        <w:t>Papildus UIN ieņēmumus 2018.gadā un turpmākajos gados ietekmēs arī citas likumdošanas izmaiņas, kas stājas spēkā ar 2018.gada 1.janvāri:</w:t>
      </w:r>
    </w:p>
    <w:p w:rsidR="00CF610A" w:rsidRPr="00A33442" w:rsidRDefault="00CF610A" w:rsidP="00CF610A">
      <w:pPr>
        <w:numPr>
          <w:ilvl w:val="0"/>
          <w:numId w:val="6"/>
        </w:numPr>
        <w:spacing w:after="0" w:line="240" w:lineRule="auto"/>
        <w:ind w:left="1134" w:hanging="425"/>
        <w:contextualSpacing/>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color w:val="000000"/>
          <w:sz w:val="24"/>
          <w:szCs w:val="24"/>
          <w:lang w:eastAsia="lv-LV"/>
        </w:rPr>
        <w:t>saskaņā ar 2017.gada 28.jūlija grozījumiem Mikrouzņēmumu nodokļa likumā tiek paredzēts samazināt mikrouzņēmumu gada apgrozījuma slieksni līdz 40</w:t>
      </w:r>
      <w:r w:rsidR="000C3005">
        <w:rPr>
          <w:rFonts w:ascii="Times New Roman" w:eastAsia="Times New Roman" w:hAnsi="Times New Roman" w:cs="Times New Roman"/>
          <w:color w:val="000000"/>
          <w:sz w:val="24"/>
          <w:szCs w:val="24"/>
          <w:lang w:eastAsia="lv-LV"/>
        </w:rPr>
        <w:t xml:space="preserve"> </w:t>
      </w:r>
      <w:r w:rsidRPr="00A33442">
        <w:rPr>
          <w:rFonts w:ascii="Times New Roman" w:eastAsia="Times New Roman" w:hAnsi="Times New Roman" w:cs="Times New Roman"/>
          <w:color w:val="000000"/>
          <w:sz w:val="24"/>
          <w:szCs w:val="24"/>
          <w:lang w:eastAsia="lv-LV"/>
        </w:rPr>
        <w:t>tūkst.</w:t>
      </w:r>
      <w:r>
        <w:rPr>
          <w:rFonts w:ascii="Times New Roman" w:eastAsia="Times New Roman" w:hAnsi="Times New Roman" w:cs="Times New Roman"/>
          <w:color w:val="000000"/>
          <w:sz w:val="24"/>
          <w:szCs w:val="24"/>
          <w:lang w:eastAsia="lv-LV"/>
        </w:rPr>
        <w:t xml:space="preserve"> </w:t>
      </w:r>
      <w:r w:rsidRPr="00A33442">
        <w:rPr>
          <w:rFonts w:ascii="Times New Roman" w:eastAsia="Times New Roman" w:hAnsi="Times New Roman" w:cs="Times New Roman"/>
          <w:i/>
          <w:color w:val="000000"/>
          <w:sz w:val="24"/>
          <w:szCs w:val="24"/>
          <w:lang w:eastAsia="lv-LV"/>
        </w:rPr>
        <w:t>euro</w:t>
      </w:r>
      <w:r w:rsidRPr="00A33442">
        <w:rPr>
          <w:rFonts w:ascii="Times New Roman" w:eastAsia="Times New Roman" w:hAnsi="Times New Roman" w:cs="Times New Roman"/>
          <w:color w:val="000000"/>
          <w:sz w:val="24"/>
          <w:szCs w:val="24"/>
          <w:lang w:eastAsia="lv-LV"/>
        </w:rPr>
        <w:t>;</w:t>
      </w:r>
    </w:p>
    <w:p w:rsidR="00CF610A" w:rsidRPr="00A33442" w:rsidRDefault="00CF610A" w:rsidP="00CF610A">
      <w:pPr>
        <w:numPr>
          <w:ilvl w:val="0"/>
          <w:numId w:val="6"/>
        </w:numPr>
        <w:spacing w:after="0" w:line="240" w:lineRule="auto"/>
        <w:ind w:left="1134" w:hanging="425"/>
        <w:jc w:val="both"/>
        <w:rPr>
          <w:rFonts w:ascii="Times New Roman" w:eastAsia="Times New Roman" w:hAnsi="Times New Roman" w:cs="Times New Roman"/>
          <w:sz w:val="24"/>
          <w:szCs w:val="24"/>
        </w:rPr>
      </w:pPr>
      <w:r w:rsidRPr="00A33442">
        <w:rPr>
          <w:rFonts w:ascii="Times New Roman" w:eastAsia="Times New Roman" w:hAnsi="Times New Roman" w:cs="Times New Roman"/>
          <w:color w:val="000000"/>
          <w:sz w:val="24"/>
          <w:szCs w:val="24"/>
          <w:lang w:eastAsia="lv-LV"/>
        </w:rPr>
        <w:t>nodokļu atbalsta pasākumi;</w:t>
      </w:r>
    </w:p>
    <w:p w:rsidR="00CF610A" w:rsidRPr="00A33442" w:rsidRDefault="00CF610A" w:rsidP="00CF610A">
      <w:pPr>
        <w:numPr>
          <w:ilvl w:val="0"/>
          <w:numId w:val="6"/>
        </w:numPr>
        <w:spacing w:after="0" w:line="240" w:lineRule="auto"/>
        <w:ind w:left="1134" w:hanging="425"/>
        <w:jc w:val="both"/>
        <w:rPr>
          <w:rFonts w:ascii="Times New Roman" w:eastAsia="Times New Roman" w:hAnsi="Times New Roman" w:cs="Times New Roman"/>
          <w:sz w:val="24"/>
          <w:szCs w:val="24"/>
        </w:rPr>
      </w:pPr>
      <w:r w:rsidRPr="00A33442">
        <w:rPr>
          <w:rFonts w:ascii="Times New Roman" w:eastAsia="Times New Roman" w:hAnsi="Times New Roman" w:cs="Times New Roman"/>
          <w:color w:val="000000"/>
          <w:sz w:val="24"/>
          <w:szCs w:val="24"/>
          <w:lang w:eastAsia="lv-LV"/>
        </w:rPr>
        <w:t>palielināt minimālo dividendēs izmaksājamo peļņas daļu kapitālsabiedrībām (par 2018.gada peļņu), kurās visas kapitāla daļas tieši vai pastarpināti pieder valstij līdz 85 procentiem.</w:t>
      </w:r>
    </w:p>
    <w:p w:rsidR="00CF610A" w:rsidRDefault="00CF610A" w:rsidP="00CF610A">
      <w:pPr>
        <w:spacing w:after="0" w:line="240" w:lineRule="auto"/>
        <w:ind w:firstLine="720"/>
        <w:rPr>
          <w:rFonts w:ascii="Times New Roman" w:eastAsia="Times New Roman" w:hAnsi="Times New Roman" w:cs="Times New Roman"/>
          <w:b/>
          <w:sz w:val="24"/>
          <w:szCs w:val="20"/>
        </w:rPr>
      </w:pPr>
      <w:r w:rsidRPr="00A33442">
        <w:rPr>
          <w:rFonts w:ascii="Times New Roman" w:eastAsia="Times New Roman" w:hAnsi="Times New Roman" w:cs="Times New Roman"/>
          <w:iCs/>
          <w:sz w:val="24"/>
          <w:szCs w:val="24"/>
        </w:rPr>
        <w:t xml:space="preserve">Lai kompensētu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iCs/>
          <w:sz w:val="24"/>
          <w:szCs w:val="24"/>
        </w:rPr>
        <w:t xml:space="preserve"> ieviešanas gadā radušos UIN ieņēmumu kritumu, </w:t>
      </w:r>
      <w:r w:rsidRPr="00A33442">
        <w:rPr>
          <w:rFonts w:ascii="Times New Roman" w:hAnsi="Times New Roman" w:cs="Times New Roman"/>
          <w:sz w:val="24"/>
          <w:szCs w:val="24"/>
        </w:rPr>
        <w:t>2018.gada 1.pusgadā paredzēts turpināt veikt UIN avansa maksājumus</w:t>
      </w:r>
      <w:r w:rsidRPr="00A33442">
        <w:rPr>
          <w:rFonts w:ascii="Times New Roman" w:eastAsia="Times New Roman" w:hAnsi="Times New Roman" w:cs="Times New Roman"/>
          <w:b/>
          <w:sz w:val="24"/>
          <w:szCs w:val="24"/>
        </w:rPr>
        <w:t>.</w:t>
      </w:r>
    </w:p>
    <w:p w:rsidR="005E7359" w:rsidRDefault="005E7359" w:rsidP="00CF610A">
      <w:pPr>
        <w:spacing w:after="0" w:line="240" w:lineRule="auto"/>
        <w:ind w:firstLine="720"/>
        <w:jc w:val="right"/>
        <w:rPr>
          <w:rFonts w:ascii="Times New Roman" w:eastAsia="Times New Roman" w:hAnsi="Times New Roman" w:cs="Times New Roman"/>
          <w:b/>
          <w:sz w:val="24"/>
          <w:szCs w:val="20"/>
        </w:rPr>
      </w:pPr>
    </w:p>
    <w:p w:rsidR="00CF610A" w:rsidRPr="00A33442" w:rsidRDefault="00CF610A" w:rsidP="00CF610A">
      <w:pPr>
        <w:spacing w:after="0" w:line="240" w:lineRule="auto"/>
        <w:ind w:firstLine="720"/>
        <w:jc w:val="right"/>
        <w:rPr>
          <w:rFonts w:ascii="Times New Roman" w:eastAsia="Times New Roman" w:hAnsi="Times New Roman" w:cs="Times New Roman"/>
          <w:b/>
          <w:i/>
          <w:sz w:val="24"/>
          <w:szCs w:val="24"/>
        </w:rPr>
      </w:pPr>
      <w:r w:rsidRPr="00A33442">
        <w:rPr>
          <w:rFonts w:ascii="Times New Roman" w:eastAsia="Times New Roman" w:hAnsi="Times New Roman" w:cs="Times New Roman"/>
          <w:b/>
          <w:sz w:val="24"/>
          <w:szCs w:val="20"/>
        </w:rPr>
        <w:t>6.3.tabula. Nodokļu politikas izmaiņu ietekme uz UIN ieņēmumiem, milj.</w:t>
      </w:r>
      <w:r w:rsidR="00E177E9">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4"/>
        </w:rPr>
        <w:t>euro</w:t>
      </w:r>
    </w:p>
    <w:tbl>
      <w:tblPr>
        <w:tblStyle w:val="GridTable6Colorful-Accent11"/>
        <w:tblW w:w="8216" w:type="dxa"/>
        <w:jc w:val="center"/>
        <w:tblLayout w:type="fixed"/>
        <w:tblLook w:val="04A0" w:firstRow="1" w:lastRow="0" w:firstColumn="1" w:lastColumn="0" w:noHBand="0" w:noVBand="1"/>
      </w:tblPr>
      <w:tblGrid>
        <w:gridCol w:w="5665"/>
        <w:gridCol w:w="850"/>
        <w:gridCol w:w="851"/>
        <w:gridCol w:w="850"/>
      </w:tblGrid>
      <w:tr w:rsidR="00CF610A" w:rsidRPr="00A33442" w:rsidTr="009C44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rsidR="00CF610A" w:rsidRPr="00A33442" w:rsidRDefault="00CF610A" w:rsidP="001509AF">
            <w:pPr>
              <w:rPr>
                <w:rFonts w:ascii="Times New Roman" w:eastAsia="Times New Roman" w:hAnsi="Times New Roman" w:cs="Times New Roman"/>
                <w:color w:val="auto"/>
                <w:sz w:val="20"/>
                <w:szCs w:val="20"/>
              </w:rPr>
            </w:pPr>
          </w:p>
        </w:tc>
        <w:tc>
          <w:tcPr>
            <w:tcW w:w="850" w:type="dxa"/>
            <w:vAlign w:val="center"/>
          </w:tcPr>
          <w:p w:rsidR="00CF610A" w:rsidRPr="00A33442" w:rsidRDefault="00CF610A" w:rsidP="009C44D7">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2018</w:t>
            </w:r>
          </w:p>
        </w:tc>
        <w:tc>
          <w:tcPr>
            <w:tcW w:w="851" w:type="dxa"/>
            <w:vAlign w:val="center"/>
          </w:tcPr>
          <w:p w:rsidR="00CF610A" w:rsidRPr="00A33442" w:rsidRDefault="00CF610A" w:rsidP="009C44D7">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2018</w:t>
            </w:r>
          </w:p>
        </w:tc>
        <w:tc>
          <w:tcPr>
            <w:tcW w:w="850" w:type="dxa"/>
            <w:vAlign w:val="center"/>
          </w:tcPr>
          <w:p w:rsidR="00CF610A" w:rsidRPr="00A33442" w:rsidRDefault="00CF610A" w:rsidP="009C44D7">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2020</w:t>
            </w:r>
          </w:p>
        </w:tc>
      </w:tr>
      <w:tr w:rsidR="00CF610A" w:rsidRPr="00A33442" w:rsidTr="009C44D7">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665" w:type="dxa"/>
          </w:tcPr>
          <w:p w:rsidR="00CF610A" w:rsidRPr="00A33442" w:rsidRDefault="00CF610A"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UIN reforma (reinvestētā peļņa)</w:t>
            </w:r>
          </w:p>
        </w:tc>
        <w:tc>
          <w:tcPr>
            <w:tcW w:w="850"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-339,4</w:t>
            </w:r>
          </w:p>
        </w:tc>
        <w:tc>
          <w:tcPr>
            <w:tcW w:w="851"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+182,8</w:t>
            </w:r>
          </w:p>
        </w:tc>
        <w:tc>
          <w:tcPr>
            <w:tcW w:w="850"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-10,8</w:t>
            </w:r>
          </w:p>
        </w:tc>
      </w:tr>
      <w:tr w:rsidR="00CF610A" w:rsidRPr="00A33442" w:rsidTr="009C44D7">
        <w:trPr>
          <w:trHeight w:val="152"/>
          <w:jc w:val="center"/>
        </w:trPr>
        <w:tc>
          <w:tcPr>
            <w:cnfStyle w:val="001000000000" w:firstRow="0" w:lastRow="0" w:firstColumn="1" w:lastColumn="0" w:oddVBand="0" w:evenVBand="0" w:oddHBand="0" w:evenHBand="0" w:firstRowFirstColumn="0" w:firstRowLastColumn="0" w:lastRowFirstColumn="0" w:lastRowLastColumn="0"/>
            <w:tcW w:w="5665" w:type="dxa"/>
          </w:tcPr>
          <w:p w:rsidR="00CF610A" w:rsidRPr="00A33442" w:rsidRDefault="00CF610A" w:rsidP="00FC4AA3">
            <w:pPr>
              <w:contextualSpacing/>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UIN avansa maksājumi 2018.gada 1.pusgadā</w:t>
            </w:r>
          </w:p>
        </w:tc>
        <w:tc>
          <w:tcPr>
            <w:tcW w:w="850" w:type="dxa"/>
            <w:vAlign w:val="center"/>
          </w:tcPr>
          <w:p w:rsidR="00CF610A" w:rsidRPr="00A33442" w:rsidRDefault="00CF610A" w:rsidP="009C44D7">
            <w:pPr>
              <w:tabs>
                <w:tab w:val="decimal" w:pos="458"/>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+102,0</w:t>
            </w:r>
          </w:p>
        </w:tc>
        <w:tc>
          <w:tcPr>
            <w:tcW w:w="851" w:type="dxa"/>
            <w:vAlign w:val="center"/>
          </w:tcPr>
          <w:p w:rsidR="00CF610A" w:rsidRPr="00A33442" w:rsidRDefault="00CF610A" w:rsidP="009C44D7">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-102,0</w:t>
            </w:r>
          </w:p>
        </w:tc>
        <w:tc>
          <w:tcPr>
            <w:tcW w:w="850" w:type="dxa"/>
            <w:vAlign w:val="center"/>
          </w:tcPr>
          <w:p w:rsidR="00CF610A" w:rsidRPr="00A33442" w:rsidRDefault="00CF610A" w:rsidP="009C44D7">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CF610A" w:rsidRPr="00A33442" w:rsidTr="009C44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rsidR="00CF610A" w:rsidRPr="00A33442" w:rsidRDefault="00CF610A"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MU darbības sliekšņa ierobežošana </w:t>
            </w:r>
          </w:p>
        </w:tc>
        <w:tc>
          <w:tcPr>
            <w:tcW w:w="850"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-0,4</w:t>
            </w:r>
          </w:p>
        </w:tc>
        <w:tc>
          <w:tcPr>
            <w:tcW w:w="851"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CF610A" w:rsidRPr="00A33442" w:rsidTr="009C44D7">
        <w:trPr>
          <w:jc w:val="center"/>
        </w:trPr>
        <w:tc>
          <w:tcPr>
            <w:cnfStyle w:val="001000000000" w:firstRow="0" w:lastRow="0" w:firstColumn="1" w:lastColumn="0" w:oddVBand="0" w:evenVBand="0" w:oddHBand="0" w:evenHBand="0" w:firstRowFirstColumn="0" w:firstRowLastColumn="0" w:lastRowFirstColumn="0" w:lastRowLastColumn="0"/>
            <w:tcW w:w="5665" w:type="dxa"/>
          </w:tcPr>
          <w:p w:rsidR="00CF610A" w:rsidRPr="00A33442" w:rsidRDefault="00CF610A"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Nodokļu atbalsta pasākumi (iespēja laikā līdz 2 gadiem nomaksāt parādu, rezultātā dzēšot nokavējuma naudu un soda naudu)</w:t>
            </w:r>
          </w:p>
        </w:tc>
        <w:tc>
          <w:tcPr>
            <w:tcW w:w="850" w:type="dxa"/>
            <w:vAlign w:val="center"/>
          </w:tcPr>
          <w:p w:rsidR="00CF610A" w:rsidRPr="00A33442" w:rsidRDefault="00CF610A" w:rsidP="009C44D7">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+1,8</w:t>
            </w:r>
          </w:p>
        </w:tc>
        <w:tc>
          <w:tcPr>
            <w:tcW w:w="851" w:type="dxa"/>
            <w:vAlign w:val="center"/>
          </w:tcPr>
          <w:p w:rsidR="00CF610A" w:rsidRPr="00A33442" w:rsidRDefault="00CF610A" w:rsidP="009C44D7">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rsidR="00CF610A" w:rsidRPr="00A33442" w:rsidRDefault="00CF610A" w:rsidP="009C44D7">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-1,5</w:t>
            </w:r>
          </w:p>
        </w:tc>
      </w:tr>
      <w:tr w:rsidR="00CF610A" w:rsidRPr="00A33442" w:rsidTr="009C44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rsidR="00CF610A" w:rsidRPr="00A33442" w:rsidRDefault="00CF610A"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Minimālās dividendēs izmaksājamās peļņas daļas palielināšana kapitālsabiedrībām, kurās visas kapitāla daļas tieši vai pastarpināti pieder valstij līdz 85%</w:t>
            </w:r>
          </w:p>
        </w:tc>
        <w:tc>
          <w:tcPr>
            <w:tcW w:w="850"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c>
          <w:tcPr>
            <w:tcW w:w="851"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+0,5</w:t>
            </w:r>
          </w:p>
        </w:tc>
        <w:tc>
          <w:tcPr>
            <w:tcW w:w="850"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p>
        </w:tc>
      </w:tr>
      <w:tr w:rsidR="00CF610A" w:rsidRPr="00A33442" w:rsidTr="009C44D7">
        <w:trPr>
          <w:jc w:val="center"/>
        </w:trPr>
        <w:tc>
          <w:tcPr>
            <w:cnfStyle w:val="001000000000" w:firstRow="0" w:lastRow="0" w:firstColumn="1" w:lastColumn="0" w:oddVBand="0" w:evenVBand="0" w:oddHBand="0" w:evenHBand="0" w:firstRowFirstColumn="0" w:firstRowLastColumn="0" w:lastRowFirstColumn="0" w:lastRowLastColumn="0"/>
            <w:tcW w:w="5665" w:type="dxa"/>
          </w:tcPr>
          <w:p w:rsidR="00CF610A" w:rsidRPr="00A33442" w:rsidRDefault="00CF610A" w:rsidP="00FC4AA3">
            <w:pPr>
              <w:jc w:val="both"/>
              <w:rPr>
                <w:rFonts w:ascii="Times New Roman" w:eastAsia="Times New Roman" w:hAnsi="Times New Roman" w:cs="Times New Roman"/>
                <w:b w:val="0"/>
                <w:sz w:val="20"/>
                <w:szCs w:val="20"/>
              </w:rPr>
            </w:pPr>
            <w:r w:rsidRPr="00A33442">
              <w:rPr>
                <w:rFonts w:ascii="Times New Roman" w:eastAsia="Times New Roman" w:hAnsi="Times New Roman" w:cs="Times New Roman"/>
                <w:b w:val="0"/>
                <w:color w:val="auto"/>
                <w:sz w:val="20"/>
                <w:szCs w:val="20"/>
              </w:rPr>
              <w:t>MUN likmes izmaiņas</w:t>
            </w:r>
          </w:p>
        </w:tc>
        <w:tc>
          <w:tcPr>
            <w:tcW w:w="850" w:type="dxa"/>
            <w:vAlign w:val="center"/>
          </w:tcPr>
          <w:p w:rsidR="00CF610A" w:rsidRPr="00A33442" w:rsidRDefault="00CF610A" w:rsidP="009C44D7">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A33442">
              <w:rPr>
                <w:rFonts w:ascii="Times New Roman" w:eastAsia="Times New Roman" w:hAnsi="Times New Roman" w:cs="Times New Roman"/>
                <w:color w:val="auto"/>
                <w:sz w:val="20"/>
                <w:szCs w:val="20"/>
              </w:rPr>
              <w:t>-0,376</w:t>
            </w:r>
          </w:p>
        </w:tc>
        <w:tc>
          <w:tcPr>
            <w:tcW w:w="851" w:type="dxa"/>
            <w:vAlign w:val="center"/>
          </w:tcPr>
          <w:p w:rsidR="00CF610A" w:rsidRPr="00A33442" w:rsidRDefault="00CF610A" w:rsidP="009C44D7">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850" w:type="dxa"/>
            <w:vAlign w:val="center"/>
          </w:tcPr>
          <w:p w:rsidR="00CF610A" w:rsidRPr="00A33442" w:rsidRDefault="00CF610A" w:rsidP="009C44D7">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p>
        </w:tc>
      </w:tr>
      <w:tr w:rsidR="00CF610A" w:rsidRPr="00A33442" w:rsidTr="009C44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5" w:type="dxa"/>
          </w:tcPr>
          <w:p w:rsidR="00CF610A" w:rsidRPr="00A33442" w:rsidRDefault="00CF610A" w:rsidP="001509AF">
            <w:pPr>
              <w:jc w:val="right"/>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Izmaiņu ietekme kopā:</w:t>
            </w:r>
          </w:p>
        </w:tc>
        <w:tc>
          <w:tcPr>
            <w:tcW w:w="850"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-236,3</w:t>
            </w:r>
          </w:p>
        </w:tc>
        <w:tc>
          <w:tcPr>
            <w:tcW w:w="851"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+81,3</w:t>
            </w:r>
          </w:p>
        </w:tc>
        <w:tc>
          <w:tcPr>
            <w:tcW w:w="850" w:type="dxa"/>
            <w:vAlign w:val="center"/>
          </w:tcPr>
          <w:p w:rsidR="00CF610A" w:rsidRPr="00A33442" w:rsidRDefault="00CF610A" w:rsidP="009C44D7">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-12,3</w:t>
            </w:r>
          </w:p>
        </w:tc>
      </w:tr>
    </w:tbl>
    <w:p w:rsidR="00747DC7" w:rsidRPr="00A33442" w:rsidRDefault="00747DC7" w:rsidP="004301DE">
      <w:pPr>
        <w:keepNext/>
        <w:spacing w:before="120" w:after="120" w:line="240" w:lineRule="auto"/>
        <w:ind w:firstLine="709"/>
        <w:jc w:val="both"/>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Akcīzes nodoklis</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color w:val="000000" w:themeColor="text1"/>
          <w:sz w:val="24"/>
          <w:szCs w:val="24"/>
        </w:rPr>
        <w:t>Akcīzes nodokļa ieņēmumus ietekmē ne vien</w:t>
      </w:r>
      <w:r w:rsidRPr="00A33442">
        <w:rPr>
          <w:rFonts w:ascii="Times New Roman" w:eastAsia="Times New Roman" w:hAnsi="Times New Roman" w:cs="Times New Roman"/>
          <w:b/>
          <w:color w:val="FF0000"/>
          <w:sz w:val="24"/>
          <w:szCs w:val="24"/>
        </w:rPr>
        <w:t xml:space="preserve"> </w:t>
      </w:r>
      <w:r w:rsidRPr="00A33442">
        <w:rPr>
          <w:rFonts w:ascii="Times New Roman" w:eastAsia="Times New Roman" w:hAnsi="Times New Roman" w:cs="Times New Roman"/>
          <w:i/>
          <w:sz w:val="24"/>
          <w:szCs w:val="20"/>
        </w:rPr>
        <w:t xml:space="preserve">Nodokļu reformas </w:t>
      </w:r>
      <w:r w:rsidRPr="00A33442">
        <w:rPr>
          <w:rFonts w:ascii="Times New Roman" w:eastAsia="Times New Roman" w:hAnsi="Times New Roman" w:cs="Times New Roman"/>
          <w:sz w:val="24"/>
          <w:szCs w:val="20"/>
        </w:rPr>
        <w:t xml:space="preserve">pasākumi, bet arī iepriekšējos gados pieņemtās izmaiņas normatīvajos aktos. </w:t>
      </w:r>
    </w:p>
    <w:p w:rsidR="00747DC7" w:rsidRPr="00A33442" w:rsidRDefault="00747DC7" w:rsidP="00747DC7">
      <w:pPr>
        <w:spacing w:after="0" w:line="240" w:lineRule="auto"/>
        <w:ind w:firstLine="720"/>
        <w:jc w:val="both"/>
        <w:rPr>
          <w:rFonts w:ascii="Times New Roman" w:eastAsia="Times New Roman" w:hAnsi="Times New Roman" w:cs="Times New Roman"/>
          <w:color w:val="000000"/>
          <w:sz w:val="24"/>
          <w:szCs w:val="24"/>
        </w:rPr>
      </w:pPr>
      <w:r w:rsidRPr="00A33442">
        <w:rPr>
          <w:rFonts w:ascii="Times New Roman" w:eastAsia="Times New Roman" w:hAnsi="Times New Roman" w:cs="Times New Roman"/>
          <w:color w:val="000000"/>
          <w:sz w:val="24"/>
          <w:szCs w:val="24"/>
        </w:rPr>
        <w:t xml:space="preserve">Akcīzes nodokļa </w:t>
      </w:r>
      <w:r w:rsidRPr="00A33442">
        <w:rPr>
          <w:rFonts w:ascii="Times New Roman" w:eastAsia="Times New Roman" w:hAnsi="Times New Roman" w:cs="Times New Roman"/>
          <w:b/>
          <w:color w:val="000000"/>
          <w:sz w:val="24"/>
          <w:szCs w:val="24"/>
        </w:rPr>
        <w:t>tabakas izstrādājumiem</w:t>
      </w:r>
      <w:r w:rsidRPr="00A33442">
        <w:rPr>
          <w:rFonts w:ascii="Times New Roman" w:eastAsia="Times New Roman" w:hAnsi="Times New Roman" w:cs="Times New Roman"/>
          <w:color w:val="000000"/>
          <w:sz w:val="24"/>
          <w:szCs w:val="24"/>
        </w:rPr>
        <w:t xml:space="preserve"> pakāpenisks paaugstinājums bija plānots jau ar iepriekšējos gados pieņemtajiem grozījumiem likumā „Par akcīzes nodokli”:</w:t>
      </w:r>
    </w:p>
    <w:p w:rsidR="00747DC7" w:rsidRPr="00A33442" w:rsidRDefault="00747DC7" w:rsidP="00747DC7">
      <w:pPr>
        <w:pStyle w:val="ListParagraph"/>
        <w:numPr>
          <w:ilvl w:val="0"/>
          <w:numId w:val="19"/>
        </w:numPr>
        <w:spacing w:after="0" w:line="240" w:lineRule="auto"/>
        <w:ind w:left="1134" w:hanging="425"/>
        <w:jc w:val="both"/>
        <w:rPr>
          <w:rFonts w:ascii="Times New Roman" w:eastAsia="Times New Roman" w:hAnsi="Times New Roman" w:cs="Times New Roman"/>
          <w:color w:val="000000"/>
          <w:sz w:val="24"/>
          <w:szCs w:val="24"/>
        </w:rPr>
      </w:pPr>
      <w:r w:rsidRPr="00A33442">
        <w:rPr>
          <w:rFonts w:ascii="Times New Roman" w:eastAsia="Times New Roman" w:hAnsi="Times New Roman" w:cs="Times New Roman"/>
          <w:color w:val="000000"/>
          <w:sz w:val="24"/>
          <w:szCs w:val="24"/>
        </w:rPr>
        <w:t xml:space="preserve">saskaņā ar 2013.gada 6.novembrī veiktajiem grozījumiem ar 2018.gada 1.jūliju bija paredzēts akcīzes nodokļa specifisko likmi </w:t>
      </w:r>
      <w:r w:rsidRPr="00A33442">
        <w:rPr>
          <w:rFonts w:ascii="Times New Roman" w:eastAsia="Times New Roman" w:hAnsi="Times New Roman" w:cs="Times New Roman"/>
          <w:b/>
          <w:color w:val="000000"/>
          <w:sz w:val="24"/>
          <w:szCs w:val="24"/>
        </w:rPr>
        <w:t>cigaretēm</w:t>
      </w:r>
      <w:r w:rsidRPr="00A33442">
        <w:rPr>
          <w:rFonts w:ascii="Times New Roman" w:eastAsia="Times New Roman" w:hAnsi="Times New Roman" w:cs="Times New Roman"/>
          <w:color w:val="000000"/>
          <w:sz w:val="24"/>
          <w:szCs w:val="24"/>
        </w:rPr>
        <w:t xml:space="preserve"> paaugstināt no 58,2</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līdz 60,0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un minimālo nodokļa līmeni paaugstināt no 97,0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līdz 100,00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par 1</w:t>
      </w:r>
      <w:r w:rsidR="00E177E9">
        <w:rPr>
          <w:rFonts w:ascii="Times New Roman" w:eastAsia="Times New Roman" w:hAnsi="Times New Roman" w:cs="Times New Roman"/>
          <w:color w:val="000000"/>
          <w:sz w:val="24"/>
          <w:szCs w:val="24"/>
        </w:rPr>
        <w:t> </w:t>
      </w:r>
      <w:r w:rsidRPr="00A33442">
        <w:rPr>
          <w:rFonts w:ascii="Times New Roman" w:eastAsia="Times New Roman" w:hAnsi="Times New Roman" w:cs="Times New Roman"/>
          <w:color w:val="000000"/>
          <w:sz w:val="24"/>
          <w:szCs w:val="24"/>
        </w:rPr>
        <w:t>000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color w:val="000000"/>
          <w:sz w:val="24"/>
          <w:szCs w:val="24"/>
        </w:rPr>
        <w:t>cigaretēm, bet procentuālo likmes daļu bija paredzēts saglabāt nemainīgu – 25% līmenī. Savukārt ar 2016.gada 23.novembra grozījumiem likumā „Par akcīzes nodokli” tika noteikts straujāks akcīzes nodokļa pieaugums, kas paredzēja ar 2018.gada 1.jūliju specifisko likmes daļu paaugstināt līdz 69,5</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par 1 000 cigaretēm, bet minimālo nodokļa līmeni līdz 103,5</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par 1</w:t>
      </w:r>
      <w:r w:rsidR="00E177E9">
        <w:rPr>
          <w:rFonts w:ascii="Times New Roman" w:eastAsia="Times New Roman" w:hAnsi="Times New Roman" w:cs="Times New Roman"/>
          <w:color w:val="000000"/>
          <w:sz w:val="24"/>
          <w:szCs w:val="24"/>
        </w:rPr>
        <w:t> </w:t>
      </w:r>
      <w:r w:rsidRPr="00A33442">
        <w:rPr>
          <w:rFonts w:ascii="Times New Roman" w:eastAsia="Times New Roman" w:hAnsi="Times New Roman" w:cs="Times New Roman"/>
          <w:color w:val="000000"/>
          <w:sz w:val="24"/>
          <w:szCs w:val="24"/>
        </w:rPr>
        <w:t>000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color w:val="000000"/>
          <w:sz w:val="24"/>
          <w:szCs w:val="24"/>
        </w:rPr>
        <w:t>cigaretēm. Akcīzes nodokļa cigaretēm procentuālā likmes daļa tika samazināta līdz 20% jau ar 2017.gada 1.jūliju un 2018.gadā to nebija paredzēts mainīt;</w:t>
      </w:r>
    </w:p>
    <w:p w:rsidR="00747DC7" w:rsidRPr="00A33442" w:rsidRDefault="00747DC7" w:rsidP="00747DC7">
      <w:pPr>
        <w:numPr>
          <w:ilvl w:val="0"/>
          <w:numId w:val="7"/>
        </w:numPr>
        <w:spacing w:after="0" w:line="240" w:lineRule="auto"/>
        <w:ind w:left="1134" w:hanging="425"/>
        <w:jc w:val="both"/>
        <w:rPr>
          <w:rFonts w:ascii="Times New Roman" w:eastAsia="Times New Roman" w:hAnsi="Times New Roman" w:cs="Times New Roman"/>
          <w:color w:val="000000"/>
          <w:sz w:val="24"/>
          <w:szCs w:val="24"/>
        </w:rPr>
      </w:pPr>
      <w:r w:rsidRPr="00A33442">
        <w:rPr>
          <w:rFonts w:ascii="Times New Roman" w:eastAsia="Times New Roman" w:hAnsi="Times New Roman" w:cs="Times New Roman"/>
          <w:color w:val="000000"/>
          <w:sz w:val="24"/>
          <w:szCs w:val="24"/>
        </w:rPr>
        <w:lastRenderedPageBreak/>
        <w:t xml:space="preserve">saskaņā ar 2011.gada 14.aprīlī veiktajiem grozījumiem ar 2018.gada 1.janvāri tika plānots paaugstināt akcīzes nodokļa likmi </w:t>
      </w:r>
      <w:r w:rsidRPr="00A33442">
        <w:rPr>
          <w:rFonts w:ascii="Times New Roman" w:eastAsia="Times New Roman" w:hAnsi="Times New Roman" w:cs="Times New Roman"/>
          <w:b/>
          <w:color w:val="000000"/>
          <w:sz w:val="24"/>
          <w:szCs w:val="24"/>
        </w:rPr>
        <w:t>cigāriem un cigarellām</w:t>
      </w:r>
      <w:r w:rsidRPr="00A33442">
        <w:rPr>
          <w:rFonts w:ascii="Times New Roman" w:eastAsia="Times New Roman" w:hAnsi="Times New Roman" w:cs="Times New Roman"/>
          <w:color w:val="000000"/>
          <w:sz w:val="24"/>
          <w:szCs w:val="24"/>
        </w:rPr>
        <w:t xml:space="preserve"> no 42,69</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līdz 45,0</w:t>
      </w:r>
      <w:r w:rsidRPr="00A33442">
        <w:rPr>
          <w:rFonts w:ascii="Times New Roman" w:eastAsia="Times New Roman" w:hAnsi="Times New Roman" w:cs="Times New Roman"/>
          <w:i/>
          <w:color w:val="000000"/>
          <w:sz w:val="24"/>
          <w:szCs w:val="24"/>
        </w:rPr>
        <w:t xml:space="preserve"> euro </w:t>
      </w:r>
      <w:r w:rsidRPr="00A33442">
        <w:rPr>
          <w:rFonts w:ascii="Times New Roman" w:eastAsia="Times New Roman" w:hAnsi="Times New Roman" w:cs="Times New Roman"/>
          <w:color w:val="000000"/>
          <w:sz w:val="24"/>
          <w:szCs w:val="24"/>
        </w:rPr>
        <w:t>par 1 000 cigāriem vai cigarellām. Tomēr ar 2016.gada 23.novembra grozījumiem likumā „Par akcīzes nodokli” likmi tika paredzēts paaugstināt straujāk – ar 2018.gada 1.janvāri līdz 73,0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un ar 2019.gada 1.janvāri līdz 88,0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par 1</w:t>
      </w:r>
      <w:r w:rsidR="00E177E9">
        <w:rPr>
          <w:rFonts w:ascii="Times New Roman" w:eastAsia="Times New Roman" w:hAnsi="Times New Roman" w:cs="Times New Roman"/>
          <w:color w:val="000000"/>
          <w:sz w:val="24"/>
          <w:szCs w:val="24"/>
        </w:rPr>
        <w:t> </w:t>
      </w:r>
      <w:r w:rsidRPr="00A33442">
        <w:rPr>
          <w:rFonts w:ascii="Times New Roman" w:eastAsia="Times New Roman" w:hAnsi="Times New Roman" w:cs="Times New Roman"/>
          <w:color w:val="000000"/>
          <w:sz w:val="24"/>
          <w:szCs w:val="24"/>
        </w:rPr>
        <w:t>000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color w:val="000000"/>
          <w:sz w:val="24"/>
          <w:szCs w:val="24"/>
        </w:rPr>
        <w:t xml:space="preserve">gab.; </w:t>
      </w:r>
    </w:p>
    <w:p w:rsidR="00747DC7" w:rsidRPr="00A33442" w:rsidRDefault="00747DC7" w:rsidP="00747DC7">
      <w:pPr>
        <w:numPr>
          <w:ilvl w:val="0"/>
          <w:numId w:val="7"/>
        </w:numPr>
        <w:spacing w:after="0" w:line="240" w:lineRule="auto"/>
        <w:ind w:left="1134" w:hanging="425"/>
        <w:jc w:val="both"/>
        <w:rPr>
          <w:rFonts w:ascii="Times New Roman" w:eastAsia="Times New Roman" w:hAnsi="Times New Roman" w:cs="Times New Roman"/>
          <w:color w:val="000000"/>
          <w:sz w:val="24"/>
          <w:szCs w:val="24"/>
        </w:rPr>
      </w:pPr>
      <w:r w:rsidRPr="00A33442">
        <w:rPr>
          <w:rFonts w:ascii="Times New Roman" w:eastAsia="Times New Roman" w:hAnsi="Times New Roman" w:cs="Times New Roman"/>
          <w:color w:val="000000"/>
          <w:sz w:val="24"/>
          <w:szCs w:val="24"/>
        </w:rPr>
        <w:t xml:space="preserve">saskaņā ar 2015.gada 30.novembrī pieņemtajiem grozījumiem tika paredzēts akcīzes nodokļa likmju pieaugums </w:t>
      </w:r>
      <w:r w:rsidRPr="00A33442">
        <w:rPr>
          <w:rFonts w:ascii="Times New Roman" w:eastAsia="Times New Roman" w:hAnsi="Times New Roman" w:cs="Times New Roman"/>
          <w:b/>
          <w:color w:val="000000"/>
          <w:sz w:val="24"/>
          <w:szCs w:val="24"/>
        </w:rPr>
        <w:t xml:space="preserve">smēķējamai tabakai </w:t>
      </w:r>
      <w:r w:rsidRPr="00A33442">
        <w:rPr>
          <w:rFonts w:ascii="Times New Roman" w:eastAsia="Times New Roman" w:hAnsi="Times New Roman" w:cs="Times New Roman"/>
          <w:color w:val="000000"/>
          <w:sz w:val="24"/>
          <w:szCs w:val="24"/>
        </w:rPr>
        <w:t xml:space="preserve">(t.sk. tabakas lapām, karsējamai tabakai), ar </w:t>
      </w:r>
      <w:r w:rsidR="000C3005">
        <w:rPr>
          <w:rFonts w:ascii="Times New Roman" w:eastAsia="Times New Roman" w:hAnsi="Times New Roman" w:cs="Times New Roman"/>
          <w:sz w:val="24"/>
          <w:szCs w:val="24"/>
        </w:rPr>
        <w:t>2018.gada 1.janvāri</w:t>
      </w:r>
      <w:r w:rsidRPr="00A33442">
        <w:rPr>
          <w:rFonts w:ascii="Times New Roman" w:eastAsia="Times New Roman" w:hAnsi="Times New Roman" w:cs="Times New Roman"/>
          <w:sz w:val="24"/>
          <w:szCs w:val="24"/>
        </w:rPr>
        <w:t xml:space="preserve"> to paaugstinot no 60,0 līdz 62,0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xml:space="preserve"> par 1 000 gramiem tabakas. Savukārt ar</w:t>
      </w:r>
      <w:r w:rsidRPr="00A33442">
        <w:rPr>
          <w:rFonts w:ascii="Times New Roman" w:eastAsia="Times New Roman" w:hAnsi="Times New Roman" w:cs="Times New Roman"/>
          <w:color w:val="000000"/>
          <w:sz w:val="24"/>
          <w:szCs w:val="24"/>
        </w:rPr>
        <w:t xml:space="preserve"> 2016.gada 23.novembra grozījumiem likumā „Par akcīzes nodokli” tika noteikts straujāks likmju kāpums, ar 2018.gada 1.janvāri paredzot to paaugstināt līdz 66,0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un ar 2019.gada 1.janvāri līdz 70,0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i/>
          <w:color w:val="000000"/>
          <w:sz w:val="24"/>
          <w:szCs w:val="24"/>
        </w:rPr>
        <w:t>euro</w:t>
      </w:r>
      <w:r w:rsidRPr="00A33442">
        <w:rPr>
          <w:rFonts w:ascii="Times New Roman" w:eastAsia="Times New Roman" w:hAnsi="Times New Roman" w:cs="Times New Roman"/>
          <w:color w:val="000000"/>
          <w:sz w:val="24"/>
          <w:szCs w:val="24"/>
        </w:rPr>
        <w:t xml:space="preserve"> par 1</w:t>
      </w:r>
      <w:r w:rsidR="00E177E9">
        <w:rPr>
          <w:rFonts w:ascii="Times New Roman" w:eastAsia="Times New Roman" w:hAnsi="Times New Roman" w:cs="Times New Roman"/>
          <w:color w:val="000000"/>
          <w:sz w:val="24"/>
          <w:szCs w:val="24"/>
        </w:rPr>
        <w:t> </w:t>
      </w:r>
      <w:r w:rsidRPr="00A33442">
        <w:rPr>
          <w:rFonts w:ascii="Times New Roman" w:eastAsia="Times New Roman" w:hAnsi="Times New Roman" w:cs="Times New Roman"/>
          <w:color w:val="000000"/>
          <w:sz w:val="24"/>
          <w:szCs w:val="24"/>
        </w:rPr>
        <w:t>000</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color w:val="000000"/>
          <w:sz w:val="24"/>
          <w:szCs w:val="24"/>
        </w:rPr>
        <w:t xml:space="preserve">gramiem tabakas. </w:t>
      </w:r>
    </w:p>
    <w:p w:rsidR="00747DC7" w:rsidRPr="00A33442" w:rsidRDefault="00747DC7" w:rsidP="004301DE">
      <w:pPr>
        <w:spacing w:before="120" w:after="0" w:line="240" w:lineRule="auto"/>
        <w:ind w:firstLine="709"/>
        <w:jc w:val="both"/>
        <w:rPr>
          <w:rFonts w:ascii="Times New Roman" w:eastAsia="Times New Roman" w:hAnsi="Times New Roman" w:cs="Times New Roman"/>
          <w:color w:val="000000"/>
          <w:sz w:val="24"/>
          <w:szCs w:val="24"/>
        </w:rPr>
      </w:pPr>
      <w:r w:rsidRPr="00A33442">
        <w:rPr>
          <w:rFonts w:ascii="Times New Roman" w:eastAsia="Times New Roman" w:hAnsi="Times New Roman" w:cs="Times New Roman"/>
          <w:sz w:val="24"/>
          <w:szCs w:val="24"/>
        </w:rPr>
        <w:t>Tomēr ar 2017.gada 27.jūlijā pieņemtajiem grozījumiem likumā „Par akcīzes nodokli” cigaretēm</w:t>
      </w:r>
      <w:r w:rsidRPr="00A33442">
        <w:rPr>
          <w:rFonts w:ascii="Times New Roman" w:eastAsia="Times New Roman" w:hAnsi="Times New Roman" w:cs="Times New Roman"/>
          <w:color w:val="000000"/>
          <w:sz w:val="24"/>
          <w:szCs w:val="24"/>
        </w:rPr>
        <w:t xml:space="preserve"> tika noteikts straujāks akcīzes nodokļa pieaugums un paaugstinājums arī ar 2019.gada 1.jūliju, bet cigāriem, cigarellām un smēķējamai tabakai paredzēts likmju pieaugums arī 2020.gadā. Visu izmaiņu rezultāts attiecībā uz tabakas izstrādājamiem atspoguļots 6.4.</w:t>
      </w:r>
      <w:r w:rsidR="00E177E9">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color w:val="000000"/>
          <w:sz w:val="24"/>
          <w:szCs w:val="24"/>
        </w:rPr>
        <w:t>tabulā.</w:t>
      </w:r>
    </w:p>
    <w:p w:rsidR="00747DC7" w:rsidRPr="00A33442" w:rsidRDefault="00747DC7" w:rsidP="004301DE">
      <w:pPr>
        <w:keepNext/>
        <w:spacing w:before="120"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6.4.tabula. Akcīzes nodokļa likmes tabakas izstrādājumiem</w:t>
      </w:r>
    </w:p>
    <w:tbl>
      <w:tblPr>
        <w:tblStyle w:val="GridTable6Colorful-Accent110"/>
        <w:tblW w:w="9073" w:type="dxa"/>
        <w:tblLook w:val="04A0" w:firstRow="1" w:lastRow="0" w:firstColumn="1" w:lastColumn="0" w:noHBand="0" w:noVBand="1"/>
      </w:tblPr>
      <w:tblGrid>
        <w:gridCol w:w="4820"/>
        <w:gridCol w:w="1418"/>
        <w:gridCol w:w="1417"/>
        <w:gridCol w:w="1418"/>
      </w:tblGrid>
      <w:tr w:rsidR="00747DC7" w:rsidRPr="00A33442" w:rsidTr="001509AF">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noWrap/>
            <w:vAlign w:val="center"/>
            <w:hideMark/>
          </w:tcPr>
          <w:p w:rsidR="00747DC7" w:rsidRPr="00A33442" w:rsidRDefault="00747DC7" w:rsidP="00E177E9">
            <w:pPr>
              <w:jc w:val="center"/>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Akcīzes nodokļa objekts</w:t>
            </w:r>
          </w:p>
        </w:tc>
        <w:tc>
          <w:tcPr>
            <w:tcW w:w="4253" w:type="dxa"/>
            <w:gridSpan w:val="3"/>
            <w:noWrap/>
            <w:vAlign w:val="center"/>
            <w:hideMark/>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Likmes spēkā stāšanās datums</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noWrap/>
            <w:hideMark/>
          </w:tcPr>
          <w:p w:rsidR="00747DC7" w:rsidRPr="00A33442" w:rsidRDefault="00747DC7" w:rsidP="00E177E9">
            <w:pPr>
              <w:rPr>
                <w:rFonts w:ascii="Times New Roman" w:eastAsia="Times New Roman" w:hAnsi="Times New Roman" w:cs="Times New Roman"/>
                <w:bCs w:val="0"/>
                <w:color w:val="000000"/>
                <w:sz w:val="20"/>
                <w:szCs w:val="20"/>
                <w:lang w:eastAsia="lv-LV"/>
              </w:rPr>
            </w:pPr>
            <w:r w:rsidRPr="00A33442">
              <w:rPr>
                <w:rFonts w:ascii="Times New Roman" w:eastAsia="Times New Roman" w:hAnsi="Times New Roman" w:cs="Times New Roman"/>
                <w:bCs w:val="0"/>
                <w:color w:val="000000"/>
                <w:sz w:val="20"/>
                <w:szCs w:val="20"/>
                <w:lang w:eastAsia="lv-LV"/>
              </w:rPr>
              <w:t>Cigaretes</w:t>
            </w:r>
          </w:p>
        </w:tc>
        <w:tc>
          <w:tcPr>
            <w:tcW w:w="1418"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01.07.2017.</w:t>
            </w:r>
          </w:p>
        </w:tc>
        <w:tc>
          <w:tcPr>
            <w:tcW w:w="1417"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01.07.2018.</w:t>
            </w:r>
          </w:p>
        </w:tc>
        <w:tc>
          <w:tcPr>
            <w:tcW w:w="1418"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01.07.2019.</w:t>
            </w:r>
          </w:p>
        </w:tc>
      </w:tr>
      <w:tr w:rsidR="00747DC7" w:rsidRPr="00A33442" w:rsidTr="00E177E9">
        <w:trPr>
          <w:trHeight w:val="292"/>
        </w:trPr>
        <w:tc>
          <w:tcPr>
            <w:cnfStyle w:val="001000000000" w:firstRow="0" w:lastRow="0" w:firstColumn="1" w:lastColumn="0" w:oddVBand="0" w:evenVBand="0" w:oddHBand="0" w:evenHBand="0" w:firstRowFirstColumn="0" w:firstRowLastColumn="0" w:lastRowFirstColumn="0" w:lastRowLastColumn="0"/>
            <w:tcW w:w="4820" w:type="dxa"/>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 xml:space="preserve">Nodokļa likme,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1000 gab.</w:t>
            </w:r>
          </w:p>
        </w:tc>
        <w:tc>
          <w:tcPr>
            <w:tcW w:w="1418"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67,0</w:t>
            </w:r>
          </w:p>
        </w:tc>
        <w:tc>
          <w:tcPr>
            <w:tcW w:w="1417"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74,6</w:t>
            </w:r>
          </w:p>
        </w:tc>
        <w:tc>
          <w:tcPr>
            <w:tcW w:w="1418"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78,7</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 xml:space="preserve">Nodokļa minimālais līmenis,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1000 gab.</w:t>
            </w:r>
          </w:p>
        </w:tc>
        <w:tc>
          <w:tcPr>
            <w:tcW w:w="1418" w:type="dxa"/>
            <w:shd w:val="clear" w:color="auto" w:fill="auto"/>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99,0</w:t>
            </w:r>
          </w:p>
        </w:tc>
        <w:tc>
          <w:tcPr>
            <w:tcW w:w="1417" w:type="dxa"/>
            <w:shd w:val="clear" w:color="auto" w:fill="auto"/>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109,2</w:t>
            </w:r>
          </w:p>
        </w:tc>
        <w:tc>
          <w:tcPr>
            <w:tcW w:w="1418" w:type="dxa"/>
            <w:shd w:val="clear" w:color="auto" w:fill="auto"/>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114,7</w:t>
            </w:r>
          </w:p>
        </w:tc>
      </w:tr>
      <w:tr w:rsidR="00747DC7" w:rsidRPr="00A33442" w:rsidTr="00E177E9">
        <w:trPr>
          <w:trHeight w:val="292"/>
        </w:trPr>
        <w:tc>
          <w:tcPr>
            <w:cnfStyle w:val="001000000000" w:firstRow="0" w:lastRow="0" w:firstColumn="1" w:lastColumn="0" w:oddVBand="0" w:evenVBand="0" w:oddHBand="0" w:evenHBand="0" w:firstRowFirstColumn="0" w:firstRowLastColumn="0" w:lastRowFirstColumn="0" w:lastRowLastColumn="0"/>
            <w:tcW w:w="4820" w:type="dxa"/>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Procentuālā likme no mazumtirdzniecības cenas</w:t>
            </w:r>
          </w:p>
        </w:tc>
        <w:tc>
          <w:tcPr>
            <w:tcW w:w="1418"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20%</w:t>
            </w:r>
          </w:p>
        </w:tc>
        <w:tc>
          <w:tcPr>
            <w:tcW w:w="1417"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20%</w:t>
            </w:r>
          </w:p>
        </w:tc>
        <w:tc>
          <w:tcPr>
            <w:tcW w:w="1418"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20%</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noWrap/>
            <w:hideMark/>
          </w:tcPr>
          <w:p w:rsidR="00747DC7" w:rsidRPr="00A33442" w:rsidRDefault="00747DC7" w:rsidP="00E177E9">
            <w:pPr>
              <w:rPr>
                <w:rFonts w:ascii="Times New Roman" w:eastAsia="Times New Roman" w:hAnsi="Times New Roman" w:cs="Times New Roman"/>
                <w:bCs w:val="0"/>
                <w:color w:val="000000"/>
                <w:sz w:val="20"/>
                <w:szCs w:val="20"/>
                <w:lang w:eastAsia="lv-LV"/>
              </w:rPr>
            </w:pPr>
            <w:r w:rsidRPr="00A33442">
              <w:rPr>
                <w:rFonts w:ascii="Times New Roman" w:eastAsia="Times New Roman" w:hAnsi="Times New Roman" w:cs="Times New Roman"/>
                <w:bCs w:val="0"/>
                <w:color w:val="000000"/>
                <w:sz w:val="20"/>
                <w:szCs w:val="20"/>
                <w:lang w:eastAsia="lv-LV"/>
              </w:rPr>
              <w:t xml:space="preserve">Cigāri un </w:t>
            </w:r>
            <w:r w:rsidR="002B7AB6" w:rsidRPr="00A33442">
              <w:rPr>
                <w:rFonts w:ascii="Times New Roman" w:eastAsia="Times New Roman" w:hAnsi="Times New Roman" w:cs="Times New Roman"/>
                <w:bCs w:val="0"/>
                <w:color w:val="000000"/>
                <w:sz w:val="20"/>
                <w:szCs w:val="20"/>
                <w:lang w:eastAsia="lv-LV"/>
              </w:rPr>
              <w:t>cigarellas</w:t>
            </w:r>
          </w:p>
        </w:tc>
        <w:tc>
          <w:tcPr>
            <w:tcW w:w="1418"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01.01.2018.</w:t>
            </w:r>
          </w:p>
        </w:tc>
        <w:tc>
          <w:tcPr>
            <w:tcW w:w="1417"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01.01.2019.</w:t>
            </w:r>
          </w:p>
        </w:tc>
        <w:tc>
          <w:tcPr>
            <w:tcW w:w="1418"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01.01.2020.</w:t>
            </w:r>
          </w:p>
        </w:tc>
      </w:tr>
      <w:tr w:rsidR="00747DC7" w:rsidRPr="00A33442" w:rsidTr="00E177E9">
        <w:trPr>
          <w:trHeight w:val="292"/>
        </w:trPr>
        <w:tc>
          <w:tcPr>
            <w:cnfStyle w:val="001000000000" w:firstRow="0" w:lastRow="0" w:firstColumn="1" w:lastColumn="0" w:oddVBand="0" w:evenVBand="0" w:oddHBand="0" w:evenHBand="0" w:firstRowFirstColumn="0" w:firstRowLastColumn="0" w:lastRowFirstColumn="0" w:lastRowLastColumn="0"/>
            <w:tcW w:w="4820" w:type="dxa"/>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 xml:space="preserve">Nodokļa likme,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1000 gab.</w:t>
            </w:r>
          </w:p>
        </w:tc>
        <w:tc>
          <w:tcPr>
            <w:tcW w:w="1418"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73,0</w:t>
            </w:r>
          </w:p>
        </w:tc>
        <w:tc>
          <w:tcPr>
            <w:tcW w:w="1417"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88,0</w:t>
            </w:r>
          </w:p>
        </w:tc>
        <w:tc>
          <w:tcPr>
            <w:tcW w:w="1418"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95,2</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20" w:type="dxa"/>
            <w:noWrap/>
            <w:hideMark/>
          </w:tcPr>
          <w:p w:rsidR="00747DC7" w:rsidRPr="00A33442" w:rsidRDefault="00747DC7" w:rsidP="00E177E9">
            <w:pPr>
              <w:rPr>
                <w:rFonts w:ascii="Times New Roman" w:eastAsia="Times New Roman" w:hAnsi="Times New Roman" w:cs="Times New Roman"/>
                <w:bCs w:val="0"/>
                <w:color w:val="000000"/>
                <w:sz w:val="20"/>
                <w:szCs w:val="20"/>
                <w:lang w:eastAsia="lv-LV"/>
              </w:rPr>
            </w:pPr>
            <w:r w:rsidRPr="00A33442">
              <w:rPr>
                <w:rFonts w:ascii="Times New Roman" w:eastAsia="Times New Roman" w:hAnsi="Times New Roman" w:cs="Times New Roman"/>
                <w:bCs w:val="0"/>
                <w:color w:val="000000"/>
                <w:sz w:val="20"/>
                <w:szCs w:val="20"/>
                <w:lang w:eastAsia="lv-LV"/>
              </w:rPr>
              <w:t>Smēķējamā tabaka</w:t>
            </w:r>
          </w:p>
        </w:tc>
        <w:tc>
          <w:tcPr>
            <w:tcW w:w="1418"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01.01.2018.</w:t>
            </w:r>
          </w:p>
        </w:tc>
        <w:tc>
          <w:tcPr>
            <w:tcW w:w="1417"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01.01.2019.</w:t>
            </w:r>
          </w:p>
        </w:tc>
        <w:tc>
          <w:tcPr>
            <w:tcW w:w="1418"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A33442">
              <w:rPr>
                <w:rFonts w:ascii="Times New Roman" w:eastAsia="Times New Roman" w:hAnsi="Times New Roman" w:cs="Times New Roman"/>
                <w:b/>
                <w:bCs/>
                <w:color w:val="000000"/>
                <w:sz w:val="20"/>
                <w:szCs w:val="20"/>
                <w:lang w:eastAsia="lv-LV"/>
              </w:rPr>
              <w:t>01.01.2020.</w:t>
            </w:r>
          </w:p>
        </w:tc>
      </w:tr>
      <w:tr w:rsidR="00747DC7" w:rsidRPr="00A33442" w:rsidTr="00E177E9">
        <w:trPr>
          <w:trHeight w:val="599"/>
        </w:trPr>
        <w:tc>
          <w:tcPr>
            <w:cnfStyle w:val="001000000000" w:firstRow="0" w:lastRow="0" w:firstColumn="1" w:lastColumn="0" w:oddVBand="0" w:evenVBand="0" w:oddHBand="0" w:evenHBand="0" w:firstRowFirstColumn="0" w:firstRowLastColumn="0" w:lastRowFirstColumn="0" w:lastRowLastColumn="0"/>
            <w:tcW w:w="4820" w:type="dxa"/>
            <w:hideMark/>
          </w:tcPr>
          <w:p w:rsidR="00747DC7" w:rsidRPr="00A33442" w:rsidRDefault="00747DC7" w:rsidP="00E177E9">
            <w:pPr>
              <w:ind w:left="313"/>
              <w:jc w:val="both"/>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 xml:space="preserve">Smalki sagriezta tabaka, cita smēķējamā tabaka, tabakas lapas, karsējamā tabaka,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1000 g.</w:t>
            </w:r>
          </w:p>
        </w:tc>
        <w:tc>
          <w:tcPr>
            <w:tcW w:w="1418"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66,0</w:t>
            </w:r>
          </w:p>
        </w:tc>
        <w:tc>
          <w:tcPr>
            <w:tcW w:w="1417"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70,0</w:t>
            </w:r>
          </w:p>
        </w:tc>
        <w:tc>
          <w:tcPr>
            <w:tcW w:w="1418"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75,0</w:t>
            </w:r>
          </w:p>
        </w:tc>
      </w:tr>
    </w:tbl>
    <w:p w:rsidR="00747DC7" w:rsidRDefault="00747DC7" w:rsidP="004301DE">
      <w:pPr>
        <w:spacing w:before="120" w:after="0" w:line="240" w:lineRule="auto"/>
        <w:ind w:firstLine="720"/>
        <w:jc w:val="both"/>
        <w:rPr>
          <w:rFonts w:ascii="Times New Roman" w:eastAsia="Times New Roman" w:hAnsi="Times New Roman" w:cs="Times New Roman"/>
          <w:color w:val="000000"/>
          <w:sz w:val="24"/>
          <w:szCs w:val="24"/>
        </w:rPr>
      </w:pPr>
      <w:r w:rsidRPr="00A33442">
        <w:rPr>
          <w:rFonts w:ascii="Times New Roman" w:eastAsia="Times New Roman" w:hAnsi="Times New Roman" w:cs="Times New Roman"/>
          <w:color w:val="000000"/>
          <w:sz w:val="24"/>
          <w:szCs w:val="24"/>
        </w:rPr>
        <w:t>Pakāpenisks paaugstinājums paredzēts arī akcīzes nodoklim alkoholiskajiem dzērieniem un alum. Saskaņā ar 2015.gada 30.novembrī pieņemtajiem grozījumiem likumā „Par akcīzes nodokli” ar 2016.gada 1.martu tika paredzēta akcīzes nodokļa alkoholiskajiem dzērieniem un alum likmju paaugstināšana un tās bija plānots paaugstināt arī</w:t>
      </w:r>
      <w:r w:rsidR="00E177E9">
        <w:rPr>
          <w:rFonts w:ascii="Times New Roman" w:eastAsia="Times New Roman" w:hAnsi="Times New Roman" w:cs="Times New Roman"/>
          <w:color w:val="000000"/>
          <w:sz w:val="24"/>
          <w:szCs w:val="24"/>
        </w:rPr>
        <w:t xml:space="preserve"> ar 2017. un 2018.gada 1.martu.</w:t>
      </w:r>
      <w:r w:rsidRPr="00A33442">
        <w:rPr>
          <w:rFonts w:ascii="Times New Roman" w:eastAsia="Times New Roman" w:hAnsi="Times New Roman" w:cs="Times New Roman"/>
          <w:color w:val="000000"/>
          <w:sz w:val="24"/>
          <w:szCs w:val="24"/>
        </w:rPr>
        <w:t xml:space="preserve"> </w:t>
      </w:r>
      <w:r w:rsidRPr="00A33442">
        <w:rPr>
          <w:rFonts w:ascii="Times New Roman" w:eastAsia="Times New Roman" w:hAnsi="Times New Roman" w:cs="Times New Roman"/>
          <w:sz w:val="24"/>
          <w:szCs w:val="24"/>
        </w:rPr>
        <w:t xml:space="preserve">Tomēr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w:t>
      </w:r>
      <w:r w:rsidRPr="00A33442">
        <w:rPr>
          <w:rFonts w:ascii="Times New Roman" w:eastAsia="Times New Roman" w:hAnsi="Times New Roman" w:cs="Times New Roman"/>
          <w:sz w:val="24"/>
          <w:szCs w:val="24"/>
        </w:rPr>
        <w:t>ietvaros</w:t>
      </w:r>
      <w:r w:rsidRPr="00A33442">
        <w:rPr>
          <w:rFonts w:ascii="Times New Roman" w:eastAsia="Times New Roman" w:hAnsi="Times New Roman" w:cs="Times New Roman"/>
          <w:color w:val="000000"/>
          <w:sz w:val="24"/>
          <w:szCs w:val="24"/>
        </w:rPr>
        <w:t xml:space="preserve"> ar 2017.gada 27.jūlija grozījumiem likumā „Par akcīzes nodokli” tika nolemts ar 2018.gada 1.martu likmes paaugstināt straujāk un paredzēt to turpmāku paaugstinājumu arī ar 2019. un 2020.gada 1.martu. 6.5.tabulā atspoguļotas gan iepriekš plānotais, gan pašlaik spēkā esošais likmju paaugstināšanas grafiks.</w:t>
      </w:r>
    </w:p>
    <w:p w:rsidR="00747DC7" w:rsidRPr="00A33442" w:rsidRDefault="00747DC7" w:rsidP="00E177E9">
      <w:pPr>
        <w:spacing w:before="120" w:after="60" w:line="240" w:lineRule="auto"/>
        <w:jc w:val="right"/>
        <w:rPr>
          <w:rFonts w:ascii="Times New Roman" w:eastAsia="Times New Roman" w:hAnsi="Times New Roman" w:cs="Times New Roman"/>
          <w:b/>
          <w:i/>
          <w:sz w:val="24"/>
          <w:szCs w:val="24"/>
        </w:rPr>
      </w:pPr>
      <w:r w:rsidRPr="00A33442">
        <w:rPr>
          <w:rFonts w:ascii="Times New Roman" w:eastAsia="Times New Roman" w:hAnsi="Times New Roman" w:cs="Times New Roman"/>
          <w:b/>
          <w:sz w:val="24"/>
          <w:szCs w:val="20"/>
        </w:rPr>
        <w:t xml:space="preserve">6.5.tabula. Akcīzes nodokļa likmes alkoholiskajiem dzērieniem un alum </w:t>
      </w:r>
    </w:p>
    <w:tbl>
      <w:tblPr>
        <w:tblStyle w:val="GridTable6Colorful-Accent110"/>
        <w:tblW w:w="9039" w:type="dxa"/>
        <w:tblLayout w:type="fixed"/>
        <w:tblLook w:val="04A0" w:firstRow="1" w:lastRow="0" w:firstColumn="1" w:lastColumn="0" w:noHBand="0" w:noVBand="1"/>
      </w:tblPr>
      <w:tblGrid>
        <w:gridCol w:w="3369"/>
        <w:gridCol w:w="1134"/>
        <w:gridCol w:w="1134"/>
        <w:gridCol w:w="1134"/>
        <w:gridCol w:w="1134"/>
        <w:gridCol w:w="1134"/>
      </w:tblGrid>
      <w:tr w:rsidR="00747DC7" w:rsidRPr="00A33442" w:rsidTr="00E177E9">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69" w:type="dxa"/>
            <w:vMerge w:val="restart"/>
            <w:tcBorders>
              <w:bottom w:val="none" w:sz="0" w:space="0" w:color="auto"/>
            </w:tcBorders>
            <w:shd w:val="clear" w:color="auto" w:fill="DEEAF6" w:themeFill="accent1" w:themeFillTint="33"/>
            <w:noWrap/>
            <w:vAlign w:val="center"/>
          </w:tcPr>
          <w:p w:rsidR="00747DC7" w:rsidRPr="00A33442" w:rsidRDefault="00747DC7" w:rsidP="00E177E9">
            <w:pPr>
              <w:jc w:val="center"/>
              <w:rPr>
                <w:rFonts w:ascii="Times New Roman" w:eastAsia="Times New Roman" w:hAnsi="Times New Roman" w:cs="Times New Roman"/>
                <w:color w:val="000000"/>
                <w:sz w:val="20"/>
                <w:szCs w:val="24"/>
                <w:lang w:eastAsia="lv-LV"/>
              </w:rPr>
            </w:pPr>
            <w:r w:rsidRPr="00A33442">
              <w:rPr>
                <w:rFonts w:ascii="Times New Roman" w:eastAsia="Times New Roman" w:hAnsi="Times New Roman" w:cs="Times New Roman"/>
                <w:color w:val="000000"/>
                <w:sz w:val="20"/>
                <w:szCs w:val="24"/>
                <w:lang w:eastAsia="lv-LV"/>
              </w:rPr>
              <w:t>Alkoholiskā dzēriena veids</w:t>
            </w:r>
          </w:p>
        </w:tc>
        <w:tc>
          <w:tcPr>
            <w:tcW w:w="2268" w:type="dxa"/>
            <w:gridSpan w:val="2"/>
            <w:tcBorders>
              <w:bottom w:val="none" w:sz="0" w:space="0" w:color="auto"/>
            </w:tcBorders>
            <w:shd w:val="clear" w:color="auto" w:fill="DEEAF6" w:themeFill="accent1" w:themeFillTint="33"/>
            <w:noWrap/>
            <w:vAlign w:val="center"/>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4"/>
                <w:lang w:eastAsia="lv-LV"/>
              </w:rPr>
            </w:pPr>
            <w:r w:rsidRPr="00A33442">
              <w:rPr>
                <w:rFonts w:ascii="Times New Roman" w:eastAsia="Times New Roman" w:hAnsi="Times New Roman" w:cs="Times New Roman"/>
                <w:color w:val="auto"/>
                <w:sz w:val="20"/>
                <w:szCs w:val="20"/>
                <w:lang w:eastAsia="lv-LV"/>
              </w:rPr>
              <w:t>Ar 30.11.2015. noteiktās likmes</w:t>
            </w:r>
          </w:p>
        </w:tc>
        <w:tc>
          <w:tcPr>
            <w:tcW w:w="3402" w:type="dxa"/>
            <w:gridSpan w:val="3"/>
            <w:tcBorders>
              <w:bottom w:val="none" w:sz="0" w:space="0" w:color="auto"/>
            </w:tcBorders>
            <w:shd w:val="clear" w:color="auto" w:fill="DEEAF6" w:themeFill="accent1" w:themeFillTint="33"/>
            <w:vAlign w:val="center"/>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 w:val="20"/>
                <w:szCs w:val="24"/>
                <w:lang w:eastAsia="lv-LV"/>
              </w:rPr>
            </w:pPr>
            <w:r w:rsidRPr="00A33442">
              <w:rPr>
                <w:rFonts w:ascii="Times New Roman" w:eastAsia="Times New Roman" w:hAnsi="Times New Roman" w:cs="Times New Roman"/>
                <w:bCs w:val="0"/>
                <w:color w:val="auto"/>
                <w:sz w:val="20"/>
                <w:szCs w:val="24"/>
                <w:lang w:eastAsia="lv-LV"/>
              </w:rPr>
              <w:t>Ar 27.07.2017.</w:t>
            </w:r>
          </w:p>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33442">
              <w:rPr>
                <w:rFonts w:ascii="Times New Roman" w:eastAsia="Times New Roman" w:hAnsi="Times New Roman" w:cs="Times New Roman"/>
                <w:bCs w:val="0"/>
                <w:color w:val="auto"/>
                <w:sz w:val="20"/>
                <w:szCs w:val="24"/>
                <w:lang w:eastAsia="lv-LV"/>
              </w:rPr>
              <w:t>noteiktās likmes</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69" w:type="dxa"/>
            <w:vMerge/>
            <w:noWrap/>
            <w:hideMark/>
          </w:tcPr>
          <w:p w:rsidR="00747DC7" w:rsidRPr="00A33442" w:rsidRDefault="00747DC7" w:rsidP="00E177E9">
            <w:pPr>
              <w:rPr>
                <w:rFonts w:ascii="Times New Roman" w:eastAsia="Times New Roman" w:hAnsi="Times New Roman" w:cs="Times New Roman"/>
                <w:b w:val="0"/>
                <w:color w:val="000000"/>
                <w:sz w:val="20"/>
                <w:szCs w:val="24"/>
                <w:lang w:eastAsia="lv-LV"/>
              </w:rPr>
            </w:pPr>
          </w:p>
        </w:tc>
        <w:tc>
          <w:tcPr>
            <w:tcW w:w="1134" w:type="dxa"/>
            <w:noWrap/>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18"/>
                <w:szCs w:val="24"/>
                <w:lang w:eastAsia="lv-LV"/>
              </w:rPr>
            </w:pPr>
            <w:r w:rsidRPr="00A33442">
              <w:rPr>
                <w:rFonts w:ascii="Times New Roman" w:eastAsia="Times New Roman" w:hAnsi="Times New Roman" w:cs="Times New Roman"/>
                <w:b/>
                <w:color w:val="auto"/>
                <w:sz w:val="18"/>
                <w:szCs w:val="24"/>
                <w:lang w:eastAsia="lv-LV"/>
              </w:rPr>
              <w:t>01.03.2017.</w:t>
            </w:r>
          </w:p>
        </w:tc>
        <w:tc>
          <w:tcPr>
            <w:tcW w:w="1134"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18"/>
                <w:szCs w:val="24"/>
                <w:lang w:eastAsia="lv-LV"/>
              </w:rPr>
            </w:pPr>
            <w:r w:rsidRPr="00A33442">
              <w:rPr>
                <w:rFonts w:ascii="Times New Roman" w:eastAsia="Times New Roman" w:hAnsi="Times New Roman" w:cs="Times New Roman"/>
                <w:b/>
                <w:color w:val="auto"/>
                <w:sz w:val="18"/>
                <w:szCs w:val="24"/>
                <w:lang w:eastAsia="lv-LV"/>
              </w:rPr>
              <w:t>01.03.2018.</w:t>
            </w:r>
          </w:p>
        </w:tc>
        <w:tc>
          <w:tcPr>
            <w:tcW w:w="1134" w:type="dxa"/>
            <w:noWrap/>
            <w:vAlign w:val="center"/>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18"/>
                <w:szCs w:val="24"/>
                <w:lang w:eastAsia="lv-LV"/>
              </w:rPr>
            </w:pPr>
            <w:r w:rsidRPr="00A33442">
              <w:rPr>
                <w:rFonts w:ascii="Times New Roman" w:eastAsia="Times New Roman" w:hAnsi="Times New Roman" w:cs="Times New Roman"/>
                <w:b/>
                <w:color w:val="auto"/>
                <w:sz w:val="18"/>
                <w:szCs w:val="24"/>
                <w:lang w:eastAsia="lv-LV"/>
              </w:rPr>
              <w:t>01.03.2018.</w:t>
            </w:r>
          </w:p>
        </w:tc>
        <w:tc>
          <w:tcPr>
            <w:tcW w:w="1134"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18"/>
                <w:szCs w:val="24"/>
                <w:lang w:eastAsia="lv-LV"/>
              </w:rPr>
            </w:pPr>
            <w:r w:rsidRPr="00A33442">
              <w:rPr>
                <w:rFonts w:ascii="Times New Roman" w:eastAsia="Times New Roman" w:hAnsi="Times New Roman" w:cs="Times New Roman"/>
                <w:b/>
                <w:color w:val="auto"/>
                <w:sz w:val="18"/>
                <w:szCs w:val="24"/>
                <w:lang w:eastAsia="lv-LV"/>
              </w:rPr>
              <w:t>01.03.2019.</w:t>
            </w:r>
          </w:p>
        </w:tc>
        <w:tc>
          <w:tcPr>
            <w:tcW w:w="1134" w:type="dxa"/>
            <w:vAlign w:val="center"/>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24"/>
                <w:lang w:eastAsia="lv-LV"/>
              </w:rPr>
            </w:pPr>
            <w:r w:rsidRPr="00A33442">
              <w:rPr>
                <w:rFonts w:ascii="Times New Roman" w:eastAsia="Times New Roman" w:hAnsi="Times New Roman" w:cs="Times New Roman"/>
                <w:b/>
                <w:color w:val="000000"/>
                <w:sz w:val="18"/>
                <w:szCs w:val="24"/>
                <w:lang w:eastAsia="lv-LV"/>
              </w:rPr>
              <w:t>01.03.2020.</w:t>
            </w:r>
          </w:p>
        </w:tc>
      </w:tr>
      <w:tr w:rsidR="00747DC7" w:rsidRPr="00A33442" w:rsidTr="00E177E9">
        <w:trPr>
          <w:trHeight w:val="429"/>
        </w:trPr>
        <w:tc>
          <w:tcPr>
            <w:cnfStyle w:val="001000000000" w:firstRow="0" w:lastRow="0" w:firstColumn="1" w:lastColumn="0" w:oddVBand="0" w:evenVBand="0" w:oddHBand="0" w:evenHBand="0" w:firstRowFirstColumn="0" w:firstRowLastColumn="0" w:lastRowFirstColumn="0" w:lastRowLastColumn="0"/>
            <w:tcW w:w="3369" w:type="dxa"/>
            <w:hideMark/>
          </w:tcPr>
          <w:p w:rsidR="00747DC7" w:rsidRPr="00A33442" w:rsidRDefault="00747DC7" w:rsidP="00E177E9">
            <w:pPr>
              <w:jc w:val="both"/>
              <w:rPr>
                <w:rFonts w:ascii="Times New Roman" w:eastAsia="Times New Roman" w:hAnsi="Times New Roman" w:cs="Times New Roman"/>
                <w:b w:val="0"/>
                <w:color w:val="000000"/>
                <w:sz w:val="20"/>
                <w:szCs w:val="24"/>
                <w:lang w:eastAsia="lv-LV"/>
              </w:rPr>
            </w:pPr>
            <w:r w:rsidRPr="00A33442">
              <w:rPr>
                <w:rFonts w:ascii="Times New Roman" w:eastAsia="Times New Roman" w:hAnsi="Times New Roman" w:cs="Times New Roman"/>
                <w:b w:val="0"/>
                <w:color w:val="000000"/>
                <w:sz w:val="20"/>
                <w:szCs w:val="24"/>
                <w:lang w:eastAsia="lv-LV"/>
              </w:rPr>
              <w:t xml:space="preserve">Vīns, raudzētie dzērieni ar absolūtā spirta saturu virs 6 tilpumprocentiem un starpprodukti ar absolūtā spirta saturu līdz 15 tilpumprocentiem, </w:t>
            </w:r>
            <w:r w:rsidRPr="00A33442">
              <w:rPr>
                <w:rFonts w:ascii="Times New Roman" w:eastAsia="Times New Roman" w:hAnsi="Times New Roman" w:cs="Times New Roman"/>
                <w:b w:val="0"/>
                <w:i/>
                <w:color w:val="000000"/>
                <w:sz w:val="20"/>
                <w:szCs w:val="24"/>
                <w:lang w:eastAsia="lv-LV"/>
              </w:rPr>
              <w:t>euro</w:t>
            </w:r>
            <w:r w:rsidRPr="00A33442">
              <w:rPr>
                <w:rFonts w:ascii="Times New Roman" w:eastAsia="Times New Roman" w:hAnsi="Times New Roman" w:cs="Times New Roman"/>
                <w:b w:val="0"/>
                <w:color w:val="000000"/>
                <w:sz w:val="20"/>
                <w:szCs w:val="24"/>
                <w:lang w:eastAsia="lv-LV"/>
              </w:rPr>
              <w:t xml:space="preserve"> par 100 litriem</w:t>
            </w:r>
          </w:p>
        </w:tc>
        <w:tc>
          <w:tcPr>
            <w:tcW w:w="1134" w:type="dxa"/>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78,0</w:t>
            </w:r>
          </w:p>
        </w:tc>
        <w:tc>
          <w:tcPr>
            <w:tcW w:w="1134" w:type="dxa"/>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82,0</w:t>
            </w:r>
          </w:p>
        </w:tc>
        <w:tc>
          <w:tcPr>
            <w:tcW w:w="1134" w:type="dxa"/>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92,0</w:t>
            </w:r>
          </w:p>
        </w:tc>
        <w:tc>
          <w:tcPr>
            <w:tcW w:w="1134" w:type="dxa"/>
            <w:vAlign w:val="center"/>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101,0</w:t>
            </w:r>
          </w:p>
        </w:tc>
        <w:tc>
          <w:tcPr>
            <w:tcW w:w="1134" w:type="dxa"/>
            <w:vAlign w:val="center"/>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111,0</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369" w:type="dxa"/>
            <w:hideMark/>
          </w:tcPr>
          <w:p w:rsidR="00747DC7" w:rsidRPr="00A33442" w:rsidRDefault="00747DC7" w:rsidP="00E177E9">
            <w:pPr>
              <w:jc w:val="both"/>
              <w:rPr>
                <w:rFonts w:ascii="Times New Roman" w:eastAsia="Times New Roman" w:hAnsi="Times New Roman" w:cs="Times New Roman"/>
                <w:b w:val="0"/>
                <w:color w:val="000000"/>
                <w:sz w:val="20"/>
                <w:szCs w:val="24"/>
                <w:lang w:eastAsia="lv-LV"/>
              </w:rPr>
            </w:pPr>
            <w:r w:rsidRPr="00A33442">
              <w:rPr>
                <w:rFonts w:ascii="Times New Roman" w:eastAsia="Times New Roman" w:hAnsi="Times New Roman" w:cs="Times New Roman"/>
                <w:b w:val="0"/>
                <w:color w:val="000000"/>
                <w:sz w:val="20"/>
                <w:szCs w:val="24"/>
                <w:lang w:eastAsia="lv-LV"/>
              </w:rPr>
              <w:t xml:space="preserve">Raudzētie dzērieni ar absolūtā spirta </w:t>
            </w:r>
            <w:r w:rsidRPr="00A33442">
              <w:rPr>
                <w:rFonts w:ascii="Times New Roman" w:eastAsia="Times New Roman" w:hAnsi="Times New Roman" w:cs="Times New Roman"/>
                <w:b w:val="0"/>
                <w:color w:val="000000"/>
                <w:sz w:val="20"/>
                <w:szCs w:val="24"/>
                <w:lang w:eastAsia="lv-LV"/>
              </w:rPr>
              <w:lastRenderedPageBreak/>
              <w:t xml:space="preserve">saturu līdz 6 tilpumprocentiem, </w:t>
            </w:r>
            <w:r w:rsidRPr="00A33442">
              <w:rPr>
                <w:rFonts w:ascii="Times New Roman" w:eastAsia="Times New Roman" w:hAnsi="Times New Roman" w:cs="Times New Roman"/>
                <w:b w:val="0"/>
                <w:i/>
                <w:color w:val="000000"/>
                <w:sz w:val="20"/>
                <w:szCs w:val="24"/>
                <w:lang w:eastAsia="lv-LV"/>
              </w:rPr>
              <w:t>euro</w:t>
            </w:r>
            <w:r w:rsidRPr="00A33442">
              <w:rPr>
                <w:rFonts w:ascii="Times New Roman" w:eastAsia="Times New Roman" w:hAnsi="Times New Roman" w:cs="Times New Roman"/>
                <w:b w:val="0"/>
                <w:color w:val="000000"/>
                <w:sz w:val="20"/>
                <w:szCs w:val="24"/>
                <w:lang w:eastAsia="lv-LV"/>
              </w:rPr>
              <w:t xml:space="preserve"> par 100 litriem</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lastRenderedPageBreak/>
              <w:t>64,0</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64,0</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64,0</w:t>
            </w:r>
          </w:p>
        </w:tc>
        <w:tc>
          <w:tcPr>
            <w:tcW w:w="1134" w:type="dxa"/>
            <w:vAlign w:val="center"/>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64,0</w:t>
            </w:r>
          </w:p>
        </w:tc>
        <w:tc>
          <w:tcPr>
            <w:tcW w:w="1134" w:type="dxa"/>
            <w:vAlign w:val="center"/>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64,0</w:t>
            </w:r>
          </w:p>
        </w:tc>
      </w:tr>
      <w:tr w:rsidR="00747DC7" w:rsidRPr="00A33442" w:rsidTr="00E177E9">
        <w:trPr>
          <w:trHeight w:val="286"/>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rsidR="00747DC7" w:rsidRPr="00A33442" w:rsidRDefault="00747DC7" w:rsidP="00E177E9">
            <w:pPr>
              <w:jc w:val="both"/>
              <w:rPr>
                <w:rFonts w:ascii="Times New Roman" w:eastAsia="Times New Roman" w:hAnsi="Times New Roman" w:cs="Times New Roman"/>
                <w:b w:val="0"/>
                <w:color w:val="000000"/>
                <w:sz w:val="20"/>
                <w:szCs w:val="24"/>
                <w:lang w:eastAsia="lv-LV"/>
              </w:rPr>
            </w:pPr>
            <w:r w:rsidRPr="00A33442">
              <w:rPr>
                <w:rFonts w:ascii="Times New Roman" w:eastAsia="Times New Roman" w:hAnsi="Times New Roman" w:cs="Times New Roman"/>
                <w:b w:val="0"/>
                <w:color w:val="000000"/>
                <w:sz w:val="20"/>
                <w:szCs w:val="24"/>
                <w:lang w:eastAsia="lv-LV"/>
              </w:rPr>
              <w:t xml:space="preserve">Starpprodukti ar absolūtā spirta saturu no 15 tilpumprocentiem līdz 22 tilpumprocentiem, </w:t>
            </w:r>
            <w:r w:rsidRPr="00A33442">
              <w:rPr>
                <w:rFonts w:ascii="Times New Roman" w:eastAsia="Times New Roman" w:hAnsi="Times New Roman" w:cs="Times New Roman"/>
                <w:b w:val="0"/>
                <w:i/>
                <w:color w:val="000000"/>
                <w:sz w:val="20"/>
                <w:szCs w:val="24"/>
                <w:lang w:eastAsia="lv-LV"/>
              </w:rPr>
              <w:t>euro</w:t>
            </w:r>
            <w:r w:rsidRPr="00A33442">
              <w:rPr>
                <w:rFonts w:ascii="Times New Roman" w:eastAsia="Times New Roman" w:hAnsi="Times New Roman" w:cs="Times New Roman"/>
                <w:b w:val="0"/>
                <w:color w:val="000000"/>
                <w:sz w:val="20"/>
                <w:szCs w:val="24"/>
                <w:lang w:eastAsia="lv-LV"/>
              </w:rPr>
              <w:t xml:space="preserve"> par 100 litriem</w:t>
            </w:r>
          </w:p>
        </w:tc>
        <w:tc>
          <w:tcPr>
            <w:tcW w:w="1134" w:type="dxa"/>
            <w:shd w:val="clear" w:color="auto" w:fill="auto"/>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130,0</w:t>
            </w:r>
          </w:p>
        </w:tc>
        <w:tc>
          <w:tcPr>
            <w:tcW w:w="1134" w:type="dxa"/>
            <w:shd w:val="clear" w:color="auto" w:fill="auto"/>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135,0</w:t>
            </w:r>
          </w:p>
        </w:tc>
        <w:tc>
          <w:tcPr>
            <w:tcW w:w="1134" w:type="dxa"/>
            <w:shd w:val="clear" w:color="auto" w:fill="auto"/>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150,0</w:t>
            </w:r>
          </w:p>
        </w:tc>
        <w:tc>
          <w:tcPr>
            <w:tcW w:w="1134" w:type="dxa"/>
            <w:shd w:val="clear" w:color="auto" w:fill="auto"/>
            <w:vAlign w:val="center"/>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168,0</w:t>
            </w:r>
          </w:p>
        </w:tc>
        <w:tc>
          <w:tcPr>
            <w:tcW w:w="1134" w:type="dxa"/>
            <w:shd w:val="clear" w:color="auto" w:fill="auto"/>
            <w:vAlign w:val="center"/>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185,0</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69" w:type="dxa"/>
            <w:hideMark/>
          </w:tcPr>
          <w:p w:rsidR="00747DC7" w:rsidRPr="00A33442" w:rsidRDefault="00747DC7" w:rsidP="00E177E9">
            <w:pPr>
              <w:jc w:val="both"/>
              <w:rPr>
                <w:rFonts w:ascii="Times New Roman" w:eastAsia="Times New Roman" w:hAnsi="Times New Roman" w:cs="Times New Roman"/>
                <w:b w:val="0"/>
                <w:color w:val="000000"/>
                <w:sz w:val="20"/>
                <w:szCs w:val="24"/>
                <w:lang w:eastAsia="lv-LV"/>
              </w:rPr>
            </w:pPr>
            <w:r w:rsidRPr="00A33442">
              <w:rPr>
                <w:rFonts w:ascii="Times New Roman" w:eastAsia="Times New Roman" w:hAnsi="Times New Roman" w:cs="Times New Roman"/>
                <w:b w:val="0"/>
                <w:color w:val="000000"/>
                <w:sz w:val="20"/>
                <w:szCs w:val="24"/>
                <w:lang w:eastAsia="lv-LV"/>
              </w:rPr>
              <w:t xml:space="preserve">Pārējie alkoholiskie dzērieni, </w:t>
            </w:r>
            <w:r w:rsidRPr="00A33442">
              <w:rPr>
                <w:rFonts w:ascii="Times New Roman" w:eastAsia="Times New Roman" w:hAnsi="Times New Roman" w:cs="Times New Roman"/>
                <w:b w:val="0"/>
                <w:i/>
                <w:color w:val="000000"/>
                <w:sz w:val="20"/>
                <w:szCs w:val="24"/>
                <w:lang w:eastAsia="lv-LV"/>
              </w:rPr>
              <w:t>euro</w:t>
            </w:r>
            <w:r w:rsidRPr="00A33442">
              <w:rPr>
                <w:rFonts w:ascii="Times New Roman" w:eastAsia="Times New Roman" w:hAnsi="Times New Roman" w:cs="Times New Roman"/>
                <w:b w:val="0"/>
                <w:color w:val="000000"/>
                <w:sz w:val="20"/>
                <w:szCs w:val="24"/>
                <w:lang w:eastAsia="lv-LV"/>
              </w:rPr>
              <w:t xml:space="preserve"> par 100 litriem absolūta spirta</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1 450,0</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1 500,0</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1 670,0</w:t>
            </w:r>
          </w:p>
        </w:tc>
        <w:tc>
          <w:tcPr>
            <w:tcW w:w="1134" w:type="dxa"/>
            <w:vAlign w:val="center"/>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1 840,0</w:t>
            </w:r>
          </w:p>
        </w:tc>
        <w:tc>
          <w:tcPr>
            <w:tcW w:w="1134" w:type="dxa"/>
            <w:vAlign w:val="center"/>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2 025,0</w:t>
            </w:r>
          </w:p>
        </w:tc>
      </w:tr>
      <w:tr w:rsidR="00747DC7" w:rsidRPr="00A33442" w:rsidTr="00E177E9">
        <w:trPr>
          <w:trHeight w:val="143"/>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rsidR="00747DC7" w:rsidRPr="00A33442" w:rsidRDefault="00A96D71" w:rsidP="00E177E9">
            <w:pPr>
              <w:jc w:val="both"/>
              <w:rPr>
                <w:rFonts w:ascii="Times New Roman" w:eastAsia="Times New Roman" w:hAnsi="Times New Roman" w:cs="Times New Roman"/>
                <w:b w:val="0"/>
                <w:color w:val="000000"/>
                <w:sz w:val="20"/>
                <w:szCs w:val="24"/>
                <w:lang w:eastAsia="lv-LV"/>
              </w:rPr>
            </w:pPr>
            <w:r>
              <w:rPr>
                <w:rFonts w:ascii="Times New Roman" w:eastAsia="Times New Roman" w:hAnsi="Times New Roman" w:cs="Times New Roman"/>
                <w:b w:val="0"/>
                <w:color w:val="000000"/>
                <w:sz w:val="20"/>
                <w:szCs w:val="24"/>
                <w:lang w:eastAsia="lv-LV"/>
              </w:rPr>
              <w:t xml:space="preserve">Alus, </w:t>
            </w:r>
            <w:r w:rsidR="00747DC7" w:rsidRPr="00A33442">
              <w:rPr>
                <w:rFonts w:ascii="Times New Roman" w:eastAsia="Times New Roman" w:hAnsi="Times New Roman" w:cs="Times New Roman"/>
                <w:b w:val="0"/>
                <w:i/>
                <w:color w:val="000000"/>
                <w:sz w:val="20"/>
                <w:szCs w:val="24"/>
                <w:lang w:eastAsia="lv-LV"/>
              </w:rPr>
              <w:t>euro</w:t>
            </w:r>
            <w:r w:rsidR="00747DC7" w:rsidRPr="00A33442">
              <w:rPr>
                <w:rFonts w:ascii="Times New Roman" w:eastAsia="Times New Roman" w:hAnsi="Times New Roman" w:cs="Times New Roman"/>
                <w:b w:val="0"/>
                <w:color w:val="000000"/>
                <w:sz w:val="20"/>
                <w:szCs w:val="24"/>
                <w:lang w:eastAsia="lv-LV"/>
              </w:rPr>
              <w:t xml:space="preserve"> par katru absolūtā spirta tilpumprocentu par 100 litriem</w:t>
            </w:r>
          </w:p>
        </w:tc>
        <w:tc>
          <w:tcPr>
            <w:tcW w:w="1134" w:type="dxa"/>
            <w:shd w:val="clear" w:color="auto" w:fill="auto"/>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4,5</w:t>
            </w:r>
          </w:p>
        </w:tc>
        <w:tc>
          <w:tcPr>
            <w:tcW w:w="1134" w:type="dxa"/>
            <w:shd w:val="clear" w:color="auto" w:fill="auto"/>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4,8</w:t>
            </w:r>
          </w:p>
        </w:tc>
        <w:tc>
          <w:tcPr>
            <w:tcW w:w="1134" w:type="dxa"/>
            <w:shd w:val="clear" w:color="auto" w:fill="auto"/>
            <w:noWrap/>
            <w:vAlign w:val="center"/>
            <w:hideMark/>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6,8</w:t>
            </w:r>
          </w:p>
        </w:tc>
        <w:tc>
          <w:tcPr>
            <w:tcW w:w="1134" w:type="dxa"/>
            <w:shd w:val="clear" w:color="auto" w:fill="auto"/>
            <w:vAlign w:val="center"/>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7,4</w:t>
            </w:r>
          </w:p>
        </w:tc>
        <w:tc>
          <w:tcPr>
            <w:tcW w:w="1134" w:type="dxa"/>
            <w:shd w:val="clear" w:color="auto" w:fill="auto"/>
            <w:vAlign w:val="center"/>
          </w:tcPr>
          <w:p w:rsidR="00747DC7" w:rsidRPr="009C44D7"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8,1</w:t>
            </w:r>
          </w:p>
        </w:tc>
      </w:tr>
      <w:tr w:rsidR="00747DC7" w:rsidRPr="00A33442" w:rsidTr="00E177E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69" w:type="dxa"/>
            <w:hideMark/>
          </w:tcPr>
          <w:p w:rsidR="00747DC7" w:rsidRPr="00A33442" w:rsidRDefault="00747DC7" w:rsidP="00E177E9">
            <w:pPr>
              <w:jc w:val="both"/>
              <w:rPr>
                <w:rFonts w:ascii="Times New Roman" w:eastAsia="Times New Roman" w:hAnsi="Times New Roman" w:cs="Times New Roman"/>
                <w:b w:val="0"/>
                <w:color w:val="000000"/>
                <w:sz w:val="20"/>
                <w:szCs w:val="24"/>
                <w:lang w:eastAsia="lv-LV"/>
              </w:rPr>
            </w:pPr>
            <w:r w:rsidRPr="00A33442">
              <w:rPr>
                <w:rFonts w:ascii="Times New Roman" w:eastAsia="Times New Roman" w:hAnsi="Times New Roman" w:cs="Times New Roman"/>
                <w:b w:val="0"/>
                <w:color w:val="000000"/>
                <w:sz w:val="20"/>
                <w:szCs w:val="24"/>
                <w:lang w:eastAsia="lv-LV"/>
              </w:rPr>
              <w:t xml:space="preserve">Akcīzes nodokļa minimālais līmenis, </w:t>
            </w:r>
            <w:r w:rsidRPr="00A33442">
              <w:rPr>
                <w:rFonts w:ascii="Times New Roman" w:eastAsia="Times New Roman" w:hAnsi="Times New Roman" w:cs="Times New Roman"/>
                <w:b w:val="0"/>
                <w:i/>
                <w:color w:val="000000"/>
                <w:sz w:val="20"/>
                <w:szCs w:val="24"/>
                <w:lang w:eastAsia="lv-LV"/>
              </w:rPr>
              <w:t>euro</w:t>
            </w:r>
            <w:r w:rsidRPr="00A33442">
              <w:rPr>
                <w:rFonts w:ascii="Times New Roman" w:eastAsia="Times New Roman" w:hAnsi="Times New Roman" w:cs="Times New Roman"/>
                <w:b w:val="0"/>
                <w:color w:val="000000"/>
                <w:sz w:val="20"/>
                <w:szCs w:val="24"/>
                <w:lang w:eastAsia="lv-LV"/>
              </w:rPr>
              <w:t xml:space="preserve"> par 100 litriem alus</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8,2</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44D7">
              <w:rPr>
                <w:rFonts w:ascii="Times New Roman" w:eastAsia="Times New Roman" w:hAnsi="Times New Roman" w:cs="Times New Roman"/>
                <w:color w:val="000000"/>
                <w:sz w:val="20"/>
                <w:szCs w:val="24"/>
                <w:lang w:eastAsia="lv-LV"/>
              </w:rPr>
              <w:t>8,6</w:t>
            </w:r>
          </w:p>
        </w:tc>
        <w:tc>
          <w:tcPr>
            <w:tcW w:w="1134" w:type="dxa"/>
            <w:noWrap/>
            <w:vAlign w:val="center"/>
            <w:hideMark/>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12,5</w:t>
            </w:r>
          </w:p>
        </w:tc>
        <w:tc>
          <w:tcPr>
            <w:tcW w:w="1134" w:type="dxa"/>
            <w:vAlign w:val="center"/>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13,6</w:t>
            </w:r>
          </w:p>
        </w:tc>
        <w:tc>
          <w:tcPr>
            <w:tcW w:w="1134" w:type="dxa"/>
            <w:vAlign w:val="center"/>
          </w:tcPr>
          <w:p w:rsidR="00747DC7" w:rsidRPr="009C44D7"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4"/>
                <w:lang w:eastAsia="lv-LV"/>
              </w:rPr>
            </w:pPr>
            <w:r w:rsidRPr="009C44D7">
              <w:rPr>
                <w:rFonts w:ascii="Times New Roman" w:eastAsia="Times New Roman" w:hAnsi="Times New Roman" w:cs="Times New Roman"/>
                <w:b/>
                <w:color w:val="000000"/>
                <w:sz w:val="20"/>
                <w:szCs w:val="24"/>
                <w:lang w:eastAsia="lv-LV"/>
              </w:rPr>
              <w:t>14,9</w:t>
            </w:r>
          </w:p>
        </w:tc>
      </w:tr>
    </w:tbl>
    <w:p w:rsidR="00747DC7" w:rsidRPr="00A33442" w:rsidRDefault="00747DC7" w:rsidP="004301DE">
      <w:pPr>
        <w:spacing w:before="120" w:after="0" w:line="240" w:lineRule="auto"/>
        <w:ind w:firstLine="720"/>
        <w:jc w:val="both"/>
        <w:rPr>
          <w:rFonts w:ascii="Times New Roman" w:eastAsia="Times New Roman" w:hAnsi="Times New Roman" w:cs="Times New Roman"/>
          <w:color w:val="000000"/>
          <w:sz w:val="24"/>
          <w:szCs w:val="24"/>
        </w:rPr>
      </w:pPr>
      <w:r w:rsidRPr="00A33442">
        <w:rPr>
          <w:rFonts w:ascii="Times New Roman" w:eastAsia="Times New Roman" w:hAnsi="Times New Roman" w:cs="Times New Roman"/>
          <w:color w:val="000000"/>
          <w:sz w:val="24"/>
          <w:szCs w:val="24"/>
        </w:rPr>
        <w:t xml:space="preserve">Arī akcīzes nodokli </w:t>
      </w:r>
      <w:r w:rsidRPr="00A33442">
        <w:rPr>
          <w:rFonts w:ascii="Times New Roman" w:eastAsia="Times New Roman" w:hAnsi="Times New Roman" w:cs="Times New Roman"/>
          <w:b/>
          <w:color w:val="000000"/>
          <w:sz w:val="24"/>
          <w:szCs w:val="24"/>
        </w:rPr>
        <w:t>naftas produktiem</w:t>
      </w:r>
      <w:r w:rsidRPr="00A33442">
        <w:rPr>
          <w:rFonts w:ascii="Times New Roman" w:eastAsia="Times New Roman" w:hAnsi="Times New Roman" w:cs="Times New Roman"/>
          <w:color w:val="000000"/>
          <w:sz w:val="24"/>
          <w:szCs w:val="24"/>
        </w:rPr>
        <w:t xml:space="preserve"> ietekmē iepriekšējos gados pieņemtās izmaiņas normatīvajos aktos:</w:t>
      </w:r>
    </w:p>
    <w:p w:rsidR="00747DC7" w:rsidRPr="00A33442" w:rsidRDefault="00747DC7" w:rsidP="00E177E9">
      <w:pPr>
        <w:pStyle w:val="ListParagraph"/>
        <w:numPr>
          <w:ilvl w:val="0"/>
          <w:numId w:val="19"/>
        </w:numPr>
        <w:spacing w:after="0" w:line="240" w:lineRule="auto"/>
        <w:ind w:left="1134" w:hanging="425"/>
        <w:jc w:val="both"/>
        <w:rPr>
          <w:rFonts w:ascii="Times New Roman" w:eastAsia="Times New Roman" w:hAnsi="Times New Roman" w:cs="Times New Roman"/>
          <w:sz w:val="24"/>
          <w:szCs w:val="24"/>
        </w:rPr>
      </w:pPr>
      <w:r w:rsidRPr="00A33442">
        <w:rPr>
          <w:rFonts w:ascii="Times New Roman" w:eastAsia="Times New Roman" w:hAnsi="Times New Roman" w:cs="Times New Roman"/>
          <w:color w:val="000000"/>
          <w:sz w:val="24"/>
          <w:szCs w:val="24"/>
        </w:rPr>
        <w:t xml:space="preserve">saskaņā ar </w:t>
      </w:r>
      <w:r w:rsidRPr="00A33442">
        <w:rPr>
          <w:rFonts w:ascii="Times New Roman" w:eastAsia="Times New Roman" w:hAnsi="Times New Roman" w:cs="Times New Roman"/>
          <w:sz w:val="24"/>
          <w:szCs w:val="24"/>
        </w:rPr>
        <w:t>2016.gada 26.maijā MK pieņemto lēmumu par grozījumiem MK noteikumos Nr.194, kas paredz, ka, administrējot degvielas ar samazināto akcīzes nodokļa likmi piešķiršanu 2017./2018.saimnieciskajam gadam un turpmākajiem gadiem, ieņēmumos neiekļaus par iepriekšējo gadu ES atbalsta pasākumos "Bioloģiskā lauksaimniecība" un "Agrovide un klimats" saņemtās maksājumu summas. Līdz ar to 2017./2018.</w:t>
      </w:r>
      <w:r w:rsidR="000C3005">
        <w:rPr>
          <w:rFonts w:ascii="Times New Roman" w:eastAsia="Times New Roman" w:hAnsi="Times New Roman" w:cs="Times New Roman"/>
          <w:sz w:val="24"/>
          <w:szCs w:val="24"/>
        </w:rPr>
        <w:t xml:space="preserve"> </w:t>
      </w:r>
      <w:r w:rsidRPr="00A33442">
        <w:rPr>
          <w:rFonts w:ascii="Times New Roman" w:eastAsia="Times New Roman" w:hAnsi="Times New Roman" w:cs="Times New Roman"/>
          <w:sz w:val="24"/>
          <w:szCs w:val="24"/>
        </w:rPr>
        <w:t>saimnieciskajā gadā un turpmākajos gados samazināsies zemes platības, par kurām piešķirs tiesības iegādāties dīzeļdegvielu ar samazināto akcīzes nodokļa likmi, un pieaugs akcīzes nodokļa ieņēmumi no dīzeļdegvielas;</w:t>
      </w:r>
    </w:p>
    <w:p w:rsidR="00747DC7" w:rsidRPr="00A33442" w:rsidRDefault="00747DC7" w:rsidP="00E177E9">
      <w:pPr>
        <w:pStyle w:val="ListParagraph"/>
        <w:numPr>
          <w:ilvl w:val="0"/>
          <w:numId w:val="19"/>
        </w:numPr>
        <w:spacing w:after="0" w:line="240" w:lineRule="auto"/>
        <w:ind w:left="1134" w:hanging="425"/>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ar 2016.gada 23.novembrī Saeimā pieņemtajiem grozījumiem likumā “Par akcīzes nodokli” paredzēts sākot ar 2017./2018.</w:t>
      </w:r>
      <w:r w:rsidR="004301D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sz w:val="24"/>
          <w:szCs w:val="24"/>
        </w:rPr>
        <w:t>saimniecisko gadu atcelt tiesības iegādāties dīzeļdegvielu ar samazināto akcīzes nodokļa likmi par zemes platībām, kurās audzē kukurūzu biogāzes ieguvei (kultūraugu kods 791).</w:t>
      </w:r>
    </w:p>
    <w:p w:rsidR="00747DC7" w:rsidRPr="00A33442" w:rsidRDefault="00747DC7" w:rsidP="000C3005">
      <w:pPr>
        <w:spacing w:before="120" w:after="0" w:line="240" w:lineRule="auto"/>
        <w:ind w:firstLine="709"/>
        <w:jc w:val="both"/>
        <w:rPr>
          <w:rFonts w:ascii="Times New Roman" w:eastAsia="Times New Roman" w:hAnsi="Times New Roman" w:cs="Times New Roman"/>
          <w:color w:val="000000"/>
          <w:sz w:val="24"/>
          <w:szCs w:val="24"/>
        </w:rPr>
      </w:pPr>
      <w:r w:rsidRPr="00A33442">
        <w:rPr>
          <w:rFonts w:ascii="Times New Roman" w:eastAsia="Times New Roman" w:hAnsi="Times New Roman" w:cs="Times New Roman"/>
          <w:sz w:val="24"/>
          <w:szCs w:val="24"/>
        </w:rPr>
        <w:t>Tomēr visbūti</w:t>
      </w:r>
      <w:r w:rsidR="00FB6C85">
        <w:rPr>
          <w:rFonts w:ascii="Times New Roman" w:eastAsia="Times New Roman" w:hAnsi="Times New Roman" w:cs="Times New Roman"/>
          <w:sz w:val="24"/>
          <w:szCs w:val="24"/>
        </w:rPr>
        <w:t xml:space="preserve">skākās izmaiņas vidējā termiņā </w:t>
      </w:r>
      <w:r w:rsidRPr="00A33442">
        <w:rPr>
          <w:rFonts w:ascii="Times New Roman" w:eastAsia="Times New Roman" w:hAnsi="Times New Roman" w:cs="Times New Roman"/>
          <w:sz w:val="24"/>
          <w:szCs w:val="24"/>
        </w:rPr>
        <w:t xml:space="preserve">noteica 2017.gada 27.jūlijā pieņemtie grozījumi </w:t>
      </w:r>
      <w:r w:rsidRPr="00A33442">
        <w:rPr>
          <w:rFonts w:ascii="Times New Roman" w:eastAsia="Times New Roman" w:hAnsi="Times New Roman" w:cs="Times New Roman"/>
          <w:color w:val="000000"/>
          <w:sz w:val="24"/>
          <w:szCs w:val="24"/>
        </w:rPr>
        <w:t>likumā „Par akcīzes nodokli”, kas paredz akcīzes nodokļa likmju naftas produktiem, ko izmanto par degvielu, paaugstināšanu ar 2018.gada un 2020.gada 1.janvāri (sk. 6.6.tabulu).</w:t>
      </w:r>
    </w:p>
    <w:p w:rsidR="00747DC7" w:rsidRPr="00A33442" w:rsidRDefault="00747DC7" w:rsidP="004301DE">
      <w:pPr>
        <w:keepNext/>
        <w:spacing w:before="120"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6.6.tabula. Akcīzes nodokļa likmes naftas produktiem</w:t>
      </w:r>
    </w:p>
    <w:tbl>
      <w:tblPr>
        <w:tblStyle w:val="GridTable6Colorful-Accent110"/>
        <w:tblW w:w="9311" w:type="dxa"/>
        <w:tblInd w:w="-147" w:type="dxa"/>
        <w:tblLook w:val="04A0" w:firstRow="1" w:lastRow="0" w:firstColumn="1" w:lastColumn="0" w:noHBand="0" w:noVBand="1"/>
      </w:tblPr>
      <w:tblGrid>
        <w:gridCol w:w="6703"/>
        <w:gridCol w:w="1359"/>
        <w:gridCol w:w="1249"/>
      </w:tblGrid>
      <w:tr w:rsidR="00747DC7" w:rsidRPr="00A33442" w:rsidTr="001509AF">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03" w:type="dxa"/>
            <w:noWrap/>
            <w:hideMark/>
          </w:tcPr>
          <w:p w:rsidR="00747DC7" w:rsidRPr="00A33442" w:rsidRDefault="00747DC7" w:rsidP="00E177E9">
            <w:pPr>
              <w:rPr>
                <w:rFonts w:ascii="Times New Roman" w:eastAsia="Times New Roman" w:hAnsi="Times New Roman" w:cs="Times New Roman"/>
                <w:bCs w:val="0"/>
                <w:color w:val="000000"/>
                <w:sz w:val="20"/>
                <w:szCs w:val="20"/>
                <w:lang w:eastAsia="lv-LV"/>
              </w:rPr>
            </w:pPr>
            <w:r w:rsidRPr="00A33442">
              <w:rPr>
                <w:rFonts w:ascii="Times New Roman" w:eastAsia="Times New Roman" w:hAnsi="Times New Roman" w:cs="Times New Roman"/>
                <w:color w:val="000000"/>
                <w:sz w:val="20"/>
                <w:szCs w:val="20"/>
                <w:lang w:eastAsia="lv-LV"/>
              </w:rPr>
              <w:t>Akcīzes nodokļa objekts</w:t>
            </w:r>
          </w:p>
        </w:tc>
        <w:tc>
          <w:tcPr>
            <w:tcW w:w="1359" w:type="dxa"/>
            <w:noWrap/>
            <w:vAlign w:val="center"/>
            <w:hideMark/>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v-LV"/>
              </w:rPr>
            </w:pPr>
            <w:r w:rsidRPr="00A33442">
              <w:rPr>
                <w:rFonts w:ascii="Times New Roman" w:eastAsia="Times New Roman" w:hAnsi="Times New Roman" w:cs="Times New Roman"/>
                <w:b w:val="0"/>
                <w:bCs w:val="0"/>
                <w:color w:val="000000"/>
                <w:sz w:val="20"/>
                <w:szCs w:val="20"/>
                <w:lang w:eastAsia="lv-LV"/>
              </w:rPr>
              <w:t>01.01.2018.</w:t>
            </w:r>
          </w:p>
        </w:tc>
        <w:tc>
          <w:tcPr>
            <w:tcW w:w="1249" w:type="dxa"/>
            <w:noWrap/>
            <w:vAlign w:val="center"/>
            <w:hideMark/>
          </w:tcPr>
          <w:p w:rsidR="00747DC7" w:rsidRPr="00A33442" w:rsidRDefault="00747DC7" w:rsidP="00E177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lv-LV"/>
              </w:rPr>
            </w:pPr>
            <w:r w:rsidRPr="00A33442">
              <w:rPr>
                <w:rFonts w:ascii="Times New Roman" w:eastAsia="Times New Roman" w:hAnsi="Times New Roman" w:cs="Times New Roman"/>
                <w:b w:val="0"/>
                <w:bCs w:val="0"/>
                <w:color w:val="000000"/>
                <w:sz w:val="20"/>
                <w:szCs w:val="20"/>
                <w:lang w:eastAsia="lv-LV"/>
              </w:rPr>
              <w:t>01.01.2020.</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03" w:type="dxa"/>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 xml:space="preserve">Svinu nesaturošs benzīns,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1 000 litriem</w:t>
            </w:r>
          </w:p>
        </w:tc>
        <w:tc>
          <w:tcPr>
            <w:tcW w:w="1359" w:type="dxa"/>
            <w:noWrap/>
            <w:vAlign w:val="bottom"/>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476,0</w:t>
            </w:r>
          </w:p>
        </w:tc>
        <w:tc>
          <w:tcPr>
            <w:tcW w:w="1249" w:type="dxa"/>
            <w:noWrap/>
            <w:vAlign w:val="bottom"/>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509,0</w:t>
            </w:r>
          </w:p>
        </w:tc>
      </w:tr>
      <w:tr w:rsidR="00747DC7" w:rsidRPr="00A33442" w:rsidTr="001509AF">
        <w:trPr>
          <w:trHeight w:val="325"/>
        </w:trPr>
        <w:tc>
          <w:tcPr>
            <w:cnfStyle w:val="001000000000" w:firstRow="0" w:lastRow="0" w:firstColumn="1" w:lastColumn="0" w:oddVBand="0" w:evenVBand="0" w:oddHBand="0" w:evenHBand="0" w:firstRowFirstColumn="0" w:firstRowLastColumn="0" w:lastRowFirstColumn="0" w:lastRowLastColumn="0"/>
            <w:tcW w:w="6703" w:type="dxa"/>
            <w:shd w:val="clear" w:color="auto" w:fill="auto"/>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 xml:space="preserve">Svinu saturošs benzīns,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1 000 litriem</w:t>
            </w:r>
          </w:p>
        </w:tc>
        <w:tc>
          <w:tcPr>
            <w:tcW w:w="1359" w:type="dxa"/>
            <w:shd w:val="clear" w:color="auto" w:fill="auto"/>
            <w:noWrap/>
            <w:vAlign w:val="bottom"/>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594,0</w:t>
            </w:r>
          </w:p>
        </w:tc>
        <w:tc>
          <w:tcPr>
            <w:tcW w:w="1249" w:type="dxa"/>
            <w:shd w:val="clear" w:color="auto" w:fill="auto"/>
            <w:noWrap/>
            <w:vAlign w:val="bottom"/>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594,0</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03" w:type="dxa"/>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Dīzeļdegviela, petroleja,</w:t>
            </w:r>
            <w:r w:rsidRPr="00A33442">
              <w:t xml:space="preserve"> </w:t>
            </w:r>
            <w:r w:rsidRPr="00A33442">
              <w:rPr>
                <w:rFonts w:ascii="Times New Roman" w:eastAsia="Times New Roman" w:hAnsi="Times New Roman" w:cs="Times New Roman"/>
                <w:b w:val="0"/>
                <w:color w:val="000000"/>
                <w:sz w:val="20"/>
                <w:szCs w:val="20"/>
                <w:lang w:eastAsia="lv-LV"/>
              </w:rPr>
              <w:t>degvieleļļa</w:t>
            </w:r>
            <w:r w:rsidRPr="00A33442">
              <w:rPr>
                <w:rFonts w:ascii="Times New Roman" w:eastAsia="Times New Roman" w:hAnsi="Times New Roman" w:cs="Times New Roman"/>
                <w:b w:val="0"/>
                <w:color w:val="000000"/>
                <w:sz w:val="18"/>
                <w:szCs w:val="20"/>
                <w:lang w:eastAsia="lv-LV"/>
              </w:rPr>
              <w:t>*</w:t>
            </w:r>
            <w:r w:rsidRPr="00A33442">
              <w:rPr>
                <w:rFonts w:ascii="Times New Roman" w:eastAsia="Times New Roman" w:hAnsi="Times New Roman" w:cs="Times New Roman"/>
                <w:b w:val="0"/>
                <w:color w:val="000000"/>
                <w:sz w:val="20"/>
                <w:szCs w:val="20"/>
                <w:lang w:eastAsia="lv-LV"/>
              </w:rPr>
              <w:t xml:space="preserve">,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1 000 litriem</w:t>
            </w:r>
          </w:p>
        </w:tc>
        <w:tc>
          <w:tcPr>
            <w:tcW w:w="1359" w:type="dxa"/>
            <w:noWrap/>
            <w:vAlign w:val="bottom"/>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372,0</w:t>
            </w:r>
          </w:p>
        </w:tc>
        <w:tc>
          <w:tcPr>
            <w:tcW w:w="1249" w:type="dxa"/>
            <w:noWrap/>
            <w:vAlign w:val="bottom"/>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414,0</w:t>
            </w:r>
          </w:p>
        </w:tc>
      </w:tr>
      <w:tr w:rsidR="00747DC7" w:rsidRPr="00A33442" w:rsidTr="001509AF">
        <w:trPr>
          <w:trHeight w:val="325"/>
        </w:trPr>
        <w:tc>
          <w:tcPr>
            <w:cnfStyle w:val="001000000000" w:firstRow="0" w:lastRow="0" w:firstColumn="1" w:lastColumn="0" w:oddVBand="0" w:evenVBand="0" w:oddHBand="0" w:evenHBand="0" w:firstRowFirstColumn="0" w:firstRowLastColumn="0" w:lastRowFirstColumn="0" w:lastRowLastColumn="0"/>
            <w:tcW w:w="6703" w:type="dxa"/>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Dīzeļdegviela, ko izmanto lauksaimniecībā</w:t>
            </w:r>
            <w:r w:rsidRPr="00A33442">
              <w:rPr>
                <w:rFonts w:ascii="Times New Roman" w:eastAsia="Times New Roman" w:hAnsi="Times New Roman" w:cs="Times New Roman"/>
                <w:b w:val="0"/>
                <w:color w:val="000000"/>
                <w:sz w:val="18"/>
                <w:szCs w:val="20"/>
                <w:lang w:eastAsia="lv-LV"/>
              </w:rPr>
              <w:t xml:space="preserve">**,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1 000 litriem</w:t>
            </w:r>
          </w:p>
        </w:tc>
        <w:tc>
          <w:tcPr>
            <w:tcW w:w="1359"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55,8</w:t>
            </w:r>
            <w:r w:rsidRPr="00A33442">
              <w:rPr>
                <w:rFonts w:ascii="Times New Roman" w:eastAsia="Times New Roman" w:hAnsi="Times New Roman" w:cs="Times New Roman"/>
                <w:color w:val="000000"/>
                <w:sz w:val="16"/>
                <w:szCs w:val="20"/>
                <w:lang w:eastAsia="lv-LV"/>
              </w:rPr>
              <w:t>***</w:t>
            </w:r>
          </w:p>
        </w:tc>
        <w:tc>
          <w:tcPr>
            <w:tcW w:w="1249" w:type="dxa"/>
            <w:noWrap/>
            <w:vAlign w:val="center"/>
            <w:hideMark/>
          </w:tcPr>
          <w:p w:rsidR="00747DC7" w:rsidRPr="00A33442" w:rsidRDefault="00747DC7" w:rsidP="00E177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62,1</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03" w:type="dxa"/>
            <w:hideMark/>
          </w:tcPr>
          <w:p w:rsidR="00747DC7" w:rsidRPr="00A33442" w:rsidRDefault="00747DC7" w:rsidP="00E177E9">
            <w:pPr>
              <w:ind w:left="313"/>
              <w:rPr>
                <w:rFonts w:ascii="Times New Roman" w:eastAsia="Times New Roman" w:hAnsi="Times New Roman" w:cs="Times New Roman"/>
                <w:b w:val="0"/>
                <w:color w:val="000000"/>
                <w:sz w:val="20"/>
                <w:szCs w:val="20"/>
                <w:lang w:eastAsia="lv-LV"/>
              </w:rPr>
            </w:pPr>
            <w:r w:rsidRPr="00A33442">
              <w:rPr>
                <w:rFonts w:ascii="Times New Roman" w:eastAsia="Times New Roman" w:hAnsi="Times New Roman" w:cs="Times New Roman"/>
                <w:b w:val="0"/>
                <w:color w:val="000000"/>
                <w:sz w:val="20"/>
                <w:szCs w:val="20"/>
                <w:lang w:eastAsia="lv-LV"/>
              </w:rPr>
              <w:t xml:space="preserve">Sašķidrinātās naftas gāzes, </w:t>
            </w:r>
            <w:r w:rsidRPr="00A33442">
              <w:rPr>
                <w:rFonts w:ascii="Times New Roman" w:eastAsia="Times New Roman" w:hAnsi="Times New Roman" w:cs="Times New Roman"/>
                <w:b w:val="0"/>
                <w:i/>
                <w:color w:val="000000"/>
                <w:sz w:val="20"/>
                <w:szCs w:val="20"/>
                <w:lang w:eastAsia="lv-LV"/>
              </w:rPr>
              <w:t>euro</w:t>
            </w:r>
            <w:r w:rsidRPr="00A33442">
              <w:rPr>
                <w:rFonts w:ascii="Times New Roman" w:eastAsia="Times New Roman" w:hAnsi="Times New Roman" w:cs="Times New Roman"/>
                <w:b w:val="0"/>
                <w:color w:val="000000"/>
                <w:sz w:val="20"/>
                <w:szCs w:val="20"/>
                <w:lang w:eastAsia="lv-LV"/>
              </w:rPr>
              <w:t xml:space="preserve"> par 1 000 kg</w:t>
            </w:r>
          </w:p>
        </w:tc>
        <w:tc>
          <w:tcPr>
            <w:tcW w:w="1359" w:type="dxa"/>
            <w:noWrap/>
            <w:vAlign w:val="bottom"/>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244,0</w:t>
            </w:r>
          </w:p>
        </w:tc>
        <w:tc>
          <w:tcPr>
            <w:tcW w:w="1249" w:type="dxa"/>
            <w:noWrap/>
            <w:vAlign w:val="bottom"/>
            <w:hideMark/>
          </w:tcPr>
          <w:p w:rsidR="00747DC7" w:rsidRPr="00A33442" w:rsidRDefault="00747DC7" w:rsidP="00E177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A33442">
              <w:rPr>
                <w:rFonts w:ascii="Times New Roman" w:eastAsia="Times New Roman" w:hAnsi="Times New Roman" w:cs="Times New Roman"/>
                <w:color w:val="000000"/>
                <w:sz w:val="20"/>
                <w:szCs w:val="20"/>
                <w:lang w:eastAsia="lv-LV"/>
              </w:rPr>
              <w:t>285,0</w:t>
            </w:r>
          </w:p>
        </w:tc>
      </w:tr>
    </w:tbl>
    <w:p w:rsidR="00747DC7" w:rsidRPr="00736241" w:rsidRDefault="00747DC7" w:rsidP="00747DC7">
      <w:pPr>
        <w:spacing w:after="0" w:line="240" w:lineRule="auto"/>
        <w:jc w:val="both"/>
        <w:rPr>
          <w:rFonts w:ascii="Times New Roman" w:eastAsia="Times New Roman" w:hAnsi="Times New Roman" w:cs="Times New Roman"/>
          <w:sz w:val="18"/>
          <w:szCs w:val="18"/>
        </w:rPr>
      </w:pPr>
      <w:r w:rsidRPr="00736241">
        <w:rPr>
          <w:rFonts w:ascii="Times New Roman" w:hAnsi="Times New Roman" w:cs="Times New Roman"/>
          <w:i/>
          <w:sz w:val="18"/>
          <w:szCs w:val="18"/>
        </w:rPr>
        <w:t>*</w:t>
      </w:r>
      <w:r w:rsidRPr="00736241">
        <w:rPr>
          <w:rFonts w:ascii="Times New Roman" w:hAnsi="Times New Roman" w:cs="Times New Roman"/>
          <w:sz w:val="18"/>
          <w:szCs w:val="18"/>
        </w:rPr>
        <w:t xml:space="preserve"> </w:t>
      </w:r>
      <w:r w:rsidRPr="00736241">
        <w:rPr>
          <w:rFonts w:ascii="Times New Roman" w:hAnsi="Times New Roman" w:cs="Times New Roman"/>
          <w:i/>
          <w:sz w:val="18"/>
          <w:szCs w:val="18"/>
        </w:rPr>
        <w:t>degvieleļļai, kuras kolorimetriskais indekss ir mazāks par 2,0 un kinemātiskā viskozitāte 50°C ir mazāka par 25 mm2/s, to aizstājējproduktiem un komponentiem</w:t>
      </w:r>
    </w:p>
    <w:p w:rsidR="00747DC7" w:rsidRPr="00736241" w:rsidRDefault="00747DC7" w:rsidP="00747DC7">
      <w:pPr>
        <w:spacing w:after="0" w:line="240" w:lineRule="auto"/>
        <w:rPr>
          <w:rFonts w:ascii="Times New Roman" w:hAnsi="Times New Roman" w:cs="Times New Roman"/>
          <w:i/>
          <w:color w:val="000000" w:themeColor="text1"/>
          <w:sz w:val="18"/>
          <w:szCs w:val="18"/>
        </w:rPr>
      </w:pPr>
      <w:r w:rsidRPr="00736241">
        <w:rPr>
          <w:rFonts w:ascii="Times New Roman" w:hAnsi="Times New Roman" w:cs="Times New Roman"/>
          <w:i/>
          <w:sz w:val="18"/>
          <w:szCs w:val="18"/>
        </w:rPr>
        <w:t>**</w:t>
      </w:r>
      <w:r w:rsidRPr="00736241">
        <w:rPr>
          <w:rFonts w:ascii="Times New Roman" w:hAnsi="Times New Roman" w:cs="Times New Roman"/>
          <w:i/>
          <w:color w:val="000000" w:themeColor="text1"/>
          <w:sz w:val="18"/>
          <w:szCs w:val="18"/>
        </w:rPr>
        <w:t>iezīmētā (marķētā) dīzeļdegviela (gāzeļļa), ko izmanto lauksaimniecības produkcijas ražošanai, lauksaimniecības zemes apstrādei un meža vai purva zemes apstrādei, kurā kultivē dzērvenes vai mellenes, kā arī zemes apstrādei zem zivju dīķiem</w:t>
      </w:r>
    </w:p>
    <w:p w:rsidR="00747DC7" w:rsidRPr="00736241" w:rsidRDefault="00747DC7" w:rsidP="00747DC7">
      <w:pPr>
        <w:spacing w:after="0" w:line="240" w:lineRule="auto"/>
        <w:jc w:val="both"/>
        <w:rPr>
          <w:rFonts w:ascii="Times New Roman" w:hAnsi="Times New Roman" w:cs="Times New Roman"/>
          <w:i/>
          <w:color w:val="000000" w:themeColor="text1"/>
          <w:sz w:val="18"/>
          <w:szCs w:val="18"/>
        </w:rPr>
      </w:pPr>
      <w:r w:rsidRPr="00736241">
        <w:rPr>
          <w:rFonts w:ascii="Times New Roman" w:hAnsi="Times New Roman" w:cs="Times New Roman"/>
          <w:i/>
          <w:color w:val="000000" w:themeColor="text1"/>
          <w:sz w:val="18"/>
          <w:szCs w:val="18"/>
        </w:rPr>
        <w:t>*** likme spēkā ar 2018.gada 1.jūliju. Līdz 2018.gada 30.jūnijam likme 50,0</w:t>
      </w:r>
      <w:r w:rsidR="001D6D6D">
        <w:rPr>
          <w:rFonts w:ascii="Times New Roman" w:hAnsi="Times New Roman" w:cs="Times New Roman"/>
          <w:i/>
          <w:color w:val="000000" w:themeColor="text1"/>
          <w:sz w:val="18"/>
          <w:szCs w:val="18"/>
        </w:rPr>
        <w:t xml:space="preserve"> </w:t>
      </w:r>
      <w:r w:rsidRPr="00736241">
        <w:rPr>
          <w:rFonts w:ascii="Times New Roman" w:hAnsi="Times New Roman" w:cs="Times New Roman"/>
          <w:i/>
          <w:color w:val="000000" w:themeColor="text1"/>
          <w:sz w:val="18"/>
          <w:szCs w:val="18"/>
        </w:rPr>
        <w:t>euro par 1 000 litriem.</w:t>
      </w:r>
    </w:p>
    <w:p w:rsidR="00747DC7" w:rsidRPr="00A33442" w:rsidRDefault="00747DC7" w:rsidP="00FB6C85">
      <w:pPr>
        <w:keepNext/>
        <w:spacing w:before="160"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 xml:space="preserve">6.7.tabula. Nodokļu politikas izmaiņu ietekme uz akcīzes nodokļa ieņēmumiem, </w:t>
      </w:r>
      <w:r w:rsidR="00E177E9">
        <w:rPr>
          <w:rFonts w:ascii="Times New Roman" w:eastAsia="Times New Roman" w:hAnsi="Times New Roman" w:cs="Times New Roman"/>
          <w:b/>
          <w:sz w:val="24"/>
          <w:szCs w:val="20"/>
        </w:rPr>
        <w:br/>
      </w:r>
      <w:r w:rsidRPr="00A33442">
        <w:rPr>
          <w:rFonts w:ascii="Times New Roman" w:eastAsia="Times New Roman" w:hAnsi="Times New Roman" w:cs="Times New Roman"/>
          <w:b/>
          <w:sz w:val="24"/>
          <w:szCs w:val="20"/>
        </w:rPr>
        <w:t>milj.</w:t>
      </w:r>
      <w:r w:rsidR="00E177E9">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0"/>
        </w:rPr>
        <w:t>euro</w:t>
      </w:r>
    </w:p>
    <w:tbl>
      <w:tblPr>
        <w:tblStyle w:val="GridTable6Colorful-Accent110"/>
        <w:tblW w:w="9209" w:type="dxa"/>
        <w:jc w:val="center"/>
        <w:tblLayout w:type="fixed"/>
        <w:tblLook w:val="04A0" w:firstRow="1" w:lastRow="0" w:firstColumn="1" w:lastColumn="0" w:noHBand="0" w:noVBand="1"/>
      </w:tblPr>
      <w:tblGrid>
        <w:gridCol w:w="6374"/>
        <w:gridCol w:w="992"/>
        <w:gridCol w:w="992"/>
        <w:gridCol w:w="851"/>
      </w:tblGrid>
      <w:tr w:rsidR="00747DC7" w:rsidRPr="00A33442" w:rsidTr="007362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4" w:type="dxa"/>
          </w:tcPr>
          <w:p w:rsidR="00747DC7" w:rsidRPr="00A33442" w:rsidRDefault="00747DC7" w:rsidP="001509AF">
            <w:pPr>
              <w:rPr>
                <w:rFonts w:ascii="Times New Roman" w:eastAsia="Times New Roman" w:hAnsi="Times New Roman" w:cs="Times New Roman"/>
                <w:color w:val="auto"/>
                <w:sz w:val="20"/>
                <w:szCs w:val="20"/>
              </w:rPr>
            </w:pPr>
          </w:p>
        </w:tc>
        <w:tc>
          <w:tcPr>
            <w:tcW w:w="992" w:type="dxa"/>
            <w:vAlign w:val="center"/>
          </w:tcPr>
          <w:p w:rsidR="00747DC7" w:rsidRPr="00A33442" w:rsidRDefault="00747DC7" w:rsidP="00E177E9">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2018</w:t>
            </w:r>
          </w:p>
        </w:tc>
        <w:tc>
          <w:tcPr>
            <w:tcW w:w="992" w:type="dxa"/>
            <w:vAlign w:val="center"/>
          </w:tcPr>
          <w:p w:rsidR="00747DC7" w:rsidRPr="00A33442" w:rsidRDefault="00747DC7" w:rsidP="00E177E9">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2019</w:t>
            </w:r>
          </w:p>
        </w:tc>
        <w:tc>
          <w:tcPr>
            <w:tcW w:w="851" w:type="dxa"/>
            <w:vAlign w:val="center"/>
          </w:tcPr>
          <w:p w:rsidR="00747DC7" w:rsidRPr="00A33442" w:rsidRDefault="00747DC7" w:rsidP="00E177E9">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2020</w:t>
            </w:r>
          </w:p>
        </w:tc>
      </w:tr>
      <w:tr w:rsidR="00747DC7" w:rsidRPr="00A33442" w:rsidTr="007362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4"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Akcīzes nodokļa likmju paaugstināšana cigaretēm, cigāriem, cigarillām un smēķējamai tabakai</w:t>
            </w:r>
          </w:p>
        </w:tc>
        <w:tc>
          <w:tcPr>
            <w:tcW w:w="992"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+10,2</w:t>
            </w:r>
          </w:p>
        </w:tc>
        <w:tc>
          <w:tcPr>
            <w:tcW w:w="992"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+10,2</w:t>
            </w:r>
          </w:p>
        </w:tc>
        <w:tc>
          <w:tcPr>
            <w:tcW w:w="851"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+4,8</w:t>
            </w:r>
          </w:p>
        </w:tc>
      </w:tr>
      <w:tr w:rsidR="00747DC7" w:rsidRPr="00A33442" w:rsidTr="00736241">
        <w:trPr>
          <w:jc w:val="center"/>
        </w:trPr>
        <w:tc>
          <w:tcPr>
            <w:cnfStyle w:val="001000000000" w:firstRow="0" w:lastRow="0" w:firstColumn="1" w:lastColumn="0" w:oddVBand="0" w:evenVBand="0" w:oddHBand="0" w:evenHBand="0" w:firstRowFirstColumn="0" w:firstRowLastColumn="0" w:lastRowFirstColumn="0" w:lastRowLastColumn="0"/>
            <w:tcW w:w="6374"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Akcīzes nodokļa paaugstināšana alkoholiskajiem dzērieniem un alum</w:t>
            </w:r>
          </w:p>
        </w:tc>
        <w:tc>
          <w:tcPr>
            <w:tcW w:w="992"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+26,9</w:t>
            </w:r>
          </w:p>
        </w:tc>
        <w:tc>
          <w:tcPr>
            <w:tcW w:w="992"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+9,2</w:t>
            </w:r>
          </w:p>
        </w:tc>
        <w:tc>
          <w:tcPr>
            <w:tcW w:w="851"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A33442">
              <w:rPr>
                <w:rFonts w:ascii="Times New Roman" w:eastAsia="Times New Roman" w:hAnsi="Times New Roman" w:cs="Times New Roman"/>
                <w:color w:val="000000" w:themeColor="text1"/>
                <w:sz w:val="20"/>
                <w:szCs w:val="20"/>
              </w:rPr>
              <w:t>+14,3</w:t>
            </w:r>
          </w:p>
        </w:tc>
      </w:tr>
      <w:tr w:rsidR="00747DC7" w:rsidRPr="00A33442" w:rsidTr="007362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4"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Administrējot degvielas ar samazināto akcīzes nodokļa likmi piešķiršanu </w:t>
            </w:r>
            <w:r w:rsidRPr="00A33442">
              <w:rPr>
                <w:rFonts w:ascii="Times New Roman" w:eastAsia="Times New Roman" w:hAnsi="Times New Roman" w:cs="Times New Roman"/>
                <w:b w:val="0"/>
                <w:color w:val="auto"/>
                <w:sz w:val="20"/>
                <w:szCs w:val="20"/>
              </w:rPr>
              <w:lastRenderedPageBreak/>
              <w:t>2017./2018.saimnieciskajam gadam un turpmākajiem gadiem, ieņēmumos neiekļauj par iepriekšējo gadu ES atbalsta pasākumos "Bioloģiskā lauksaimniecība" un "Agrovide un klimats" saņemtās maksājumu summas</w:t>
            </w:r>
          </w:p>
        </w:tc>
        <w:tc>
          <w:tcPr>
            <w:tcW w:w="992"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lastRenderedPageBreak/>
              <w:t>+0,9</w:t>
            </w:r>
          </w:p>
        </w:tc>
        <w:tc>
          <w:tcPr>
            <w:tcW w:w="992"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jc w:val="center"/>
        </w:trPr>
        <w:tc>
          <w:tcPr>
            <w:cnfStyle w:val="001000000000" w:firstRow="0" w:lastRow="0" w:firstColumn="1" w:lastColumn="0" w:oddVBand="0" w:evenVBand="0" w:oddHBand="0" w:evenHBand="0" w:firstRowFirstColumn="0" w:firstRowLastColumn="0" w:lastRowFirstColumn="0" w:lastRowLastColumn="0"/>
            <w:tcW w:w="6374"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Ar 2017./2018.saimniecisko gadu atceltas tiesības iegādāties dīzeļdegvielu ar samazināto akcīzes nodokļa likmi par zemes platībām, kurās audzē kukurūzu biogāzes ieguvei</w:t>
            </w:r>
          </w:p>
        </w:tc>
        <w:tc>
          <w:tcPr>
            <w:tcW w:w="992"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+0,1</w:t>
            </w:r>
          </w:p>
        </w:tc>
        <w:tc>
          <w:tcPr>
            <w:tcW w:w="992"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4"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Akcīzes nodokļa likmju paaugstināšana naftas produktiem, ko izmanto par degvielu</w:t>
            </w:r>
          </w:p>
        </w:tc>
        <w:tc>
          <w:tcPr>
            <w:tcW w:w="992"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+26,6</w:t>
            </w:r>
          </w:p>
        </w:tc>
        <w:tc>
          <w:tcPr>
            <w:tcW w:w="992"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1" w:type="dxa"/>
            <w:vAlign w:val="center"/>
          </w:tcPr>
          <w:p w:rsidR="00747DC7" w:rsidRPr="00A33442" w:rsidRDefault="00747DC7" w:rsidP="00E177E9">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+14,3</w:t>
            </w:r>
          </w:p>
        </w:tc>
      </w:tr>
      <w:tr w:rsidR="00747DC7" w:rsidRPr="00A33442" w:rsidTr="00736241">
        <w:trPr>
          <w:jc w:val="center"/>
        </w:trPr>
        <w:tc>
          <w:tcPr>
            <w:cnfStyle w:val="001000000000" w:firstRow="0" w:lastRow="0" w:firstColumn="1" w:lastColumn="0" w:oddVBand="0" w:evenVBand="0" w:oddHBand="0" w:evenHBand="0" w:firstRowFirstColumn="0" w:firstRowLastColumn="0" w:lastRowFirstColumn="0" w:lastRowLastColumn="0"/>
            <w:tcW w:w="6374" w:type="dxa"/>
          </w:tcPr>
          <w:p w:rsidR="00747DC7" w:rsidRPr="00A33442" w:rsidRDefault="00747DC7" w:rsidP="001509AF">
            <w:pPr>
              <w:jc w:val="right"/>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Izmaiņu ietekme kopā:</w:t>
            </w:r>
          </w:p>
        </w:tc>
        <w:tc>
          <w:tcPr>
            <w:tcW w:w="992"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+64,6</w:t>
            </w:r>
          </w:p>
        </w:tc>
        <w:tc>
          <w:tcPr>
            <w:tcW w:w="992"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+19,4</w:t>
            </w:r>
          </w:p>
        </w:tc>
        <w:tc>
          <w:tcPr>
            <w:tcW w:w="851" w:type="dxa"/>
            <w:vAlign w:val="center"/>
          </w:tcPr>
          <w:p w:rsidR="00747DC7" w:rsidRPr="00A33442" w:rsidRDefault="00747DC7" w:rsidP="00E177E9">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+33,4</w:t>
            </w:r>
          </w:p>
        </w:tc>
      </w:tr>
    </w:tbl>
    <w:p w:rsidR="00747DC7" w:rsidRPr="00A33442" w:rsidRDefault="00747DC7" w:rsidP="00FB6C85">
      <w:pPr>
        <w:spacing w:before="240" w:after="120" w:line="240" w:lineRule="auto"/>
        <w:ind w:left="567" w:firstLine="153"/>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Nekustamā īpašuma nodoklis</w:t>
      </w:r>
    </w:p>
    <w:p w:rsidR="00747DC7" w:rsidRPr="00A33442" w:rsidRDefault="00747DC7" w:rsidP="001C4ED3">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No 2012.gada pašvaldībām ir tiesības ar saistošiem noteikumiem noteikt nodokļa likmi no 0,2% līdz 3,0% no nekustamā īpašuma kadastrālās vērtības. Nodokļa likme var pārsniegt 1,5% robežu tikai gadījumos, ja nekustamais īpašums netiek apsaimniekots atbilstoši normatīvajos aktos noteiktajai kārtībai. Pašvaldības arī ir tiesīgas turpināt piemērot nodokļa apmēra pieauguma ierobežojumu zemei vai saglabāt nodokļa apmēru zemei iepriekšējā taksācijas gada līmenī, kā arī noteikt ierobežojuma apmēru un piemērošanas nosacījumus.</w:t>
      </w:r>
    </w:p>
    <w:p w:rsidR="00747DC7" w:rsidRPr="00A33442" w:rsidRDefault="00747DC7" w:rsidP="001C4ED3">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Nekustamā īpašuma nodokļa ieņēmumus 2018.gadā ietekmēs vienīgi atsevišķu nekustamā īpašuma kadastrālo vērtību pārskatīšana.</w:t>
      </w:r>
    </w:p>
    <w:p w:rsidR="00747DC7" w:rsidRPr="00A33442" w:rsidRDefault="00747DC7" w:rsidP="00FB6C85">
      <w:pPr>
        <w:keepNext/>
        <w:spacing w:before="120"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6.8.tabula. Nodokļu politikas izmaiņu ietekme uz nekustamā īp</w:t>
      </w:r>
      <w:r w:rsidR="00E177E9">
        <w:rPr>
          <w:rFonts w:ascii="Times New Roman" w:eastAsia="Times New Roman" w:hAnsi="Times New Roman" w:cs="Times New Roman"/>
          <w:b/>
          <w:sz w:val="24"/>
          <w:szCs w:val="20"/>
        </w:rPr>
        <w:t xml:space="preserve">ašuma nodokļa ieņēmumiem, milj. </w:t>
      </w:r>
      <w:r w:rsidRPr="00A33442">
        <w:rPr>
          <w:rFonts w:ascii="Times New Roman" w:eastAsia="Times New Roman" w:hAnsi="Times New Roman" w:cs="Times New Roman"/>
          <w:b/>
          <w:i/>
          <w:sz w:val="24"/>
          <w:szCs w:val="24"/>
        </w:rPr>
        <w:t>euro</w:t>
      </w:r>
    </w:p>
    <w:tbl>
      <w:tblPr>
        <w:tblStyle w:val="GridTable6Colorful-Accent110"/>
        <w:tblW w:w="6313" w:type="dxa"/>
        <w:jc w:val="center"/>
        <w:tblLayout w:type="fixed"/>
        <w:tblLook w:val="04A0" w:firstRow="1" w:lastRow="0" w:firstColumn="1" w:lastColumn="0" w:noHBand="0" w:noVBand="1"/>
      </w:tblPr>
      <w:tblGrid>
        <w:gridCol w:w="5339"/>
        <w:gridCol w:w="974"/>
      </w:tblGrid>
      <w:tr w:rsidR="00747DC7" w:rsidRPr="00A33442" w:rsidTr="00150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1509AF">
            <w:pPr>
              <w:jc w:val="right"/>
              <w:rPr>
                <w:rFonts w:ascii="Times New Roman" w:eastAsia="Times New Roman" w:hAnsi="Times New Roman" w:cs="Times New Roman"/>
                <w:color w:val="auto"/>
                <w:sz w:val="20"/>
              </w:rPr>
            </w:pPr>
          </w:p>
        </w:tc>
        <w:tc>
          <w:tcPr>
            <w:tcW w:w="974" w:type="dxa"/>
          </w:tcPr>
          <w:p w:rsidR="00747DC7" w:rsidRPr="00A33442" w:rsidRDefault="00747DC7" w:rsidP="001509AF">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2018</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1509AF">
            <w:pPr>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Atsevišķu nekustamā īpašuma kadastrālo vērtību pārskatīšana</w:t>
            </w:r>
          </w:p>
        </w:tc>
        <w:tc>
          <w:tcPr>
            <w:tcW w:w="974" w:type="dxa"/>
            <w:vAlign w:val="center"/>
          </w:tcPr>
          <w:p w:rsidR="00747DC7" w:rsidRPr="00A33442" w:rsidRDefault="00747DC7" w:rsidP="001509A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rPr>
            </w:pPr>
            <w:r w:rsidRPr="00A33442">
              <w:rPr>
                <w:rFonts w:ascii="Times New Roman" w:eastAsia="Times New Roman" w:hAnsi="Times New Roman" w:cs="Times New Roman"/>
                <w:bCs/>
                <w:color w:val="auto"/>
                <w:sz w:val="20"/>
              </w:rPr>
              <w:t>+7,0</w:t>
            </w:r>
          </w:p>
        </w:tc>
      </w:tr>
      <w:tr w:rsidR="00747DC7" w:rsidRPr="00A33442" w:rsidTr="001509AF">
        <w:trPr>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1509AF">
            <w:pPr>
              <w:jc w:val="both"/>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Izmaiņu ietekme kopā:</w:t>
            </w:r>
          </w:p>
        </w:tc>
        <w:tc>
          <w:tcPr>
            <w:tcW w:w="974" w:type="dxa"/>
            <w:vAlign w:val="center"/>
          </w:tcPr>
          <w:p w:rsidR="00747DC7" w:rsidRPr="00A33442" w:rsidRDefault="00747DC7" w:rsidP="001509A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rPr>
            </w:pPr>
            <w:r w:rsidRPr="00A33442">
              <w:rPr>
                <w:rFonts w:ascii="Times New Roman" w:eastAsia="Times New Roman" w:hAnsi="Times New Roman" w:cs="Times New Roman"/>
                <w:b/>
                <w:bCs/>
                <w:color w:val="auto"/>
                <w:sz w:val="20"/>
              </w:rPr>
              <w:t>+7,0</w:t>
            </w:r>
          </w:p>
        </w:tc>
      </w:tr>
    </w:tbl>
    <w:p w:rsidR="00747DC7" w:rsidRPr="00A33442" w:rsidRDefault="00747DC7" w:rsidP="00FB6C85">
      <w:pPr>
        <w:spacing w:before="240" w:after="120" w:line="240" w:lineRule="auto"/>
        <w:ind w:left="567" w:firstLine="153"/>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Iedzīvotāju ienākuma nodoklis</w:t>
      </w:r>
    </w:p>
    <w:p w:rsidR="00747DC7" w:rsidRPr="00A33442" w:rsidRDefault="00747DC7" w:rsidP="00BD7D5E">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 xml:space="preserve">IIN ieņēmumus galvenokārt ietekmē tautsaimniecībā nodarbināto skaits, nodarbināto ienākumi, ar IIN neapliekamā minimuma un atvieglojumu apmērs, minimālā darba alga, kā arī ieviestās likumdošanas izmaiņas. </w:t>
      </w:r>
    </w:p>
    <w:p w:rsidR="00747DC7" w:rsidRPr="00A33442" w:rsidRDefault="00747DC7" w:rsidP="00747DC7">
      <w:pPr>
        <w:spacing w:after="0" w:line="240" w:lineRule="auto"/>
        <w:ind w:firstLine="709"/>
        <w:jc w:val="both"/>
        <w:rPr>
          <w:rFonts w:ascii="Times New Roman" w:eastAsia="Times New Roman" w:hAnsi="Times New Roman" w:cs="Times New Roman"/>
          <w:sz w:val="24"/>
          <w:szCs w:val="24"/>
        </w:rPr>
      </w:pPr>
      <w:r w:rsidRPr="00A33442">
        <w:rPr>
          <w:rFonts w:ascii="Times New Roman" w:eastAsia="Times New Roman" w:hAnsi="Times New Roman" w:cs="Times New Roman"/>
          <w:iCs/>
          <w:sz w:val="24"/>
          <w:szCs w:val="20"/>
        </w:rPr>
        <w:t xml:space="preserve">Būtiskākās izmaiņas, kas ietekmēs IIN ieņēmumus 2018.gadā un turpmāk, saistāmas </w:t>
      </w:r>
      <w:r w:rsidRPr="00A33442">
        <w:rPr>
          <w:rFonts w:ascii="Times New Roman" w:eastAsia="Times New Roman" w:hAnsi="Times New Roman" w:cs="Times New Roman"/>
          <w:sz w:val="24"/>
          <w:szCs w:val="24"/>
        </w:rPr>
        <w:t xml:space="preserve">ar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w:t>
      </w:r>
      <w:r w:rsidRPr="00A33442">
        <w:rPr>
          <w:rFonts w:ascii="Times New Roman" w:eastAsia="Times New Roman" w:hAnsi="Times New Roman" w:cs="Times New Roman"/>
          <w:noProof/>
          <w:sz w:val="24"/>
          <w:szCs w:val="24"/>
          <w:lang w:eastAsia="lv-LV"/>
        </w:rPr>
        <w:t>pasākumiem</w:t>
      </w:r>
      <w:r w:rsidRPr="00A33442">
        <w:rPr>
          <w:rFonts w:ascii="Times New Roman" w:eastAsia="Times New Roman" w:hAnsi="Times New Roman" w:cs="Times New Roman"/>
          <w:sz w:val="24"/>
          <w:szCs w:val="24"/>
        </w:rPr>
        <w:t>:</w:t>
      </w:r>
    </w:p>
    <w:p w:rsidR="00747DC7" w:rsidRPr="00A33442" w:rsidRDefault="00747DC7" w:rsidP="00747DC7">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color w:val="000000"/>
          <w:sz w:val="24"/>
          <w:szCs w:val="24"/>
          <w:lang w:eastAsia="lv-LV"/>
        </w:rPr>
        <w:t xml:space="preserve">IIN progresīvās likmes ieviešana </w:t>
      </w:r>
      <w:r w:rsidRPr="00A33442">
        <w:rPr>
          <w:rFonts w:ascii="Times New Roman" w:eastAsia="Calibri" w:hAnsi="Times New Roman" w:cs="Times New Roman"/>
          <w:color w:val="000000"/>
          <w:sz w:val="24"/>
          <w:szCs w:val="24"/>
          <w:lang w:eastAsia="lv-LV"/>
        </w:rPr>
        <w:t>20% gada ienākumiem</w:t>
      </w:r>
      <w:r w:rsidR="00BD7D5E">
        <w:rPr>
          <w:rFonts w:ascii="Times New Roman" w:eastAsia="Calibri" w:hAnsi="Times New Roman" w:cs="Times New Roman"/>
          <w:color w:val="000000"/>
          <w:sz w:val="24"/>
          <w:szCs w:val="24"/>
          <w:lang w:eastAsia="lv-LV"/>
        </w:rPr>
        <w:t xml:space="preserve"> </w:t>
      </w:r>
      <w:r w:rsidRPr="00A33442">
        <w:rPr>
          <w:rFonts w:ascii="Times New Roman" w:eastAsia="Calibri" w:hAnsi="Times New Roman" w:cs="Times New Roman"/>
          <w:color w:val="000000"/>
          <w:sz w:val="24"/>
          <w:szCs w:val="24"/>
          <w:lang w:eastAsia="lv-LV"/>
        </w:rPr>
        <w:t>līdz 20</w:t>
      </w:r>
      <w:r w:rsidR="00BD7D5E">
        <w:rPr>
          <w:rFonts w:ascii="Times New Roman" w:hAnsi="Times New Roman" w:cs="Times New Roman"/>
          <w:sz w:val="20"/>
          <w:szCs w:val="20"/>
        </w:rPr>
        <w:t> </w:t>
      </w:r>
      <w:r w:rsidRPr="00A33442">
        <w:rPr>
          <w:rFonts w:ascii="Times New Roman" w:eastAsia="Calibri" w:hAnsi="Times New Roman" w:cs="Times New Roman"/>
          <w:color w:val="000000"/>
          <w:sz w:val="24"/>
          <w:szCs w:val="24"/>
          <w:lang w:eastAsia="lv-LV"/>
        </w:rPr>
        <w:t xml:space="preserve">004 </w:t>
      </w:r>
      <w:r w:rsidRPr="00A33442">
        <w:rPr>
          <w:rFonts w:ascii="Times New Roman" w:eastAsia="Calibri" w:hAnsi="Times New Roman" w:cs="Times New Roman"/>
          <w:i/>
          <w:color w:val="000000"/>
          <w:sz w:val="24"/>
          <w:szCs w:val="24"/>
          <w:lang w:eastAsia="lv-LV"/>
        </w:rPr>
        <w:t>euro</w:t>
      </w:r>
      <w:r w:rsidRPr="00A33442">
        <w:rPr>
          <w:rFonts w:ascii="Times New Roman" w:eastAsia="Calibri" w:hAnsi="Times New Roman" w:cs="Times New Roman"/>
          <w:color w:val="000000"/>
          <w:sz w:val="24"/>
          <w:szCs w:val="24"/>
          <w:lang w:eastAsia="lv-LV"/>
        </w:rPr>
        <w:t xml:space="preserve">; 23% gada ienākumiem, kas pārsniedz 20 004 </w:t>
      </w:r>
      <w:r w:rsidRPr="00A33442">
        <w:rPr>
          <w:rFonts w:ascii="Times New Roman" w:eastAsia="Calibri" w:hAnsi="Times New Roman" w:cs="Times New Roman"/>
          <w:i/>
          <w:color w:val="000000"/>
          <w:sz w:val="24"/>
          <w:szCs w:val="24"/>
          <w:lang w:eastAsia="lv-LV"/>
        </w:rPr>
        <w:t>euro</w:t>
      </w:r>
      <w:r w:rsidRPr="00A33442">
        <w:rPr>
          <w:rFonts w:ascii="Times New Roman" w:eastAsia="Calibri" w:hAnsi="Times New Roman" w:cs="Times New Roman"/>
          <w:color w:val="000000"/>
          <w:sz w:val="24"/>
          <w:szCs w:val="24"/>
          <w:lang w:eastAsia="lv-LV"/>
        </w:rPr>
        <w:t>, bet nepārsniedz 55</w:t>
      </w:r>
      <w:r w:rsidR="00BD7D5E">
        <w:rPr>
          <w:rFonts w:ascii="Times New Roman" w:eastAsia="Calibri" w:hAnsi="Times New Roman" w:cs="Times New Roman"/>
          <w:color w:val="000000"/>
          <w:sz w:val="24"/>
          <w:szCs w:val="24"/>
          <w:lang w:eastAsia="lv-LV"/>
        </w:rPr>
        <w:t> </w:t>
      </w:r>
      <w:r w:rsidRPr="00A33442">
        <w:rPr>
          <w:rFonts w:ascii="Times New Roman" w:eastAsia="Calibri" w:hAnsi="Times New Roman" w:cs="Times New Roman"/>
          <w:color w:val="000000"/>
          <w:sz w:val="24"/>
          <w:szCs w:val="24"/>
          <w:lang w:eastAsia="lv-LV"/>
        </w:rPr>
        <w:t>000</w:t>
      </w:r>
      <w:r w:rsidR="00BD7D5E">
        <w:rPr>
          <w:rFonts w:ascii="Times New Roman" w:eastAsia="Calibri" w:hAnsi="Times New Roman" w:cs="Times New Roman"/>
          <w:color w:val="000000"/>
          <w:sz w:val="24"/>
          <w:szCs w:val="24"/>
          <w:lang w:eastAsia="lv-LV"/>
        </w:rPr>
        <w:t xml:space="preserve"> </w:t>
      </w:r>
      <w:r w:rsidRPr="00A33442">
        <w:rPr>
          <w:rFonts w:ascii="Times New Roman" w:eastAsia="Calibri" w:hAnsi="Times New Roman" w:cs="Times New Roman"/>
          <w:i/>
          <w:color w:val="000000"/>
          <w:sz w:val="24"/>
          <w:szCs w:val="24"/>
          <w:lang w:eastAsia="lv-LV"/>
        </w:rPr>
        <w:t>euro</w:t>
      </w:r>
      <w:r w:rsidR="00BD7D5E">
        <w:rPr>
          <w:rFonts w:ascii="Times New Roman" w:eastAsia="Calibri" w:hAnsi="Times New Roman" w:cs="Times New Roman"/>
          <w:color w:val="000000"/>
          <w:sz w:val="24"/>
          <w:szCs w:val="24"/>
          <w:lang w:eastAsia="lv-LV"/>
        </w:rPr>
        <w:t xml:space="preserve">; 31,4% </w:t>
      </w:r>
      <w:r w:rsidRPr="00A33442">
        <w:rPr>
          <w:rFonts w:ascii="Times New Roman" w:eastAsia="Calibri" w:hAnsi="Times New Roman" w:cs="Times New Roman"/>
          <w:color w:val="000000"/>
          <w:sz w:val="24"/>
          <w:szCs w:val="24"/>
          <w:lang w:eastAsia="lv-LV"/>
        </w:rPr>
        <w:t xml:space="preserve">gada ienākumiem virs 55 000 </w:t>
      </w:r>
      <w:r w:rsidRPr="00A33442">
        <w:rPr>
          <w:rFonts w:ascii="Times New Roman" w:eastAsia="Calibri" w:hAnsi="Times New Roman" w:cs="Times New Roman"/>
          <w:i/>
          <w:color w:val="000000"/>
          <w:sz w:val="24"/>
          <w:szCs w:val="24"/>
          <w:lang w:eastAsia="lv-LV"/>
        </w:rPr>
        <w:t>euro</w:t>
      </w:r>
      <w:r w:rsidRPr="00A33442">
        <w:rPr>
          <w:rFonts w:ascii="Times New Roman" w:eastAsia="Calibri" w:hAnsi="Times New Roman" w:cs="Times New Roman"/>
          <w:i/>
          <w:color w:val="000000"/>
          <w:sz w:val="28"/>
          <w:szCs w:val="24"/>
          <w:lang w:eastAsia="lv-LV"/>
        </w:rPr>
        <w:t xml:space="preserve"> </w:t>
      </w:r>
      <w:r w:rsidRPr="00A33442">
        <w:rPr>
          <w:rFonts w:ascii="Times New Roman" w:eastAsia="Calibri" w:hAnsi="Times New Roman" w:cs="Times New Roman"/>
          <w:color w:val="000000"/>
          <w:sz w:val="24"/>
          <w:szCs w:val="24"/>
          <w:lang w:eastAsia="lv-LV"/>
        </w:rPr>
        <w:t xml:space="preserve">(nosacītā likme, jo to </w:t>
      </w:r>
      <w:r w:rsidRPr="00A33442">
        <w:rPr>
          <w:rFonts w:ascii="Times New Roman" w:eastAsia="Times New Roman" w:hAnsi="Times New Roman" w:cs="Times New Roman"/>
          <w:sz w:val="24"/>
          <w:szCs w:val="24"/>
        </w:rPr>
        <w:t xml:space="preserve">nepiemēros taksācijas gada laikā, bet, iesniedzot gada ienākumu deklarāciju un veicot pārrēķinu ar trīs </w:t>
      </w:r>
      <w:r w:rsidRPr="00A33442">
        <w:rPr>
          <w:rFonts w:ascii="Times New Roman" w:eastAsia="Calibri" w:hAnsi="Times New Roman" w:cs="Times New Roman"/>
          <w:color w:val="000000"/>
          <w:sz w:val="24"/>
          <w:szCs w:val="24"/>
          <w:lang w:eastAsia="lv-LV"/>
        </w:rPr>
        <w:t>IIN</w:t>
      </w:r>
      <w:r w:rsidRPr="00A33442">
        <w:rPr>
          <w:rFonts w:ascii="Times New Roman" w:eastAsia="Times New Roman" w:hAnsi="Times New Roman" w:cs="Times New Roman"/>
          <w:color w:val="000000"/>
          <w:spacing w:val="-2"/>
          <w:sz w:val="24"/>
          <w:szCs w:val="24"/>
        </w:rPr>
        <w:t xml:space="preserve"> likmēm</w:t>
      </w:r>
      <w:r w:rsidRPr="00A33442">
        <w:rPr>
          <w:rFonts w:ascii="Times New Roman" w:eastAsia="Calibri" w:hAnsi="Times New Roman" w:cs="Times New Roman"/>
          <w:color w:val="000000"/>
          <w:sz w:val="24"/>
          <w:szCs w:val="24"/>
          <w:lang w:eastAsia="lv-LV"/>
        </w:rPr>
        <w:t xml:space="preserve">. Tā kā valsts sociālās apdrošināšanas iemaksas virs 55 000 </w:t>
      </w:r>
      <w:r w:rsidRPr="00A33442">
        <w:rPr>
          <w:rFonts w:ascii="Times New Roman" w:eastAsia="Calibri" w:hAnsi="Times New Roman" w:cs="Times New Roman"/>
          <w:i/>
          <w:color w:val="000000"/>
          <w:sz w:val="24"/>
          <w:szCs w:val="24"/>
          <w:lang w:eastAsia="lv-LV"/>
        </w:rPr>
        <w:t xml:space="preserve">euro </w:t>
      </w:r>
      <w:r w:rsidRPr="00A33442">
        <w:rPr>
          <w:rFonts w:ascii="Times New Roman" w:eastAsia="Calibri" w:hAnsi="Times New Roman" w:cs="Times New Roman"/>
          <w:color w:val="000000"/>
          <w:sz w:val="24"/>
          <w:szCs w:val="24"/>
          <w:lang w:eastAsia="lv-LV"/>
        </w:rPr>
        <w:t xml:space="preserve">nav jāveic, bet nosacītā </w:t>
      </w:r>
      <w:r w:rsidRPr="00A33442">
        <w:rPr>
          <w:rFonts w:ascii="Times New Roman" w:eastAsia="Times New Roman" w:hAnsi="Times New Roman" w:cs="Times New Roman"/>
          <w:sz w:val="24"/>
          <w:szCs w:val="24"/>
        </w:rPr>
        <w:t>darba ņēmēja solidaritātes nodokļa daļa tiek ietverta samaksātajā IIN, kopējais nodokļu slogs maksātājam virs minētā sliekšņa nepieaugs</w:t>
      </w:r>
      <w:r w:rsidRPr="00A33442">
        <w:rPr>
          <w:rFonts w:ascii="Times New Roman" w:eastAsia="Calibri" w:hAnsi="Times New Roman" w:cs="Times New Roman"/>
          <w:color w:val="000000"/>
          <w:sz w:val="24"/>
          <w:szCs w:val="24"/>
          <w:lang w:eastAsia="lv-LV"/>
        </w:rPr>
        <w:t>);</w:t>
      </w:r>
    </w:p>
    <w:p w:rsidR="00747DC7" w:rsidRPr="00A33442" w:rsidRDefault="00747DC7" w:rsidP="00747DC7">
      <w:pPr>
        <w:numPr>
          <w:ilvl w:val="0"/>
          <w:numId w:val="15"/>
        </w:numPr>
        <w:spacing w:after="0" w:line="240" w:lineRule="auto"/>
        <w:ind w:left="1134" w:hanging="425"/>
        <w:jc w:val="both"/>
        <w:rPr>
          <w:rFonts w:ascii="Times New Roman" w:eastAsia="Calibri" w:hAnsi="Times New Roman" w:cs="Times New Roman"/>
          <w:color w:val="000000"/>
          <w:sz w:val="24"/>
          <w:szCs w:val="24"/>
          <w:lang w:eastAsia="lv-LV"/>
        </w:rPr>
      </w:pPr>
      <w:r w:rsidRPr="00A33442">
        <w:rPr>
          <w:rFonts w:ascii="Times New Roman" w:eastAsia="Calibri" w:hAnsi="Times New Roman" w:cs="Times New Roman"/>
          <w:color w:val="000000"/>
          <w:sz w:val="24"/>
          <w:szCs w:val="24"/>
          <w:lang w:eastAsia="lv-LV"/>
        </w:rPr>
        <w:t>ar IIN neapliekamā diferencētā minimuma paaugstināšana;</w:t>
      </w:r>
    </w:p>
    <w:p w:rsidR="00747DC7" w:rsidRPr="00A33442" w:rsidRDefault="00747DC7" w:rsidP="00FB6C85">
      <w:pPr>
        <w:keepNext/>
        <w:spacing w:before="120" w:after="0" w:line="240" w:lineRule="auto"/>
        <w:ind w:left="357"/>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6.9.tabula Diferencētais neapliekamais minimums 2018.</w:t>
      </w:r>
      <w:r w:rsidR="00FB6C85" w:rsidRPr="00FB6C85">
        <w:t xml:space="preserve"> </w:t>
      </w:r>
      <w:r w:rsidR="00FB6C85" w:rsidRPr="00FB6C85">
        <w:rPr>
          <w:rFonts w:ascii="Times New Roman" w:eastAsia="Times New Roman" w:hAnsi="Times New Roman" w:cs="Times New Roman"/>
          <w:b/>
          <w:sz w:val="24"/>
          <w:szCs w:val="20"/>
        </w:rPr>
        <w:t>–</w:t>
      </w:r>
      <w:r w:rsidR="00FB6C85">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sz w:val="24"/>
          <w:szCs w:val="20"/>
        </w:rPr>
        <w:t>2020.gadam</w:t>
      </w:r>
    </w:p>
    <w:tbl>
      <w:tblPr>
        <w:tblStyle w:val="GridTable6Colorful-Accent11"/>
        <w:tblW w:w="9326" w:type="dxa"/>
        <w:jc w:val="center"/>
        <w:tblLayout w:type="fixed"/>
        <w:tblLook w:val="04A0" w:firstRow="1" w:lastRow="0" w:firstColumn="1" w:lastColumn="0" w:noHBand="0" w:noVBand="1"/>
      </w:tblPr>
      <w:tblGrid>
        <w:gridCol w:w="5402"/>
        <w:gridCol w:w="1259"/>
        <w:gridCol w:w="1308"/>
        <w:gridCol w:w="1357"/>
      </w:tblGrid>
      <w:tr w:rsidR="00747DC7" w:rsidRPr="00A33442" w:rsidTr="001509AF">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5402" w:type="dxa"/>
          </w:tcPr>
          <w:p w:rsidR="00747DC7" w:rsidRPr="00A33442" w:rsidRDefault="00747DC7" w:rsidP="001509AF">
            <w:pPr>
              <w:autoSpaceDE w:val="0"/>
              <w:autoSpaceDN w:val="0"/>
              <w:adjustRightInd w:val="0"/>
              <w:ind w:left="457"/>
              <w:jc w:val="center"/>
              <w:rPr>
                <w:rFonts w:ascii="Times New Roman" w:hAnsi="Times New Roman" w:cs="Times New Roman"/>
                <w:b w:val="0"/>
                <w:bCs w:val="0"/>
                <w:color w:val="auto"/>
                <w:sz w:val="20"/>
                <w:szCs w:val="24"/>
              </w:rPr>
            </w:pPr>
          </w:p>
        </w:tc>
        <w:tc>
          <w:tcPr>
            <w:tcW w:w="1259" w:type="dxa"/>
            <w:vAlign w:val="center"/>
          </w:tcPr>
          <w:p w:rsidR="00747DC7" w:rsidRPr="00A33442" w:rsidRDefault="00747DC7" w:rsidP="00150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rPr>
            </w:pPr>
            <w:r w:rsidRPr="00A33442">
              <w:rPr>
                <w:rFonts w:ascii="Times New Roman" w:hAnsi="Times New Roman" w:cs="Times New Roman"/>
                <w:bCs w:val="0"/>
                <w:color w:val="auto"/>
                <w:sz w:val="20"/>
              </w:rPr>
              <w:t>2018</w:t>
            </w:r>
          </w:p>
        </w:tc>
        <w:tc>
          <w:tcPr>
            <w:tcW w:w="1308" w:type="dxa"/>
            <w:vAlign w:val="center"/>
          </w:tcPr>
          <w:p w:rsidR="00747DC7" w:rsidRPr="00A33442" w:rsidRDefault="00747DC7" w:rsidP="00150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rPr>
            </w:pPr>
            <w:r w:rsidRPr="00A33442">
              <w:rPr>
                <w:rFonts w:ascii="Times New Roman" w:hAnsi="Times New Roman" w:cs="Times New Roman"/>
                <w:bCs w:val="0"/>
                <w:color w:val="auto"/>
                <w:sz w:val="20"/>
              </w:rPr>
              <w:t>2019</w:t>
            </w:r>
          </w:p>
        </w:tc>
        <w:tc>
          <w:tcPr>
            <w:tcW w:w="1357" w:type="dxa"/>
            <w:vAlign w:val="center"/>
          </w:tcPr>
          <w:p w:rsidR="00747DC7" w:rsidRPr="00A33442" w:rsidRDefault="00747DC7" w:rsidP="00150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rPr>
            </w:pPr>
            <w:r w:rsidRPr="00A33442">
              <w:rPr>
                <w:rFonts w:ascii="Times New Roman" w:hAnsi="Times New Roman" w:cs="Times New Roman"/>
                <w:bCs w:val="0"/>
                <w:color w:val="auto"/>
                <w:sz w:val="20"/>
              </w:rPr>
              <w:t>2020</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402" w:type="dxa"/>
          </w:tcPr>
          <w:p w:rsidR="00747DC7" w:rsidRPr="00A33442" w:rsidRDefault="00747DC7" w:rsidP="001509AF">
            <w:pPr>
              <w:autoSpaceDE w:val="0"/>
              <w:autoSpaceDN w:val="0"/>
              <w:adjustRightInd w:val="0"/>
              <w:ind w:left="32"/>
              <w:rPr>
                <w:rFonts w:ascii="Times New Roman" w:hAnsi="Times New Roman" w:cs="Times New Roman"/>
                <w:b w:val="0"/>
                <w:color w:val="auto"/>
                <w:sz w:val="20"/>
                <w:vertAlign w:val="subscript"/>
              </w:rPr>
            </w:pPr>
            <w:r w:rsidRPr="00A33442">
              <w:rPr>
                <w:rFonts w:ascii="Times New Roman" w:hAnsi="Times New Roman" w:cs="Times New Roman"/>
                <w:b w:val="0"/>
                <w:color w:val="auto"/>
                <w:sz w:val="20"/>
              </w:rPr>
              <w:t>Maksimālais neapliekamais minimums</w:t>
            </w:r>
          </w:p>
        </w:tc>
        <w:tc>
          <w:tcPr>
            <w:tcW w:w="1259" w:type="dxa"/>
            <w:vAlign w:val="center"/>
          </w:tcPr>
          <w:p w:rsidR="00747DC7" w:rsidRPr="00A33442" w:rsidRDefault="00747DC7" w:rsidP="000C30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rPr>
            </w:pPr>
            <w:r w:rsidRPr="00A33442">
              <w:rPr>
                <w:rFonts w:ascii="Times New Roman" w:hAnsi="Times New Roman" w:cs="Times New Roman"/>
                <w:bCs/>
                <w:color w:val="auto"/>
                <w:sz w:val="20"/>
              </w:rPr>
              <w:t>200</w:t>
            </w:r>
          </w:p>
        </w:tc>
        <w:tc>
          <w:tcPr>
            <w:tcW w:w="1308" w:type="dxa"/>
            <w:vAlign w:val="center"/>
          </w:tcPr>
          <w:p w:rsidR="00747DC7" w:rsidRPr="00A33442" w:rsidRDefault="00747DC7" w:rsidP="000C30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rPr>
            </w:pPr>
            <w:r w:rsidRPr="00A33442">
              <w:rPr>
                <w:rFonts w:ascii="Times New Roman" w:hAnsi="Times New Roman" w:cs="Times New Roman"/>
                <w:bCs/>
                <w:color w:val="auto"/>
                <w:sz w:val="20"/>
              </w:rPr>
              <w:t>230</w:t>
            </w:r>
          </w:p>
        </w:tc>
        <w:tc>
          <w:tcPr>
            <w:tcW w:w="1357" w:type="dxa"/>
            <w:vAlign w:val="center"/>
          </w:tcPr>
          <w:p w:rsidR="00747DC7" w:rsidRPr="00A33442" w:rsidRDefault="00747DC7" w:rsidP="000C30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rPr>
            </w:pPr>
            <w:r w:rsidRPr="00A33442">
              <w:rPr>
                <w:rFonts w:ascii="Times New Roman" w:hAnsi="Times New Roman" w:cs="Times New Roman"/>
                <w:bCs/>
                <w:color w:val="auto"/>
                <w:sz w:val="20"/>
              </w:rPr>
              <w:t>250</w:t>
            </w:r>
          </w:p>
        </w:tc>
      </w:tr>
      <w:tr w:rsidR="00747DC7" w:rsidRPr="00A33442" w:rsidTr="001509AF">
        <w:trPr>
          <w:trHeight w:val="271"/>
          <w:jc w:val="center"/>
        </w:trPr>
        <w:tc>
          <w:tcPr>
            <w:cnfStyle w:val="001000000000" w:firstRow="0" w:lastRow="0" w:firstColumn="1" w:lastColumn="0" w:oddVBand="0" w:evenVBand="0" w:oddHBand="0" w:evenHBand="0" w:firstRowFirstColumn="0" w:firstRowLastColumn="0" w:lastRowFirstColumn="0" w:lastRowLastColumn="0"/>
            <w:tcW w:w="5402" w:type="dxa"/>
          </w:tcPr>
          <w:p w:rsidR="00747DC7" w:rsidRPr="00A33442" w:rsidRDefault="00747DC7" w:rsidP="001509AF">
            <w:pPr>
              <w:autoSpaceDE w:val="0"/>
              <w:autoSpaceDN w:val="0"/>
              <w:adjustRightInd w:val="0"/>
              <w:ind w:left="32"/>
              <w:rPr>
                <w:rFonts w:ascii="Times New Roman" w:hAnsi="Times New Roman" w:cs="Times New Roman"/>
                <w:b w:val="0"/>
                <w:color w:val="auto"/>
                <w:sz w:val="20"/>
                <w:vertAlign w:val="subscript"/>
              </w:rPr>
            </w:pPr>
            <w:r w:rsidRPr="00A33442">
              <w:rPr>
                <w:rFonts w:ascii="Times New Roman" w:hAnsi="Times New Roman" w:cs="Times New Roman"/>
                <w:b w:val="0"/>
                <w:color w:val="auto"/>
                <w:sz w:val="20"/>
              </w:rPr>
              <w:t>Minimālais neapliekamais minimums</w:t>
            </w:r>
          </w:p>
        </w:tc>
        <w:tc>
          <w:tcPr>
            <w:tcW w:w="1259" w:type="dxa"/>
            <w:vAlign w:val="center"/>
          </w:tcPr>
          <w:p w:rsidR="00747DC7" w:rsidRPr="00A33442" w:rsidRDefault="00747DC7" w:rsidP="000C30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rPr>
            </w:pPr>
            <w:r w:rsidRPr="00A33442">
              <w:rPr>
                <w:rFonts w:ascii="Times New Roman" w:hAnsi="Times New Roman" w:cs="Times New Roman"/>
                <w:bCs/>
                <w:color w:val="auto"/>
                <w:sz w:val="20"/>
              </w:rPr>
              <w:t>0</w:t>
            </w:r>
          </w:p>
        </w:tc>
        <w:tc>
          <w:tcPr>
            <w:tcW w:w="1308" w:type="dxa"/>
            <w:vAlign w:val="center"/>
          </w:tcPr>
          <w:p w:rsidR="00747DC7" w:rsidRPr="00A33442" w:rsidRDefault="00747DC7" w:rsidP="000C30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rPr>
            </w:pPr>
            <w:r w:rsidRPr="00A33442">
              <w:rPr>
                <w:rFonts w:ascii="Times New Roman" w:hAnsi="Times New Roman" w:cs="Times New Roman"/>
                <w:bCs/>
                <w:color w:val="auto"/>
                <w:sz w:val="20"/>
              </w:rPr>
              <w:t>0</w:t>
            </w:r>
          </w:p>
        </w:tc>
        <w:tc>
          <w:tcPr>
            <w:tcW w:w="1357" w:type="dxa"/>
            <w:vAlign w:val="center"/>
          </w:tcPr>
          <w:p w:rsidR="00747DC7" w:rsidRPr="00A33442" w:rsidRDefault="00747DC7" w:rsidP="000C30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rPr>
            </w:pPr>
            <w:r w:rsidRPr="00A33442">
              <w:rPr>
                <w:rFonts w:ascii="Times New Roman" w:hAnsi="Times New Roman" w:cs="Times New Roman"/>
                <w:bCs/>
                <w:color w:val="auto"/>
                <w:sz w:val="20"/>
              </w:rPr>
              <w:t>0</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402" w:type="dxa"/>
          </w:tcPr>
          <w:p w:rsidR="00747DC7" w:rsidRPr="00A33442" w:rsidRDefault="00747DC7" w:rsidP="001509AF">
            <w:pPr>
              <w:autoSpaceDE w:val="0"/>
              <w:autoSpaceDN w:val="0"/>
              <w:adjustRightInd w:val="0"/>
              <w:ind w:left="32"/>
              <w:rPr>
                <w:rFonts w:ascii="Times New Roman" w:hAnsi="Times New Roman" w:cs="Times New Roman"/>
                <w:b w:val="0"/>
                <w:color w:val="auto"/>
                <w:sz w:val="20"/>
              </w:rPr>
            </w:pPr>
            <w:r w:rsidRPr="00A33442">
              <w:rPr>
                <w:rFonts w:ascii="Times New Roman" w:hAnsi="Times New Roman" w:cs="Times New Roman"/>
                <w:b w:val="0"/>
                <w:color w:val="auto"/>
                <w:sz w:val="20"/>
              </w:rPr>
              <w:t>Apliekamā ienākuma maksimālā robeža</w:t>
            </w:r>
          </w:p>
        </w:tc>
        <w:tc>
          <w:tcPr>
            <w:tcW w:w="1259" w:type="dxa"/>
            <w:vAlign w:val="center"/>
          </w:tcPr>
          <w:p w:rsidR="00747DC7" w:rsidRPr="00A33442" w:rsidRDefault="00747DC7" w:rsidP="000C30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A33442">
              <w:rPr>
                <w:rFonts w:ascii="Times New Roman" w:hAnsi="Times New Roman" w:cs="Times New Roman"/>
                <w:color w:val="auto"/>
                <w:sz w:val="20"/>
              </w:rPr>
              <w:t>1 000</w:t>
            </w:r>
          </w:p>
        </w:tc>
        <w:tc>
          <w:tcPr>
            <w:tcW w:w="1308" w:type="dxa"/>
            <w:vAlign w:val="center"/>
          </w:tcPr>
          <w:p w:rsidR="00747DC7" w:rsidRPr="00A33442" w:rsidRDefault="00747DC7" w:rsidP="000C30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A33442">
              <w:rPr>
                <w:rFonts w:ascii="Times New Roman" w:hAnsi="Times New Roman" w:cs="Times New Roman"/>
                <w:color w:val="auto"/>
                <w:sz w:val="20"/>
              </w:rPr>
              <w:t>1 100</w:t>
            </w:r>
          </w:p>
        </w:tc>
        <w:tc>
          <w:tcPr>
            <w:tcW w:w="1357" w:type="dxa"/>
            <w:vAlign w:val="center"/>
          </w:tcPr>
          <w:p w:rsidR="00747DC7" w:rsidRPr="00A33442" w:rsidRDefault="00747DC7" w:rsidP="000C300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A33442">
              <w:rPr>
                <w:rFonts w:ascii="Times New Roman" w:hAnsi="Times New Roman" w:cs="Times New Roman"/>
                <w:color w:val="auto"/>
                <w:sz w:val="20"/>
              </w:rPr>
              <w:t>1 200</w:t>
            </w:r>
          </w:p>
        </w:tc>
      </w:tr>
      <w:tr w:rsidR="00747DC7" w:rsidRPr="00A33442" w:rsidTr="001509AF">
        <w:trPr>
          <w:trHeight w:val="271"/>
          <w:jc w:val="center"/>
        </w:trPr>
        <w:tc>
          <w:tcPr>
            <w:cnfStyle w:val="001000000000" w:firstRow="0" w:lastRow="0" w:firstColumn="1" w:lastColumn="0" w:oddVBand="0" w:evenVBand="0" w:oddHBand="0" w:evenHBand="0" w:firstRowFirstColumn="0" w:firstRowLastColumn="0" w:lastRowFirstColumn="0" w:lastRowLastColumn="0"/>
            <w:tcW w:w="5402" w:type="dxa"/>
          </w:tcPr>
          <w:p w:rsidR="00747DC7" w:rsidRPr="00A33442" w:rsidRDefault="00747DC7" w:rsidP="001509AF">
            <w:pPr>
              <w:autoSpaceDE w:val="0"/>
              <w:autoSpaceDN w:val="0"/>
              <w:adjustRightInd w:val="0"/>
              <w:ind w:left="32"/>
              <w:rPr>
                <w:rFonts w:ascii="Times New Roman" w:hAnsi="Times New Roman" w:cs="Times New Roman"/>
                <w:b w:val="0"/>
                <w:color w:val="auto"/>
                <w:sz w:val="20"/>
              </w:rPr>
            </w:pPr>
            <w:r w:rsidRPr="00A33442">
              <w:rPr>
                <w:rFonts w:ascii="Times New Roman" w:hAnsi="Times New Roman" w:cs="Times New Roman"/>
                <w:b w:val="0"/>
                <w:color w:val="auto"/>
                <w:sz w:val="20"/>
              </w:rPr>
              <w:t>Apliekamā ienākuma minimālā robeža</w:t>
            </w:r>
          </w:p>
        </w:tc>
        <w:tc>
          <w:tcPr>
            <w:tcW w:w="1259" w:type="dxa"/>
            <w:vAlign w:val="center"/>
          </w:tcPr>
          <w:p w:rsidR="00747DC7" w:rsidRPr="00A33442" w:rsidRDefault="00747DC7" w:rsidP="000C30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A33442">
              <w:rPr>
                <w:rFonts w:ascii="Times New Roman" w:hAnsi="Times New Roman" w:cs="Times New Roman"/>
                <w:color w:val="auto"/>
                <w:sz w:val="20"/>
              </w:rPr>
              <w:t>440</w:t>
            </w:r>
          </w:p>
        </w:tc>
        <w:tc>
          <w:tcPr>
            <w:tcW w:w="1308" w:type="dxa"/>
            <w:vAlign w:val="center"/>
          </w:tcPr>
          <w:p w:rsidR="00747DC7" w:rsidRPr="00A33442" w:rsidRDefault="00747DC7" w:rsidP="000C30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A33442">
              <w:rPr>
                <w:rFonts w:ascii="Times New Roman" w:hAnsi="Times New Roman" w:cs="Times New Roman"/>
                <w:color w:val="auto"/>
                <w:sz w:val="20"/>
              </w:rPr>
              <w:t>440</w:t>
            </w:r>
          </w:p>
        </w:tc>
        <w:tc>
          <w:tcPr>
            <w:tcW w:w="1357" w:type="dxa"/>
            <w:vAlign w:val="center"/>
          </w:tcPr>
          <w:p w:rsidR="00747DC7" w:rsidRPr="00A33442" w:rsidRDefault="00747DC7" w:rsidP="000C30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rPr>
            </w:pPr>
            <w:r w:rsidRPr="00A33442">
              <w:rPr>
                <w:rFonts w:ascii="Times New Roman" w:hAnsi="Times New Roman" w:cs="Times New Roman"/>
                <w:color w:val="auto"/>
                <w:sz w:val="20"/>
              </w:rPr>
              <w:t>440</w:t>
            </w:r>
          </w:p>
        </w:tc>
      </w:tr>
    </w:tbl>
    <w:p w:rsidR="00747DC7" w:rsidRPr="00A33442" w:rsidRDefault="00747DC7" w:rsidP="00747DC7">
      <w:pPr>
        <w:spacing w:after="0" w:line="240" w:lineRule="auto"/>
        <w:jc w:val="both"/>
        <w:rPr>
          <w:rFonts w:ascii="Times New Roman" w:eastAsia="Calibri" w:hAnsi="Times New Roman" w:cs="Times New Roman"/>
          <w:color w:val="000000"/>
          <w:sz w:val="24"/>
          <w:szCs w:val="24"/>
          <w:lang w:eastAsia="lv-LV"/>
        </w:rPr>
      </w:pP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color w:val="000000"/>
          <w:sz w:val="24"/>
          <w:szCs w:val="24"/>
          <w:lang w:eastAsia="lv-LV"/>
        </w:rPr>
        <w:lastRenderedPageBreak/>
        <w:t>atvieglojuma par apgādībā esošām personām paaugstināšana 2018.gadā 200</w:t>
      </w:r>
      <w:r w:rsidR="00BD7D5E">
        <w:rPr>
          <w:rFonts w:ascii="Times New Roman" w:eastAsia="Times New Roman" w:hAnsi="Times New Roman" w:cs="Times New Roman"/>
          <w:color w:val="000000"/>
          <w:sz w:val="24"/>
          <w:szCs w:val="24"/>
          <w:lang w:eastAsia="lv-LV"/>
        </w:rPr>
        <w:t xml:space="preserve"> </w:t>
      </w:r>
      <w:r w:rsidRPr="00A33442">
        <w:rPr>
          <w:rFonts w:ascii="Times New Roman" w:eastAsia="Times New Roman" w:hAnsi="Times New Roman" w:cs="Times New Roman"/>
          <w:i/>
          <w:color w:val="000000"/>
          <w:sz w:val="24"/>
          <w:szCs w:val="24"/>
          <w:lang w:eastAsia="lv-LV"/>
        </w:rPr>
        <w:t>euro</w:t>
      </w:r>
      <w:r w:rsidRPr="00A33442">
        <w:rPr>
          <w:rFonts w:ascii="Times New Roman" w:eastAsia="Times New Roman" w:hAnsi="Times New Roman" w:cs="Times New Roman"/>
          <w:color w:val="000000"/>
          <w:sz w:val="24"/>
          <w:szCs w:val="24"/>
          <w:lang w:eastAsia="lv-LV"/>
        </w:rPr>
        <w:t xml:space="preserve"> mēnesī, 2019.gadā 230</w:t>
      </w:r>
      <w:r w:rsidR="00BD7D5E">
        <w:rPr>
          <w:rFonts w:ascii="Times New Roman" w:eastAsia="Times New Roman" w:hAnsi="Times New Roman" w:cs="Times New Roman"/>
          <w:color w:val="000000"/>
          <w:sz w:val="24"/>
          <w:szCs w:val="24"/>
          <w:lang w:eastAsia="lv-LV"/>
        </w:rPr>
        <w:t xml:space="preserve"> </w:t>
      </w:r>
      <w:r w:rsidRPr="00A33442">
        <w:rPr>
          <w:rFonts w:ascii="Times New Roman" w:eastAsia="Times New Roman" w:hAnsi="Times New Roman" w:cs="Times New Roman"/>
          <w:i/>
          <w:color w:val="000000"/>
          <w:sz w:val="24"/>
          <w:szCs w:val="24"/>
          <w:lang w:eastAsia="lv-LV"/>
        </w:rPr>
        <w:t>euro</w:t>
      </w:r>
      <w:r w:rsidRPr="00A33442">
        <w:rPr>
          <w:rFonts w:ascii="Times New Roman" w:eastAsia="Times New Roman" w:hAnsi="Times New Roman" w:cs="Times New Roman"/>
          <w:color w:val="000000"/>
          <w:sz w:val="24"/>
          <w:szCs w:val="24"/>
          <w:lang w:eastAsia="lv-LV"/>
        </w:rPr>
        <w:t xml:space="preserve"> mēnesī, 2020.gadā 250</w:t>
      </w:r>
      <w:r w:rsidR="00BD7D5E">
        <w:rPr>
          <w:rFonts w:ascii="Times New Roman" w:eastAsia="Times New Roman" w:hAnsi="Times New Roman" w:cs="Times New Roman"/>
          <w:color w:val="000000"/>
          <w:sz w:val="24"/>
          <w:szCs w:val="24"/>
          <w:lang w:eastAsia="lv-LV"/>
        </w:rPr>
        <w:t xml:space="preserve"> </w:t>
      </w:r>
      <w:r w:rsidRPr="00A33442">
        <w:rPr>
          <w:rFonts w:ascii="Times New Roman" w:eastAsia="Times New Roman" w:hAnsi="Times New Roman" w:cs="Times New Roman"/>
          <w:i/>
          <w:color w:val="000000"/>
          <w:sz w:val="24"/>
          <w:szCs w:val="24"/>
          <w:lang w:eastAsia="lv-LV"/>
        </w:rPr>
        <w:t>euro</w:t>
      </w:r>
      <w:r w:rsidRPr="00A33442">
        <w:rPr>
          <w:rFonts w:ascii="Times New Roman" w:eastAsia="Times New Roman" w:hAnsi="Times New Roman" w:cs="Times New Roman"/>
          <w:color w:val="000000"/>
          <w:sz w:val="24"/>
          <w:szCs w:val="24"/>
          <w:lang w:eastAsia="lv-LV"/>
        </w:rPr>
        <w:t xml:space="preserve"> mēnesī;</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color w:val="000000"/>
          <w:sz w:val="24"/>
          <w:szCs w:val="24"/>
          <w:lang w:eastAsia="lv-LV"/>
        </w:rPr>
        <w:t>atvieglojumu saņēmēju loka paplašināšana ar nestrādājošu laulāto, ja tas kopj bērnu;</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color w:val="000000"/>
          <w:sz w:val="24"/>
          <w:szCs w:val="24"/>
          <w:lang w:eastAsia="lv-LV"/>
        </w:rPr>
        <w:t xml:space="preserve">attaisnoto izdevumu normu pārskatīšana, palielinot ierobežojumu IIN attaisnotajiem izdevumiem par izglītību, medicīnu un ziedojumiem līdz 600 </w:t>
      </w:r>
      <w:r w:rsidRPr="00A33442">
        <w:rPr>
          <w:rFonts w:ascii="Times New Roman" w:eastAsia="Times New Roman" w:hAnsi="Times New Roman" w:cs="Times New Roman"/>
          <w:i/>
          <w:color w:val="000000"/>
          <w:sz w:val="24"/>
          <w:szCs w:val="24"/>
          <w:lang w:eastAsia="lv-LV"/>
        </w:rPr>
        <w:t>euro</w:t>
      </w:r>
      <w:r w:rsidRPr="00A33442">
        <w:rPr>
          <w:rFonts w:ascii="Times New Roman" w:eastAsia="Times New Roman" w:hAnsi="Times New Roman" w:cs="Times New Roman"/>
          <w:color w:val="000000"/>
          <w:sz w:val="24"/>
          <w:szCs w:val="24"/>
          <w:lang w:eastAsia="lv-LV"/>
        </w:rPr>
        <w:t xml:space="preserve"> gadā (par sevi un katru savu ģimenes locekli 50% no apliekamā ienākuma), kā arī nosakot gan procentuālu (10% no gada apliekamā ienākuma), gan summāru ierobežojumu – 4</w:t>
      </w:r>
      <w:r w:rsidR="00BD7D5E">
        <w:rPr>
          <w:rFonts w:ascii="Times New Roman" w:hAnsi="Times New Roman" w:cs="Times New Roman"/>
          <w:sz w:val="20"/>
          <w:szCs w:val="20"/>
        </w:rPr>
        <w:t> </w:t>
      </w:r>
      <w:r w:rsidRPr="00A33442">
        <w:rPr>
          <w:rFonts w:ascii="Times New Roman" w:eastAsia="Times New Roman" w:hAnsi="Times New Roman" w:cs="Times New Roman"/>
          <w:color w:val="000000"/>
          <w:sz w:val="24"/>
          <w:szCs w:val="24"/>
          <w:lang w:eastAsia="lv-LV"/>
        </w:rPr>
        <w:t xml:space="preserve">000 </w:t>
      </w:r>
      <w:r w:rsidRPr="00A33442">
        <w:rPr>
          <w:rFonts w:ascii="Times New Roman" w:eastAsia="Times New Roman" w:hAnsi="Times New Roman" w:cs="Times New Roman"/>
          <w:i/>
          <w:color w:val="000000"/>
          <w:sz w:val="24"/>
          <w:szCs w:val="24"/>
          <w:lang w:eastAsia="lv-LV"/>
        </w:rPr>
        <w:t>euro</w:t>
      </w:r>
      <w:r w:rsidRPr="00A33442">
        <w:rPr>
          <w:rFonts w:ascii="Times New Roman" w:eastAsia="Times New Roman" w:hAnsi="Times New Roman" w:cs="Times New Roman"/>
          <w:color w:val="000000"/>
          <w:sz w:val="24"/>
          <w:szCs w:val="24"/>
          <w:lang w:eastAsia="lv-LV"/>
        </w:rPr>
        <w:t xml:space="preserve"> gadā – attaisnotajiem izdevumiem par iemaksām privātajos pensiju fondos un apdrošināšanas prēmiju;</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sz w:val="24"/>
          <w:szCs w:val="24"/>
        </w:rPr>
        <w:t>neapliekamā minimuma pensionāriem paaugstināšana 2018.gadā līdz 250</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xml:space="preserve"> mēnesī, 2019.gadā – līdz 270</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xml:space="preserve"> mēnesī un 2020.gadā – līdz 300</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xml:space="preserve"> mēnesī;</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sz w:val="24"/>
          <w:szCs w:val="24"/>
        </w:rPr>
        <w:t>minimālās algas paaugstināšana līdz 430</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i/>
          <w:spacing w:val="-6"/>
          <w:sz w:val="24"/>
          <w:szCs w:val="24"/>
        </w:rPr>
        <w:t xml:space="preserve">euro </w:t>
      </w:r>
      <w:r w:rsidRPr="00A33442">
        <w:rPr>
          <w:rFonts w:ascii="Times New Roman" w:eastAsia="Times New Roman" w:hAnsi="Times New Roman" w:cs="Times New Roman"/>
          <w:spacing w:val="-6"/>
          <w:sz w:val="24"/>
          <w:szCs w:val="24"/>
        </w:rPr>
        <w:t>mēnesī</w:t>
      </w:r>
      <w:r w:rsidRPr="00A33442">
        <w:rPr>
          <w:rFonts w:ascii="Times New Roman" w:eastAsia="Times New Roman" w:hAnsi="Times New Roman" w:cs="Times New Roman"/>
          <w:sz w:val="24"/>
          <w:szCs w:val="24"/>
        </w:rPr>
        <w:t>;</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sz w:val="24"/>
          <w:szCs w:val="24"/>
        </w:rPr>
        <w:t xml:space="preserve">nodokļa likmes kapitālam un kapitāla pieaugumam vienādošana, </w:t>
      </w:r>
      <w:r w:rsidRPr="00A33442">
        <w:rPr>
          <w:rFonts w:ascii="Times New Roman" w:eastAsia="Times New Roman" w:hAnsi="Times New Roman" w:cs="Times New Roman"/>
          <w:spacing w:val="5"/>
          <w:sz w:val="24"/>
          <w:szCs w:val="24"/>
        </w:rPr>
        <w:t xml:space="preserve">nosakot to 20% apmērā (izņemot par dividendēm, ja tās jau ir apliktas uzņēmuma līmenī ar </w:t>
      </w:r>
      <w:r w:rsidRPr="00A33442">
        <w:rPr>
          <w:rFonts w:ascii="Times New Roman" w:eastAsia="Times New Roman" w:hAnsi="Times New Roman" w:cs="Times New Roman"/>
          <w:sz w:val="24"/>
          <w:szCs w:val="24"/>
        </w:rPr>
        <w:t>ienākuma nodokļa 20% likmi peļņas sadales brīdī</w:t>
      </w:r>
      <w:r w:rsidRPr="00A33442">
        <w:rPr>
          <w:rFonts w:ascii="Times New Roman" w:eastAsia="Times New Roman" w:hAnsi="Times New Roman" w:cs="Times New Roman"/>
          <w:color w:val="000000"/>
          <w:sz w:val="24"/>
          <w:szCs w:val="24"/>
          <w:lang w:eastAsia="lv-LV"/>
        </w:rPr>
        <w:t>;</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u w:val="single"/>
          <w:lang w:eastAsia="lv-LV"/>
        </w:rPr>
      </w:pPr>
      <w:r w:rsidRPr="00A33442">
        <w:rPr>
          <w:rFonts w:ascii="Times New Roman" w:eastAsia="Times New Roman" w:hAnsi="Times New Roman" w:cs="Times New Roman"/>
          <w:color w:val="000000"/>
          <w:sz w:val="24"/>
          <w:szCs w:val="24"/>
          <w:lang w:eastAsia="lv-LV"/>
        </w:rPr>
        <w:t>saimnieciskās darbības izdevumos summas, kas nepārsniedz 80% no saimnieciskās darbības ieņēmumiem;</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sz w:val="24"/>
          <w:szCs w:val="24"/>
        </w:rPr>
        <w:t>aplikšana ar IIN, piemērojot nodokļa likmi 20% izložu vai azartspēļu laimestiem, kas pārsniedz 3</w:t>
      </w:r>
      <w:r w:rsidR="00BD7D5E">
        <w:rPr>
          <w:rFonts w:ascii="Times New Roman" w:hAnsi="Times New Roman" w:cs="Times New Roman"/>
          <w:sz w:val="20"/>
          <w:szCs w:val="20"/>
        </w:rPr>
        <w:t> </w:t>
      </w:r>
      <w:r w:rsidRPr="00A33442">
        <w:rPr>
          <w:rFonts w:ascii="Times New Roman" w:eastAsia="Times New Roman" w:hAnsi="Times New Roman" w:cs="Times New Roman"/>
          <w:sz w:val="24"/>
          <w:szCs w:val="24"/>
        </w:rPr>
        <w:t xml:space="preserve">000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color w:val="000000"/>
          <w:sz w:val="24"/>
          <w:szCs w:val="24"/>
          <w:lang w:eastAsia="lv-LV"/>
        </w:rPr>
        <w:t>;</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sz w:val="24"/>
          <w:szCs w:val="24"/>
        </w:rPr>
        <w:t>patentmaksas režīma uzlabošana, nosakot vienotu patentmaksas apmēru 50</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xml:space="preserve"> un 100</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atsakoties no pārāk detalizēta saimnieciskās darbības veidu sadalījuma, kā arī vienkāršojot to samaksu. Piemērot samazinātās patentmaksas režīmu arī personām ar I. un II. grupas</w:t>
      </w:r>
      <w:r w:rsidRPr="00A33442">
        <w:rPr>
          <w:rFonts w:ascii="Times New Roman" w:eastAsia="Times New Roman" w:hAnsi="Times New Roman" w:cs="Times New Roman"/>
          <w:color w:val="000000"/>
          <w:sz w:val="24"/>
          <w:szCs w:val="24"/>
          <w:lang w:eastAsia="lv-LV"/>
        </w:rPr>
        <w:t>;</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sz w:val="24"/>
          <w:szCs w:val="24"/>
        </w:rPr>
        <w:t>izmaiņas dividenžu politikā saistībā ar reinvestētās peļņas režīma ieviešanu uzņēmumu ienākuma;</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sz w:val="24"/>
          <w:szCs w:val="24"/>
        </w:rPr>
        <w:t>ēnu ekonomikas mazināšanas un administrēšanas uzlabošanas pasākumi</w:t>
      </w:r>
      <w:r w:rsidRPr="00A33442">
        <w:rPr>
          <w:rFonts w:ascii="Times New Roman" w:eastAsia="Times New Roman" w:hAnsi="Times New Roman" w:cs="Times New Roman"/>
          <w:color w:val="000000"/>
          <w:sz w:val="24"/>
          <w:szCs w:val="24"/>
          <w:lang w:eastAsia="lv-LV"/>
        </w:rPr>
        <w:t>;</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color w:val="000000"/>
          <w:sz w:val="24"/>
          <w:szCs w:val="24"/>
          <w:lang w:eastAsia="lv-LV"/>
        </w:rPr>
        <w:t>pievienotās vērtības nodokļa reversa paplašināšana, ieviešot būvmateriālu, metālu un sadzīves tehnikas piegādēm, kā rezultātā samazināsies “aplokšņu algu” īpatsvars nozarē;</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sz w:val="24"/>
          <w:szCs w:val="24"/>
        </w:rPr>
        <w:t>saskaņā ar 2017.gada 28.</w:t>
      </w:r>
      <w:r w:rsidRPr="00A33442">
        <w:rPr>
          <w:rFonts w:ascii="Times New Roman" w:eastAsia="Times New Roman" w:hAnsi="Times New Roman" w:cs="Times New Roman"/>
          <w:noProof/>
          <w:sz w:val="24"/>
          <w:szCs w:val="24"/>
        </w:rPr>
        <w:t xml:space="preserve">jūlija grozījumiem Mikrouzņēmumu nodokļa likumā </w:t>
      </w:r>
      <w:r w:rsidRPr="00A33442">
        <w:rPr>
          <w:rFonts w:ascii="Times New Roman" w:eastAsia="Calibri" w:hAnsi="Times New Roman" w:cs="Times New Roman"/>
          <w:noProof/>
          <w:sz w:val="24"/>
          <w:szCs w:val="24"/>
          <w:lang w:eastAsia="lv-LV"/>
        </w:rPr>
        <w:t>tiek paredzēts</w:t>
      </w:r>
      <w:r w:rsidRPr="00A33442">
        <w:rPr>
          <w:rFonts w:ascii="Times New Roman" w:eastAsia="Times New Roman" w:hAnsi="Times New Roman" w:cs="Times New Roman"/>
          <w:sz w:val="24"/>
          <w:szCs w:val="24"/>
        </w:rPr>
        <w:t xml:space="preserve"> samazināt mikrouzņēmumu gada apgrozījuma slieksni līdz 40 tūkst.</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color w:val="000000"/>
          <w:sz w:val="24"/>
          <w:szCs w:val="24"/>
          <w:lang w:eastAsia="lv-LV"/>
        </w:rPr>
        <w:t>;</w:t>
      </w:r>
    </w:p>
    <w:p w:rsidR="00747DC7" w:rsidRPr="00A33442" w:rsidRDefault="00747DC7" w:rsidP="00BD7D5E">
      <w:pPr>
        <w:numPr>
          <w:ilvl w:val="0"/>
          <w:numId w:val="15"/>
        </w:numPr>
        <w:spacing w:after="0" w:line="240" w:lineRule="auto"/>
        <w:ind w:left="1134" w:hanging="425"/>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color w:val="000000"/>
          <w:sz w:val="24"/>
          <w:szCs w:val="24"/>
          <w:lang w:eastAsia="lv-LV"/>
        </w:rPr>
        <w:t xml:space="preserve">solidaritātes nodokļa transformēšana IIN (10,5% virs noteiktajiem </w:t>
      </w:r>
      <w:r w:rsidR="007752B0">
        <w:rPr>
          <w:rFonts w:ascii="Times New Roman" w:eastAsia="Times New Roman" w:hAnsi="Times New Roman" w:cs="Times New Roman"/>
          <w:color w:val="000000"/>
          <w:sz w:val="24"/>
          <w:szCs w:val="24"/>
          <w:lang w:eastAsia="lv-LV"/>
        </w:rPr>
        <w:t>sociālo</w:t>
      </w:r>
      <w:r w:rsidRPr="00A33442">
        <w:rPr>
          <w:rFonts w:ascii="Times New Roman" w:eastAsia="Times New Roman" w:hAnsi="Times New Roman" w:cs="Times New Roman"/>
          <w:color w:val="000000"/>
          <w:sz w:val="24"/>
          <w:szCs w:val="24"/>
          <w:lang w:eastAsia="lv-LV"/>
        </w:rPr>
        <w:t xml:space="preserve"> iemaksu griestiem).</w:t>
      </w:r>
    </w:p>
    <w:p w:rsidR="00747DC7" w:rsidRPr="00A33442" w:rsidRDefault="00747DC7" w:rsidP="00747DC7">
      <w:pPr>
        <w:spacing w:after="0" w:line="240" w:lineRule="auto"/>
        <w:ind w:firstLine="709"/>
        <w:jc w:val="both"/>
        <w:rPr>
          <w:rFonts w:ascii="Times New Roman" w:eastAsia="Times New Roman" w:hAnsi="Times New Roman" w:cs="Times New Roman"/>
          <w:color w:val="000000"/>
          <w:sz w:val="24"/>
          <w:szCs w:val="24"/>
          <w:lang w:eastAsia="lv-LV"/>
        </w:rPr>
      </w:pPr>
      <w:r w:rsidRPr="00A33442">
        <w:rPr>
          <w:rFonts w:ascii="Times New Roman" w:eastAsia="Times New Roman" w:hAnsi="Times New Roman" w:cs="Times New Roman"/>
          <w:color w:val="000000"/>
          <w:sz w:val="24"/>
          <w:szCs w:val="24"/>
          <w:lang w:eastAsia="lv-LV"/>
        </w:rPr>
        <w:t xml:space="preserve">Papildus </w:t>
      </w:r>
      <w:r w:rsidRPr="00A33442">
        <w:rPr>
          <w:rFonts w:ascii="Times New Roman" w:eastAsia="Times New Roman" w:hAnsi="Times New Roman" w:cs="Times New Roman"/>
          <w:sz w:val="24"/>
          <w:szCs w:val="20"/>
        </w:rPr>
        <w:t>IIN ieņēmumus ietekmēs arī Saeimā apst</w:t>
      </w:r>
      <w:r>
        <w:rPr>
          <w:rFonts w:ascii="Times New Roman" w:eastAsia="Times New Roman" w:hAnsi="Times New Roman" w:cs="Times New Roman"/>
          <w:sz w:val="24"/>
          <w:szCs w:val="20"/>
        </w:rPr>
        <w:t xml:space="preserve">iprinātais pasākums saistībā ar </w:t>
      </w:r>
      <w:r w:rsidRPr="00A33442">
        <w:rPr>
          <w:rFonts w:ascii="Times New Roman" w:eastAsia="Times New Roman" w:hAnsi="Times New Roman" w:cs="Times New Roman"/>
          <w:sz w:val="24"/>
          <w:szCs w:val="20"/>
        </w:rPr>
        <w:t>izstrādāto risinājumu čeku loterijas organizēšanā.</w:t>
      </w:r>
    </w:p>
    <w:p w:rsidR="00747DC7" w:rsidRPr="00A33442" w:rsidRDefault="00747DC7" w:rsidP="00747DC7">
      <w:pPr>
        <w:spacing w:after="0" w:line="240" w:lineRule="auto"/>
        <w:ind w:firstLine="709"/>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0"/>
        </w:rPr>
        <w:t xml:space="preserve">2018.gada IIN ieņēmumus ietekmē arī </w:t>
      </w:r>
      <w:r w:rsidRPr="00A33442">
        <w:rPr>
          <w:rFonts w:ascii="Times New Roman" w:eastAsia="Times New Roman" w:hAnsi="Times New Roman" w:cs="Times New Roman"/>
          <w:sz w:val="24"/>
          <w:szCs w:val="24"/>
        </w:rPr>
        <w:t>iepriekšējos gados pieņemtās likumdošanas izmaiņas:</w:t>
      </w:r>
    </w:p>
    <w:p w:rsidR="00747DC7" w:rsidRPr="00A33442" w:rsidRDefault="00747DC7" w:rsidP="001C4ED3">
      <w:pPr>
        <w:numPr>
          <w:ilvl w:val="0"/>
          <w:numId w:val="5"/>
        </w:numPr>
        <w:spacing w:after="0" w:line="240" w:lineRule="auto"/>
        <w:ind w:left="1134" w:hanging="425"/>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līdz 2023.gadam pagarināts IIN atbrīvojums saņemtajām summām, kas izmaksātas kā valsts vai ES atbalsts lauksaimniecībai un lauku attīstībai;</w:t>
      </w:r>
    </w:p>
    <w:p w:rsidR="00747DC7" w:rsidRPr="00A33442" w:rsidRDefault="00747DC7" w:rsidP="001C4ED3">
      <w:pPr>
        <w:numPr>
          <w:ilvl w:val="0"/>
          <w:numId w:val="5"/>
        </w:numPr>
        <w:spacing w:after="0" w:line="240" w:lineRule="auto"/>
        <w:ind w:left="1134"/>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IIN regulējuma maiņa attiecībā uz izmaksām no privātajiem pensiju fondiem, ierobežojot atvieglojuma piemērošanu nodokļu plānošanas gadījumā;</w:t>
      </w:r>
    </w:p>
    <w:p w:rsidR="00747DC7" w:rsidRPr="00A33442" w:rsidRDefault="00747DC7" w:rsidP="001C4ED3">
      <w:pPr>
        <w:numPr>
          <w:ilvl w:val="0"/>
          <w:numId w:val="5"/>
        </w:numPr>
        <w:spacing w:after="0" w:line="240" w:lineRule="auto"/>
        <w:ind w:left="1134" w:hanging="425"/>
        <w:contextualSpacing/>
        <w:jc w:val="both"/>
        <w:rPr>
          <w:rFonts w:ascii="Times New Roman" w:eastAsia="Times New Roman" w:hAnsi="Times New Roman" w:cs="Times New Roman"/>
          <w:b/>
          <w:sz w:val="24"/>
          <w:szCs w:val="20"/>
        </w:rPr>
      </w:pPr>
      <w:r w:rsidRPr="00A33442">
        <w:rPr>
          <w:rFonts w:ascii="Times New Roman" w:eastAsia="Times New Roman" w:hAnsi="Times New Roman" w:cs="Times New Roman"/>
          <w:sz w:val="24"/>
          <w:szCs w:val="20"/>
        </w:rPr>
        <w:t>mikrouzņēmuma nodokļa likmju izmaiņas.</w:t>
      </w:r>
      <w:r w:rsidRPr="00A33442">
        <w:rPr>
          <w:rFonts w:ascii="Times New Roman" w:eastAsia="Times New Roman" w:hAnsi="Times New Roman" w:cs="Times New Roman"/>
          <w:sz w:val="24"/>
          <w:szCs w:val="24"/>
        </w:rPr>
        <w:t xml:space="preserve"> </w:t>
      </w:r>
    </w:p>
    <w:p w:rsidR="00736241" w:rsidRDefault="00736241" w:rsidP="00747DC7">
      <w:pPr>
        <w:spacing w:after="0" w:line="240" w:lineRule="auto"/>
        <w:contextualSpacing/>
        <w:jc w:val="both"/>
        <w:rPr>
          <w:rFonts w:ascii="Times New Roman" w:eastAsia="Times New Roman" w:hAnsi="Times New Roman" w:cs="Times New Roman"/>
          <w:b/>
          <w:sz w:val="24"/>
          <w:szCs w:val="20"/>
        </w:rPr>
      </w:pPr>
    </w:p>
    <w:p w:rsidR="008B6A68" w:rsidRDefault="008B6A68" w:rsidP="00747DC7">
      <w:pPr>
        <w:spacing w:after="0" w:line="240" w:lineRule="auto"/>
        <w:contextualSpacing/>
        <w:jc w:val="both"/>
        <w:rPr>
          <w:rFonts w:ascii="Times New Roman" w:eastAsia="Times New Roman" w:hAnsi="Times New Roman" w:cs="Times New Roman"/>
          <w:b/>
          <w:sz w:val="24"/>
          <w:szCs w:val="20"/>
        </w:rPr>
      </w:pPr>
    </w:p>
    <w:p w:rsidR="008B6A68" w:rsidRDefault="008B6A68" w:rsidP="00747DC7">
      <w:pPr>
        <w:spacing w:after="0" w:line="240" w:lineRule="auto"/>
        <w:contextualSpacing/>
        <w:jc w:val="both"/>
        <w:rPr>
          <w:rFonts w:ascii="Times New Roman" w:eastAsia="Times New Roman" w:hAnsi="Times New Roman" w:cs="Times New Roman"/>
          <w:b/>
          <w:sz w:val="24"/>
          <w:szCs w:val="20"/>
        </w:rPr>
      </w:pPr>
    </w:p>
    <w:p w:rsidR="008B6A68" w:rsidRPr="00A33442" w:rsidRDefault="008B6A68" w:rsidP="00747DC7">
      <w:pPr>
        <w:spacing w:after="0" w:line="240" w:lineRule="auto"/>
        <w:contextualSpacing/>
        <w:jc w:val="both"/>
        <w:rPr>
          <w:rFonts w:ascii="Times New Roman" w:eastAsia="Times New Roman" w:hAnsi="Times New Roman" w:cs="Times New Roman"/>
          <w:b/>
          <w:sz w:val="24"/>
          <w:szCs w:val="20"/>
        </w:rPr>
      </w:pPr>
    </w:p>
    <w:p w:rsidR="00747DC7" w:rsidRPr="00A33442" w:rsidRDefault="00747DC7" w:rsidP="00747DC7">
      <w:pPr>
        <w:spacing w:after="0" w:line="240" w:lineRule="auto"/>
        <w:ind w:left="851"/>
        <w:contextualSpacing/>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lastRenderedPageBreak/>
        <w:t>6.10.tabula. Nodokļu politikas izmaiņu ietekme uz IIN ieņēmumiem, milj.</w:t>
      </w:r>
      <w:r w:rsidR="00BD7D5E">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4"/>
        </w:rPr>
        <w:t>euro</w:t>
      </w:r>
    </w:p>
    <w:tbl>
      <w:tblPr>
        <w:tblStyle w:val="GridTable6Colorful-Accent11"/>
        <w:tblW w:w="9285" w:type="dxa"/>
        <w:jc w:val="center"/>
        <w:tblLayout w:type="fixed"/>
        <w:tblLook w:val="04A0" w:firstRow="1" w:lastRow="0" w:firstColumn="1" w:lastColumn="0" w:noHBand="0" w:noVBand="1"/>
      </w:tblPr>
      <w:tblGrid>
        <w:gridCol w:w="5313"/>
        <w:gridCol w:w="993"/>
        <w:gridCol w:w="993"/>
        <w:gridCol w:w="993"/>
        <w:gridCol w:w="993"/>
      </w:tblGrid>
      <w:tr w:rsidR="00747DC7" w:rsidRPr="00A33442" w:rsidTr="00BD7D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1509AF">
            <w:pPr>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2018</w:t>
            </w:r>
          </w:p>
        </w:tc>
        <w:tc>
          <w:tcPr>
            <w:tcW w:w="993" w:type="dxa"/>
            <w:vAlign w:val="center"/>
          </w:tcPr>
          <w:p w:rsidR="00747DC7" w:rsidRPr="00A33442" w:rsidRDefault="00747DC7" w:rsidP="00BD7D5E">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2019</w:t>
            </w:r>
          </w:p>
        </w:tc>
        <w:tc>
          <w:tcPr>
            <w:tcW w:w="993" w:type="dxa"/>
            <w:vAlign w:val="center"/>
          </w:tcPr>
          <w:p w:rsidR="00747DC7" w:rsidRPr="00A33442" w:rsidRDefault="00747DC7" w:rsidP="00BD7D5E">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2020</w:t>
            </w:r>
          </w:p>
        </w:tc>
        <w:tc>
          <w:tcPr>
            <w:tcW w:w="993" w:type="dxa"/>
            <w:vAlign w:val="center"/>
          </w:tcPr>
          <w:p w:rsidR="00747DC7" w:rsidRPr="00A33442" w:rsidRDefault="00747DC7" w:rsidP="00BD7D5E">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2021</w:t>
            </w: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Pagarināts IIN atbrīvojums saņemtajām summām, kas izmaksātas kā valsts vai ES atbalsts lauksaimniecībai un lauku attīstībai </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-2,2</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IIN regulējuma maiņa attiecībā uz izmaksām no privātajiem pensiju fondiem</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+0,9</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MUN likmes izmaiņas</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-4,6</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Diferencētā NM paaugstināšana</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-38,7</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-25,8</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Atvieglojuma par apgādībā esošu personu paaugstināšana</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-15,6</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-18,7</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-12,5</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Progresīvo IIN likmju ieviešana</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-137,5</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000000"/>
                <w:sz w:val="20"/>
                <w:szCs w:val="20"/>
                <w:lang w:eastAsia="lv-LV"/>
              </w:rPr>
              <w:t>Atvieglojumu saņēmēju loka paplašināšana ar nestrādājošu laulāto</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-2,7</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-2,7</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Neapliekamā minimuma pensionāriem paaugstināšana</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-22,1</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-9,5</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-11,5</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Minimālās darba algas paaugstināšana līdz 430 </w:t>
            </w:r>
            <w:r w:rsidRPr="00633484">
              <w:rPr>
                <w:rFonts w:ascii="Times New Roman" w:eastAsia="Times New Roman" w:hAnsi="Times New Roman" w:cs="Times New Roman"/>
                <w:b w:val="0"/>
                <w:i/>
                <w:color w:val="auto"/>
                <w:sz w:val="20"/>
                <w:szCs w:val="20"/>
              </w:rPr>
              <w:t xml:space="preserve">euro </w:t>
            </w:r>
            <w:r w:rsidRPr="00A33442">
              <w:rPr>
                <w:rFonts w:ascii="Times New Roman" w:eastAsia="Times New Roman" w:hAnsi="Times New Roman" w:cs="Times New Roman"/>
                <w:b w:val="0"/>
                <w:color w:val="auto"/>
                <w:sz w:val="20"/>
                <w:szCs w:val="20"/>
              </w:rPr>
              <w:t>mēnesī</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+8,8</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IIN kapitālam noteikšana 20% apmērā</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+11,3</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Patentmaksas režīma uzlabošana, nosakot vienotu patentmaksas apmēru</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+0,3</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Summas, kas nepārsniedz 80% no saimnieciskās darbības ieņēmumiem, iekļaušana saimnieciskās darbības izdevumos</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+12,9</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IIN piemērošana izložu vai azartspēļu laimestiem, kas pārsniedz 3000 </w:t>
            </w:r>
            <w:r w:rsidRPr="00633484">
              <w:rPr>
                <w:rFonts w:ascii="Times New Roman" w:eastAsia="Times New Roman" w:hAnsi="Times New Roman" w:cs="Times New Roman"/>
                <w:b w:val="0"/>
                <w:i/>
                <w:color w:val="auto"/>
                <w:sz w:val="20"/>
                <w:szCs w:val="20"/>
              </w:rPr>
              <w:t>euro</w:t>
            </w:r>
            <w:r w:rsidRPr="00A33442">
              <w:rPr>
                <w:rFonts w:ascii="Times New Roman" w:eastAsia="Times New Roman" w:hAnsi="Times New Roman" w:cs="Times New Roman"/>
                <w:b w:val="0"/>
                <w:color w:val="auto"/>
                <w:sz w:val="20"/>
                <w:szCs w:val="20"/>
              </w:rPr>
              <w:t xml:space="preserve"> (izņēmums - 100gades loterija)</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+2,6</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IIN likmes paaugstināšana no 10% uz 20% MUN dividenžu izmaksai</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+2,1</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+2,4</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Pārejas periods dividenžu izmaksai no iepriekšējo gadu nesadalītās peļņas 10% apmērā</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+110,6</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-69,5</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-32,7</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sz w:val="20"/>
                <w:szCs w:val="20"/>
              </w:rPr>
            </w:pPr>
            <w:r w:rsidRPr="00A33442">
              <w:rPr>
                <w:rFonts w:ascii="Times New Roman" w:eastAsia="Times New Roman" w:hAnsi="Times New Roman" w:cs="Times New Roman"/>
                <w:b w:val="0"/>
                <w:color w:val="auto"/>
                <w:sz w:val="20"/>
                <w:szCs w:val="20"/>
              </w:rPr>
              <w:t>0% likmes noteikšana dividendēm</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-70,0</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Ārvalstīs saņemto dividenžu aplikšana ar IIN</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+2,1</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reversa paplašināšana</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+8,3</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Ierobežot MU darbības slieksni līdz 40 000</w:t>
            </w:r>
            <w:r w:rsidRPr="00633484">
              <w:rPr>
                <w:rFonts w:ascii="Times New Roman" w:eastAsia="Times New Roman" w:hAnsi="Times New Roman" w:cs="Times New Roman"/>
                <w:b w:val="0"/>
                <w:i/>
                <w:color w:val="auto"/>
                <w:sz w:val="20"/>
                <w:szCs w:val="20"/>
              </w:rPr>
              <w:t xml:space="preserve"> euro</w:t>
            </w:r>
            <w:r w:rsidRPr="00A33442">
              <w:rPr>
                <w:rFonts w:ascii="Times New Roman" w:eastAsia="Times New Roman" w:hAnsi="Times New Roman" w:cs="Times New Roman"/>
                <w:b w:val="0"/>
                <w:color w:val="auto"/>
                <w:sz w:val="20"/>
                <w:szCs w:val="20"/>
              </w:rPr>
              <w:t xml:space="preserve"> gadā</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-2,6</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Attaisnoto izdevumu ierobežošana izglītībai, medicīnai un ziedojumiem</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+5,6</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Attaisnoto izdevumu ierobežošana iemaksām privātajos pensiju fondos un dzīvības apdrošināšanā </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+3,8</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Ēnu apkarošana būvniecības nozarē</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+4,3</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Administrēšanas un piedziņas uzlabošana</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+2,4</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Iespēja laikā līdz 2 gadiem nomaksāt parādu, rezultātā dzēšot nokavējuma naudu un soda naudu</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+7,1</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-5,4</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Solidaritātes nodokļa transformācija 10.5% apmērā uz IIN </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+9,9</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+9,7</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FC4AA3">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Risinājums čeku loterijas organizēšanai</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+0,3</w:t>
            </w: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93"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-0,3</w:t>
            </w: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3" w:type="dxa"/>
          </w:tcPr>
          <w:p w:rsidR="00747DC7" w:rsidRPr="00A33442" w:rsidRDefault="00747DC7" w:rsidP="001509AF">
            <w:pPr>
              <w:jc w:val="right"/>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Izmaiņu ietekme kopā:</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-33,0</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-183,8</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-82,3</w:t>
            </w:r>
          </w:p>
        </w:tc>
        <w:tc>
          <w:tcPr>
            <w:tcW w:w="993"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-0,3</w:t>
            </w:r>
          </w:p>
        </w:tc>
      </w:tr>
    </w:tbl>
    <w:p w:rsidR="00747DC7" w:rsidRPr="00A33442" w:rsidRDefault="00747DC7" w:rsidP="008B6A68">
      <w:pPr>
        <w:spacing w:before="120"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iCs/>
          <w:sz w:val="24"/>
          <w:szCs w:val="20"/>
        </w:rPr>
        <w:t xml:space="preserve">Vidēja termiņa makroekonomiskās attīstības prognozes 2018.gadā paredz darba samaksas fonda palielināšanos, kas palielinās darba nodokļu ieņēmumus arī turpmāko gadu laikā, taču, kā jau iepriekš minēts, visbūtiskāk IIN ieņēmumus ietekmēs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w:t>
      </w:r>
      <w:r w:rsidRPr="00A33442">
        <w:rPr>
          <w:rFonts w:ascii="Times New Roman" w:eastAsia="Times New Roman" w:hAnsi="Times New Roman" w:cs="Times New Roman"/>
          <w:noProof/>
          <w:sz w:val="24"/>
          <w:szCs w:val="24"/>
          <w:lang w:eastAsia="lv-LV"/>
        </w:rPr>
        <w:t>pasākumi</w:t>
      </w:r>
      <w:r w:rsidRPr="00A33442">
        <w:rPr>
          <w:rFonts w:ascii="Times New Roman" w:eastAsia="Times New Roman" w:hAnsi="Times New Roman" w:cs="Times New Roman"/>
          <w:iCs/>
          <w:sz w:val="24"/>
          <w:szCs w:val="20"/>
        </w:rPr>
        <w:t>.</w:t>
      </w:r>
    </w:p>
    <w:p w:rsidR="00747DC7" w:rsidRPr="00A33442" w:rsidRDefault="00747DC7" w:rsidP="008B6A68">
      <w:pPr>
        <w:spacing w:before="120" w:after="120" w:line="240" w:lineRule="auto"/>
        <w:ind w:firstLine="709"/>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Sociālās apdrošināšanas iemaksas</w:t>
      </w:r>
      <w:r w:rsidRPr="00A33442">
        <w:rPr>
          <w:rFonts w:ascii="Times New Roman" w:eastAsia="Times New Roman" w:hAnsi="Times New Roman" w:cs="Times New Roman"/>
          <w:b/>
          <w:sz w:val="24"/>
          <w:szCs w:val="24"/>
          <w:vertAlign w:val="superscript"/>
        </w:rPr>
        <w:footnoteReference w:id="33"/>
      </w:r>
    </w:p>
    <w:p w:rsidR="00747DC7" w:rsidRPr="00A33442" w:rsidRDefault="00747DC7" w:rsidP="00BD7D5E">
      <w:pPr>
        <w:spacing w:after="0" w:line="240" w:lineRule="auto"/>
        <w:ind w:firstLine="709"/>
        <w:contextualSpacing/>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4"/>
        </w:rPr>
        <w:t xml:space="preserve">Valsts sociālās apdrošināšanas obligāto iemaksu griesti ar 2018.gadu ir mainīti no 52 400 </w:t>
      </w:r>
      <w:r w:rsidRPr="00A33442">
        <w:rPr>
          <w:rFonts w:ascii="Times New Roman" w:eastAsia="Times New Roman" w:hAnsi="Times New Roman" w:cs="Times New Roman"/>
          <w:i/>
          <w:sz w:val="24"/>
          <w:szCs w:val="24"/>
        </w:rPr>
        <w:t>euro</w:t>
      </w:r>
      <w:r w:rsidR="00BD7D5E">
        <w:rPr>
          <w:rFonts w:ascii="Times New Roman" w:eastAsia="Times New Roman" w:hAnsi="Times New Roman" w:cs="Times New Roman"/>
          <w:sz w:val="24"/>
          <w:szCs w:val="24"/>
        </w:rPr>
        <w:t xml:space="preserve"> uz 55 000 </w:t>
      </w:r>
      <w:r w:rsidRPr="00A33442">
        <w:rPr>
          <w:rFonts w:ascii="Times New Roman" w:eastAsia="Times New Roman" w:hAnsi="Times New Roman" w:cs="Times New Roman"/>
          <w:i/>
          <w:sz w:val="24"/>
          <w:szCs w:val="24"/>
        </w:rPr>
        <w:t xml:space="preserve">euro </w:t>
      </w:r>
      <w:r w:rsidRPr="00A33442">
        <w:rPr>
          <w:rFonts w:ascii="Times New Roman" w:eastAsia="Times New Roman" w:hAnsi="Times New Roman" w:cs="Times New Roman"/>
          <w:sz w:val="24"/>
          <w:szCs w:val="24"/>
        </w:rPr>
        <w:t>gadā</w:t>
      </w:r>
      <w:r w:rsidRPr="00A33442">
        <w:rPr>
          <w:rFonts w:ascii="Times New Roman" w:eastAsia="Times New Roman" w:hAnsi="Times New Roman" w:cs="Times New Roman"/>
          <w:i/>
          <w:sz w:val="24"/>
          <w:szCs w:val="24"/>
        </w:rPr>
        <w:t>.</w:t>
      </w:r>
      <w:r w:rsidRPr="00A33442">
        <w:rPr>
          <w:rFonts w:ascii="Times New Roman" w:eastAsia="Times New Roman" w:hAnsi="Times New Roman" w:cs="Times New Roman"/>
          <w:sz w:val="24"/>
          <w:szCs w:val="20"/>
        </w:rPr>
        <w:t xml:space="preserve"> </w:t>
      </w:r>
      <w:r w:rsidRPr="00A33442">
        <w:rPr>
          <w:rFonts w:ascii="Times New Roman" w:hAnsi="Times New Roman" w:cs="Times New Roman"/>
          <w:sz w:val="24"/>
          <w:szCs w:val="24"/>
        </w:rPr>
        <w:t xml:space="preserve">Tāpat ar 2018.gadu valsts sociālās apdrošināšanas likme paaugstināta no 34,09% uz 35,09%, šo procentpunktu novirzot valsts pamatbudžetā veselības finansēšanai, </w:t>
      </w:r>
      <w:r w:rsidRPr="00A33442">
        <w:rPr>
          <w:rFonts w:ascii="Times New Roman" w:eastAsia="Times New Roman" w:hAnsi="Times New Roman" w:cs="Times New Roman"/>
          <w:sz w:val="24"/>
          <w:szCs w:val="24"/>
        </w:rPr>
        <w:t xml:space="preserve">nodrošinot apmaksājamus veselības aprūpes pakalpojumus no valsts budžeta </w:t>
      </w:r>
      <w:r w:rsidRPr="00A33442">
        <w:rPr>
          <w:rFonts w:ascii="Times New Roman" w:eastAsia="Times New Roman" w:hAnsi="Times New Roman" w:cs="Times New Roman"/>
          <w:sz w:val="24"/>
          <w:szCs w:val="24"/>
        </w:rPr>
        <w:lastRenderedPageBreak/>
        <w:t>līdzekļiem apdrošinātajām personām. Iemaksu valsts fondēto pensiju shēmā likme saglabājas nemainīga, sastādot 6 procentpunktus no kopējās VSAOI likmes.</w:t>
      </w:r>
    </w:p>
    <w:p w:rsidR="00747DC7" w:rsidRPr="00A33442" w:rsidRDefault="00747DC7" w:rsidP="00BD7D5E">
      <w:pPr>
        <w:spacing w:after="0" w:line="240" w:lineRule="auto"/>
        <w:ind w:firstLine="709"/>
        <w:jc w:val="both"/>
        <w:rPr>
          <w:rFonts w:ascii="Times New Roman" w:eastAsia="Times New Roman" w:hAnsi="Times New Roman" w:cs="Times New Roman"/>
          <w:iCs/>
          <w:vanish/>
          <w:sz w:val="24"/>
          <w:szCs w:val="20"/>
        </w:rPr>
      </w:pPr>
      <w:r w:rsidRPr="00A33442">
        <w:rPr>
          <w:rFonts w:ascii="Times New Roman" w:eastAsia="Times New Roman" w:hAnsi="Times New Roman" w:cs="Times New Roman"/>
          <w:iCs/>
          <w:sz w:val="24"/>
          <w:szCs w:val="20"/>
        </w:rPr>
        <w:t xml:space="preserve">Vidēja termiņa sociālās apdrošināšanas iemaksu ieņēmumu dinamiku noteiks ne tikai prognozētais darba samaksas fonda pieaugums, bet arī </w:t>
      </w: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w:t>
      </w:r>
      <w:r w:rsidRPr="00A33442">
        <w:rPr>
          <w:rFonts w:ascii="Times New Roman" w:eastAsia="Times New Roman" w:hAnsi="Times New Roman" w:cs="Times New Roman"/>
          <w:noProof/>
          <w:sz w:val="24"/>
          <w:szCs w:val="24"/>
          <w:lang w:eastAsia="lv-LV"/>
        </w:rPr>
        <w:t>pasākumi</w:t>
      </w:r>
      <w:r w:rsidRPr="00A33442">
        <w:rPr>
          <w:rFonts w:ascii="Times New Roman" w:eastAsia="Times New Roman" w:hAnsi="Times New Roman" w:cs="Times New Roman"/>
          <w:iCs/>
          <w:sz w:val="24"/>
          <w:szCs w:val="20"/>
        </w:rPr>
        <w:t>.</w:t>
      </w:r>
      <w:r w:rsidRPr="00A33442">
        <w:rPr>
          <w:rFonts w:ascii="Garamond" w:eastAsia="Times New Roman" w:hAnsi="Garamond" w:cs="Times New Roman"/>
          <w:iCs/>
          <w:sz w:val="20"/>
          <w:szCs w:val="20"/>
          <w:vertAlign w:val="superscript"/>
        </w:rPr>
        <w:t xml:space="preserve"> </w:t>
      </w:r>
    </w:p>
    <w:p w:rsidR="00747DC7" w:rsidRPr="00A33442" w:rsidRDefault="00747DC7" w:rsidP="00BD7D5E">
      <w:pPr>
        <w:spacing w:after="0" w:line="240" w:lineRule="auto"/>
        <w:ind w:firstLine="567"/>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0"/>
        </w:rPr>
        <w:t xml:space="preserve">Būtiskākās likumdošanas izmaiņas 2018.gadā, kas ietekmē </w:t>
      </w:r>
      <w:r w:rsidRPr="00A33442">
        <w:rPr>
          <w:rFonts w:ascii="Times New Roman" w:eastAsia="Times New Roman" w:hAnsi="Times New Roman" w:cs="Times New Roman"/>
          <w:iCs/>
          <w:sz w:val="24"/>
          <w:szCs w:val="20"/>
        </w:rPr>
        <w:t>sociālās apdrošināšanas iemaksu ieņēmumus</w:t>
      </w:r>
      <w:r w:rsidRPr="00A33442">
        <w:rPr>
          <w:rFonts w:ascii="Times New Roman" w:eastAsia="Times New Roman" w:hAnsi="Times New Roman" w:cs="Times New Roman"/>
          <w:sz w:val="24"/>
          <w:szCs w:val="24"/>
        </w:rPr>
        <w:t>:</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sz w:val="24"/>
          <w:szCs w:val="24"/>
          <w:lang w:eastAsia="lv-LV"/>
        </w:rPr>
      </w:pPr>
      <w:r w:rsidRPr="00A33442">
        <w:rPr>
          <w:rFonts w:ascii="Times New Roman" w:eastAsia="Times New Roman" w:hAnsi="Times New Roman" w:cs="Times New Roman"/>
          <w:sz w:val="24"/>
          <w:szCs w:val="24"/>
          <w:lang w:eastAsia="lv-LV"/>
        </w:rPr>
        <w:t xml:space="preserve">mēneša minimālās darba algas palielināšana no 380 </w:t>
      </w:r>
      <w:r w:rsidRPr="00A33442">
        <w:rPr>
          <w:rFonts w:ascii="Times New Roman" w:eastAsia="Times New Roman" w:hAnsi="Times New Roman" w:cs="Times New Roman"/>
          <w:i/>
          <w:sz w:val="24"/>
          <w:szCs w:val="24"/>
          <w:lang w:eastAsia="lv-LV"/>
        </w:rPr>
        <w:t>euro</w:t>
      </w:r>
      <w:r w:rsidRPr="00A33442">
        <w:rPr>
          <w:rFonts w:ascii="Times New Roman" w:eastAsia="Times New Roman" w:hAnsi="Times New Roman" w:cs="Times New Roman"/>
          <w:sz w:val="24"/>
          <w:szCs w:val="24"/>
          <w:lang w:eastAsia="lv-LV"/>
        </w:rPr>
        <w:t xml:space="preserve"> līdz 430 </w:t>
      </w:r>
      <w:r w:rsidRPr="00A33442">
        <w:rPr>
          <w:rFonts w:ascii="Times New Roman" w:eastAsia="Times New Roman" w:hAnsi="Times New Roman" w:cs="Times New Roman"/>
          <w:i/>
          <w:sz w:val="24"/>
          <w:szCs w:val="24"/>
          <w:lang w:eastAsia="lv-LV"/>
        </w:rPr>
        <w:t>euro</w:t>
      </w:r>
      <w:r w:rsidRPr="00A33442">
        <w:rPr>
          <w:rFonts w:ascii="Times New Roman" w:eastAsia="Times New Roman" w:hAnsi="Times New Roman" w:cs="Times New Roman"/>
          <w:sz w:val="24"/>
          <w:szCs w:val="24"/>
          <w:lang w:eastAsia="lv-LV"/>
        </w:rPr>
        <w:t>;</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sz w:val="24"/>
          <w:szCs w:val="24"/>
          <w:lang w:eastAsia="lv-LV"/>
        </w:rPr>
      </w:pPr>
      <w:r w:rsidRPr="00A33442">
        <w:rPr>
          <w:rFonts w:ascii="Times New Roman" w:eastAsia="Times New Roman" w:hAnsi="Times New Roman" w:cs="Times New Roman"/>
          <w:sz w:val="24"/>
          <w:szCs w:val="24"/>
          <w:lang w:eastAsia="lv-LV"/>
        </w:rPr>
        <w:t xml:space="preserve">IIN likmju izlīdzināšana, uzlabojot patentmaksas režīmu un nosakot valsts sociālās apdrošināšanas obligātās iemaksas vismaz 5% apmērā līdz un virs pašnodarbināto apliekamajam ienākumam, kas ar 2018.gadu būs 430 </w:t>
      </w:r>
      <w:r w:rsidRPr="00A33442">
        <w:rPr>
          <w:rFonts w:ascii="Times New Roman" w:eastAsia="Times New Roman" w:hAnsi="Times New Roman" w:cs="Times New Roman"/>
          <w:i/>
          <w:sz w:val="24"/>
          <w:szCs w:val="24"/>
          <w:lang w:eastAsia="lv-LV"/>
        </w:rPr>
        <w:t>euro</w:t>
      </w:r>
      <w:r w:rsidRPr="00A33442">
        <w:rPr>
          <w:rFonts w:ascii="Times New Roman" w:eastAsia="Times New Roman" w:hAnsi="Times New Roman" w:cs="Times New Roman"/>
          <w:sz w:val="24"/>
          <w:szCs w:val="24"/>
          <w:lang w:eastAsia="lv-LV"/>
        </w:rPr>
        <w:t>;</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lang w:eastAsia="lv-LV"/>
        </w:rPr>
        <w:t>valsts sociālās apdrošināšanas obligāto iemaksu noteikšana ienākumiem no autoratlīdzībām vismaz 5% apmērā</w:t>
      </w:r>
      <w:r w:rsidRPr="00A33442">
        <w:rPr>
          <w:rFonts w:ascii="Times New Roman" w:eastAsia="Times New Roman" w:hAnsi="Times New Roman" w:cs="Times New Roman"/>
          <w:sz w:val="24"/>
          <w:szCs w:val="24"/>
        </w:rPr>
        <w:t>;</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sz w:val="24"/>
          <w:szCs w:val="24"/>
          <w:lang w:eastAsia="lv-LV"/>
        </w:rPr>
      </w:pPr>
      <w:r w:rsidRPr="00A33442">
        <w:rPr>
          <w:rFonts w:ascii="Times New Roman" w:eastAsia="Times New Roman" w:hAnsi="Times New Roman" w:cs="Times New Roman"/>
          <w:sz w:val="24"/>
          <w:szCs w:val="24"/>
          <w:lang w:eastAsia="lv-LV"/>
        </w:rPr>
        <w:t>atgriezeniskais efekts, ko rada aplokšņu algu samazināšanās, paplašinot pievienotās vērtības nodokļa reverso maksāšanas kārtību, to ieviešot būvmateriālu, metālu un sadzīves tehnikas piegādēm;</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sz w:val="24"/>
          <w:szCs w:val="24"/>
          <w:lang w:eastAsia="lv-LV"/>
        </w:rPr>
      </w:pPr>
      <w:r w:rsidRPr="00A33442">
        <w:rPr>
          <w:rFonts w:ascii="Times New Roman" w:eastAsia="Times New Roman" w:hAnsi="Times New Roman" w:cs="Times New Roman"/>
          <w:sz w:val="24"/>
          <w:szCs w:val="24"/>
          <w:lang w:eastAsia="lv-LV"/>
        </w:rPr>
        <w:t xml:space="preserve">mikrouzņēmumu darbības sliekšņa ierobežošana līdz 40 000 </w:t>
      </w:r>
      <w:r w:rsidRPr="00A33442">
        <w:rPr>
          <w:rFonts w:ascii="Times New Roman" w:eastAsia="Times New Roman" w:hAnsi="Times New Roman" w:cs="Times New Roman"/>
          <w:i/>
          <w:sz w:val="24"/>
          <w:szCs w:val="24"/>
        </w:rPr>
        <w:t>euro</w:t>
      </w:r>
      <w:r w:rsidRPr="00A33442">
        <w:rPr>
          <w:rFonts w:ascii="Times New Roman" w:eastAsia="Times New Roman" w:hAnsi="Times New Roman" w:cs="Times New Roman"/>
          <w:sz w:val="24"/>
          <w:szCs w:val="24"/>
        </w:rPr>
        <w:t xml:space="preserve"> apgrozījumam gadā</w:t>
      </w:r>
      <w:r w:rsidRPr="00A33442">
        <w:rPr>
          <w:rFonts w:ascii="Times New Roman" w:eastAsia="Times New Roman" w:hAnsi="Times New Roman" w:cs="Times New Roman"/>
          <w:sz w:val="24"/>
          <w:szCs w:val="24"/>
          <w:lang w:eastAsia="lv-LV"/>
        </w:rPr>
        <w:t>;</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sz w:val="24"/>
          <w:szCs w:val="24"/>
          <w:lang w:eastAsia="lv-LV"/>
        </w:rPr>
      </w:pPr>
      <w:r w:rsidRPr="00A33442">
        <w:rPr>
          <w:rFonts w:ascii="Times New Roman" w:eastAsia="Times New Roman" w:hAnsi="Times New Roman" w:cs="Times New Roman"/>
          <w:sz w:val="24"/>
          <w:szCs w:val="24"/>
          <w:lang w:eastAsia="lv-LV"/>
        </w:rPr>
        <w:t>ēnu ekonomiku mazinošie pasākumi – ēnu apkarošana būvniecības nozarē, kā arī administrēšanas un piedziņas uzlabošana;</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i/>
          <w:sz w:val="24"/>
          <w:szCs w:val="24"/>
        </w:rPr>
      </w:pPr>
      <w:r w:rsidRPr="00A33442">
        <w:rPr>
          <w:rFonts w:ascii="Times New Roman" w:eastAsia="Times New Roman" w:hAnsi="Times New Roman" w:cs="Times New Roman"/>
          <w:sz w:val="24"/>
          <w:szCs w:val="24"/>
          <w:lang w:eastAsia="lv-LV"/>
        </w:rPr>
        <w:t>nodokļu atbalsta pasākums, kas dos iespēju bez papildus kvalificējošiem kritērijiem līdz 2 gadiem nomaksāt parādu, rezultātā dzēšot nokavējuma naudu un soda naudu.</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sz w:val="24"/>
          <w:szCs w:val="24"/>
          <w:lang w:eastAsia="lv-LV"/>
        </w:rPr>
      </w:pPr>
      <w:r w:rsidRPr="00A33442">
        <w:rPr>
          <w:rFonts w:ascii="Times New Roman" w:eastAsia="Times New Roman" w:hAnsi="Times New Roman" w:cs="Times New Roman"/>
          <w:sz w:val="24"/>
          <w:szCs w:val="24"/>
          <w:lang w:eastAsia="lv-LV"/>
        </w:rPr>
        <w:t>likuma "Par iedzīvotāju ienākuma nodokli" nodokļa pretizvairīšanās normu kritēriju precizēšana attiecībā uz autoratlīdzības saņēmējiem, kas ir nodarbināti pie autoratlīdzības izmaksātāja un saņem vismaz minimālo darba algu;</w:t>
      </w:r>
    </w:p>
    <w:p w:rsidR="00747DC7" w:rsidRPr="00A33442" w:rsidRDefault="00747DC7" w:rsidP="00BD7D5E">
      <w:pPr>
        <w:numPr>
          <w:ilvl w:val="0"/>
          <w:numId w:val="18"/>
        </w:numPr>
        <w:spacing w:after="0" w:line="240" w:lineRule="auto"/>
        <w:ind w:left="1134" w:hanging="425"/>
        <w:jc w:val="both"/>
        <w:rPr>
          <w:rFonts w:ascii="Times New Roman" w:eastAsia="Times New Roman" w:hAnsi="Times New Roman" w:cs="Times New Roman"/>
          <w:sz w:val="24"/>
          <w:szCs w:val="24"/>
          <w:lang w:eastAsia="lv-LV"/>
        </w:rPr>
      </w:pPr>
      <w:r w:rsidRPr="00A33442">
        <w:rPr>
          <w:rFonts w:ascii="Times New Roman" w:eastAsia="Times New Roman" w:hAnsi="Times New Roman" w:cs="Times New Roman"/>
          <w:color w:val="000000"/>
          <w:sz w:val="24"/>
          <w:szCs w:val="24"/>
          <w:lang w:eastAsia="lv-LV"/>
        </w:rPr>
        <w:t>solidaritātes nodokļa transformēšana VSAOI (13,59% virs noteiktajiem SOC iemaksu griestiem).</w:t>
      </w:r>
    </w:p>
    <w:p w:rsidR="00747DC7" w:rsidRPr="00A33442" w:rsidRDefault="00747DC7" w:rsidP="008B6A68">
      <w:pPr>
        <w:spacing w:before="120" w:after="0" w:line="240" w:lineRule="auto"/>
        <w:ind w:firstLine="709"/>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0"/>
        </w:rPr>
        <w:t xml:space="preserve">2018.gada </w:t>
      </w:r>
      <w:r w:rsidRPr="00A33442">
        <w:rPr>
          <w:rFonts w:ascii="Times New Roman" w:eastAsia="Times New Roman" w:hAnsi="Times New Roman" w:cs="Times New Roman"/>
          <w:iCs/>
          <w:sz w:val="24"/>
          <w:szCs w:val="20"/>
        </w:rPr>
        <w:t>sociālās apdrošināšanas iemaksu</w:t>
      </w:r>
      <w:r w:rsidRPr="00A33442">
        <w:rPr>
          <w:rFonts w:ascii="Times New Roman" w:eastAsia="Times New Roman" w:hAnsi="Times New Roman" w:cs="Times New Roman"/>
          <w:sz w:val="24"/>
          <w:szCs w:val="20"/>
        </w:rPr>
        <w:t xml:space="preserve"> ieņēmumus ietekmē arī </w:t>
      </w:r>
      <w:r w:rsidRPr="00A33442">
        <w:rPr>
          <w:rFonts w:ascii="Times New Roman" w:eastAsia="Times New Roman" w:hAnsi="Times New Roman" w:cs="Times New Roman"/>
          <w:sz w:val="24"/>
          <w:szCs w:val="24"/>
        </w:rPr>
        <w:t>iepriekšējos gados pieņemtās likumdošanas izmaiņas:</w:t>
      </w:r>
    </w:p>
    <w:p w:rsidR="00747DC7" w:rsidRPr="00A33442" w:rsidRDefault="00747DC7" w:rsidP="00BD7D5E">
      <w:pPr>
        <w:numPr>
          <w:ilvl w:val="0"/>
          <w:numId w:val="5"/>
        </w:numPr>
        <w:spacing w:after="0" w:line="240" w:lineRule="auto"/>
        <w:ind w:left="1134"/>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mēneša minimālā valsts sociālās apdrošināšanas obligāto iemaksu objekta noteikšana ar 2017.gadu;</w:t>
      </w:r>
    </w:p>
    <w:p w:rsidR="00747DC7" w:rsidRPr="00A33442" w:rsidRDefault="00747DC7" w:rsidP="00BD7D5E">
      <w:pPr>
        <w:numPr>
          <w:ilvl w:val="0"/>
          <w:numId w:val="5"/>
        </w:numPr>
        <w:spacing w:after="0" w:line="240" w:lineRule="auto"/>
        <w:ind w:left="1134"/>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mēneša minimālā valsts sociālās apdrošināšanas obligāto iemaksu objekta noteikšanas ar 2017.gadu atcelšana;</w:t>
      </w:r>
    </w:p>
    <w:p w:rsidR="00747DC7" w:rsidRPr="00A33442" w:rsidRDefault="00747DC7" w:rsidP="00BD7D5E">
      <w:pPr>
        <w:numPr>
          <w:ilvl w:val="0"/>
          <w:numId w:val="5"/>
        </w:numPr>
        <w:spacing w:after="0" w:line="240" w:lineRule="auto"/>
        <w:ind w:left="1134"/>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0"/>
        </w:rPr>
        <w:t>mikrouzņēmuma nodokļa likmju izmaiņas.</w:t>
      </w:r>
    </w:p>
    <w:p w:rsidR="00747DC7" w:rsidRPr="00A33442" w:rsidRDefault="00747DC7" w:rsidP="00736241">
      <w:pPr>
        <w:keepNext/>
        <w:spacing w:before="240" w:after="6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6.11.tabula. Nodokļu politikas izmaiņu ietekme uz sociālās apdrošināšanas iemaksu ieņēmumiem</w:t>
      </w:r>
      <w:r w:rsidRPr="00A33442">
        <w:rPr>
          <w:rFonts w:ascii="Times New Roman" w:eastAsia="Times New Roman" w:hAnsi="Times New Roman" w:cs="Times New Roman"/>
          <w:b/>
          <w:sz w:val="20"/>
          <w:szCs w:val="20"/>
          <w:vertAlign w:val="superscript"/>
        </w:rPr>
        <w:footnoteReference w:id="34"/>
      </w:r>
      <w:r w:rsidRPr="00A33442">
        <w:rPr>
          <w:rFonts w:ascii="Times New Roman" w:eastAsia="Times New Roman" w:hAnsi="Times New Roman" w:cs="Times New Roman"/>
          <w:b/>
          <w:sz w:val="24"/>
          <w:szCs w:val="20"/>
        </w:rPr>
        <w:t>, milj.</w:t>
      </w:r>
      <w:r w:rsidR="00BD7D5E">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0"/>
        </w:rPr>
        <w:t>euro</w:t>
      </w:r>
    </w:p>
    <w:tbl>
      <w:tblPr>
        <w:tblStyle w:val="GridTable6Colorful-Accent11"/>
        <w:tblW w:w="8624" w:type="dxa"/>
        <w:jc w:val="center"/>
        <w:tblLayout w:type="fixed"/>
        <w:tblLook w:val="04A0" w:firstRow="1" w:lastRow="0" w:firstColumn="1" w:lastColumn="0" w:noHBand="0" w:noVBand="1"/>
      </w:tblPr>
      <w:tblGrid>
        <w:gridCol w:w="5795"/>
        <w:gridCol w:w="990"/>
        <w:gridCol w:w="991"/>
        <w:gridCol w:w="848"/>
      </w:tblGrid>
      <w:tr w:rsidR="00747DC7" w:rsidRPr="00A33442" w:rsidTr="00736241">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5795" w:type="dxa"/>
          </w:tcPr>
          <w:p w:rsidR="00747DC7" w:rsidRPr="00A33442" w:rsidRDefault="00747DC7" w:rsidP="00394438">
            <w:pPr>
              <w:jc w:val="both"/>
              <w:rPr>
                <w:rFonts w:ascii="Times New Roman" w:eastAsia="Times New Roman" w:hAnsi="Times New Roman" w:cs="Times New Roman"/>
                <w:color w:val="auto"/>
                <w:sz w:val="20"/>
                <w:szCs w:val="20"/>
              </w:rPr>
            </w:pPr>
          </w:p>
        </w:tc>
        <w:tc>
          <w:tcPr>
            <w:tcW w:w="990" w:type="dxa"/>
            <w:vAlign w:val="center"/>
          </w:tcPr>
          <w:p w:rsidR="00747DC7" w:rsidRPr="00A33442" w:rsidRDefault="00747DC7" w:rsidP="00736241">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2018</w:t>
            </w:r>
          </w:p>
        </w:tc>
        <w:tc>
          <w:tcPr>
            <w:tcW w:w="991" w:type="dxa"/>
            <w:vAlign w:val="center"/>
          </w:tcPr>
          <w:p w:rsidR="00747DC7" w:rsidRPr="00A33442" w:rsidRDefault="00747DC7" w:rsidP="00736241">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2019</w:t>
            </w:r>
          </w:p>
        </w:tc>
        <w:tc>
          <w:tcPr>
            <w:tcW w:w="848" w:type="dxa"/>
            <w:vAlign w:val="center"/>
          </w:tcPr>
          <w:p w:rsidR="00747DC7" w:rsidRPr="00A33442" w:rsidRDefault="00747DC7" w:rsidP="00736241">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2020</w:t>
            </w:r>
          </w:p>
        </w:tc>
      </w:tr>
      <w:tr w:rsidR="00747DC7" w:rsidRPr="00A33442" w:rsidTr="0073624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Mēneša minimālā VS</w:t>
            </w:r>
            <w:r w:rsidR="00BD7D5E">
              <w:rPr>
                <w:rFonts w:ascii="Times New Roman" w:eastAsia="Times New Roman" w:hAnsi="Times New Roman" w:cs="Times New Roman"/>
                <w:b w:val="0"/>
                <w:color w:val="auto"/>
                <w:sz w:val="20"/>
                <w:szCs w:val="20"/>
              </w:rPr>
              <w:t>AOI objekta noteikšana ar 2017.</w:t>
            </w:r>
            <w:r w:rsidRPr="00A33442">
              <w:rPr>
                <w:rFonts w:ascii="Times New Roman" w:eastAsia="Times New Roman" w:hAnsi="Times New Roman" w:cs="Times New Roman"/>
                <w:b w:val="0"/>
                <w:color w:val="auto"/>
                <w:sz w:val="20"/>
                <w:szCs w:val="20"/>
              </w:rPr>
              <w:t>gadu</w:t>
            </w:r>
          </w:p>
        </w:tc>
        <w:tc>
          <w:tcPr>
            <w:tcW w:w="990"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+21,7</w:t>
            </w:r>
          </w:p>
        </w:tc>
        <w:tc>
          <w:tcPr>
            <w:tcW w:w="991"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MUN likmes izmaiņas</w:t>
            </w:r>
          </w:p>
        </w:tc>
        <w:tc>
          <w:tcPr>
            <w:tcW w:w="990"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+20,0</w:t>
            </w:r>
          </w:p>
        </w:tc>
        <w:tc>
          <w:tcPr>
            <w:tcW w:w="991"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Darba ņēmēja un darba devēja pārskata mēneša minimālā VSAOI objekta noteikšanu, sākot ar 2017.gadu atcelšana</w:t>
            </w:r>
          </w:p>
        </w:tc>
        <w:tc>
          <w:tcPr>
            <w:tcW w:w="990"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-40,8</w:t>
            </w:r>
          </w:p>
        </w:tc>
        <w:tc>
          <w:tcPr>
            <w:tcW w:w="991"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lang w:eastAsia="lv-LV"/>
              </w:rPr>
              <w:t>Mēneša minimālās darba algas palielināšana</w:t>
            </w:r>
          </w:p>
        </w:tc>
        <w:tc>
          <w:tcPr>
            <w:tcW w:w="990"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+20,0</w:t>
            </w:r>
          </w:p>
        </w:tc>
        <w:tc>
          <w:tcPr>
            <w:tcW w:w="991"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lastRenderedPageBreak/>
              <w:t>IIN likmju izlīdzināšana patentmaksām</w:t>
            </w:r>
          </w:p>
        </w:tc>
        <w:tc>
          <w:tcPr>
            <w:tcW w:w="990"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+0,7</w:t>
            </w:r>
          </w:p>
        </w:tc>
        <w:tc>
          <w:tcPr>
            <w:tcW w:w="991"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IIN likmju izlīdzināšana saimnieciskās darbības veicējiem</w:t>
            </w:r>
          </w:p>
        </w:tc>
        <w:tc>
          <w:tcPr>
            <w:tcW w:w="990"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+7,0</w:t>
            </w:r>
          </w:p>
        </w:tc>
        <w:tc>
          <w:tcPr>
            <w:tcW w:w="991"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PVN reversa paplašināšana</w:t>
            </w:r>
          </w:p>
        </w:tc>
        <w:tc>
          <w:tcPr>
            <w:tcW w:w="990"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+13,3</w:t>
            </w:r>
          </w:p>
        </w:tc>
        <w:tc>
          <w:tcPr>
            <w:tcW w:w="991"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Ierobežot MU darbības slieksni līdz 40</w:t>
            </w:r>
            <w:r w:rsidR="00BD7D5E">
              <w:rPr>
                <w:rFonts w:ascii="Times New Roman" w:hAnsi="Times New Roman" w:cs="Times New Roman"/>
                <w:color w:val="auto"/>
                <w:sz w:val="20"/>
                <w:szCs w:val="20"/>
              </w:rPr>
              <w:t> </w:t>
            </w:r>
            <w:r w:rsidRPr="00A33442">
              <w:rPr>
                <w:rFonts w:ascii="Times New Roman" w:eastAsia="Times New Roman" w:hAnsi="Times New Roman" w:cs="Times New Roman"/>
                <w:b w:val="0"/>
                <w:color w:val="auto"/>
                <w:sz w:val="20"/>
                <w:szCs w:val="20"/>
              </w:rPr>
              <w:t>000</w:t>
            </w:r>
            <w:r w:rsidRPr="00633484">
              <w:rPr>
                <w:rFonts w:ascii="Times New Roman" w:eastAsia="Times New Roman" w:hAnsi="Times New Roman" w:cs="Times New Roman"/>
                <w:b w:val="0"/>
                <w:i/>
                <w:color w:val="auto"/>
                <w:sz w:val="20"/>
                <w:szCs w:val="20"/>
              </w:rPr>
              <w:t xml:space="preserve"> euro</w:t>
            </w:r>
            <w:r w:rsidRPr="00A33442">
              <w:rPr>
                <w:rFonts w:ascii="Times New Roman" w:eastAsia="Times New Roman" w:hAnsi="Times New Roman" w:cs="Times New Roman"/>
                <w:b w:val="0"/>
                <w:color w:val="auto"/>
                <w:sz w:val="20"/>
                <w:szCs w:val="20"/>
              </w:rPr>
              <w:t xml:space="preserve"> gadā</w:t>
            </w:r>
          </w:p>
        </w:tc>
        <w:tc>
          <w:tcPr>
            <w:tcW w:w="990"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+7,2</w:t>
            </w:r>
          </w:p>
        </w:tc>
        <w:tc>
          <w:tcPr>
            <w:tcW w:w="991"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 xml:space="preserve">Solidaritātes nodokļa transformācija </w:t>
            </w:r>
          </w:p>
        </w:tc>
        <w:tc>
          <w:tcPr>
            <w:tcW w:w="990"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+12,8</w:t>
            </w:r>
          </w:p>
        </w:tc>
        <w:tc>
          <w:tcPr>
            <w:tcW w:w="991"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+12,5</w:t>
            </w:r>
          </w:p>
        </w:tc>
        <w:tc>
          <w:tcPr>
            <w:tcW w:w="848"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VSAOI piemērošana autoratlīdzībām</w:t>
            </w:r>
          </w:p>
        </w:tc>
        <w:tc>
          <w:tcPr>
            <w:tcW w:w="990"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+2,2</w:t>
            </w:r>
          </w:p>
        </w:tc>
        <w:tc>
          <w:tcPr>
            <w:tcW w:w="991"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Ēnu ekonomiku mazinošie pasākumi - administrēšanas un piedziņas uzlabošana</w:t>
            </w:r>
          </w:p>
        </w:tc>
        <w:tc>
          <w:tcPr>
            <w:tcW w:w="990"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+3,3</w:t>
            </w:r>
          </w:p>
        </w:tc>
        <w:tc>
          <w:tcPr>
            <w:tcW w:w="991"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Ēnu ekonomiku mazinošie pasākumi būvniecības nozarē</w:t>
            </w:r>
          </w:p>
        </w:tc>
        <w:tc>
          <w:tcPr>
            <w:tcW w:w="990"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+7,4</w:t>
            </w:r>
          </w:p>
        </w:tc>
        <w:tc>
          <w:tcPr>
            <w:tcW w:w="991"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Iespēja laikā līdz 2 gadiem nomaksāt parādu, rezultātā dzēšot nokavējuma naudu un soda naudu</w:t>
            </w:r>
          </w:p>
        </w:tc>
        <w:tc>
          <w:tcPr>
            <w:tcW w:w="990"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+5,0</w:t>
            </w:r>
          </w:p>
        </w:tc>
        <w:tc>
          <w:tcPr>
            <w:tcW w:w="991"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-3,7</w:t>
            </w:r>
          </w:p>
        </w:tc>
      </w:tr>
      <w:tr w:rsidR="00747DC7" w:rsidRPr="00A33442" w:rsidTr="00736241">
        <w:trPr>
          <w:trHeight w:val="397"/>
          <w:jc w:val="center"/>
        </w:trPr>
        <w:tc>
          <w:tcPr>
            <w:cnfStyle w:val="001000000000" w:firstRow="0" w:lastRow="0" w:firstColumn="1" w:lastColumn="0" w:oddVBand="0" w:evenVBand="0" w:oddHBand="0" w:evenHBand="0" w:firstRowFirstColumn="0" w:firstRowLastColumn="0" w:lastRowFirstColumn="0" w:lastRowLastColumn="0"/>
            <w:tcW w:w="5795" w:type="dxa"/>
            <w:vAlign w:val="center"/>
          </w:tcPr>
          <w:p w:rsidR="00747DC7" w:rsidRPr="00A33442" w:rsidRDefault="00747DC7" w:rsidP="00394438">
            <w:pPr>
              <w:jc w:val="both"/>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IIN pretizvairīšanās normu kritēriju precizēšana attiecībā uz autoratlīdzības saņēmējiem</w:t>
            </w:r>
          </w:p>
        </w:tc>
        <w:tc>
          <w:tcPr>
            <w:tcW w:w="990"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+0,1</w:t>
            </w:r>
          </w:p>
        </w:tc>
        <w:tc>
          <w:tcPr>
            <w:tcW w:w="991"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48" w:type="dxa"/>
            <w:vAlign w:val="center"/>
          </w:tcPr>
          <w:p w:rsidR="00747DC7" w:rsidRPr="00A33442" w:rsidRDefault="00747DC7" w:rsidP="00736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747DC7" w:rsidRPr="00A33442" w:rsidTr="00736241">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5795" w:type="dxa"/>
          </w:tcPr>
          <w:p w:rsidR="00747DC7" w:rsidRPr="00A33442" w:rsidRDefault="00747DC7" w:rsidP="00394438">
            <w:pPr>
              <w:jc w:val="both"/>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Izmaiņu ietekme kopā:</w:t>
            </w:r>
          </w:p>
        </w:tc>
        <w:tc>
          <w:tcPr>
            <w:tcW w:w="990"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+79,8</w:t>
            </w:r>
          </w:p>
        </w:tc>
        <w:tc>
          <w:tcPr>
            <w:tcW w:w="991"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+12,5</w:t>
            </w:r>
          </w:p>
        </w:tc>
        <w:tc>
          <w:tcPr>
            <w:tcW w:w="848" w:type="dxa"/>
            <w:vAlign w:val="center"/>
          </w:tcPr>
          <w:p w:rsidR="00747DC7" w:rsidRPr="00A33442" w:rsidRDefault="00747DC7" w:rsidP="00736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rPr>
            </w:pPr>
            <w:r w:rsidRPr="00A33442">
              <w:rPr>
                <w:rFonts w:ascii="Times New Roman" w:eastAsia="Times New Roman" w:hAnsi="Times New Roman" w:cs="Times New Roman"/>
                <w:b/>
                <w:color w:val="auto"/>
                <w:sz w:val="20"/>
                <w:szCs w:val="20"/>
              </w:rPr>
              <w:t>-3,7</w:t>
            </w:r>
          </w:p>
        </w:tc>
      </w:tr>
    </w:tbl>
    <w:p w:rsidR="00747DC7" w:rsidRPr="00A33442" w:rsidRDefault="00747DC7" w:rsidP="008B6A68">
      <w:pPr>
        <w:spacing w:before="240" w:after="120" w:line="240" w:lineRule="auto"/>
        <w:ind w:firstLine="709"/>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Izložu un azartspēļu nodoklis</w:t>
      </w:r>
    </w:p>
    <w:p w:rsidR="00747DC7" w:rsidRPr="00A33442" w:rsidRDefault="00747DC7" w:rsidP="001C4ED3">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Izložu un azartspēļu nodokli</w:t>
      </w:r>
      <w:r w:rsidRPr="00A33442">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sz w:val="24"/>
          <w:szCs w:val="20"/>
        </w:rPr>
        <w:t xml:space="preserve">maksā uzņēmumi, kas likumā „Par izložu un azartspēļu nodevu un nodokli” noteiktajā kārtībā saņēmuši speciālu atļauju izložu un azartspēļu organizēšanai un uzturēšanai. </w:t>
      </w:r>
    </w:p>
    <w:p w:rsidR="00747DC7" w:rsidRPr="00A33442" w:rsidRDefault="00394438" w:rsidP="001C4ED3">
      <w:pPr>
        <w:spacing w:after="0" w:line="240" w:lineRule="auto"/>
        <w:ind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Saskaņā ar 2017.gada 27.</w:t>
      </w:r>
      <w:r w:rsidR="00747DC7" w:rsidRPr="00A33442">
        <w:rPr>
          <w:rFonts w:ascii="Times New Roman" w:eastAsia="Times New Roman" w:hAnsi="Times New Roman" w:cs="Times New Roman"/>
          <w:sz w:val="24"/>
          <w:szCs w:val="20"/>
        </w:rPr>
        <w:t xml:space="preserve">jūlija grozījumiem likumā „Par izložu un azartspēļu nodevu un nodokli” ar 2018.gada 1.janvāri tika paaugstinātas azartspēļu nodokļa likmes par kāršu, kauliņu un ruletes galdiem no 18 000 </w:t>
      </w:r>
      <w:r w:rsidR="00747DC7" w:rsidRPr="00A33442">
        <w:rPr>
          <w:rFonts w:ascii="Times New Roman" w:eastAsia="Times New Roman" w:hAnsi="Times New Roman" w:cs="Times New Roman"/>
          <w:i/>
          <w:sz w:val="24"/>
          <w:szCs w:val="20"/>
        </w:rPr>
        <w:t>euro</w:t>
      </w:r>
      <w:r w:rsidR="00747DC7" w:rsidRPr="00A33442">
        <w:rPr>
          <w:rFonts w:ascii="Times New Roman" w:eastAsia="Times New Roman" w:hAnsi="Times New Roman" w:cs="Times New Roman"/>
          <w:sz w:val="24"/>
          <w:szCs w:val="20"/>
        </w:rPr>
        <w:t xml:space="preserve"> līdz 23</w:t>
      </w:r>
      <w:r w:rsidR="000C3005">
        <w:rPr>
          <w:rFonts w:ascii="Times New Roman" w:eastAsia="Times New Roman" w:hAnsi="Times New Roman" w:cs="Times New Roman"/>
          <w:sz w:val="24"/>
          <w:szCs w:val="20"/>
        </w:rPr>
        <w:t> </w:t>
      </w:r>
      <w:r w:rsidR="00747DC7" w:rsidRPr="00A33442">
        <w:rPr>
          <w:rFonts w:ascii="Times New Roman" w:eastAsia="Times New Roman" w:hAnsi="Times New Roman" w:cs="Times New Roman"/>
          <w:sz w:val="24"/>
          <w:szCs w:val="20"/>
        </w:rPr>
        <w:t>400</w:t>
      </w:r>
      <w:r w:rsidR="000C3005">
        <w:rPr>
          <w:rFonts w:ascii="Times New Roman" w:eastAsia="Times New Roman" w:hAnsi="Times New Roman" w:cs="Times New Roman"/>
          <w:sz w:val="24"/>
          <w:szCs w:val="20"/>
        </w:rPr>
        <w:t xml:space="preserve"> </w:t>
      </w:r>
      <w:r w:rsidR="00747DC7" w:rsidRPr="00A33442">
        <w:rPr>
          <w:rFonts w:ascii="Times New Roman" w:eastAsia="Times New Roman" w:hAnsi="Times New Roman" w:cs="Times New Roman"/>
          <w:i/>
          <w:sz w:val="24"/>
          <w:szCs w:val="20"/>
        </w:rPr>
        <w:t>euro</w:t>
      </w:r>
      <w:r w:rsidR="00747DC7" w:rsidRPr="00A33442">
        <w:rPr>
          <w:rFonts w:ascii="Times New Roman" w:eastAsia="Times New Roman" w:hAnsi="Times New Roman" w:cs="Times New Roman"/>
          <w:sz w:val="24"/>
          <w:szCs w:val="20"/>
        </w:rPr>
        <w:t xml:space="preserve"> par katru galdu, bet spēļu automātiem no 3</w:t>
      </w:r>
      <w:r w:rsidR="000C3005">
        <w:rPr>
          <w:rFonts w:ascii="Times New Roman" w:eastAsia="Times New Roman" w:hAnsi="Times New Roman" w:cs="Times New Roman"/>
          <w:sz w:val="24"/>
          <w:szCs w:val="20"/>
        </w:rPr>
        <w:t> </w:t>
      </w:r>
      <w:r w:rsidR="00747DC7" w:rsidRPr="00A33442">
        <w:rPr>
          <w:rFonts w:ascii="Times New Roman" w:eastAsia="Times New Roman" w:hAnsi="Times New Roman" w:cs="Times New Roman"/>
          <w:sz w:val="24"/>
          <w:szCs w:val="20"/>
        </w:rPr>
        <w:t>204</w:t>
      </w:r>
      <w:r w:rsidR="000C3005">
        <w:rPr>
          <w:rFonts w:ascii="Times New Roman" w:eastAsia="Times New Roman" w:hAnsi="Times New Roman" w:cs="Times New Roman"/>
          <w:sz w:val="24"/>
          <w:szCs w:val="20"/>
        </w:rPr>
        <w:t xml:space="preserve"> </w:t>
      </w:r>
      <w:r w:rsidR="00747DC7" w:rsidRPr="00633484">
        <w:rPr>
          <w:rFonts w:ascii="Times New Roman" w:eastAsia="Times New Roman" w:hAnsi="Times New Roman" w:cs="Times New Roman"/>
          <w:i/>
          <w:sz w:val="24"/>
          <w:szCs w:val="20"/>
        </w:rPr>
        <w:t>euro</w:t>
      </w:r>
      <w:r w:rsidR="00747DC7" w:rsidRPr="00A33442">
        <w:rPr>
          <w:rFonts w:ascii="Times New Roman" w:eastAsia="Times New Roman" w:hAnsi="Times New Roman" w:cs="Times New Roman"/>
          <w:sz w:val="24"/>
          <w:szCs w:val="20"/>
        </w:rPr>
        <w:t xml:space="preserve"> līdz 4</w:t>
      </w:r>
      <w:r w:rsidR="000C3005">
        <w:rPr>
          <w:rFonts w:ascii="Times New Roman" w:eastAsia="Times New Roman" w:hAnsi="Times New Roman" w:cs="Times New Roman"/>
          <w:sz w:val="24"/>
          <w:szCs w:val="20"/>
        </w:rPr>
        <w:t> </w:t>
      </w:r>
      <w:r w:rsidR="00747DC7" w:rsidRPr="00A33442">
        <w:rPr>
          <w:rFonts w:ascii="Times New Roman" w:eastAsia="Times New Roman" w:hAnsi="Times New Roman" w:cs="Times New Roman"/>
          <w:sz w:val="24"/>
          <w:szCs w:val="20"/>
        </w:rPr>
        <w:t>164</w:t>
      </w:r>
      <w:r w:rsidR="000C3005">
        <w:rPr>
          <w:rFonts w:ascii="Times New Roman" w:eastAsia="Times New Roman" w:hAnsi="Times New Roman" w:cs="Times New Roman"/>
          <w:sz w:val="24"/>
          <w:szCs w:val="20"/>
        </w:rPr>
        <w:t xml:space="preserve"> </w:t>
      </w:r>
      <w:r w:rsidR="00747DC7" w:rsidRPr="00633484">
        <w:rPr>
          <w:rFonts w:ascii="Times New Roman" w:eastAsia="Times New Roman" w:hAnsi="Times New Roman" w:cs="Times New Roman"/>
          <w:i/>
          <w:sz w:val="24"/>
          <w:szCs w:val="20"/>
        </w:rPr>
        <w:t>euro</w:t>
      </w:r>
      <w:r w:rsidR="00747DC7" w:rsidRPr="00A33442">
        <w:rPr>
          <w:rFonts w:ascii="Times New Roman" w:eastAsia="Times New Roman" w:hAnsi="Times New Roman" w:cs="Times New Roman"/>
          <w:sz w:val="24"/>
          <w:szCs w:val="20"/>
        </w:rPr>
        <w:t xml:space="preserve"> par katru spēļu automātu</w:t>
      </w:r>
      <w:r w:rsidR="000C3005">
        <w:rPr>
          <w:rFonts w:ascii="Times New Roman" w:eastAsia="Times New Roman" w:hAnsi="Times New Roman" w:cs="Times New Roman"/>
          <w:sz w:val="24"/>
          <w:szCs w:val="20"/>
        </w:rPr>
        <w:t xml:space="preserve"> (par kārtējo kalendāro gadu). </w:t>
      </w:r>
      <w:r w:rsidR="00747DC7" w:rsidRPr="00A33442">
        <w:rPr>
          <w:rFonts w:ascii="Times New Roman" w:eastAsia="Times New Roman" w:hAnsi="Times New Roman" w:cs="Times New Roman"/>
          <w:sz w:val="24"/>
          <w:szCs w:val="20"/>
        </w:rPr>
        <w:t>Papildus tam ar 2017.gada 22.novembra grozījumiem likumā „Par izložu u</w:t>
      </w:r>
      <w:r w:rsidR="000C3005">
        <w:rPr>
          <w:rFonts w:ascii="Times New Roman" w:eastAsia="Times New Roman" w:hAnsi="Times New Roman" w:cs="Times New Roman"/>
          <w:sz w:val="24"/>
          <w:szCs w:val="20"/>
        </w:rPr>
        <w:t>n azartspēļu nodevu un nodokli”</w:t>
      </w:r>
      <w:r w:rsidR="00747DC7" w:rsidRPr="00A33442">
        <w:rPr>
          <w:rFonts w:ascii="Times New Roman" w:eastAsia="Times New Roman" w:hAnsi="Times New Roman" w:cs="Times New Roman"/>
          <w:sz w:val="24"/>
          <w:szCs w:val="20"/>
        </w:rPr>
        <w:t xml:space="preserve"> tika mainīts azartspēļu nodokļa ieņēmumu sadalījums starp budžetiem, ienākumus no azartspēļu nodokļa par azartspēlēm, ko organizē izmantojot telekomunikācijas, neatkarīgi no spēles veida ieskaitot valsts pamatbudžetā.</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p>
    <w:p w:rsidR="00747DC7" w:rsidRPr="00A33442" w:rsidRDefault="00747DC7" w:rsidP="00FA4B10">
      <w:pPr>
        <w:keepNext/>
        <w:spacing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6.12.tabula. Nodokļu politikas izmaiņu ietekme uz izložu un azartspēļu nodokļa ieņēmumiem, milj.</w:t>
      </w:r>
      <w:r w:rsidR="00BD7D5E">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4"/>
        </w:rPr>
        <w:t>euro</w:t>
      </w:r>
    </w:p>
    <w:tbl>
      <w:tblPr>
        <w:tblStyle w:val="GridTable6Colorful-Accent110"/>
        <w:tblW w:w="6313" w:type="dxa"/>
        <w:jc w:val="center"/>
        <w:tblLayout w:type="fixed"/>
        <w:tblLook w:val="04A0" w:firstRow="1" w:lastRow="0" w:firstColumn="1" w:lastColumn="0" w:noHBand="0" w:noVBand="1"/>
      </w:tblPr>
      <w:tblGrid>
        <w:gridCol w:w="5339"/>
        <w:gridCol w:w="974"/>
      </w:tblGrid>
      <w:tr w:rsidR="00747DC7" w:rsidRPr="00A33442" w:rsidTr="00BD7D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1509AF">
            <w:pPr>
              <w:rPr>
                <w:rFonts w:ascii="Times New Roman" w:eastAsia="Times New Roman" w:hAnsi="Times New Roman" w:cs="Times New Roman"/>
                <w:color w:val="auto"/>
                <w:sz w:val="20"/>
              </w:rPr>
            </w:pPr>
          </w:p>
        </w:tc>
        <w:tc>
          <w:tcPr>
            <w:tcW w:w="974" w:type="dxa"/>
            <w:vAlign w:val="center"/>
          </w:tcPr>
          <w:p w:rsidR="00747DC7" w:rsidRPr="00A33442" w:rsidRDefault="00747DC7" w:rsidP="00BD7D5E">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2018</w:t>
            </w: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FC4AA3">
            <w:pPr>
              <w:jc w:val="both"/>
              <w:rPr>
                <w:rFonts w:ascii="Times New Roman" w:eastAsia="Times New Roman" w:hAnsi="Times New Roman" w:cs="Times New Roman"/>
                <w:b w:val="0"/>
                <w:color w:val="auto"/>
                <w:sz w:val="20"/>
              </w:rPr>
            </w:pPr>
            <w:r w:rsidRPr="00A33442">
              <w:rPr>
                <w:rFonts w:ascii="Times New Roman" w:eastAsia="Times New Roman" w:hAnsi="Times New Roman" w:cs="Times New Roman"/>
                <w:b w:val="0"/>
                <w:color w:val="auto"/>
                <w:sz w:val="20"/>
              </w:rPr>
              <w:t>Azartspēļu nodokļa likmju paaugstināšana spēļu galdiem un automātiem</w:t>
            </w:r>
          </w:p>
        </w:tc>
        <w:tc>
          <w:tcPr>
            <w:tcW w:w="974"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rPr>
            </w:pPr>
            <w:r w:rsidRPr="00A33442">
              <w:rPr>
                <w:rFonts w:ascii="Times New Roman" w:eastAsia="Times New Roman" w:hAnsi="Times New Roman" w:cs="Times New Roman"/>
                <w:bCs/>
                <w:color w:val="auto"/>
                <w:sz w:val="20"/>
              </w:rPr>
              <w:t>+9,0</w:t>
            </w: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1509AF">
            <w:pPr>
              <w:jc w:val="both"/>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Izmaiņu ietekme kopā:</w:t>
            </w:r>
          </w:p>
        </w:tc>
        <w:tc>
          <w:tcPr>
            <w:tcW w:w="974"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rPr>
            </w:pPr>
            <w:r w:rsidRPr="00A33442">
              <w:rPr>
                <w:rFonts w:ascii="Times New Roman" w:eastAsia="Times New Roman" w:hAnsi="Times New Roman" w:cs="Times New Roman"/>
                <w:b/>
                <w:bCs/>
                <w:color w:val="auto"/>
                <w:sz w:val="20"/>
              </w:rPr>
              <w:t>+9,0</w:t>
            </w:r>
          </w:p>
        </w:tc>
      </w:tr>
    </w:tbl>
    <w:p w:rsidR="00747DC7" w:rsidRPr="00A33442" w:rsidRDefault="00747DC7" w:rsidP="008B6A68">
      <w:pPr>
        <w:spacing w:before="240" w:after="120" w:line="240" w:lineRule="auto"/>
        <w:ind w:firstLine="720"/>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Subsidētās elektroenerģijas nodoklis</w:t>
      </w:r>
    </w:p>
    <w:p w:rsidR="00747DC7" w:rsidRPr="00A33442" w:rsidRDefault="00747DC7" w:rsidP="00BD7D5E">
      <w:pPr>
        <w:spacing w:after="0" w:line="240" w:lineRule="auto"/>
        <w:ind w:firstLine="720"/>
        <w:jc w:val="both"/>
        <w:rPr>
          <w:rFonts w:ascii="Times New Roman" w:eastAsia="Times New Roman" w:hAnsi="Times New Roman" w:cs="Times New Roman"/>
          <w:color w:val="000000"/>
          <w:sz w:val="24"/>
          <w:szCs w:val="28"/>
        </w:rPr>
      </w:pPr>
      <w:r w:rsidRPr="00A33442">
        <w:rPr>
          <w:rFonts w:ascii="Times New Roman" w:eastAsia="Times New Roman" w:hAnsi="Times New Roman" w:cs="Times New Roman"/>
          <w:sz w:val="24"/>
          <w:szCs w:val="20"/>
        </w:rPr>
        <w:t>Subsidētās elektroenerģijas nodoklis tika piemērots no 2014.gada 1.janvāra līdz 2017.gada 31.decembrim, un</w:t>
      </w:r>
      <w:r w:rsidRPr="00A33442">
        <w:rPr>
          <w:rFonts w:ascii="Times New Roman" w:eastAsia="Times New Roman" w:hAnsi="Times New Roman" w:cs="Times New Roman"/>
          <w:color w:val="000000"/>
          <w:sz w:val="24"/>
          <w:szCs w:val="28"/>
        </w:rPr>
        <w:t xml:space="preserve"> tā mērķis bija ierobežot elektroenerģijas kopējās cenas pieaugumu, lai nodrošinātu tautsaimniecības konkurētspēju, nepalielinātu mājsaimniecību izdevumus un nodrošinātu elektroenerģijas lietotāju atbalsta pasākumu īstenošanu. Netieši subsidētās elektroenerģijas nodokļa mērķis bija veicināt konkurētspējīgu elektroenerģijas ražošanu no atjaunojamiem energoresursiem un efektīvā koģenerācijā, motivējot ražot enerģiju visefektīvākajā veidā un nodrošinot, ka tirgū ienāk tikai konkurētspējīgas tehnoloģijas.</w:t>
      </w:r>
    </w:p>
    <w:p w:rsidR="00747DC7" w:rsidRPr="00A33442" w:rsidRDefault="00747DC7" w:rsidP="00BD7D5E">
      <w:pPr>
        <w:spacing w:after="0" w:line="240" w:lineRule="auto"/>
        <w:ind w:firstLine="720"/>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Ar subsidētās elektroenerģijas nodokli apliekami bija ienākumi, kas saņemti no</w:t>
      </w:r>
      <w:r w:rsidRPr="00A33442">
        <w:rPr>
          <w:rFonts w:ascii="Times New Roman" w:eastAsia="Times New Roman" w:hAnsi="Times New Roman" w:cs="Times New Roman"/>
          <w:sz w:val="24"/>
          <w:szCs w:val="20"/>
        </w:rPr>
        <w:t xml:space="preserve"> </w:t>
      </w:r>
      <w:r w:rsidRPr="00A33442">
        <w:rPr>
          <w:rFonts w:ascii="Times New Roman" w:eastAsia="Times New Roman" w:hAnsi="Times New Roman" w:cs="Times New Roman"/>
          <w:sz w:val="24"/>
          <w:szCs w:val="24"/>
        </w:rPr>
        <w:t xml:space="preserve">obligātā iepirkuma ietvaros pārdotās elektroenerģijas, no saņemtās garantētās maksas par </w:t>
      </w:r>
      <w:r w:rsidRPr="00A33442">
        <w:rPr>
          <w:rFonts w:ascii="Times New Roman" w:eastAsia="Times New Roman" w:hAnsi="Times New Roman" w:cs="Times New Roman"/>
          <w:sz w:val="24"/>
          <w:szCs w:val="24"/>
        </w:rPr>
        <w:lastRenderedPageBreak/>
        <w:t>koģenerācijas stacijā vai elektrostacijā uzstādīto elektrisko jaudu, kā arī no pārdotās elektroenerģijas, kas tika pārdota publiskajam tirgotājam (licencētam elektroenerģijas pārvades vai sadales uzņēmumam).</w:t>
      </w:r>
    </w:p>
    <w:p w:rsidR="00747DC7" w:rsidRPr="00A33442" w:rsidRDefault="00747DC7" w:rsidP="00BD7D5E">
      <w:pPr>
        <w:spacing w:after="0" w:line="240" w:lineRule="auto"/>
        <w:ind w:firstLine="720"/>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Subsidētās elektroenerģijas nodoklim bija noteiktas trīs diferencētas likmes – 15% dabasgāzes stacijām, 10% atjaunojamo energoresursu stacijām un 5% stacijām, kas nodrošināja ar siltumenerģiju centralizētās sistēmas un kuru subsidētās elektroenerģijas nodokļa likmei bija tieša ietekme uz siltumenerģijas gala tarifu lietotājam.</w:t>
      </w:r>
    </w:p>
    <w:p w:rsidR="00736241" w:rsidRDefault="00747DC7" w:rsidP="000C3005">
      <w:pPr>
        <w:keepNext/>
        <w:spacing w:before="120"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color w:val="000000" w:themeColor="text1"/>
          <w:sz w:val="24"/>
          <w:szCs w:val="20"/>
        </w:rPr>
        <w:t>6.13.tabula</w:t>
      </w:r>
      <w:r w:rsidRPr="00A33442">
        <w:rPr>
          <w:rFonts w:ascii="Times New Roman" w:eastAsia="Times New Roman" w:hAnsi="Times New Roman" w:cs="Times New Roman"/>
          <w:b/>
          <w:sz w:val="24"/>
          <w:szCs w:val="20"/>
        </w:rPr>
        <w:t xml:space="preserve">. Nodokļu politikas izmaiņu ietekme uz subsidētās </w:t>
      </w:r>
    </w:p>
    <w:p w:rsidR="00747DC7" w:rsidRPr="00A33442" w:rsidRDefault="00747DC7" w:rsidP="00736241">
      <w:pPr>
        <w:keepNext/>
        <w:spacing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elektroenerģijas nodokļa ieņēmumiem, milj.</w:t>
      </w:r>
      <w:r w:rsidR="00BD7D5E">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4"/>
        </w:rPr>
        <w:t>euro</w:t>
      </w:r>
      <w:r w:rsidRPr="00A33442">
        <w:rPr>
          <w:rFonts w:ascii="Times New Roman" w:eastAsia="Times New Roman" w:hAnsi="Times New Roman" w:cs="Times New Roman"/>
          <w:b/>
          <w:sz w:val="24"/>
          <w:szCs w:val="20"/>
        </w:rPr>
        <w:t xml:space="preserve"> </w:t>
      </w:r>
    </w:p>
    <w:tbl>
      <w:tblPr>
        <w:tblStyle w:val="GridTable6Colorful-Accent110"/>
        <w:tblW w:w="6313" w:type="dxa"/>
        <w:jc w:val="center"/>
        <w:tblLayout w:type="fixed"/>
        <w:tblLook w:val="04A0" w:firstRow="1" w:lastRow="0" w:firstColumn="1" w:lastColumn="0" w:noHBand="0" w:noVBand="1"/>
      </w:tblPr>
      <w:tblGrid>
        <w:gridCol w:w="5339"/>
        <w:gridCol w:w="974"/>
      </w:tblGrid>
      <w:tr w:rsidR="00747DC7" w:rsidRPr="00A33442" w:rsidTr="00BD7D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1509AF">
            <w:pPr>
              <w:rPr>
                <w:rFonts w:ascii="Times New Roman" w:eastAsia="Times New Roman" w:hAnsi="Times New Roman" w:cs="Times New Roman"/>
                <w:color w:val="auto"/>
                <w:sz w:val="20"/>
                <w:szCs w:val="20"/>
              </w:rPr>
            </w:pPr>
          </w:p>
        </w:tc>
        <w:tc>
          <w:tcPr>
            <w:tcW w:w="974" w:type="dxa"/>
            <w:vAlign w:val="center"/>
          </w:tcPr>
          <w:p w:rsidR="00747DC7" w:rsidRPr="00A33442" w:rsidRDefault="00747DC7" w:rsidP="00BD7D5E">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2018</w:t>
            </w: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1509AF">
            <w:pPr>
              <w:rPr>
                <w:rFonts w:ascii="Times New Roman" w:eastAsia="Times New Roman" w:hAnsi="Times New Roman" w:cs="Times New Roman"/>
                <w:b w:val="0"/>
                <w:color w:val="auto"/>
                <w:sz w:val="20"/>
                <w:szCs w:val="20"/>
              </w:rPr>
            </w:pPr>
            <w:r w:rsidRPr="00A33442">
              <w:rPr>
                <w:rFonts w:ascii="Times New Roman" w:eastAsia="Times New Roman" w:hAnsi="Times New Roman" w:cs="Times New Roman"/>
                <w:b w:val="0"/>
                <w:color w:val="auto"/>
                <w:sz w:val="20"/>
                <w:szCs w:val="20"/>
              </w:rPr>
              <w:t>Subsidētā elektroenerģijas nodokļa atcelšana</w:t>
            </w:r>
          </w:p>
        </w:tc>
        <w:tc>
          <w:tcPr>
            <w:tcW w:w="974" w:type="dxa"/>
            <w:vAlign w:val="center"/>
          </w:tcPr>
          <w:p w:rsidR="00747DC7" w:rsidRPr="00A33442" w:rsidRDefault="00747DC7" w:rsidP="00BD7D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rPr>
            </w:pPr>
            <w:r w:rsidRPr="00A33442">
              <w:rPr>
                <w:rFonts w:ascii="Times New Roman" w:eastAsia="Times New Roman" w:hAnsi="Times New Roman" w:cs="Times New Roman"/>
                <w:bCs/>
                <w:color w:val="auto"/>
                <w:sz w:val="20"/>
                <w:szCs w:val="20"/>
              </w:rPr>
              <w:t>-33,1</w:t>
            </w: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339" w:type="dxa"/>
          </w:tcPr>
          <w:p w:rsidR="00747DC7" w:rsidRPr="00A33442" w:rsidRDefault="00747DC7" w:rsidP="001509AF">
            <w:pPr>
              <w:jc w:val="both"/>
              <w:rPr>
                <w:rFonts w:ascii="Times New Roman" w:eastAsia="Times New Roman" w:hAnsi="Times New Roman" w:cs="Times New Roman"/>
                <w:color w:val="auto"/>
                <w:sz w:val="20"/>
                <w:szCs w:val="20"/>
              </w:rPr>
            </w:pPr>
            <w:r w:rsidRPr="00A33442">
              <w:rPr>
                <w:rFonts w:ascii="Times New Roman" w:eastAsia="Times New Roman" w:hAnsi="Times New Roman" w:cs="Times New Roman"/>
                <w:color w:val="auto"/>
                <w:sz w:val="20"/>
                <w:szCs w:val="20"/>
              </w:rPr>
              <w:t>Izmaiņu ietekme kopā:</w:t>
            </w:r>
          </w:p>
        </w:tc>
        <w:tc>
          <w:tcPr>
            <w:tcW w:w="974" w:type="dxa"/>
            <w:vAlign w:val="center"/>
          </w:tcPr>
          <w:p w:rsidR="00747DC7" w:rsidRPr="00A33442" w:rsidRDefault="00747DC7" w:rsidP="00BD7D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rPr>
            </w:pPr>
            <w:r w:rsidRPr="00A33442">
              <w:rPr>
                <w:rFonts w:ascii="Times New Roman" w:eastAsia="Times New Roman" w:hAnsi="Times New Roman" w:cs="Times New Roman"/>
                <w:b/>
                <w:bCs/>
                <w:color w:val="auto"/>
                <w:sz w:val="20"/>
                <w:szCs w:val="20"/>
              </w:rPr>
              <w:t>-33,1</w:t>
            </w:r>
          </w:p>
        </w:tc>
      </w:tr>
    </w:tbl>
    <w:p w:rsidR="00BD7D5E" w:rsidRDefault="00BD7D5E" w:rsidP="00BD7D5E">
      <w:pPr>
        <w:spacing w:after="0" w:line="240" w:lineRule="auto"/>
        <w:ind w:firstLine="709"/>
        <w:outlineLvl w:val="3"/>
        <w:rPr>
          <w:rFonts w:ascii="Times New Roman" w:eastAsia="Times New Roman" w:hAnsi="Times New Roman" w:cs="Times New Roman"/>
          <w:b/>
          <w:sz w:val="24"/>
          <w:szCs w:val="24"/>
        </w:rPr>
      </w:pPr>
    </w:p>
    <w:p w:rsidR="00747DC7" w:rsidRPr="00A33442" w:rsidRDefault="00747DC7" w:rsidP="00F4636D">
      <w:pPr>
        <w:spacing w:after="120" w:line="240" w:lineRule="auto"/>
        <w:ind w:firstLine="709"/>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Dabas resursu nodoklis</w:t>
      </w:r>
    </w:p>
    <w:p w:rsidR="00747DC7" w:rsidRPr="00A33442" w:rsidRDefault="00747DC7" w:rsidP="00BD7D5E">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Dabas resursu nodokļa maksājumi ir tieši saistīti ar Latvijas uzņēmumu ekonomiskajām aktivitātēm un to izraisītajām vides noslodzē</w:t>
      </w:r>
      <w:r w:rsidRPr="00A33442">
        <w:rPr>
          <w:rFonts w:ascii="Times New Roman" w:eastAsia="Times New Roman" w:hAnsi="Times New Roman" w:cs="Times New Roman"/>
          <w:sz w:val="24"/>
          <w:szCs w:val="24"/>
        </w:rPr>
        <w:t xml:space="preserve">m, kā arī veiktajiem vides aizsardzības pasākumiem. </w:t>
      </w:r>
      <w:r w:rsidRPr="00A33442">
        <w:rPr>
          <w:rFonts w:ascii="Times New Roman" w:eastAsia="Times New Roman" w:hAnsi="Times New Roman" w:cs="Times New Roman"/>
          <w:sz w:val="24"/>
          <w:szCs w:val="20"/>
        </w:rPr>
        <w:t>Līdz ar to nodokļa ieņēmumi gan palielinās, palielinoties kopējai ekonomiskai aktivitātei, gan arī samazinās, uzņēmumiem un pašvaldībām veicot vides aizsardzības pasākumus.</w:t>
      </w:r>
    </w:p>
    <w:p w:rsidR="00747DC7" w:rsidRPr="00A33442" w:rsidRDefault="00747DC7" w:rsidP="00BD7D5E">
      <w:pPr>
        <w:spacing w:after="0" w:line="240" w:lineRule="auto"/>
        <w:ind w:firstLine="709"/>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0"/>
        </w:rPr>
        <w:t xml:space="preserve">Lai veicinātu resursu efektīvu un pārdomātu izmantošanu, </w:t>
      </w:r>
      <w:r w:rsidRPr="00A33442">
        <w:rPr>
          <w:rFonts w:ascii="Times New Roman" w:eastAsia="Times New Roman" w:hAnsi="Times New Roman" w:cs="Times New Roman"/>
          <w:sz w:val="24"/>
          <w:szCs w:val="24"/>
        </w:rPr>
        <w:t xml:space="preserve">2016.gada 23.novembrī un 15.decembrī </w:t>
      </w:r>
      <w:r w:rsidRPr="00A33442">
        <w:rPr>
          <w:rFonts w:ascii="Times New Roman" w:eastAsia="Times New Roman" w:hAnsi="Times New Roman" w:cs="Times New Roman"/>
          <w:sz w:val="24"/>
          <w:szCs w:val="20"/>
        </w:rPr>
        <w:t xml:space="preserve">Saeimā tika pieņemti grozījumi </w:t>
      </w:r>
      <w:r w:rsidRPr="00A33442">
        <w:rPr>
          <w:rFonts w:ascii="Times New Roman" w:eastAsia="Times New Roman" w:hAnsi="Times New Roman" w:cs="Times New Roman"/>
          <w:sz w:val="24"/>
          <w:szCs w:val="24"/>
        </w:rPr>
        <w:t>Dabas resursu nodokļa likumā. Saskaņā ar minētajiem grozījumiem ar 2017.gada 1.janvāri tika paaugstinātas dabas resursu nodokļa likmes virknei dabas resursu nodokļa objektu, kas deva lielāko ietekmi 2017.gadā un palielināja nodokļa ieņēmumu bāzi par 7,6</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sz w:val="24"/>
          <w:szCs w:val="24"/>
        </w:rPr>
        <w:t>milj.</w:t>
      </w:r>
      <w:r w:rsidR="00BD7D5E">
        <w:rPr>
          <w:rFonts w:ascii="Times New Roman" w:eastAsia="Times New Roman" w:hAnsi="Times New Roman" w:cs="Times New Roman"/>
          <w:sz w:val="24"/>
          <w:szCs w:val="24"/>
        </w:rPr>
        <w:t xml:space="preserve"> </w:t>
      </w:r>
      <w:r w:rsidRPr="00A33442">
        <w:rPr>
          <w:rFonts w:ascii="Times New Roman" w:eastAsia="Times New Roman" w:hAnsi="Times New Roman" w:cs="Times New Roman"/>
          <w:bCs/>
          <w:i/>
          <w:sz w:val="24"/>
          <w:szCs w:val="24"/>
        </w:rPr>
        <w:t>euro</w:t>
      </w:r>
      <w:r w:rsidRPr="00A33442">
        <w:rPr>
          <w:rFonts w:ascii="Times New Roman" w:eastAsia="Times New Roman" w:hAnsi="Times New Roman" w:cs="Times New Roman"/>
          <w:sz w:val="24"/>
          <w:szCs w:val="24"/>
        </w:rPr>
        <w:t xml:space="preserve">. Atsevišķiem dabas resursu nodokļa objektiem – akmeņoglēm, koksam lignītam un par atkritumu apglabāšanu – likmes tika plānots paaugstināt arī turpmāk (sk. 6.14.tabulu): </w:t>
      </w:r>
    </w:p>
    <w:p w:rsidR="00747DC7" w:rsidRPr="00A33442" w:rsidRDefault="00747DC7" w:rsidP="008B6A68">
      <w:pPr>
        <w:pStyle w:val="ListParagraph"/>
        <w:spacing w:before="120" w:after="0" w:line="240" w:lineRule="auto"/>
        <w:ind w:right="57"/>
        <w:jc w:val="right"/>
        <w:rPr>
          <w:rFonts w:ascii="Times New Roman" w:eastAsia="Times New Roman" w:hAnsi="Times New Roman" w:cs="Times New Roman"/>
          <w:sz w:val="24"/>
          <w:szCs w:val="24"/>
        </w:rPr>
      </w:pPr>
      <w:r w:rsidRPr="00A33442">
        <w:rPr>
          <w:rFonts w:ascii="Times New Roman" w:eastAsia="Times New Roman" w:hAnsi="Times New Roman" w:cs="Times New Roman"/>
          <w:b/>
          <w:sz w:val="24"/>
          <w:szCs w:val="20"/>
        </w:rPr>
        <w:t xml:space="preserve">6.14.tabula. Dabas resursu nodokļa likmes, </w:t>
      </w:r>
      <w:r w:rsidRPr="00A33442">
        <w:rPr>
          <w:rFonts w:ascii="Times New Roman" w:eastAsia="Times New Roman" w:hAnsi="Times New Roman" w:cs="Times New Roman"/>
          <w:b/>
          <w:i/>
          <w:sz w:val="24"/>
          <w:szCs w:val="20"/>
        </w:rPr>
        <w:t>euro</w:t>
      </w:r>
      <w:r w:rsidRPr="00A33442">
        <w:rPr>
          <w:rFonts w:ascii="Times New Roman" w:eastAsia="Times New Roman" w:hAnsi="Times New Roman" w:cs="Times New Roman"/>
          <w:b/>
          <w:sz w:val="24"/>
          <w:szCs w:val="20"/>
        </w:rPr>
        <w:t xml:space="preserve"> </w:t>
      </w:r>
    </w:p>
    <w:tbl>
      <w:tblPr>
        <w:tblStyle w:val="GridTable6Colorful-Accent110"/>
        <w:tblW w:w="7884" w:type="dxa"/>
        <w:jc w:val="center"/>
        <w:tblLook w:val="04A0" w:firstRow="1" w:lastRow="0" w:firstColumn="1" w:lastColumn="0" w:noHBand="0" w:noVBand="1"/>
      </w:tblPr>
      <w:tblGrid>
        <w:gridCol w:w="4342"/>
        <w:gridCol w:w="1166"/>
        <w:gridCol w:w="1166"/>
        <w:gridCol w:w="1210"/>
      </w:tblGrid>
      <w:tr w:rsidR="00747DC7" w:rsidRPr="00A33442" w:rsidTr="001509AF">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4652" w:type="dxa"/>
            <w:shd w:val="clear" w:color="auto" w:fill="DEEAF6" w:themeFill="accent1" w:themeFillTint="33"/>
            <w:vAlign w:val="center"/>
            <w:hideMark/>
          </w:tcPr>
          <w:p w:rsidR="00747DC7" w:rsidRPr="00A33442" w:rsidRDefault="00747DC7" w:rsidP="001509AF">
            <w:pPr>
              <w:rPr>
                <w:rFonts w:ascii="Times New Roman" w:eastAsia="Times New Roman" w:hAnsi="Times New Roman" w:cs="Times New Roman"/>
                <w:sz w:val="20"/>
                <w:szCs w:val="20"/>
                <w:lang w:eastAsia="lv-LV"/>
              </w:rPr>
            </w:pPr>
            <w:r w:rsidRPr="00A33442">
              <w:rPr>
                <w:rFonts w:ascii="Times New Roman" w:eastAsia="Times New Roman" w:hAnsi="Times New Roman" w:cs="Times New Roman"/>
                <w:color w:val="auto"/>
                <w:sz w:val="20"/>
                <w:szCs w:val="20"/>
                <w:lang w:eastAsia="lv-LV"/>
              </w:rPr>
              <w:t>Akmeņogles, kokss un lignīts</w:t>
            </w:r>
          </w:p>
        </w:tc>
        <w:tc>
          <w:tcPr>
            <w:tcW w:w="851" w:type="dxa"/>
            <w:shd w:val="clear" w:color="auto" w:fill="DEEAF6" w:themeFill="accent1" w:themeFillTint="33"/>
            <w:vAlign w:val="center"/>
          </w:tcPr>
          <w:p w:rsidR="00747DC7" w:rsidRPr="00A33442" w:rsidRDefault="00747DC7" w:rsidP="001509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33442">
              <w:rPr>
                <w:rFonts w:ascii="Times New Roman" w:eastAsia="Times New Roman" w:hAnsi="Times New Roman" w:cs="Times New Roman"/>
                <w:color w:val="auto"/>
                <w:sz w:val="20"/>
                <w:szCs w:val="20"/>
                <w:lang w:eastAsia="lv-LV"/>
              </w:rPr>
              <w:t>01.01.2018.</w:t>
            </w:r>
          </w:p>
        </w:tc>
        <w:tc>
          <w:tcPr>
            <w:tcW w:w="1166" w:type="dxa"/>
            <w:shd w:val="clear" w:color="auto" w:fill="DEEAF6" w:themeFill="accent1" w:themeFillTint="33"/>
            <w:vAlign w:val="center"/>
          </w:tcPr>
          <w:p w:rsidR="00747DC7" w:rsidRPr="00A33442" w:rsidRDefault="00747DC7" w:rsidP="001509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A33442">
              <w:rPr>
                <w:rFonts w:ascii="Times New Roman" w:eastAsia="Times New Roman" w:hAnsi="Times New Roman" w:cs="Times New Roman"/>
                <w:color w:val="auto"/>
                <w:sz w:val="20"/>
                <w:szCs w:val="20"/>
                <w:lang w:eastAsia="lv-LV"/>
              </w:rPr>
              <w:t>01.01.2019.</w:t>
            </w:r>
          </w:p>
        </w:tc>
        <w:tc>
          <w:tcPr>
            <w:tcW w:w="1215" w:type="dxa"/>
            <w:shd w:val="clear" w:color="auto" w:fill="DEEAF6" w:themeFill="accent1" w:themeFillTint="33"/>
            <w:vAlign w:val="center"/>
          </w:tcPr>
          <w:p w:rsidR="00747DC7" w:rsidRPr="00A33442" w:rsidRDefault="00747DC7" w:rsidP="001509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v-LV"/>
              </w:rPr>
            </w:pPr>
            <w:r w:rsidRPr="00A33442">
              <w:rPr>
                <w:rFonts w:ascii="Times New Roman" w:eastAsia="Times New Roman" w:hAnsi="Times New Roman" w:cs="Times New Roman"/>
                <w:color w:val="000000"/>
                <w:sz w:val="20"/>
                <w:szCs w:val="24"/>
                <w:lang w:eastAsia="lv-LV"/>
              </w:rPr>
              <w:t>01.01.2020.</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4652" w:type="dxa"/>
            <w:shd w:val="clear" w:color="auto" w:fill="auto"/>
            <w:vAlign w:val="center"/>
            <w:hideMark/>
          </w:tcPr>
          <w:p w:rsidR="00747DC7" w:rsidRPr="00A33442" w:rsidRDefault="00747DC7" w:rsidP="00FC4AA3">
            <w:pPr>
              <w:jc w:val="both"/>
              <w:rPr>
                <w:rFonts w:ascii="Times New Roman" w:eastAsia="Times New Roman" w:hAnsi="Times New Roman" w:cs="Times New Roman"/>
                <w:b w:val="0"/>
                <w:i/>
                <w:color w:val="auto"/>
                <w:sz w:val="20"/>
                <w:szCs w:val="20"/>
                <w:lang w:eastAsia="lv-LV"/>
              </w:rPr>
            </w:pPr>
            <w:r w:rsidRPr="00A33442">
              <w:rPr>
                <w:rFonts w:ascii="Times New Roman" w:eastAsia="Times New Roman" w:hAnsi="Times New Roman" w:cs="Times New Roman"/>
                <w:b w:val="0"/>
                <w:i/>
                <w:color w:val="auto"/>
                <w:sz w:val="20"/>
                <w:szCs w:val="20"/>
                <w:lang w:eastAsia="lv-LV"/>
              </w:rPr>
              <w:t>Akmeņogles, kokss un lignīts (brūnogles) ar pavaddokumentos norādītu siltumspēju (GJ/t)</w:t>
            </w:r>
          </w:p>
        </w:tc>
        <w:tc>
          <w:tcPr>
            <w:tcW w:w="851" w:type="dxa"/>
            <w:shd w:val="clear" w:color="auto" w:fill="auto"/>
            <w:vAlign w:val="center"/>
            <w:hideMark/>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auto"/>
                <w:sz w:val="20"/>
                <w:szCs w:val="20"/>
                <w:lang w:eastAsia="lv-LV"/>
              </w:rPr>
            </w:pPr>
            <w:r w:rsidRPr="00A33442">
              <w:rPr>
                <w:rFonts w:ascii="Times New Roman" w:eastAsia="Times New Roman" w:hAnsi="Times New Roman" w:cs="Times New Roman"/>
                <w:b/>
                <w:i/>
                <w:color w:val="auto"/>
                <w:sz w:val="20"/>
                <w:szCs w:val="20"/>
                <w:lang w:eastAsia="lv-LV"/>
              </w:rPr>
              <w:t>0,36</w:t>
            </w:r>
          </w:p>
        </w:tc>
        <w:tc>
          <w:tcPr>
            <w:tcW w:w="1166" w:type="dxa"/>
            <w:shd w:val="clear" w:color="auto" w:fill="auto"/>
            <w:vAlign w:val="center"/>
            <w:hideMark/>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auto"/>
                <w:sz w:val="20"/>
                <w:szCs w:val="20"/>
                <w:lang w:eastAsia="lv-LV"/>
              </w:rPr>
            </w:pPr>
            <w:r w:rsidRPr="00A33442">
              <w:rPr>
                <w:rFonts w:ascii="Times New Roman" w:eastAsia="Times New Roman" w:hAnsi="Times New Roman" w:cs="Times New Roman"/>
                <w:b/>
                <w:i/>
                <w:color w:val="auto"/>
                <w:sz w:val="20"/>
                <w:szCs w:val="20"/>
                <w:lang w:eastAsia="lv-LV"/>
              </w:rPr>
              <w:t>0,38</w:t>
            </w:r>
          </w:p>
        </w:tc>
        <w:tc>
          <w:tcPr>
            <w:tcW w:w="1215" w:type="dxa"/>
            <w:shd w:val="clear" w:color="auto" w:fill="auto"/>
            <w:vAlign w:val="center"/>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v-LV"/>
              </w:rPr>
            </w:pPr>
            <w:r w:rsidRPr="00A33442">
              <w:rPr>
                <w:rFonts w:ascii="Times New Roman" w:eastAsia="Times New Roman" w:hAnsi="Times New Roman" w:cs="Times New Roman"/>
                <w:b/>
                <w:i/>
                <w:color w:val="auto"/>
                <w:sz w:val="20"/>
                <w:szCs w:val="20"/>
                <w:lang w:eastAsia="lv-LV"/>
              </w:rPr>
              <w:t>0,38</w:t>
            </w:r>
          </w:p>
        </w:tc>
      </w:tr>
      <w:tr w:rsidR="00747DC7" w:rsidRPr="00A33442" w:rsidTr="001509AF">
        <w:trPr>
          <w:trHeight w:val="311"/>
          <w:jc w:val="center"/>
        </w:trPr>
        <w:tc>
          <w:tcPr>
            <w:cnfStyle w:val="001000000000" w:firstRow="0" w:lastRow="0" w:firstColumn="1" w:lastColumn="0" w:oddVBand="0" w:evenVBand="0" w:oddHBand="0" w:evenHBand="0" w:firstRowFirstColumn="0" w:firstRowLastColumn="0" w:lastRowFirstColumn="0" w:lastRowLastColumn="0"/>
            <w:tcW w:w="4652" w:type="dxa"/>
            <w:shd w:val="clear" w:color="auto" w:fill="auto"/>
            <w:vAlign w:val="center"/>
            <w:hideMark/>
          </w:tcPr>
          <w:p w:rsidR="00747DC7" w:rsidRPr="00A33442" w:rsidRDefault="00747DC7" w:rsidP="00FC4AA3">
            <w:pPr>
              <w:jc w:val="both"/>
              <w:rPr>
                <w:rFonts w:ascii="Times New Roman" w:eastAsia="Times New Roman" w:hAnsi="Times New Roman" w:cs="Times New Roman"/>
                <w:b w:val="0"/>
                <w:i/>
                <w:color w:val="auto"/>
                <w:sz w:val="20"/>
                <w:szCs w:val="20"/>
                <w:lang w:eastAsia="lv-LV"/>
              </w:rPr>
            </w:pPr>
            <w:r w:rsidRPr="00A33442">
              <w:rPr>
                <w:rFonts w:ascii="Times New Roman" w:eastAsia="Times New Roman" w:hAnsi="Times New Roman" w:cs="Times New Roman"/>
                <w:b w:val="0"/>
                <w:i/>
                <w:color w:val="auto"/>
                <w:sz w:val="20"/>
                <w:szCs w:val="20"/>
                <w:lang w:eastAsia="lv-LV"/>
              </w:rPr>
              <w:t>Akmeņogles, kokss un lignīts (brūnogles), ja pavaddokumentos nav norādīta siltumspēja, t</w:t>
            </w:r>
          </w:p>
        </w:tc>
        <w:tc>
          <w:tcPr>
            <w:tcW w:w="851" w:type="dxa"/>
            <w:shd w:val="clear" w:color="auto" w:fill="auto"/>
            <w:vAlign w:val="center"/>
            <w:hideMark/>
          </w:tcPr>
          <w:p w:rsidR="00747DC7" w:rsidRPr="00A33442" w:rsidRDefault="00747DC7" w:rsidP="001509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auto"/>
                <w:sz w:val="20"/>
                <w:szCs w:val="20"/>
                <w:lang w:eastAsia="lv-LV"/>
              </w:rPr>
            </w:pPr>
            <w:r w:rsidRPr="00A33442">
              <w:rPr>
                <w:rFonts w:ascii="Times New Roman" w:eastAsia="Times New Roman" w:hAnsi="Times New Roman" w:cs="Times New Roman"/>
                <w:b/>
                <w:i/>
                <w:color w:val="auto"/>
                <w:sz w:val="20"/>
                <w:szCs w:val="20"/>
                <w:lang w:eastAsia="lv-LV"/>
              </w:rPr>
              <w:t>10,25</w:t>
            </w:r>
          </w:p>
        </w:tc>
        <w:tc>
          <w:tcPr>
            <w:tcW w:w="1166" w:type="dxa"/>
            <w:shd w:val="clear" w:color="auto" w:fill="auto"/>
            <w:vAlign w:val="center"/>
            <w:hideMark/>
          </w:tcPr>
          <w:p w:rsidR="00747DC7" w:rsidRPr="00A33442" w:rsidRDefault="00747DC7" w:rsidP="001509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auto"/>
                <w:sz w:val="20"/>
                <w:szCs w:val="20"/>
                <w:lang w:eastAsia="lv-LV"/>
              </w:rPr>
            </w:pPr>
            <w:r w:rsidRPr="00A33442">
              <w:rPr>
                <w:rFonts w:ascii="Times New Roman" w:eastAsia="Times New Roman" w:hAnsi="Times New Roman" w:cs="Times New Roman"/>
                <w:b/>
                <w:i/>
                <w:color w:val="auto"/>
                <w:sz w:val="20"/>
                <w:szCs w:val="20"/>
                <w:lang w:eastAsia="lv-LV"/>
              </w:rPr>
              <w:t>10,65</w:t>
            </w:r>
          </w:p>
        </w:tc>
        <w:tc>
          <w:tcPr>
            <w:tcW w:w="1215" w:type="dxa"/>
            <w:shd w:val="clear" w:color="auto" w:fill="auto"/>
            <w:vAlign w:val="center"/>
          </w:tcPr>
          <w:p w:rsidR="00747DC7" w:rsidRPr="00A33442" w:rsidRDefault="00747DC7" w:rsidP="001509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auto"/>
                <w:sz w:val="20"/>
                <w:szCs w:val="20"/>
                <w:lang w:eastAsia="lv-LV"/>
              </w:rPr>
            </w:pPr>
            <w:r w:rsidRPr="00A33442">
              <w:rPr>
                <w:rFonts w:ascii="Times New Roman" w:eastAsia="Times New Roman" w:hAnsi="Times New Roman" w:cs="Times New Roman"/>
                <w:b/>
                <w:i/>
                <w:color w:val="auto"/>
                <w:sz w:val="20"/>
                <w:szCs w:val="20"/>
                <w:lang w:eastAsia="lv-LV"/>
              </w:rPr>
              <w:t>10,65</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4652" w:type="dxa"/>
            <w:vAlign w:val="center"/>
            <w:hideMark/>
          </w:tcPr>
          <w:p w:rsidR="00747DC7" w:rsidRPr="00A33442" w:rsidRDefault="00747DC7" w:rsidP="00FC4AA3">
            <w:pPr>
              <w:jc w:val="both"/>
              <w:rPr>
                <w:rFonts w:ascii="Times New Roman" w:eastAsia="Times New Roman" w:hAnsi="Times New Roman" w:cs="Times New Roman"/>
                <w:b w:val="0"/>
                <w:i/>
                <w:sz w:val="20"/>
                <w:szCs w:val="20"/>
                <w:lang w:eastAsia="lv-LV"/>
              </w:rPr>
            </w:pPr>
            <w:r w:rsidRPr="00A33442">
              <w:rPr>
                <w:rFonts w:ascii="Times New Roman" w:eastAsia="Times New Roman" w:hAnsi="Times New Roman" w:cs="Times New Roman"/>
                <w:color w:val="000000"/>
                <w:sz w:val="20"/>
                <w:szCs w:val="24"/>
                <w:lang w:eastAsia="lv-LV"/>
              </w:rPr>
              <w:t>Atkritumu apglabāšana</w:t>
            </w:r>
          </w:p>
        </w:tc>
        <w:tc>
          <w:tcPr>
            <w:tcW w:w="851" w:type="dxa"/>
            <w:vAlign w:val="center"/>
            <w:hideMark/>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33442">
              <w:rPr>
                <w:rFonts w:ascii="Times New Roman" w:eastAsia="Times New Roman" w:hAnsi="Times New Roman" w:cs="Times New Roman"/>
                <w:b/>
                <w:color w:val="auto"/>
                <w:sz w:val="20"/>
                <w:szCs w:val="20"/>
                <w:lang w:eastAsia="lv-LV"/>
              </w:rPr>
              <w:t>01.01.2018.</w:t>
            </w:r>
          </w:p>
        </w:tc>
        <w:tc>
          <w:tcPr>
            <w:tcW w:w="1166" w:type="dxa"/>
            <w:vAlign w:val="center"/>
            <w:hideMark/>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0"/>
                <w:szCs w:val="20"/>
                <w:lang w:eastAsia="lv-LV"/>
              </w:rPr>
            </w:pPr>
            <w:r w:rsidRPr="00A33442">
              <w:rPr>
                <w:rFonts w:ascii="Times New Roman" w:eastAsia="Times New Roman" w:hAnsi="Times New Roman" w:cs="Times New Roman"/>
                <w:b/>
                <w:color w:val="auto"/>
                <w:sz w:val="20"/>
                <w:szCs w:val="20"/>
                <w:lang w:eastAsia="lv-LV"/>
              </w:rPr>
              <w:t>01.01.2019.</w:t>
            </w:r>
          </w:p>
        </w:tc>
        <w:tc>
          <w:tcPr>
            <w:tcW w:w="1215" w:type="dxa"/>
            <w:vAlign w:val="center"/>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lv-LV"/>
              </w:rPr>
            </w:pPr>
            <w:r w:rsidRPr="00A33442">
              <w:rPr>
                <w:rFonts w:ascii="Times New Roman" w:eastAsia="Times New Roman" w:hAnsi="Times New Roman" w:cs="Times New Roman"/>
                <w:b/>
                <w:color w:val="000000"/>
                <w:sz w:val="20"/>
                <w:szCs w:val="24"/>
                <w:lang w:eastAsia="lv-LV"/>
              </w:rPr>
              <w:t>01.01.2020.</w:t>
            </w:r>
          </w:p>
        </w:tc>
      </w:tr>
      <w:tr w:rsidR="00747DC7" w:rsidRPr="00A33442" w:rsidTr="001509AF">
        <w:trPr>
          <w:trHeight w:val="446"/>
          <w:jc w:val="center"/>
        </w:trPr>
        <w:tc>
          <w:tcPr>
            <w:cnfStyle w:val="001000000000" w:firstRow="0" w:lastRow="0" w:firstColumn="1" w:lastColumn="0" w:oddVBand="0" w:evenVBand="0" w:oddHBand="0" w:evenHBand="0" w:firstRowFirstColumn="0" w:firstRowLastColumn="0" w:lastRowFirstColumn="0" w:lastRowLastColumn="0"/>
            <w:tcW w:w="4652" w:type="dxa"/>
            <w:shd w:val="clear" w:color="auto" w:fill="auto"/>
            <w:vAlign w:val="center"/>
            <w:hideMark/>
          </w:tcPr>
          <w:p w:rsidR="00747DC7" w:rsidRPr="00A33442" w:rsidRDefault="00747DC7" w:rsidP="00FC4AA3">
            <w:pPr>
              <w:jc w:val="both"/>
              <w:rPr>
                <w:rFonts w:ascii="Times New Roman" w:eastAsia="Times New Roman" w:hAnsi="Times New Roman" w:cs="Times New Roman"/>
                <w:b w:val="0"/>
                <w:i/>
                <w:color w:val="000000"/>
                <w:sz w:val="20"/>
                <w:szCs w:val="24"/>
                <w:lang w:eastAsia="lv-LV"/>
              </w:rPr>
            </w:pPr>
            <w:r w:rsidRPr="00A33442">
              <w:rPr>
                <w:rFonts w:ascii="Times New Roman" w:eastAsia="Times New Roman" w:hAnsi="Times New Roman" w:cs="Times New Roman"/>
                <w:b w:val="0"/>
                <w:i/>
                <w:color w:val="000000"/>
                <w:sz w:val="20"/>
                <w:szCs w:val="24"/>
                <w:lang w:eastAsia="lv-LV"/>
              </w:rPr>
              <w:t>Sadzīves atkritumi un ražošanas atkritumi, kas nav uzskatāmi par bīstamiem atkritumiem atbilstoši normatīvajiem aktiem par atkritumu klasifikatoru un īpašībām, kuras padara atkritumus bīstamus, t</w:t>
            </w:r>
          </w:p>
        </w:tc>
        <w:tc>
          <w:tcPr>
            <w:tcW w:w="851" w:type="dxa"/>
            <w:shd w:val="clear" w:color="auto" w:fill="auto"/>
            <w:vAlign w:val="center"/>
            <w:hideMark/>
          </w:tcPr>
          <w:p w:rsidR="00747DC7" w:rsidRPr="00A33442" w:rsidRDefault="00747DC7" w:rsidP="001509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4"/>
                <w:lang w:eastAsia="lv-LV"/>
              </w:rPr>
            </w:pPr>
            <w:r w:rsidRPr="00A33442">
              <w:rPr>
                <w:rFonts w:ascii="Times New Roman" w:eastAsia="Times New Roman" w:hAnsi="Times New Roman" w:cs="Times New Roman"/>
                <w:b/>
                <w:i/>
                <w:color w:val="000000"/>
                <w:sz w:val="20"/>
                <w:szCs w:val="24"/>
                <w:lang w:eastAsia="lv-LV"/>
              </w:rPr>
              <w:t>35,00</w:t>
            </w:r>
          </w:p>
        </w:tc>
        <w:tc>
          <w:tcPr>
            <w:tcW w:w="1166" w:type="dxa"/>
            <w:shd w:val="clear" w:color="auto" w:fill="auto"/>
            <w:vAlign w:val="center"/>
            <w:hideMark/>
          </w:tcPr>
          <w:p w:rsidR="00747DC7" w:rsidRPr="00A33442" w:rsidRDefault="00747DC7" w:rsidP="001509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4"/>
                <w:lang w:eastAsia="lv-LV"/>
              </w:rPr>
            </w:pPr>
            <w:r w:rsidRPr="00A33442">
              <w:rPr>
                <w:rFonts w:ascii="Times New Roman" w:eastAsia="Times New Roman" w:hAnsi="Times New Roman" w:cs="Times New Roman"/>
                <w:b/>
                <w:i/>
                <w:color w:val="000000"/>
                <w:sz w:val="20"/>
                <w:szCs w:val="24"/>
                <w:lang w:eastAsia="lv-LV"/>
              </w:rPr>
              <w:t>43,00</w:t>
            </w:r>
          </w:p>
        </w:tc>
        <w:tc>
          <w:tcPr>
            <w:tcW w:w="1215" w:type="dxa"/>
            <w:shd w:val="clear" w:color="auto" w:fill="auto"/>
            <w:vAlign w:val="center"/>
            <w:hideMark/>
          </w:tcPr>
          <w:p w:rsidR="00747DC7" w:rsidRPr="00A33442" w:rsidRDefault="00747DC7" w:rsidP="001509A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sz w:val="20"/>
                <w:szCs w:val="24"/>
                <w:lang w:eastAsia="lv-LV"/>
              </w:rPr>
            </w:pPr>
            <w:r w:rsidRPr="00A33442">
              <w:rPr>
                <w:rFonts w:ascii="Times New Roman" w:eastAsia="Times New Roman" w:hAnsi="Times New Roman" w:cs="Times New Roman"/>
                <w:b/>
                <w:i/>
                <w:color w:val="000000"/>
                <w:sz w:val="20"/>
                <w:szCs w:val="24"/>
                <w:lang w:eastAsia="lv-LV"/>
              </w:rPr>
              <w:t>50,00</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652" w:type="dxa"/>
            <w:shd w:val="clear" w:color="auto" w:fill="auto"/>
            <w:vAlign w:val="center"/>
            <w:hideMark/>
          </w:tcPr>
          <w:p w:rsidR="00747DC7" w:rsidRPr="00A33442" w:rsidRDefault="00747DC7" w:rsidP="00FC4AA3">
            <w:pPr>
              <w:jc w:val="both"/>
              <w:rPr>
                <w:rFonts w:ascii="Times New Roman" w:eastAsia="Times New Roman" w:hAnsi="Times New Roman" w:cs="Times New Roman"/>
                <w:b w:val="0"/>
                <w:i/>
                <w:color w:val="000000"/>
                <w:sz w:val="20"/>
                <w:szCs w:val="24"/>
                <w:lang w:eastAsia="lv-LV"/>
              </w:rPr>
            </w:pPr>
            <w:r w:rsidRPr="00A33442">
              <w:rPr>
                <w:rFonts w:ascii="Times New Roman" w:eastAsia="Times New Roman" w:hAnsi="Times New Roman" w:cs="Times New Roman"/>
                <w:b w:val="0"/>
                <w:i/>
                <w:color w:val="000000"/>
                <w:sz w:val="20"/>
                <w:szCs w:val="24"/>
                <w:lang w:eastAsia="lv-LV"/>
              </w:rPr>
              <w:t>Bīstamie atkritumi un ražošanas atkritumi, kas ir uzskatāmi par bīstamiem atkritumiem atbilstoši normatīvajiem aktiem par atkritumu klasifikatoru un īpašībām, kuras padara atkritumus bīstamus, t</w:t>
            </w:r>
          </w:p>
        </w:tc>
        <w:tc>
          <w:tcPr>
            <w:tcW w:w="851" w:type="dxa"/>
            <w:shd w:val="clear" w:color="auto" w:fill="auto"/>
            <w:vAlign w:val="center"/>
            <w:hideMark/>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0"/>
                <w:szCs w:val="24"/>
                <w:lang w:eastAsia="lv-LV"/>
              </w:rPr>
            </w:pPr>
            <w:r w:rsidRPr="00A33442">
              <w:rPr>
                <w:rFonts w:ascii="Times New Roman" w:eastAsia="Times New Roman" w:hAnsi="Times New Roman" w:cs="Times New Roman"/>
                <w:b/>
                <w:i/>
                <w:color w:val="000000"/>
                <w:sz w:val="20"/>
                <w:szCs w:val="24"/>
                <w:lang w:eastAsia="lv-LV"/>
              </w:rPr>
              <w:t>50,00</w:t>
            </w:r>
          </w:p>
        </w:tc>
        <w:tc>
          <w:tcPr>
            <w:tcW w:w="1166" w:type="dxa"/>
            <w:shd w:val="clear" w:color="auto" w:fill="auto"/>
            <w:vAlign w:val="center"/>
            <w:hideMark/>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0"/>
                <w:szCs w:val="24"/>
                <w:lang w:eastAsia="lv-LV"/>
              </w:rPr>
            </w:pPr>
            <w:r w:rsidRPr="00A33442">
              <w:rPr>
                <w:rFonts w:ascii="Times New Roman" w:eastAsia="Times New Roman" w:hAnsi="Times New Roman" w:cs="Times New Roman"/>
                <w:b/>
                <w:i/>
                <w:color w:val="000000"/>
                <w:sz w:val="20"/>
                <w:szCs w:val="24"/>
                <w:lang w:eastAsia="lv-LV"/>
              </w:rPr>
              <w:t>55,00</w:t>
            </w:r>
          </w:p>
        </w:tc>
        <w:tc>
          <w:tcPr>
            <w:tcW w:w="1215" w:type="dxa"/>
            <w:shd w:val="clear" w:color="auto" w:fill="auto"/>
            <w:vAlign w:val="center"/>
            <w:hideMark/>
          </w:tcPr>
          <w:p w:rsidR="00747DC7" w:rsidRPr="00A33442" w:rsidRDefault="00747DC7" w:rsidP="001509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0"/>
                <w:szCs w:val="24"/>
                <w:lang w:eastAsia="lv-LV"/>
              </w:rPr>
            </w:pPr>
            <w:r w:rsidRPr="00A33442">
              <w:rPr>
                <w:rFonts w:ascii="Times New Roman" w:eastAsia="Times New Roman" w:hAnsi="Times New Roman" w:cs="Times New Roman"/>
                <w:b/>
                <w:i/>
                <w:color w:val="000000"/>
                <w:sz w:val="20"/>
                <w:szCs w:val="24"/>
                <w:lang w:eastAsia="lv-LV"/>
              </w:rPr>
              <w:t>60,00</w:t>
            </w:r>
          </w:p>
        </w:tc>
      </w:tr>
    </w:tbl>
    <w:p w:rsidR="00747DC7" w:rsidRPr="00A33442" w:rsidRDefault="00747DC7" w:rsidP="00747DC7">
      <w:pPr>
        <w:spacing w:after="0" w:line="240" w:lineRule="auto"/>
        <w:ind w:left="1134"/>
        <w:jc w:val="both"/>
        <w:rPr>
          <w:rFonts w:ascii="Times New Roman" w:eastAsia="Times New Roman" w:hAnsi="Times New Roman" w:cs="Times New Roman"/>
          <w:sz w:val="24"/>
          <w:szCs w:val="24"/>
        </w:rPr>
      </w:pPr>
    </w:p>
    <w:p w:rsidR="00747DC7" w:rsidRDefault="00747DC7" w:rsidP="00747DC7">
      <w:pPr>
        <w:spacing w:before="120" w:after="0" w:line="240" w:lineRule="auto"/>
        <w:ind w:right="57" w:firstLine="720"/>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 xml:space="preserve">Papildus iepriekšminētajām izmaiņām ar 2018.gada 1.jūliju saskaņā ar pieņemtajiem grozījumiem Dabas resursu nodokļa likumā tiks izlīdzinātas dabas resursu nodokļa likmes </w:t>
      </w:r>
      <w:r w:rsidRPr="00A33442">
        <w:rPr>
          <w:rFonts w:ascii="Times New Roman" w:eastAsia="Times New Roman" w:hAnsi="Times New Roman" w:cs="Times New Roman"/>
          <w:sz w:val="24"/>
          <w:szCs w:val="24"/>
          <w:lang w:eastAsia="lv-LV"/>
        </w:rPr>
        <w:t xml:space="preserve">elektriskajām un elektroniskajām iekārtām </w:t>
      </w:r>
      <w:r w:rsidRPr="00A33442">
        <w:rPr>
          <w:rFonts w:ascii="Times New Roman" w:eastAsia="Times New Roman" w:hAnsi="Times New Roman" w:cs="Times New Roman"/>
          <w:sz w:val="24"/>
          <w:szCs w:val="24"/>
        </w:rPr>
        <w:t>kategoriju ietvaros, paaugstinot tās atsevišķām apakš</w:t>
      </w:r>
      <w:r w:rsidR="006D382A" w:rsidRPr="00F14E08">
        <w:rPr>
          <w:rFonts w:ascii="Times New Roman" w:eastAsia="Calibri" w:hAnsi="Times New Roman" w:cs="Times New Roman"/>
          <w:sz w:val="24"/>
          <w:szCs w:val="24"/>
        </w:rPr>
        <w:t>–</w:t>
      </w:r>
      <w:r w:rsidRPr="00A33442">
        <w:rPr>
          <w:rFonts w:ascii="Times New Roman" w:eastAsia="Times New Roman" w:hAnsi="Times New Roman" w:cs="Times New Roman"/>
          <w:sz w:val="24"/>
          <w:szCs w:val="24"/>
        </w:rPr>
        <w:t>kategorijām vidēji par 27</w:t>
      </w:r>
      <w:r w:rsidR="00FA4B10">
        <w:rPr>
          <w:rFonts w:ascii="Times New Roman" w:eastAsia="Times New Roman" w:hAnsi="Times New Roman" w:cs="Times New Roman"/>
          <w:sz w:val="24"/>
          <w:szCs w:val="24"/>
        </w:rPr>
        <w:t xml:space="preserve"> </w:t>
      </w:r>
      <w:r w:rsidRPr="00A33442">
        <w:rPr>
          <w:rFonts w:ascii="Times New Roman" w:eastAsia="Times New Roman" w:hAnsi="Times New Roman" w:cs="Times New Roman"/>
          <w:sz w:val="24"/>
          <w:szCs w:val="24"/>
        </w:rPr>
        <w:t>procentiem.</w:t>
      </w:r>
    </w:p>
    <w:p w:rsidR="00736241" w:rsidRDefault="00736241" w:rsidP="00747DC7">
      <w:pPr>
        <w:spacing w:before="120" w:after="0" w:line="240" w:lineRule="auto"/>
        <w:ind w:right="57" w:firstLine="720"/>
        <w:jc w:val="both"/>
        <w:rPr>
          <w:rFonts w:ascii="Times New Roman" w:eastAsia="Times New Roman" w:hAnsi="Times New Roman" w:cs="Times New Roman"/>
          <w:sz w:val="24"/>
          <w:szCs w:val="24"/>
        </w:rPr>
      </w:pPr>
    </w:p>
    <w:p w:rsidR="008B6A68" w:rsidRDefault="008B6A68" w:rsidP="00747DC7">
      <w:pPr>
        <w:spacing w:before="120" w:after="0" w:line="240" w:lineRule="auto"/>
        <w:ind w:right="57" w:firstLine="720"/>
        <w:jc w:val="both"/>
        <w:rPr>
          <w:rFonts w:ascii="Times New Roman" w:eastAsia="Times New Roman" w:hAnsi="Times New Roman" w:cs="Times New Roman"/>
          <w:sz w:val="24"/>
          <w:szCs w:val="24"/>
        </w:rPr>
      </w:pPr>
    </w:p>
    <w:p w:rsidR="00736241" w:rsidRDefault="00747DC7" w:rsidP="00736241">
      <w:pPr>
        <w:spacing w:before="120"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lastRenderedPageBreak/>
        <w:t xml:space="preserve">6.15.tabula. Nodokļu politikas izmaiņu ietekme uz </w:t>
      </w:r>
    </w:p>
    <w:p w:rsidR="00747DC7" w:rsidRPr="00A33442" w:rsidRDefault="00747DC7" w:rsidP="00736241">
      <w:pPr>
        <w:spacing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dabas resursu nodokļa ieņēmumiem, milj.</w:t>
      </w:r>
      <w:r w:rsidR="00BD7D5E">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0"/>
        </w:rPr>
        <w:t>euro</w:t>
      </w:r>
      <w:r w:rsidRPr="00A33442">
        <w:rPr>
          <w:rFonts w:ascii="Times New Roman" w:eastAsia="Times New Roman" w:hAnsi="Times New Roman" w:cs="Times New Roman"/>
          <w:b/>
          <w:sz w:val="24"/>
          <w:szCs w:val="20"/>
        </w:rPr>
        <w:t xml:space="preserve"> </w:t>
      </w:r>
    </w:p>
    <w:tbl>
      <w:tblPr>
        <w:tblStyle w:val="GridTable6Colorful-Accent110"/>
        <w:tblW w:w="8330" w:type="dxa"/>
        <w:jc w:val="center"/>
        <w:tblLayout w:type="fixed"/>
        <w:tblLook w:val="04A0" w:firstRow="1" w:lastRow="0" w:firstColumn="1" w:lastColumn="0" w:noHBand="0" w:noVBand="1"/>
      </w:tblPr>
      <w:tblGrid>
        <w:gridCol w:w="5637"/>
        <w:gridCol w:w="992"/>
        <w:gridCol w:w="851"/>
        <w:gridCol w:w="850"/>
      </w:tblGrid>
      <w:tr w:rsidR="00747DC7" w:rsidRPr="00A33442" w:rsidTr="00BD7D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rsidR="00747DC7" w:rsidRPr="00A33442" w:rsidRDefault="00747DC7" w:rsidP="00736241">
            <w:pPr>
              <w:rPr>
                <w:rFonts w:ascii="Times New Roman" w:eastAsia="Times New Roman" w:hAnsi="Times New Roman" w:cs="Times New Roman"/>
                <w:color w:val="auto"/>
                <w:sz w:val="20"/>
              </w:rPr>
            </w:pPr>
          </w:p>
        </w:tc>
        <w:tc>
          <w:tcPr>
            <w:tcW w:w="992" w:type="dxa"/>
            <w:vAlign w:val="center"/>
          </w:tcPr>
          <w:p w:rsidR="00747DC7" w:rsidRPr="00A33442" w:rsidRDefault="00747DC7" w:rsidP="00736241">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2018</w:t>
            </w:r>
          </w:p>
        </w:tc>
        <w:tc>
          <w:tcPr>
            <w:tcW w:w="851" w:type="dxa"/>
            <w:vAlign w:val="center"/>
          </w:tcPr>
          <w:p w:rsidR="00747DC7" w:rsidRPr="00A33442" w:rsidRDefault="00747DC7" w:rsidP="00736241">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2019</w:t>
            </w:r>
          </w:p>
        </w:tc>
        <w:tc>
          <w:tcPr>
            <w:tcW w:w="850" w:type="dxa"/>
            <w:vAlign w:val="center"/>
          </w:tcPr>
          <w:p w:rsidR="00747DC7" w:rsidRPr="00A33442" w:rsidRDefault="00747DC7" w:rsidP="00736241">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2020</w:t>
            </w:r>
          </w:p>
        </w:tc>
      </w:tr>
      <w:tr w:rsidR="00747DC7" w:rsidRPr="00A33442"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rsidR="00747DC7" w:rsidRPr="00A33442" w:rsidRDefault="00747DC7" w:rsidP="00736241">
            <w:pPr>
              <w:jc w:val="both"/>
              <w:rPr>
                <w:rFonts w:ascii="Times New Roman" w:eastAsia="Times New Roman" w:hAnsi="Times New Roman" w:cs="Times New Roman"/>
                <w:b w:val="0"/>
                <w:color w:val="auto"/>
                <w:sz w:val="20"/>
              </w:rPr>
            </w:pPr>
            <w:r w:rsidRPr="00A33442">
              <w:rPr>
                <w:rFonts w:ascii="Times New Roman" w:eastAsia="Times New Roman" w:hAnsi="Times New Roman" w:cs="Times New Roman"/>
                <w:b w:val="0"/>
                <w:color w:val="auto"/>
                <w:sz w:val="20"/>
              </w:rPr>
              <w:t>Dabas resursu nodokļa likmju paaugstināšana</w:t>
            </w:r>
          </w:p>
        </w:tc>
        <w:tc>
          <w:tcPr>
            <w:tcW w:w="992" w:type="dxa"/>
            <w:vAlign w:val="center"/>
          </w:tcPr>
          <w:p w:rsidR="00747DC7" w:rsidRPr="00A33442" w:rsidRDefault="00747DC7" w:rsidP="00736241">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+0,6</w:t>
            </w:r>
          </w:p>
        </w:tc>
        <w:tc>
          <w:tcPr>
            <w:tcW w:w="851" w:type="dxa"/>
            <w:vAlign w:val="center"/>
          </w:tcPr>
          <w:p w:rsidR="00747DC7" w:rsidRPr="00A33442" w:rsidRDefault="00747DC7" w:rsidP="00736241">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+0,3</w:t>
            </w:r>
          </w:p>
        </w:tc>
        <w:tc>
          <w:tcPr>
            <w:tcW w:w="850" w:type="dxa"/>
            <w:vAlign w:val="center"/>
          </w:tcPr>
          <w:p w:rsidR="00747DC7" w:rsidRPr="00A33442" w:rsidRDefault="00747DC7" w:rsidP="00736241">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+0,2</w:t>
            </w: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637" w:type="dxa"/>
          </w:tcPr>
          <w:p w:rsidR="00747DC7" w:rsidRPr="00A33442" w:rsidRDefault="00747DC7" w:rsidP="00736241">
            <w:pPr>
              <w:jc w:val="both"/>
              <w:rPr>
                <w:rFonts w:ascii="Times New Roman" w:eastAsia="Times New Roman" w:hAnsi="Times New Roman" w:cs="Times New Roman"/>
                <w:b w:val="0"/>
                <w:color w:val="auto"/>
                <w:sz w:val="20"/>
              </w:rPr>
            </w:pPr>
            <w:r w:rsidRPr="00A33442">
              <w:rPr>
                <w:rFonts w:ascii="Times New Roman" w:eastAsia="Times New Roman" w:hAnsi="Times New Roman" w:cs="Times New Roman"/>
                <w:b w:val="0"/>
                <w:color w:val="auto"/>
                <w:sz w:val="20"/>
              </w:rPr>
              <w:t>Dabas resursu nodokļa likmju izlīdzināšana elektriskajām un elektroniskajām iekārtām</w:t>
            </w:r>
          </w:p>
        </w:tc>
        <w:tc>
          <w:tcPr>
            <w:tcW w:w="992" w:type="dxa"/>
            <w:vAlign w:val="center"/>
          </w:tcPr>
          <w:p w:rsidR="00747DC7" w:rsidRPr="00A33442" w:rsidRDefault="00747DC7" w:rsidP="00736241">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+0,03</w:t>
            </w:r>
          </w:p>
        </w:tc>
        <w:tc>
          <w:tcPr>
            <w:tcW w:w="851" w:type="dxa"/>
            <w:vAlign w:val="center"/>
          </w:tcPr>
          <w:p w:rsidR="00747DC7" w:rsidRPr="00A33442" w:rsidRDefault="00747DC7" w:rsidP="00736241">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c>
          <w:tcPr>
            <w:tcW w:w="850" w:type="dxa"/>
            <w:vAlign w:val="center"/>
          </w:tcPr>
          <w:p w:rsidR="00747DC7" w:rsidRPr="00A33442" w:rsidRDefault="00747DC7" w:rsidP="00736241">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p>
        </w:tc>
      </w:tr>
      <w:tr w:rsidR="00747DC7" w:rsidRPr="00615F27" w:rsidTr="00BD7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Pr>
          <w:p w:rsidR="00747DC7" w:rsidRPr="004F6CDB" w:rsidRDefault="00747DC7" w:rsidP="00736241">
            <w:pPr>
              <w:jc w:val="both"/>
              <w:rPr>
                <w:rFonts w:ascii="Times New Roman" w:eastAsia="Times New Roman" w:hAnsi="Times New Roman" w:cs="Times New Roman"/>
                <w:sz w:val="20"/>
              </w:rPr>
            </w:pPr>
            <w:r w:rsidRPr="004F6CDB">
              <w:rPr>
                <w:rFonts w:ascii="Times New Roman" w:eastAsia="Times New Roman" w:hAnsi="Times New Roman" w:cs="Times New Roman"/>
                <w:b w:val="0"/>
                <w:color w:val="auto"/>
                <w:sz w:val="20"/>
                <w:szCs w:val="20"/>
              </w:rPr>
              <w:t>Iespēja laikā līdz 2 gadiem nomaksāt parādu, rezultātā dzēšot nokavējuma naudu un soda naudu</w:t>
            </w:r>
          </w:p>
        </w:tc>
        <w:tc>
          <w:tcPr>
            <w:tcW w:w="992" w:type="dxa"/>
            <w:vAlign w:val="center"/>
          </w:tcPr>
          <w:p w:rsidR="00747DC7" w:rsidRPr="004F6CDB" w:rsidRDefault="00747DC7" w:rsidP="00736241">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4F6CDB">
              <w:rPr>
                <w:rFonts w:ascii="Times New Roman" w:eastAsia="Times New Roman" w:hAnsi="Times New Roman" w:cs="Times New Roman"/>
                <w:color w:val="000000" w:themeColor="text1"/>
                <w:sz w:val="20"/>
              </w:rPr>
              <w:t>+4,9</w:t>
            </w:r>
          </w:p>
        </w:tc>
        <w:tc>
          <w:tcPr>
            <w:tcW w:w="851" w:type="dxa"/>
            <w:vAlign w:val="center"/>
          </w:tcPr>
          <w:p w:rsidR="00747DC7" w:rsidRPr="004F6CDB" w:rsidRDefault="00747DC7" w:rsidP="00736241">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p>
        </w:tc>
        <w:tc>
          <w:tcPr>
            <w:tcW w:w="850" w:type="dxa"/>
            <w:vAlign w:val="center"/>
          </w:tcPr>
          <w:p w:rsidR="00747DC7" w:rsidRPr="004F6CDB" w:rsidRDefault="00747DC7" w:rsidP="00736241">
            <w:pPr>
              <w:tabs>
                <w:tab w:val="decimal" w:pos="458"/>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rPr>
            </w:pPr>
            <w:r w:rsidRPr="004F6CDB">
              <w:rPr>
                <w:rFonts w:ascii="Times New Roman" w:eastAsia="Times New Roman" w:hAnsi="Times New Roman" w:cs="Times New Roman"/>
                <w:color w:val="000000" w:themeColor="text1"/>
                <w:sz w:val="20"/>
              </w:rPr>
              <w:t>-4,9</w:t>
            </w:r>
          </w:p>
        </w:tc>
      </w:tr>
      <w:tr w:rsidR="00747DC7" w:rsidRPr="00A33442" w:rsidTr="00BD7D5E">
        <w:trPr>
          <w:jc w:val="center"/>
        </w:trPr>
        <w:tc>
          <w:tcPr>
            <w:cnfStyle w:val="001000000000" w:firstRow="0" w:lastRow="0" w:firstColumn="1" w:lastColumn="0" w:oddVBand="0" w:evenVBand="0" w:oddHBand="0" w:evenHBand="0" w:firstRowFirstColumn="0" w:firstRowLastColumn="0" w:lastRowFirstColumn="0" w:lastRowLastColumn="0"/>
            <w:tcW w:w="5637" w:type="dxa"/>
          </w:tcPr>
          <w:p w:rsidR="00747DC7" w:rsidRPr="004F6CDB" w:rsidRDefault="00747DC7" w:rsidP="00736241">
            <w:pPr>
              <w:jc w:val="both"/>
              <w:rPr>
                <w:rFonts w:ascii="Times New Roman" w:eastAsia="Times New Roman" w:hAnsi="Times New Roman" w:cs="Times New Roman"/>
                <w:color w:val="auto"/>
                <w:sz w:val="20"/>
              </w:rPr>
            </w:pPr>
            <w:r w:rsidRPr="004F6CDB">
              <w:rPr>
                <w:rFonts w:ascii="Times New Roman" w:eastAsia="Times New Roman" w:hAnsi="Times New Roman" w:cs="Times New Roman"/>
                <w:color w:val="auto"/>
                <w:sz w:val="20"/>
              </w:rPr>
              <w:t>Izmaiņu ietekme kopā:</w:t>
            </w:r>
          </w:p>
        </w:tc>
        <w:tc>
          <w:tcPr>
            <w:tcW w:w="992" w:type="dxa"/>
            <w:vAlign w:val="center"/>
          </w:tcPr>
          <w:p w:rsidR="00747DC7" w:rsidRPr="004F6CDB" w:rsidRDefault="00747DC7" w:rsidP="00736241">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4F6CDB">
              <w:rPr>
                <w:rFonts w:ascii="Times New Roman" w:eastAsia="Times New Roman" w:hAnsi="Times New Roman" w:cs="Times New Roman"/>
                <w:b/>
                <w:color w:val="auto"/>
                <w:sz w:val="20"/>
              </w:rPr>
              <w:t>+5,5</w:t>
            </w:r>
          </w:p>
        </w:tc>
        <w:tc>
          <w:tcPr>
            <w:tcW w:w="851" w:type="dxa"/>
            <w:vAlign w:val="center"/>
          </w:tcPr>
          <w:p w:rsidR="00747DC7" w:rsidRPr="004F6CDB" w:rsidRDefault="00747DC7" w:rsidP="00736241">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4F6CDB">
              <w:rPr>
                <w:rFonts w:ascii="Times New Roman" w:eastAsia="Times New Roman" w:hAnsi="Times New Roman" w:cs="Times New Roman"/>
                <w:b/>
                <w:color w:val="auto"/>
                <w:sz w:val="20"/>
              </w:rPr>
              <w:t>+0,3</w:t>
            </w:r>
          </w:p>
        </w:tc>
        <w:tc>
          <w:tcPr>
            <w:tcW w:w="850" w:type="dxa"/>
            <w:vAlign w:val="center"/>
          </w:tcPr>
          <w:p w:rsidR="00747DC7" w:rsidRPr="004F6CDB" w:rsidRDefault="00747DC7" w:rsidP="00736241">
            <w:pPr>
              <w:tabs>
                <w:tab w:val="decimal" w:pos="458"/>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4F6CDB">
              <w:rPr>
                <w:rFonts w:ascii="Times New Roman" w:eastAsia="Times New Roman" w:hAnsi="Times New Roman" w:cs="Times New Roman"/>
                <w:b/>
                <w:color w:val="auto"/>
                <w:sz w:val="20"/>
              </w:rPr>
              <w:t>-4,7</w:t>
            </w:r>
          </w:p>
        </w:tc>
      </w:tr>
    </w:tbl>
    <w:p w:rsidR="00747DC7" w:rsidRPr="00A33442" w:rsidRDefault="00747DC7" w:rsidP="008B6A68">
      <w:pPr>
        <w:spacing w:before="240" w:after="120" w:line="240" w:lineRule="auto"/>
        <w:ind w:firstLine="709"/>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Solidaritātes nodoklis</w:t>
      </w:r>
    </w:p>
    <w:p w:rsidR="00747DC7" w:rsidRPr="00A33442" w:rsidRDefault="00747DC7" w:rsidP="00BD7D5E">
      <w:pPr>
        <w:spacing w:after="0" w:line="240" w:lineRule="auto"/>
        <w:ind w:firstLine="720"/>
        <w:contextualSpacing/>
        <w:jc w:val="both"/>
        <w:rPr>
          <w:rFonts w:ascii="Times New Roman" w:eastAsia="Times New Roman" w:hAnsi="Times New Roman" w:cs="Times New Roman"/>
          <w:sz w:val="24"/>
          <w:szCs w:val="24"/>
          <w:shd w:val="clear" w:color="auto" w:fill="FFFFFF"/>
          <w:lang w:eastAsia="lv-LV"/>
        </w:rPr>
      </w:pPr>
      <w:r w:rsidRPr="00A33442">
        <w:rPr>
          <w:rFonts w:ascii="Times New Roman" w:eastAsia="Times New Roman" w:hAnsi="Times New Roman" w:cs="Times New Roman"/>
          <w:sz w:val="24"/>
          <w:szCs w:val="24"/>
        </w:rPr>
        <w:t xml:space="preserve">Ar 2016.gada 1.janvāri tika ieviests jauns darbaspēka nodoklis - solidaritātes nodoklis, tā mērķis ir novērst </w:t>
      </w:r>
      <w:r w:rsidRPr="00A33442">
        <w:rPr>
          <w:rFonts w:ascii="Times New Roman" w:eastAsia="Times New Roman" w:hAnsi="Times New Roman" w:cs="Times New Roman"/>
          <w:sz w:val="24"/>
          <w:szCs w:val="24"/>
          <w:lang w:eastAsia="lv-LV"/>
        </w:rPr>
        <w:t>regresīvo darbaspēka nodokļu sistēmu, kas radusies no VSAOI objekta maksimālā apmēra atjaunošanas 2014.gada 1.janvārī. Atjaunojot VSAOI objekta maksimālo apmēru, nodokļu maksātājiem, kuru ienākumi bija virs noteiktā iemaksu objekta maksimālā apmēra,</w:t>
      </w:r>
      <w:r w:rsidRPr="00A33442">
        <w:rPr>
          <w:rFonts w:ascii="Times New Roman" w:eastAsia="Times New Roman" w:hAnsi="Times New Roman" w:cs="Times New Roman"/>
          <w:sz w:val="24"/>
          <w:szCs w:val="24"/>
          <w:shd w:val="clear" w:color="auto" w:fill="FFFFFF"/>
          <w:lang w:eastAsia="lv-LV"/>
        </w:rPr>
        <w:t xml:space="preserve"> nodokļu slogs kļuva mazāks, salīdzinot ar tām personām, kas nodokļu </w:t>
      </w:r>
      <w:r w:rsidRPr="00A33442">
        <w:rPr>
          <w:rFonts w:ascii="Times New Roman" w:eastAsia="Times New Roman" w:hAnsi="Times New Roman" w:cs="Times New Roman"/>
          <w:sz w:val="24"/>
          <w:szCs w:val="24"/>
        </w:rPr>
        <w:t>maksājumus veica no visiem darba ienākumiem</w:t>
      </w:r>
      <w:r w:rsidRPr="00A33442">
        <w:rPr>
          <w:rFonts w:ascii="Times New Roman" w:eastAsia="Times New Roman" w:hAnsi="Times New Roman" w:cs="Times New Roman"/>
          <w:sz w:val="24"/>
          <w:szCs w:val="24"/>
          <w:shd w:val="clear" w:color="auto" w:fill="FFFFFF"/>
          <w:lang w:eastAsia="lv-LV"/>
        </w:rPr>
        <w:t>.</w:t>
      </w:r>
    </w:p>
    <w:p w:rsidR="00747DC7" w:rsidRPr="00A33442" w:rsidRDefault="00747DC7" w:rsidP="00747DC7">
      <w:pPr>
        <w:spacing w:after="0" w:line="240" w:lineRule="auto"/>
        <w:ind w:firstLine="720"/>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 xml:space="preserve">Solidaritātes nodokļa likme ir tādi pati kā valsts sociālās apdrošināšanas obligāto iemaksu likme (ar 2018.gadu </w:t>
      </w:r>
      <w:r w:rsidR="006D382A" w:rsidRPr="00F14E08">
        <w:rPr>
          <w:rFonts w:ascii="Times New Roman" w:eastAsia="Calibri" w:hAnsi="Times New Roman" w:cs="Times New Roman"/>
          <w:sz w:val="24"/>
          <w:szCs w:val="24"/>
        </w:rPr>
        <w:t>–</w:t>
      </w:r>
      <w:r w:rsidRPr="00A33442">
        <w:rPr>
          <w:rFonts w:ascii="Times New Roman" w:eastAsia="Times New Roman" w:hAnsi="Times New Roman" w:cs="Times New Roman"/>
          <w:sz w:val="24"/>
          <w:szCs w:val="24"/>
        </w:rPr>
        <w:t xml:space="preserve"> 35,09%) un to piemēro ienākumu daļai, kas pārsniedz valsts sociālās apdrošināšanas obligāto iemaksu maksimālo objektu.</w:t>
      </w:r>
    </w:p>
    <w:p w:rsidR="00747DC7" w:rsidRPr="00A33442" w:rsidRDefault="00747DC7" w:rsidP="00747DC7">
      <w:pPr>
        <w:spacing w:after="0" w:line="240" w:lineRule="auto"/>
        <w:ind w:firstLine="720"/>
        <w:jc w:val="both"/>
        <w:rPr>
          <w:rFonts w:ascii="Times New Roman" w:eastAsia="Times New Roman" w:hAnsi="Times New Roman" w:cs="Times New Roman"/>
          <w:sz w:val="24"/>
          <w:szCs w:val="20"/>
        </w:rPr>
      </w:pPr>
      <w:r w:rsidRPr="00A33442">
        <w:rPr>
          <w:rFonts w:ascii="Times New Roman" w:eastAsia="Times New Roman" w:hAnsi="Times New Roman" w:cs="Times New Roman"/>
          <w:i/>
          <w:sz w:val="24"/>
          <w:szCs w:val="20"/>
        </w:rPr>
        <w:t>Nodokļu reformas</w:t>
      </w:r>
      <w:r w:rsidRPr="00A33442">
        <w:rPr>
          <w:rFonts w:ascii="Times New Roman" w:eastAsia="Times New Roman" w:hAnsi="Times New Roman" w:cs="Times New Roman"/>
          <w:sz w:val="24"/>
          <w:szCs w:val="20"/>
        </w:rPr>
        <w:t xml:space="preserve"> ietvaros ar 2018.gadu solidaritātes nodoklis ir transformēts. 2016. un 2017.gadā solidaritātes nodoklis tika pilnā apmērā ieskaitīts valsts pamatbudžetā, taču ar 2018.gadu nodoklis ar 35,09% likmi ienākumiem, kas pārsniedz 55</w:t>
      </w:r>
      <w:r w:rsidR="00BD7D5E">
        <w:rPr>
          <w:rFonts w:ascii="Times New Roman" w:hAnsi="Times New Roman" w:cs="Times New Roman"/>
          <w:sz w:val="20"/>
          <w:szCs w:val="20"/>
        </w:rPr>
        <w:t> </w:t>
      </w:r>
      <w:r w:rsidRPr="00A33442">
        <w:rPr>
          <w:rFonts w:ascii="Times New Roman" w:eastAsia="Times New Roman" w:hAnsi="Times New Roman" w:cs="Times New Roman"/>
          <w:sz w:val="24"/>
          <w:szCs w:val="20"/>
        </w:rPr>
        <w:t xml:space="preserve">000 </w:t>
      </w:r>
      <w:r w:rsidRPr="00A33442">
        <w:rPr>
          <w:rFonts w:ascii="Times New Roman" w:eastAsia="Times New Roman" w:hAnsi="Times New Roman" w:cs="Times New Roman"/>
          <w:i/>
          <w:sz w:val="24"/>
          <w:szCs w:val="20"/>
        </w:rPr>
        <w:t>euro</w:t>
      </w:r>
      <w:r w:rsidRPr="00A33442">
        <w:rPr>
          <w:rFonts w:ascii="Times New Roman" w:eastAsia="Times New Roman" w:hAnsi="Times New Roman" w:cs="Times New Roman"/>
          <w:sz w:val="24"/>
          <w:szCs w:val="20"/>
        </w:rPr>
        <w:t xml:space="preserve"> gadā, tiks attiecīgi sadalīts:</w:t>
      </w:r>
    </w:p>
    <w:p w:rsidR="00747DC7" w:rsidRPr="00A33442" w:rsidRDefault="00747DC7" w:rsidP="00747DC7">
      <w:pPr>
        <w:numPr>
          <w:ilvl w:val="0"/>
          <w:numId w:val="17"/>
        </w:numPr>
        <w:spacing w:after="0" w:line="240" w:lineRule="auto"/>
        <w:ind w:left="1134" w:hanging="425"/>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 xml:space="preserve">1% veselības aprūpes finansēšanai (veselības apdrošināšanai), ko 0,5% apmērā sedz darba ņēmējs un 0,5% </w:t>
      </w:r>
      <w:r w:rsidR="006D382A" w:rsidRPr="00F14E08">
        <w:rPr>
          <w:rFonts w:ascii="Times New Roman" w:eastAsia="Calibri" w:hAnsi="Times New Roman" w:cs="Times New Roman"/>
          <w:sz w:val="24"/>
          <w:szCs w:val="24"/>
        </w:rPr>
        <w:t>–</w:t>
      </w:r>
      <w:r w:rsidRPr="00A33442">
        <w:rPr>
          <w:rFonts w:ascii="Times New Roman" w:eastAsia="Times New Roman" w:hAnsi="Times New Roman" w:cs="Times New Roman"/>
          <w:sz w:val="24"/>
          <w:szCs w:val="24"/>
        </w:rPr>
        <w:t xml:space="preserve"> darba devējs;</w:t>
      </w:r>
    </w:p>
    <w:p w:rsidR="00747DC7" w:rsidRPr="00A33442" w:rsidRDefault="00747DC7" w:rsidP="00747DC7">
      <w:pPr>
        <w:numPr>
          <w:ilvl w:val="0"/>
          <w:numId w:val="17"/>
        </w:numPr>
        <w:spacing w:after="0" w:line="240" w:lineRule="auto"/>
        <w:ind w:left="1134" w:hanging="425"/>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6% sociāli apdrošināto personu – fondēto pensiju shēmas dalībnieku kontos (sedz darba devējs);</w:t>
      </w:r>
    </w:p>
    <w:p w:rsidR="00747DC7" w:rsidRPr="00A33442" w:rsidRDefault="00747DC7" w:rsidP="00747DC7">
      <w:pPr>
        <w:numPr>
          <w:ilvl w:val="0"/>
          <w:numId w:val="17"/>
        </w:numPr>
        <w:spacing w:after="0" w:line="240" w:lineRule="auto"/>
        <w:ind w:left="1134" w:hanging="425"/>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4% nodokļa maksātāja izvēlētajā privātā pensiju fonda pensiju plānā (sedz darba devējs);</w:t>
      </w:r>
    </w:p>
    <w:p w:rsidR="00747DC7" w:rsidRPr="00A33442" w:rsidRDefault="00747DC7" w:rsidP="00747DC7">
      <w:pPr>
        <w:numPr>
          <w:ilvl w:val="0"/>
          <w:numId w:val="17"/>
        </w:numPr>
        <w:spacing w:after="0" w:line="240" w:lineRule="auto"/>
        <w:ind w:left="1134" w:hanging="425"/>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13,59% valsts pensiju speciālā budžeta ieņēmumos (sedz darba devējs);</w:t>
      </w:r>
    </w:p>
    <w:p w:rsidR="00747DC7" w:rsidRPr="00A33442" w:rsidRDefault="00747DC7" w:rsidP="00747DC7">
      <w:pPr>
        <w:numPr>
          <w:ilvl w:val="0"/>
          <w:numId w:val="17"/>
        </w:numPr>
        <w:spacing w:after="0" w:line="240" w:lineRule="auto"/>
        <w:ind w:left="1134" w:hanging="425"/>
        <w:contextualSpacing/>
        <w:jc w:val="both"/>
        <w:rPr>
          <w:rFonts w:ascii="Times New Roman" w:eastAsia="Times New Roman" w:hAnsi="Times New Roman" w:cs="Times New Roman"/>
          <w:sz w:val="24"/>
          <w:szCs w:val="24"/>
        </w:rPr>
      </w:pPr>
      <w:r w:rsidRPr="00A33442">
        <w:rPr>
          <w:rFonts w:ascii="Times New Roman" w:eastAsia="Times New Roman" w:hAnsi="Times New Roman" w:cs="Times New Roman"/>
          <w:sz w:val="24"/>
          <w:szCs w:val="24"/>
        </w:rPr>
        <w:t xml:space="preserve">10,5% ieskaitot </w:t>
      </w:r>
      <w:r w:rsidRPr="00A33442">
        <w:rPr>
          <w:rFonts w:ascii="Times New Roman" w:eastAsia="Calibri" w:hAnsi="Times New Roman" w:cs="Times New Roman"/>
          <w:color w:val="000000"/>
          <w:sz w:val="24"/>
          <w:szCs w:val="24"/>
          <w:lang w:eastAsia="lv-LV"/>
        </w:rPr>
        <w:t>IIN</w:t>
      </w:r>
      <w:r w:rsidRPr="00A33442">
        <w:rPr>
          <w:rFonts w:ascii="Times New Roman" w:eastAsia="Times New Roman" w:hAnsi="Times New Roman" w:cs="Times New Roman"/>
          <w:sz w:val="24"/>
          <w:szCs w:val="24"/>
        </w:rPr>
        <w:t xml:space="preserve"> sadales kontā, nodrošinot, ka nodokļu maksātājam, iesniedzot gada ienākumu deklarāciju un veicot </w:t>
      </w:r>
      <w:r w:rsidRPr="00A33442">
        <w:rPr>
          <w:rFonts w:ascii="Times New Roman" w:eastAsia="Calibri" w:hAnsi="Times New Roman" w:cs="Times New Roman"/>
          <w:color w:val="000000"/>
          <w:sz w:val="24"/>
          <w:szCs w:val="24"/>
          <w:lang w:eastAsia="lv-LV"/>
        </w:rPr>
        <w:t>IIN</w:t>
      </w:r>
      <w:r w:rsidRPr="00A33442">
        <w:rPr>
          <w:rFonts w:ascii="Times New Roman" w:eastAsia="Times New Roman" w:hAnsi="Times New Roman" w:cs="Times New Roman"/>
          <w:sz w:val="24"/>
          <w:szCs w:val="24"/>
        </w:rPr>
        <w:t xml:space="preserve"> pārrēķinu ar trīs likmēm (trešā likme 31,4%), aprēķinātais budžetā maksājamais nodoklis būs līdzvērtīgs jau samaksātajam </w:t>
      </w:r>
      <w:r w:rsidRPr="00A33442">
        <w:rPr>
          <w:rFonts w:ascii="Times New Roman" w:eastAsia="Calibri" w:hAnsi="Times New Roman" w:cs="Times New Roman"/>
          <w:color w:val="000000"/>
          <w:sz w:val="24"/>
          <w:szCs w:val="24"/>
          <w:lang w:eastAsia="lv-LV"/>
        </w:rPr>
        <w:t>IIN</w:t>
      </w:r>
      <w:r w:rsidRPr="00A33442">
        <w:rPr>
          <w:rFonts w:ascii="Times New Roman" w:eastAsia="Times New Roman" w:hAnsi="Times New Roman" w:cs="Times New Roman"/>
          <w:sz w:val="24"/>
          <w:szCs w:val="24"/>
        </w:rPr>
        <w:t xml:space="preserve"> un solidaritātes nodokļa daļai (sedz darba ņēmējs).</w:t>
      </w:r>
    </w:p>
    <w:p w:rsidR="00747DC7" w:rsidRDefault="00747DC7" w:rsidP="008B6A68">
      <w:pPr>
        <w:spacing w:after="120" w:line="240" w:lineRule="auto"/>
        <w:ind w:firstLine="720"/>
        <w:contextualSpacing/>
        <w:jc w:val="both"/>
        <w:rPr>
          <w:rFonts w:ascii="Times New Roman" w:eastAsia="Times New Roman" w:hAnsi="Times New Roman" w:cs="Times New Roman"/>
          <w:sz w:val="24"/>
          <w:szCs w:val="24"/>
          <w:lang w:eastAsia="lv-LV"/>
        </w:rPr>
      </w:pPr>
      <w:r w:rsidRPr="00A33442">
        <w:rPr>
          <w:rFonts w:ascii="Times New Roman" w:eastAsia="Times New Roman" w:hAnsi="Times New Roman" w:cs="Times New Roman"/>
          <w:sz w:val="24"/>
          <w:szCs w:val="24"/>
        </w:rPr>
        <w:t xml:space="preserve">Solidaritātes nodokļa ieņēmumus ietekmē </w:t>
      </w:r>
      <w:r w:rsidRPr="00A33442">
        <w:rPr>
          <w:rFonts w:ascii="Times New Roman" w:eastAsia="Times New Roman" w:hAnsi="Times New Roman" w:cs="Times New Roman"/>
          <w:sz w:val="24"/>
          <w:szCs w:val="24"/>
          <w:lang w:eastAsia="lv-LV"/>
        </w:rPr>
        <w:t>likumdošanas izmaiņas, kas stājas spēkā ar 2018.gada 1.janvāri un kas paredz valsts sociālās apdrošināšanas obligāto iemaksu objekta maksimālā apmēra palielināšanu no 52 400 līdz 55</w:t>
      </w:r>
      <w:r w:rsidR="00BD7D5E">
        <w:rPr>
          <w:rFonts w:ascii="Times New Roman" w:eastAsia="Times New Roman" w:hAnsi="Times New Roman" w:cs="Times New Roman"/>
          <w:sz w:val="24"/>
          <w:szCs w:val="24"/>
          <w:lang w:eastAsia="lv-LV"/>
        </w:rPr>
        <w:t> </w:t>
      </w:r>
      <w:r w:rsidRPr="00A33442">
        <w:rPr>
          <w:rFonts w:ascii="Times New Roman" w:eastAsia="Times New Roman" w:hAnsi="Times New Roman" w:cs="Times New Roman"/>
          <w:sz w:val="24"/>
          <w:szCs w:val="24"/>
          <w:lang w:eastAsia="lv-LV"/>
        </w:rPr>
        <w:t>000</w:t>
      </w:r>
      <w:r w:rsidR="00BD7D5E">
        <w:rPr>
          <w:rFonts w:ascii="Times New Roman" w:eastAsia="Times New Roman" w:hAnsi="Times New Roman" w:cs="Times New Roman"/>
          <w:sz w:val="24"/>
          <w:szCs w:val="24"/>
          <w:lang w:eastAsia="lv-LV"/>
        </w:rPr>
        <w:t xml:space="preserve"> </w:t>
      </w:r>
      <w:r w:rsidRPr="00A33442">
        <w:rPr>
          <w:rFonts w:ascii="Times New Roman" w:eastAsia="Times New Roman" w:hAnsi="Times New Roman" w:cs="Times New Roman"/>
          <w:i/>
          <w:spacing w:val="-6"/>
          <w:sz w:val="24"/>
          <w:szCs w:val="24"/>
          <w:lang w:eastAsia="lv-LV"/>
        </w:rPr>
        <w:t>euro,</w:t>
      </w:r>
      <w:r w:rsidRPr="00A33442">
        <w:rPr>
          <w:rFonts w:ascii="Times New Roman" w:eastAsia="Times New Roman" w:hAnsi="Times New Roman" w:cs="Times New Roman"/>
          <w:sz w:val="24"/>
          <w:szCs w:val="24"/>
          <w:lang w:eastAsia="lv-LV"/>
        </w:rPr>
        <w:t xml:space="preserve"> kā arī tā transformācija citos nodokļos.</w:t>
      </w:r>
    </w:p>
    <w:p w:rsidR="008B6A68" w:rsidRPr="00A33442" w:rsidRDefault="008B6A68" w:rsidP="008B6A68">
      <w:pPr>
        <w:spacing w:after="120" w:line="240" w:lineRule="auto"/>
        <w:ind w:firstLine="720"/>
        <w:contextualSpacing/>
        <w:jc w:val="both"/>
        <w:rPr>
          <w:rFonts w:ascii="Times New Roman" w:eastAsia="Times New Roman" w:hAnsi="Times New Roman" w:cs="Times New Roman"/>
          <w:sz w:val="24"/>
          <w:szCs w:val="24"/>
          <w:lang w:eastAsia="lv-LV"/>
        </w:rPr>
      </w:pPr>
    </w:p>
    <w:p w:rsidR="00747DC7" w:rsidRPr="00A33442" w:rsidRDefault="00747DC7" w:rsidP="008B6A68">
      <w:pPr>
        <w:spacing w:before="120" w:after="0" w:line="240" w:lineRule="auto"/>
        <w:jc w:val="right"/>
        <w:rPr>
          <w:rFonts w:ascii="Times New Roman" w:eastAsia="Times New Roman" w:hAnsi="Times New Roman" w:cs="Times New Roman"/>
          <w:b/>
          <w:sz w:val="24"/>
          <w:szCs w:val="20"/>
        </w:rPr>
      </w:pPr>
      <w:r w:rsidRPr="00A33442">
        <w:rPr>
          <w:rFonts w:ascii="Times New Roman" w:eastAsia="Times New Roman" w:hAnsi="Times New Roman" w:cs="Times New Roman"/>
          <w:b/>
          <w:sz w:val="24"/>
          <w:szCs w:val="20"/>
        </w:rPr>
        <w:t>6.15.tabula. Nodokļu politikas izmaiņu ietekme uz so</w:t>
      </w:r>
      <w:r w:rsidR="00F4636D">
        <w:rPr>
          <w:rFonts w:ascii="Times New Roman" w:eastAsia="Times New Roman" w:hAnsi="Times New Roman" w:cs="Times New Roman"/>
          <w:b/>
          <w:sz w:val="24"/>
          <w:szCs w:val="20"/>
        </w:rPr>
        <w:t xml:space="preserve">lidaritātes nodokļa ieņēmumiem, </w:t>
      </w:r>
      <w:r w:rsidRPr="00A33442">
        <w:rPr>
          <w:rFonts w:ascii="Times New Roman" w:eastAsia="Times New Roman" w:hAnsi="Times New Roman" w:cs="Times New Roman"/>
          <w:b/>
          <w:sz w:val="24"/>
          <w:szCs w:val="20"/>
        </w:rPr>
        <w:t>milj.</w:t>
      </w:r>
      <w:r w:rsidR="00BD7D5E">
        <w:rPr>
          <w:rFonts w:ascii="Times New Roman" w:eastAsia="Times New Roman" w:hAnsi="Times New Roman" w:cs="Times New Roman"/>
          <w:b/>
          <w:sz w:val="24"/>
          <w:szCs w:val="20"/>
        </w:rPr>
        <w:t xml:space="preserve"> </w:t>
      </w:r>
      <w:r w:rsidRPr="00A33442">
        <w:rPr>
          <w:rFonts w:ascii="Times New Roman" w:eastAsia="Times New Roman" w:hAnsi="Times New Roman" w:cs="Times New Roman"/>
          <w:b/>
          <w:i/>
          <w:sz w:val="24"/>
          <w:szCs w:val="20"/>
        </w:rPr>
        <w:t>euro</w:t>
      </w:r>
    </w:p>
    <w:tbl>
      <w:tblPr>
        <w:tblStyle w:val="GridTable6Colorful-Accent11"/>
        <w:tblW w:w="8501" w:type="dxa"/>
        <w:jc w:val="center"/>
        <w:tblLayout w:type="fixed"/>
        <w:tblLook w:val="04A0" w:firstRow="1" w:lastRow="0" w:firstColumn="1" w:lastColumn="0" w:noHBand="0" w:noVBand="1"/>
      </w:tblPr>
      <w:tblGrid>
        <w:gridCol w:w="4815"/>
        <w:gridCol w:w="1843"/>
        <w:gridCol w:w="1843"/>
      </w:tblGrid>
      <w:tr w:rsidR="00747DC7" w:rsidRPr="00A33442" w:rsidTr="00150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Pr>
          <w:p w:rsidR="00747DC7" w:rsidRPr="00A33442" w:rsidRDefault="00747DC7" w:rsidP="00736241">
            <w:pPr>
              <w:rPr>
                <w:rFonts w:ascii="Times New Roman" w:eastAsia="Times New Roman" w:hAnsi="Times New Roman" w:cs="Times New Roman"/>
                <w:color w:val="auto"/>
                <w:sz w:val="20"/>
              </w:rPr>
            </w:pPr>
          </w:p>
        </w:tc>
        <w:tc>
          <w:tcPr>
            <w:tcW w:w="1843" w:type="dxa"/>
          </w:tcPr>
          <w:p w:rsidR="00747DC7" w:rsidRPr="00A33442" w:rsidRDefault="00747DC7" w:rsidP="00736241">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2018</w:t>
            </w:r>
          </w:p>
        </w:tc>
        <w:tc>
          <w:tcPr>
            <w:tcW w:w="1843" w:type="dxa"/>
          </w:tcPr>
          <w:p w:rsidR="00747DC7" w:rsidRPr="00A33442" w:rsidRDefault="00747DC7" w:rsidP="00736241">
            <w:pPr>
              <w:tabs>
                <w:tab w:val="decimal" w:pos="-1211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2019</w:t>
            </w:r>
          </w:p>
        </w:tc>
      </w:tr>
      <w:tr w:rsidR="00747DC7" w:rsidRPr="00A33442" w:rsidTr="00150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Pr>
          <w:p w:rsidR="00747DC7" w:rsidRPr="00A33442" w:rsidRDefault="00747DC7" w:rsidP="00736241">
            <w:pPr>
              <w:rPr>
                <w:rFonts w:ascii="Times New Roman" w:eastAsia="Times New Roman" w:hAnsi="Times New Roman" w:cs="Times New Roman"/>
                <w:b w:val="0"/>
                <w:color w:val="auto"/>
                <w:sz w:val="20"/>
              </w:rPr>
            </w:pPr>
            <w:r w:rsidRPr="00A33442">
              <w:rPr>
                <w:rFonts w:ascii="Times New Roman" w:eastAsia="Times New Roman" w:hAnsi="Times New Roman" w:cs="Times New Roman"/>
                <w:b w:val="0"/>
                <w:color w:val="auto"/>
                <w:sz w:val="20"/>
                <w:szCs w:val="24"/>
              </w:rPr>
              <w:t>Solidaritātes nodokļa reforma</w:t>
            </w:r>
          </w:p>
        </w:tc>
        <w:tc>
          <w:tcPr>
            <w:tcW w:w="1843" w:type="dxa"/>
            <w:vAlign w:val="center"/>
          </w:tcPr>
          <w:p w:rsidR="00747DC7" w:rsidRPr="00A33442" w:rsidRDefault="00747DC7" w:rsidP="007362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-33,1</w:t>
            </w:r>
          </w:p>
        </w:tc>
        <w:tc>
          <w:tcPr>
            <w:tcW w:w="1843" w:type="dxa"/>
          </w:tcPr>
          <w:p w:rsidR="00747DC7" w:rsidRPr="00A33442" w:rsidRDefault="00747DC7" w:rsidP="007362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-31,5</w:t>
            </w:r>
          </w:p>
        </w:tc>
      </w:tr>
      <w:tr w:rsidR="00747DC7" w:rsidRPr="00A33442" w:rsidTr="001509AF">
        <w:trPr>
          <w:jc w:val="center"/>
        </w:trPr>
        <w:tc>
          <w:tcPr>
            <w:cnfStyle w:val="001000000000" w:firstRow="0" w:lastRow="0" w:firstColumn="1" w:lastColumn="0" w:oddVBand="0" w:evenVBand="0" w:oddHBand="0" w:evenHBand="0" w:firstRowFirstColumn="0" w:firstRowLastColumn="0" w:lastRowFirstColumn="0" w:lastRowLastColumn="0"/>
            <w:tcW w:w="4815" w:type="dxa"/>
          </w:tcPr>
          <w:p w:rsidR="00747DC7" w:rsidRPr="00A33442" w:rsidRDefault="00747DC7" w:rsidP="00736241">
            <w:pPr>
              <w:rPr>
                <w:rFonts w:ascii="Times New Roman" w:eastAsia="Times New Roman" w:hAnsi="Times New Roman" w:cs="Times New Roman"/>
                <w:color w:val="auto"/>
                <w:sz w:val="20"/>
              </w:rPr>
            </w:pPr>
            <w:r w:rsidRPr="00A33442">
              <w:rPr>
                <w:rFonts w:ascii="Times New Roman" w:eastAsia="Times New Roman" w:hAnsi="Times New Roman" w:cs="Times New Roman"/>
                <w:color w:val="auto"/>
                <w:sz w:val="20"/>
              </w:rPr>
              <w:t>Izmaiņu ietekme kopā:</w:t>
            </w:r>
          </w:p>
        </w:tc>
        <w:tc>
          <w:tcPr>
            <w:tcW w:w="1843" w:type="dxa"/>
            <w:vAlign w:val="center"/>
          </w:tcPr>
          <w:p w:rsidR="00747DC7" w:rsidRPr="00A33442" w:rsidRDefault="00747DC7" w:rsidP="007362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A33442">
              <w:rPr>
                <w:rFonts w:ascii="Times New Roman" w:eastAsia="Times New Roman" w:hAnsi="Times New Roman" w:cs="Times New Roman"/>
                <w:b/>
                <w:color w:val="auto"/>
                <w:sz w:val="20"/>
              </w:rPr>
              <w:t>-33,1</w:t>
            </w:r>
          </w:p>
        </w:tc>
        <w:tc>
          <w:tcPr>
            <w:tcW w:w="1843" w:type="dxa"/>
          </w:tcPr>
          <w:p w:rsidR="00747DC7" w:rsidRPr="00A33442" w:rsidRDefault="00747DC7" w:rsidP="007362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sz w:val="20"/>
              </w:rPr>
            </w:pPr>
            <w:r w:rsidRPr="00A33442">
              <w:rPr>
                <w:rFonts w:ascii="Times New Roman" w:eastAsia="Times New Roman" w:hAnsi="Times New Roman" w:cs="Times New Roman"/>
                <w:b/>
                <w:color w:val="auto"/>
                <w:sz w:val="20"/>
              </w:rPr>
              <w:t>-31,5</w:t>
            </w:r>
          </w:p>
        </w:tc>
      </w:tr>
    </w:tbl>
    <w:p w:rsidR="00736241" w:rsidRDefault="00736241" w:rsidP="00736241">
      <w:pPr>
        <w:spacing w:after="0" w:line="240" w:lineRule="auto"/>
        <w:ind w:firstLine="709"/>
        <w:outlineLvl w:val="3"/>
        <w:rPr>
          <w:rFonts w:ascii="Times New Roman" w:eastAsia="Times New Roman" w:hAnsi="Times New Roman" w:cs="Times New Roman"/>
          <w:b/>
          <w:sz w:val="24"/>
          <w:szCs w:val="24"/>
        </w:rPr>
      </w:pPr>
    </w:p>
    <w:p w:rsidR="00747DC7" w:rsidRPr="00A33442" w:rsidRDefault="00747DC7" w:rsidP="008B6A68">
      <w:pPr>
        <w:spacing w:after="120" w:line="240" w:lineRule="auto"/>
        <w:ind w:firstLine="709"/>
        <w:outlineLvl w:val="3"/>
        <w:rPr>
          <w:rFonts w:ascii="Times New Roman" w:eastAsia="Times New Roman" w:hAnsi="Times New Roman" w:cs="Times New Roman"/>
          <w:b/>
          <w:sz w:val="24"/>
          <w:szCs w:val="24"/>
        </w:rPr>
      </w:pPr>
      <w:r w:rsidRPr="00A33442">
        <w:rPr>
          <w:rFonts w:ascii="Times New Roman" w:eastAsia="Times New Roman" w:hAnsi="Times New Roman" w:cs="Times New Roman"/>
          <w:b/>
          <w:sz w:val="24"/>
          <w:szCs w:val="24"/>
        </w:rPr>
        <w:t>Transportlīdzekļu ekspluatācijas nodoklis</w:t>
      </w:r>
    </w:p>
    <w:p w:rsidR="00747DC7" w:rsidRPr="00A33442" w:rsidRDefault="00747DC7" w:rsidP="00FA4B10">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t>Transportlīdzekļu ekspluatācijas nodoklis ir ieviests kopš 2004.gada un ir būtiska kopbudžeta ieņēmumu sastāvdaļa.</w:t>
      </w:r>
    </w:p>
    <w:p w:rsidR="00907B96" w:rsidRPr="009C44D7" w:rsidRDefault="00747DC7" w:rsidP="009C44D7">
      <w:pPr>
        <w:spacing w:after="0" w:line="240" w:lineRule="auto"/>
        <w:ind w:firstLine="709"/>
        <w:jc w:val="both"/>
        <w:rPr>
          <w:rFonts w:ascii="Times New Roman" w:eastAsia="Times New Roman" w:hAnsi="Times New Roman" w:cs="Times New Roman"/>
          <w:sz w:val="24"/>
          <w:szCs w:val="20"/>
        </w:rPr>
      </w:pPr>
      <w:r w:rsidRPr="00A33442">
        <w:rPr>
          <w:rFonts w:ascii="Times New Roman" w:eastAsia="Times New Roman" w:hAnsi="Times New Roman" w:cs="Times New Roman"/>
          <w:sz w:val="24"/>
          <w:szCs w:val="20"/>
        </w:rPr>
        <w:lastRenderedPageBreak/>
        <w:t>Iepriekš tika paredzēta transportlīdzekļa ekspluatācijas nodokļa maksāšanas kārtības izmaiņu pārcelšana uz 2019.gadu, kad nodoklis tiek maksāts par faktiskajiem ekspluatācijas mēnešiem</w:t>
      </w:r>
      <w:r w:rsidRPr="00A33442">
        <w:rPr>
          <w:rFonts w:ascii="Times New Roman" w:eastAsia="Times New Roman" w:hAnsi="Times New Roman" w:cs="Times New Roman"/>
          <w:bCs/>
          <w:sz w:val="24"/>
          <w:szCs w:val="20"/>
        </w:rPr>
        <w:t xml:space="preserve">. Taču pērn minētais pasākums tika atcelts, kopumā radot neitrālu efektu uz </w:t>
      </w:r>
      <w:r w:rsidRPr="00A33442">
        <w:rPr>
          <w:rFonts w:ascii="Times New Roman" w:eastAsia="Times New Roman" w:hAnsi="Times New Roman" w:cs="Times New Roman"/>
          <w:sz w:val="24"/>
          <w:szCs w:val="20"/>
        </w:rPr>
        <w:t>transportlīdzekļa ekspluatācijas nodokļa ieņēmumiem</w:t>
      </w:r>
      <w:r>
        <w:rPr>
          <w:rFonts w:ascii="Times New Roman" w:eastAsia="Times New Roman" w:hAnsi="Times New Roman" w:cs="Times New Roman"/>
          <w:sz w:val="24"/>
          <w:szCs w:val="20"/>
        </w:rPr>
        <w:t>.</w:t>
      </w:r>
      <w:r w:rsidR="00907B96">
        <w:rPr>
          <w:rFonts w:ascii="Times New Roman" w:hAnsi="Times New Roman" w:cs="Times New Roman"/>
          <w:sz w:val="32"/>
        </w:rPr>
        <w:br w:type="page"/>
      </w:r>
    </w:p>
    <w:p w:rsidR="005536A9" w:rsidRPr="00F51615" w:rsidRDefault="005536A9" w:rsidP="00095171">
      <w:pPr>
        <w:pStyle w:val="Heading1"/>
        <w:numPr>
          <w:ilvl w:val="0"/>
          <w:numId w:val="22"/>
        </w:numPr>
        <w:ind w:left="284" w:hanging="283"/>
        <w:jc w:val="center"/>
        <w:rPr>
          <w:rFonts w:ascii="Times New Roman" w:hAnsi="Times New Roman" w:cs="Times New Roman"/>
          <w:sz w:val="32"/>
        </w:rPr>
      </w:pPr>
      <w:bookmarkStart w:id="59" w:name="_Toc510790675"/>
      <w:bookmarkStart w:id="60" w:name="_Toc511027835"/>
      <w:r w:rsidRPr="00F51615">
        <w:rPr>
          <w:rFonts w:ascii="Times New Roman" w:hAnsi="Times New Roman" w:cs="Times New Roman"/>
          <w:sz w:val="32"/>
        </w:rPr>
        <w:lastRenderedPageBreak/>
        <w:t>Publisko finanšu ilgtspēja</w:t>
      </w:r>
      <w:bookmarkEnd w:id="59"/>
      <w:bookmarkEnd w:id="60"/>
    </w:p>
    <w:p w:rsidR="00E773FD" w:rsidRDefault="00A34463" w:rsidP="006A28D4">
      <w:pPr>
        <w:pStyle w:val="Heading2"/>
        <w:numPr>
          <w:ilvl w:val="1"/>
          <w:numId w:val="22"/>
        </w:numPr>
        <w:spacing w:before="240" w:after="120"/>
        <w:ind w:left="1134" w:hanging="425"/>
        <w:rPr>
          <w:rFonts w:ascii="Times New Roman" w:hAnsi="Times New Roman" w:cs="Times New Roman"/>
          <w:sz w:val="24"/>
        </w:rPr>
      </w:pPr>
      <w:bookmarkStart w:id="61" w:name="_Toc510790676"/>
      <w:bookmarkStart w:id="62" w:name="_Toc511027836"/>
      <w:r w:rsidRPr="00F51615">
        <w:rPr>
          <w:rFonts w:ascii="Times New Roman" w:hAnsi="Times New Roman" w:cs="Times New Roman"/>
          <w:sz w:val="24"/>
        </w:rPr>
        <w:t>Publisko finanšu ilgtermiņa attīstības scenārijs</w:t>
      </w:r>
      <w:bookmarkEnd w:id="61"/>
      <w:bookmarkEnd w:id="62"/>
    </w:p>
    <w:p w:rsidR="006A28D4" w:rsidRPr="006A28D4" w:rsidRDefault="006A28D4" w:rsidP="006A28D4">
      <w:pPr>
        <w:spacing w:after="0" w:line="240" w:lineRule="auto"/>
        <w:ind w:firstLine="709"/>
        <w:jc w:val="both"/>
        <w:rPr>
          <w:rFonts w:ascii="Times New Roman" w:eastAsia="Times New Roman" w:hAnsi="Times New Roman" w:cs="Times New Roman"/>
          <w:color w:val="000000"/>
          <w:sz w:val="24"/>
          <w:szCs w:val="24"/>
        </w:rPr>
      </w:pPr>
      <w:r w:rsidRPr="006A28D4">
        <w:rPr>
          <w:rFonts w:ascii="Times New Roman" w:eastAsia="Times New Roman" w:hAnsi="Times New Roman" w:cs="Times New Roman"/>
          <w:color w:val="000000"/>
          <w:sz w:val="24"/>
          <w:szCs w:val="20"/>
        </w:rPr>
        <w:t xml:space="preserve">Raugoties no finanšu ilgtspējas viedokļa, 2017.gads Latvijas vispārējās valdības budžetam un sociālās apdrošināšanas sistēmai bijis stabils. Pateicoties labvēlīgiem darba tirgus apstākļiem un vidējās darba samaksas kāpumam, budžetā ieplūda lielāki ieņēmumi, kam vērojama pozitīva tendence arī šogad. Bezdarba līmenis Latvijā 2017.gadā samazinājās straujāk nekā iepriekšējā gadā, pēc darbaspēka apsekojuma veidojot 8,7% no ekonomiski aktīvajiem iedzīvotājiem. Reģistrētā bezdarba līmenis 2017.gada decembra beigās bija 6,8%, jeb par 1,6 procentpunktiem zemāks nekā 2016.gada beigās. Savukārt reģistrēto bezdarbnieku skaits 2017.gada laikā saruka par 19,4% līdz 63,1 tūkstotim decembra beigās. Izdevumu ziņā jāatzīmē, ka valsts speciālā budžeta sociālo pabalstu, tostarp pensiju, izdevumi bija par 0,5% zemāki nekā 2017.gadā budžetā prognozēts. Atsevišķās pabalstu kategorijās ir samazinājies saņēmēju skaits, kā arī bijis mazāks izmaksāto pabalstu vidējais apmērs, salīdzinot ar budžetā plānoto. Tā, piemēram, 2017.gadā bezdarbnieka pabalsta saņēmēju skaits biji par 6,6% mazāks nekā budžetā plānots. Sākot ar 2017.gada 1.aprīli, spēkā stājās grozījumi likumā "Par apdrošināšanu bezdarba gadījumam", pagarinot obligāti nepieciešamo sociālo iemaksu periodu tiesību iegūšanai uz bezdarbnieka pabalstu. </w:t>
      </w:r>
      <w:r w:rsidRPr="006A28D4">
        <w:rPr>
          <w:rFonts w:ascii="Times New Roman" w:eastAsia="Times New Roman" w:hAnsi="Times New Roman" w:cs="Times New Roman"/>
          <w:color w:val="000000"/>
          <w:sz w:val="24"/>
          <w:szCs w:val="24"/>
        </w:rPr>
        <w:t xml:space="preserve">Tādējādi obligātajām sociālās apdrošināšanas iemaksām bezdarba gadījumam jātiek veiktām ne mazāk kā 12 mēnešus pēdējos 16 mēnešos. </w:t>
      </w:r>
      <w:r w:rsidRPr="006A28D4">
        <w:rPr>
          <w:rFonts w:ascii="Times New Roman" w:eastAsia="Times New Roman" w:hAnsi="Times New Roman" w:cs="Times New Roman"/>
          <w:color w:val="000000"/>
          <w:sz w:val="24"/>
          <w:szCs w:val="20"/>
        </w:rPr>
        <w:t xml:space="preserve">Tāpat 2017.gadā mazāki kā plānots bija slimības un maternitātes pabalstu izdevumi. </w:t>
      </w:r>
    </w:p>
    <w:p w:rsidR="006A28D4" w:rsidRPr="006A28D4" w:rsidRDefault="006A28D4" w:rsidP="006A28D4">
      <w:pPr>
        <w:spacing w:after="0" w:line="240" w:lineRule="auto"/>
        <w:ind w:firstLine="567"/>
        <w:jc w:val="both"/>
        <w:rPr>
          <w:rFonts w:ascii="Times New Roman" w:eastAsia="Times New Roman" w:hAnsi="Times New Roman" w:cs="Times New Roman"/>
          <w:sz w:val="24"/>
          <w:szCs w:val="24"/>
          <w:highlight w:val="yellow"/>
        </w:rPr>
      </w:pPr>
      <w:r w:rsidRPr="006A28D4">
        <w:rPr>
          <w:rFonts w:ascii="Times New Roman" w:eastAsia="Times New Roman" w:hAnsi="Times New Roman" w:cs="Times New Roman"/>
          <w:sz w:val="24"/>
          <w:szCs w:val="24"/>
        </w:rPr>
        <w:t>Latvijas fiskālo ilgtspēju ietekmē vispārējās valdības budžeta un parāda saistības, to tendences un nākotnes saistības, pamatā, pensiju un pabalstu izmaksai. Budžeta izdevumu pieaugumu ilgtermiņā ietekmē demogrāfiskās izmaiņas, tai skaitā ar sabiedrības novecošanos saistītu izdevumu pieaugums. Iedzīvotāju novecošanās process, nepietiekamais finansējums sociālās aizsardzības un veselības aprūpes sistēmās, kā arī nabadzības un sociālās atstumtības riski atsevišķās sabiedrības grupās, ir ilgtermiņa izaicinājumi Latvijas valsts finanšu ilgtspējai, par kuriem jādomā jau šodien. Veselības aprūpes joma ir viena no primārām, kurai nepieciešams pietiekams finansējums sabiedrības veselības līmeņa uzlabošanā un sistēmas ilgtspējas nodrošināšanā. Veseli cilvēki var strādāt ilgāk, kalpot sabiedrībai un nodrošināt sevi ar ienākumiem, tomēr veselības aprūpes sistēmas pieejamība Latvijā nav pietiekama. Eiropas Komisijas 2014.gadā sagatavotais ziņojums “</w:t>
      </w:r>
      <w:r w:rsidRPr="006A28D4">
        <w:rPr>
          <w:rFonts w:ascii="Times New Roman" w:eastAsia="Times New Roman" w:hAnsi="Times New Roman" w:cs="Times New Roman"/>
          <w:i/>
          <w:sz w:val="24"/>
          <w:szCs w:val="24"/>
        </w:rPr>
        <w:t xml:space="preserve">Par pacientu drošības un veselības aprūpes kvalitāti” </w:t>
      </w:r>
      <w:r w:rsidRPr="006A28D4">
        <w:rPr>
          <w:rFonts w:ascii="Times New Roman" w:eastAsia="Times New Roman" w:hAnsi="Times New Roman" w:cs="Times New Roman"/>
          <w:sz w:val="24"/>
          <w:szCs w:val="24"/>
        </w:rPr>
        <w:t>(</w:t>
      </w:r>
      <w:r w:rsidRPr="006A28D4">
        <w:rPr>
          <w:rFonts w:ascii="Times New Roman" w:eastAsia="Times New Roman" w:hAnsi="Times New Roman" w:cs="Times New Roman"/>
          <w:i/>
          <w:sz w:val="24"/>
          <w:szCs w:val="24"/>
        </w:rPr>
        <w:t xml:space="preserve">Eurobarometer </w:t>
      </w:r>
      <w:r w:rsidR="006D382A" w:rsidRPr="00F14E08">
        <w:rPr>
          <w:rFonts w:ascii="Times New Roman" w:eastAsia="Calibri" w:hAnsi="Times New Roman" w:cs="Times New Roman"/>
          <w:sz w:val="24"/>
          <w:szCs w:val="24"/>
        </w:rPr>
        <w:t>–</w:t>
      </w:r>
      <w:r w:rsidRPr="006A28D4">
        <w:rPr>
          <w:rFonts w:ascii="Times New Roman" w:eastAsia="Times New Roman" w:hAnsi="Times New Roman" w:cs="Times New Roman"/>
          <w:i/>
          <w:sz w:val="24"/>
          <w:szCs w:val="24"/>
        </w:rPr>
        <w:t xml:space="preserve"> Patient safety and quality of care) </w:t>
      </w:r>
      <w:r w:rsidRPr="006A28D4">
        <w:rPr>
          <w:rFonts w:ascii="Times New Roman" w:eastAsia="Times New Roman" w:hAnsi="Times New Roman" w:cs="Times New Roman"/>
          <w:sz w:val="24"/>
          <w:szCs w:val="24"/>
        </w:rPr>
        <w:t>liecina, ka tikai 47% aptaujāto Latvijas iedzīvotāju veselības aprūpes sistēmu vērtē kā labu vai ļoti labu, ES vidējais rādītājs ir 71%. Salīdzinot ar citām ES valstīm, Latvijā sabiedrība veselības aprūpes sistēmas kvalitāti vērtē kā zemu. Veselīgā mūža ilgums Latvijā ir visīsākais starp ES valstīm.</w:t>
      </w:r>
      <w:r w:rsidRPr="006A28D4">
        <w:rPr>
          <w:rFonts w:ascii="Times New Roman" w:eastAsia="Times New Roman" w:hAnsi="Times New Roman" w:cs="Times New Roman"/>
          <w:sz w:val="24"/>
          <w:szCs w:val="20"/>
        </w:rPr>
        <w:t xml:space="preserve"> </w:t>
      </w:r>
      <w:r w:rsidRPr="006A28D4">
        <w:rPr>
          <w:rFonts w:ascii="Times New Roman" w:eastAsia="Times New Roman" w:hAnsi="Times New Roman" w:cs="Times New Roman"/>
          <w:sz w:val="24"/>
          <w:szCs w:val="24"/>
        </w:rPr>
        <w:t xml:space="preserve">Mirstība no sirds asinsvadu slimībām Latvijā ir 2,3 reizes lielāka kā vidēji ES valstīs. </w:t>
      </w:r>
      <w:r w:rsidRPr="006A28D4">
        <w:rPr>
          <w:rFonts w:ascii="Times New Roman" w:eastAsia="Times New Roman" w:hAnsi="Times New Roman" w:cs="Times New Roman"/>
          <w:color w:val="000000"/>
          <w:sz w:val="24"/>
          <w:szCs w:val="24"/>
        </w:rPr>
        <w:t>G</w:t>
      </w:r>
      <w:r w:rsidRPr="006A28D4">
        <w:rPr>
          <w:rFonts w:ascii="PT Serif" w:eastAsia="Times New Roman" w:hAnsi="PT Serif" w:cs="Times New Roman"/>
          <w:color w:val="000000"/>
          <w:sz w:val="24"/>
          <w:szCs w:val="20"/>
          <w:shd w:val="clear" w:color="auto" w:fill="FFFFFF"/>
        </w:rPr>
        <w:t>aidīšanas laiks uz ambulatorajiem veselības aprūpes pakalpojumiem svārstās no 20 dienām līdz pat 680 dienām. Ilgs gaidīšanas laiks veselības aprūpes pakalpojumu saņemšanai būtiski ietekmē arī pakalpojumu pēctecības un nepārtrauktas nodrošināšanas iespējas.</w:t>
      </w:r>
      <w:r w:rsidRPr="006A28D4">
        <w:rPr>
          <w:rFonts w:ascii="Times New Roman" w:eastAsia="Times New Roman" w:hAnsi="Times New Roman" w:cs="Times New Roman"/>
          <w:color w:val="000000"/>
          <w:sz w:val="24"/>
          <w:szCs w:val="24"/>
        </w:rPr>
        <w:t xml:space="preserve"> 2017.gada 14.decembrī Saeima galīgajā lasījumā pieņēma Veselības aprūpes finansēšanas likumu, kas paredz </w:t>
      </w:r>
      <w:r w:rsidRPr="006A28D4">
        <w:rPr>
          <w:rFonts w:ascii="Times New Roman" w:eastAsia="Times New Roman" w:hAnsi="Times New Roman" w:cs="Times New Roman"/>
          <w:sz w:val="24"/>
          <w:szCs w:val="24"/>
        </w:rPr>
        <w:t xml:space="preserve">mainīt veselības aprūpes finansēšanas sistēmu un ieviest valsts obligāto veselības apdrošināšanu, kuras pamatā ir visas sabiedrības solidāra iesaiste atbildīgā nodokļu maksāšanā, lai veicinātu atbilstošu veselības aprūpes finansējumu, sasniedzot finansējuma apmēru 4% no IKP 2020.gadā), tādējādi sekmējot veselības aprūpes pieejamību un sabiedrības veselības rādītāju uzlabošanos. Veicamās veselības apdrošināšanas iemaksas tiem, kas nebūs apdrošināti automātiski, sākot ar 2018.gada 1.janvāri ir 1% apmērā no minimālās mēneša algas, vēl pēc </w:t>
      </w:r>
      <w:r w:rsidRPr="006A28D4">
        <w:rPr>
          <w:rFonts w:ascii="Times New Roman" w:eastAsia="Times New Roman" w:hAnsi="Times New Roman" w:cs="Times New Roman"/>
          <w:sz w:val="24"/>
          <w:szCs w:val="24"/>
        </w:rPr>
        <w:lastRenderedPageBreak/>
        <w:t xml:space="preserve">gada apmērs pieaugs līdz 3%, bet 2020.gadā </w:t>
      </w:r>
      <w:r w:rsidR="006D382A" w:rsidRPr="00F14E08">
        <w:rPr>
          <w:rFonts w:ascii="Times New Roman" w:eastAsia="Calibri" w:hAnsi="Times New Roman" w:cs="Times New Roman"/>
          <w:sz w:val="24"/>
          <w:szCs w:val="24"/>
        </w:rPr>
        <w:t>–</w:t>
      </w:r>
      <w:r w:rsidRPr="006A28D4">
        <w:rPr>
          <w:rFonts w:ascii="Times New Roman" w:eastAsia="Times New Roman" w:hAnsi="Times New Roman" w:cs="Times New Roman"/>
          <w:sz w:val="24"/>
          <w:szCs w:val="24"/>
        </w:rPr>
        <w:t xml:space="preserve"> jau līdz 5%. Konsekventa veselības aprūpes sistēmas sakārtošana ir valdības prioritāte.</w:t>
      </w:r>
      <w:r w:rsidRPr="006A28D4">
        <w:rPr>
          <w:rFonts w:ascii="Times New Roman" w:eastAsia="Times New Roman" w:hAnsi="Times New Roman" w:cs="Times New Roman"/>
          <w:sz w:val="24"/>
          <w:szCs w:val="20"/>
        </w:rPr>
        <w:t xml:space="preserve"> </w:t>
      </w:r>
    </w:p>
    <w:p w:rsidR="006A28D4" w:rsidRPr="006A28D4" w:rsidRDefault="006A28D4" w:rsidP="006A28D4">
      <w:pPr>
        <w:spacing w:after="0" w:line="240" w:lineRule="auto"/>
        <w:ind w:firstLine="567"/>
        <w:jc w:val="both"/>
        <w:rPr>
          <w:rFonts w:ascii="Times New Roman" w:eastAsia="Times New Roman" w:hAnsi="Times New Roman" w:cs="Times New Roman"/>
          <w:sz w:val="24"/>
          <w:szCs w:val="24"/>
          <w:lang w:eastAsia="lv-LV"/>
        </w:rPr>
      </w:pPr>
      <w:r w:rsidRPr="006A28D4">
        <w:rPr>
          <w:rFonts w:ascii="Times New Roman" w:eastAsia="Times New Roman" w:hAnsi="Times New Roman" w:cs="Times New Roman"/>
          <w:sz w:val="24"/>
          <w:szCs w:val="24"/>
          <w:lang w:eastAsia="lv-LV"/>
        </w:rPr>
        <w:t xml:space="preserve">2016.gada februārī </w:t>
      </w:r>
      <w:r w:rsidR="00BD7D5E">
        <w:rPr>
          <w:rFonts w:ascii="Times New Roman" w:eastAsia="Times New Roman" w:hAnsi="Times New Roman" w:cs="Times New Roman"/>
          <w:sz w:val="24"/>
          <w:szCs w:val="24"/>
          <w:lang w:eastAsia="lv-LV"/>
        </w:rPr>
        <w:t>EK</w:t>
      </w:r>
      <w:r w:rsidRPr="006A28D4">
        <w:rPr>
          <w:rFonts w:ascii="Times New Roman" w:eastAsia="Times New Roman" w:hAnsi="Times New Roman" w:cs="Times New Roman"/>
          <w:sz w:val="24"/>
          <w:szCs w:val="24"/>
          <w:lang w:eastAsia="lv-LV"/>
        </w:rPr>
        <w:t xml:space="preserve"> publicēja aktualizēto Fiskālās ilgtspējas ziņojumu (</w:t>
      </w:r>
      <w:r w:rsidRPr="006A28D4">
        <w:rPr>
          <w:rFonts w:ascii="Times New Roman" w:eastAsia="Times New Roman" w:hAnsi="Times New Roman" w:cs="Times New Roman"/>
          <w:i/>
          <w:noProof/>
          <w:sz w:val="24"/>
          <w:szCs w:val="24"/>
          <w:lang w:eastAsia="lv-LV"/>
        </w:rPr>
        <w:t>Fiscal Sustainability Report 2015</w:t>
      </w:r>
      <w:r w:rsidRPr="006A28D4">
        <w:rPr>
          <w:rFonts w:ascii="Times New Roman" w:eastAsia="Times New Roman" w:hAnsi="Times New Roman" w:cs="Times New Roman"/>
          <w:sz w:val="24"/>
          <w:szCs w:val="24"/>
          <w:lang w:eastAsia="lv-LV"/>
        </w:rPr>
        <w:t xml:space="preserve">). Šajā ziņojumā Latvijai tiek identificēts potenciāli zems fiskālās ilgtspējas risks visās riska kategorijās (īstermiņa, vidējā termiņa un ilgtermiņa). Tā pamatā ir zems vispārējās valdības budžeta deficīts un parāds, kā arī zemi ar iedzīvotāju novecošanos saistītie izdevumi ilgtermiņā. </w:t>
      </w:r>
    </w:p>
    <w:p w:rsidR="006A28D4" w:rsidRPr="006A28D4" w:rsidRDefault="00FA4B10" w:rsidP="006A28D4">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 sadarbībā ar dalībvalstīm AWG</w:t>
      </w:r>
      <w:r w:rsidR="006A28D4" w:rsidRPr="006A28D4">
        <w:rPr>
          <w:rFonts w:ascii="Times New Roman" w:eastAsia="Times New Roman" w:hAnsi="Times New Roman" w:cs="Times New Roman"/>
          <w:sz w:val="24"/>
          <w:szCs w:val="24"/>
        </w:rPr>
        <w:t xml:space="preserve"> vienu reizi trijos gados izstrādā ar sabiedrības novecošanos saistīto publiskā sektora izdevumu ilgtermiņa prognozes, kā arī novērtē publisko finanšu ilgtspēju katrai dalībvalstij. Ilgtermiņa prognožu pamatā ir demogrāfiskās prognozes, ko sniedz </w:t>
      </w:r>
      <w:r w:rsidR="006A28D4" w:rsidRPr="006A28D4">
        <w:rPr>
          <w:rFonts w:ascii="Times New Roman" w:eastAsia="Times New Roman" w:hAnsi="Times New Roman" w:cs="Times New Roman"/>
          <w:i/>
          <w:sz w:val="24"/>
          <w:szCs w:val="24"/>
        </w:rPr>
        <w:t>Eurostat</w:t>
      </w:r>
      <w:r w:rsidR="006A28D4" w:rsidRPr="006A28D4">
        <w:rPr>
          <w:rFonts w:ascii="Times New Roman" w:eastAsia="Times New Roman" w:hAnsi="Times New Roman" w:cs="Times New Roman"/>
          <w:sz w:val="24"/>
          <w:szCs w:val="24"/>
        </w:rPr>
        <w:t>, un pieņēmumi par ekonomisko izaugsmi un tās noteicošajiem faktoriem ilgtermiņā. Ilgtermiņa ar sabiedrības novecošanos saistīto izdevumu prognozes par visām dalībvalstīm tiek iekļautas Eiropas Komisijas Novecošanās ziņojumā (</w:t>
      </w:r>
      <w:r w:rsidR="006A28D4" w:rsidRPr="006A28D4">
        <w:rPr>
          <w:rFonts w:ascii="Times New Roman" w:eastAsia="Times New Roman" w:hAnsi="Times New Roman" w:cs="Times New Roman"/>
          <w:i/>
          <w:sz w:val="24"/>
          <w:szCs w:val="24"/>
        </w:rPr>
        <w:t>Ageing Report</w:t>
      </w:r>
      <w:r w:rsidR="006A28D4" w:rsidRPr="006A28D4">
        <w:rPr>
          <w:rFonts w:ascii="Times New Roman" w:eastAsia="Times New Roman" w:hAnsi="Times New Roman" w:cs="Times New Roman"/>
          <w:sz w:val="24"/>
          <w:szCs w:val="24"/>
        </w:rPr>
        <w:t xml:space="preserve">). </w:t>
      </w:r>
      <w:r w:rsidR="006A28D4" w:rsidRPr="006A28D4">
        <w:rPr>
          <w:rFonts w:ascii="Times New Roman" w:eastAsia="Times New Roman" w:hAnsi="Times New Roman" w:cs="Times New Roman"/>
          <w:sz w:val="24"/>
          <w:szCs w:val="24"/>
          <w:lang w:eastAsia="lv-LV"/>
        </w:rPr>
        <w:t>Šajā Stabilitātes programmā atspoguļotie ilgtermiņa budžeta prognožu pieņēmumi balstās uz AWG darba grupas jaunākajiem publicētajiem vispārpieņemtajiem prognožu pieņēmumiem (</w:t>
      </w:r>
      <w:r w:rsidR="006A28D4" w:rsidRPr="006A28D4">
        <w:rPr>
          <w:rFonts w:ascii="Times New Roman" w:eastAsia="Times New Roman" w:hAnsi="Times New Roman" w:cs="Times New Roman"/>
          <w:i/>
          <w:sz w:val="24"/>
          <w:szCs w:val="24"/>
          <w:lang w:eastAsia="lv-LV"/>
        </w:rPr>
        <w:t>The 2018 Ageing Report: Underlying Assumptions and Projection Methodologies</w:t>
      </w:r>
      <w:r w:rsidR="006A28D4" w:rsidRPr="006A28D4">
        <w:rPr>
          <w:rFonts w:ascii="Times New Roman" w:eastAsia="Times New Roman" w:hAnsi="Times New Roman" w:cs="Times New Roman"/>
          <w:sz w:val="24"/>
          <w:szCs w:val="24"/>
          <w:lang w:eastAsia="lv-LV"/>
        </w:rPr>
        <w:t xml:space="preserve">), kas tiks iekļauti topošajā 2018.gada Novecošanās ziņojumā. </w:t>
      </w:r>
      <w:r w:rsidR="006A28D4" w:rsidRPr="006A28D4">
        <w:rPr>
          <w:rFonts w:ascii="Times New Roman" w:eastAsia="Times New Roman" w:hAnsi="Times New Roman" w:cs="Times New Roman"/>
          <w:sz w:val="24"/>
          <w:szCs w:val="24"/>
        </w:rPr>
        <w:t>AWG ietvaros norit kārtējais prognozēšanas cikls un jauno ziņojumu plānots publicēt 2018.gada otrā ceturkšņa beigās.</w:t>
      </w:r>
    </w:p>
    <w:p w:rsidR="006A28D4" w:rsidRPr="006A28D4" w:rsidRDefault="006A28D4" w:rsidP="006A28D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r w:rsidRPr="006A28D4">
        <w:rPr>
          <w:rFonts w:ascii="Times New Roman" w:eastAsia="Times New Roman" w:hAnsi="Times New Roman" w:cs="Times New Roman"/>
          <w:sz w:val="24"/>
          <w:szCs w:val="24"/>
          <w:lang w:eastAsia="lv-LV"/>
        </w:rPr>
        <w:t xml:space="preserve">Latvijā ekonomikas izaugsmei kopumā ir būtiska nozīme publisko finanšu ilgtspējas nodrošināšanā. Tiek prognozēts, ka demogrāfisko izmaiņu ietekmē būs vērojamas izmaiņas nodarbinātības attīstībā. Paredzams, ka ilgtermiņā pieaugs gan līdzdalības līmenis darba tirgū, gan turpināsies līdzšinējā tendence </w:t>
      </w:r>
      <w:r w:rsidR="006D382A" w:rsidRPr="00F14E08">
        <w:rPr>
          <w:rFonts w:ascii="Times New Roman" w:eastAsia="Calibri" w:hAnsi="Times New Roman" w:cs="Times New Roman"/>
          <w:sz w:val="24"/>
          <w:szCs w:val="24"/>
        </w:rPr>
        <w:t>–</w:t>
      </w:r>
      <w:r w:rsidRPr="006A28D4">
        <w:rPr>
          <w:rFonts w:ascii="Times New Roman" w:eastAsia="Times New Roman" w:hAnsi="Times New Roman" w:cs="Times New Roman"/>
          <w:sz w:val="24"/>
          <w:szCs w:val="24"/>
          <w:lang w:eastAsia="lv-LV"/>
        </w:rPr>
        <w:t xml:space="preserve"> bezdarba līmenis vidējā termiņā turpinās arvien samazināties.</w:t>
      </w:r>
      <w:r w:rsidRPr="006A28D4">
        <w:rPr>
          <w:rFonts w:ascii="Times New Roman" w:eastAsia="Times New Roman" w:hAnsi="Times New Roman" w:cs="Times New Roman"/>
          <w:color w:val="000000"/>
          <w:sz w:val="24"/>
          <w:szCs w:val="24"/>
          <w:lang w:eastAsia="lv-LV"/>
        </w:rPr>
        <w:t xml:space="preserve"> </w:t>
      </w:r>
      <w:r w:rsidRPr="006A28D4">
        <w:rPr>
          <w:rFonts w:ascii="Times New Roman" w:eastAsia="Times New Roman" w:hAnsi="Times New Roman" w:cs="Times New Roman"/>
          <w:sz w:val="24"/>
          <w:szCs w:val="24"/>
          <w:lang w:eastAsia="lv-LV"/>
        </w:rPr>
        <w:t xml:space="preserve">Bezdarba līmenis Latvijā 2017.gadā samazinājās straujāk nekā iepriekšējā gadā, pēc darbaspēka apsekojuma veidojot 8,7%. Pēc Finanšu ministrijas prognozēm, 2018.gadā bezdarba līmenis samazināsies līdz 8,0%, bet laikā līdz 2021.gadam pakāpeniski noslīdēs līdz 7,0% no ekonomiski aktīvajiem iedzīvotājiem. Tas daļēji ļaus kompensēt darbspējas vecuma iedzīvotāju skaita samazināšanās ietekmi uz nodarbinātību. Jau šobrīd novērojams, ka </w:t>
      </w:r>
      <w:r w:rsidRPr="006A28D4">
        <w:rPr>
          <w:rFonts w:ascii="Times New Roman" w:eastAsia="Times New Roman" w:hAnsi="Times New Roman" w:cs="Times New Roman"/>
          <w:sz w:val="24"/>
          <w:szCs w:val="23"/>
          <w:lang w:eastAsia="lv-LV"/>
        </w:rPr>
        <w:t>darbspējas vecuma iedzīvotāju (15</w:t>
      </w:r>
      <w:r w:rsidR="006D382A" w:rsidRPr="00F14E08">
        <w:rPr>
          <w:rFonts w:ascii="Times New Roman" w:eastAsia="Calibri" w:hAnsi="Times New Roman" w:cs="Times New Roman"/>
          <w:sz w:val="24"/>
          <w:szCs w:val="24"/>
        </w:rPr>
        <w:t>–</w:t>
      </w:r>
      <w:r w:rsidRPr="006A28D4">
        <w:rPr>
          <w:rFonts w:ascii="Times New Roman" w:eastAsia="Times New Roman" w:hAnsi="Times New Roman" w:cs="Times New Roman"/>
          <w:sz w:val="24"/>
          <w:szCs w:val="23"/>
          <w:lang w:eastAsia="lv-LV"/>
        </w:rPr>
        <w:t xml:space="preserve">74 gadi) skaitam pēdējos gados samazinoties aptuveni par 1,5% gadā, bet paātrinoties ekonomikas izaugsmei arvien palielinās iedzīvotāju ekonomiskās aktivitātes līmenis, ekonomiski aktīvajiem iedzīvotājiem 2014.gadā sasniedzot 66,3%, 2015.gadā </w:t>
      </w:r>
      <w:r w:rsidR="006D382A" w:rsidRPr="00F14E08">
        <w:rPr>
          <w:rFonts w:ascii="Times New Roman" w:eastAsia="Calibri" w:hAnsi="Times New Roman" w:cs="Times New Roman"/>
          <w:sz w:val="24"/>
          <w:szCs w:val="24"/>
        </w:rPr>
        <w:t>–</w:t>
      </w:r>
      <w:r w:rsidRPr="006A28D4">
        <w:rPr>
          <w:rFonts w:ascii="Times New Roman" w:eastAsia="Times New Roman" w:hAnsi="Times New Roman" w:cs="Times New Roman"/>
          <w:sz w:val="24"/>
          <w:szCs w:val="23"/>
          <w:lang w:eastAsia="lv-LV"/>
        </w:rPr>
        <w:t xml:space="preserve"> 67,5%, 2016.gadā sasniedzot jau 68,2%, bet 2017.gadā darba tirgū aktīvi iesaistīti kā nodarbinātie vai darba meklētāji bija jau 68,9% no visiem 15</w:t>
      </w:r>
      <w:r w:rsidR="006D382A" w:rsidRPr="00F14E08">
        <w:rPr>
          <w:rFonts w:ascii="Times New Roman" w:eastAsia="Calibri" w:hAnsi="Times New Roman" w:cs="Times New Roman"/>
          <w:sz w:val="24"/>
          <w:szCs w:val="24"/>
        </w:rPr>
        <w:t>–</w:t>
      </w:r>
      <w:r w:rsidRPr="006A28D4">
        <w:rPr>
          <w:rFonts w:ascii="Times New Roman" w:eastAsia="Times New Roman" w:hAnsi="Times New Roman" w:cs="Times New Roman"/>
          <w:sz w:val="24"/>
          <w:szCs w:val="23"/>
          <w:lang w:eastAsia="lv-LV"/>
        </w:rPr>
        <w:t xml:space="preserve">74 gadus vecajiem iedzīvotājiem, kas ir vēsturiski augstākais ekonomiskās aktivitātes līmenis Latvijā. Arvien augstāku līdzdalību darba tirgū veicina gan augošais pieprasījums pēc darbiniekiem un algu līmeņa kāpums, kad vidējā darba samaksa pērn pieauga straujākajā tempā kopš 2008.gada (par 7,8%), gan pensionēšanās vecuma pakāpeniskā paaugstināšana, gan iedzīvotāju vecuma struktūras izmaiņas, kad samazinās ekonomiski mazāk aktīvo jauniešu īpatsvars starp visiem darbaspējas vecuma iedzīvotājiem. Šāds ekonomiskās aktivitātes pieaugums vienlaikus liecina gan par darbaspēka pieprasījuma pieaugumu un situācijas tālāku uzlabošanos darba tirgū, kad piedāvātās darba vietas un atalgojuma līmenis ir pietiekami stimulējošs, lai iepriekš ekonomiski neaktīvie cilvēki atgrieztos darba tirgū. </w:t>
      </w:r>
      <w:r w:rsidRPr="006A28D4">
        <w:rPr>
          <w:rFonts w:ascii="Times New Roman" w:eastAsia="Times New Roman" w:hAnsi="Times New Roman" w:cs="Times New Roman"/>
          <w:sz w:val="24"/>
          <w:szCs w:val="24"/>
          <w:lang w:eastAsia="lv-LV"/>
        </w:rPr>
        <w:t>Tāpat EK prognozē, ka produktivitātes pieaugums ilgtermiņā būs notei</w:t>
      </w:r>
      <w:r w:rsidRPr="006A28D4">
        <w:rPr>
          <w:rFonts w:ascii="Times New Roman" w:eastAsia="Times New Roman" w:hAnsi="Times New Roman" w:cs="Times New Roman"/>
          <w:color w:val="000000"/>
          <w:sz w:val="24"/>
          <w:szCs w:val="24"/>
          <w:lang w:eastAsia="lv-LV"/>
        </w:rPr>
        <w:t xml:space="preserve">cošais ekonomiskās izaugsmes faktors un tas būs konverģences pamats ilgtermiņā. Jāatzīmē, ka arī darba spēka emigrācija kopumā samazinās. </w:t>
      </w:r>
    </w:p>
    <w:p w:rsidR="006A28D4" w:rsidRPr="006A28D4" w:rsidRDefault="006A28D4" w:rsidP="006A28D4">
      <w:pPr>
        <w:autoSpaceDE w:val="0"/>
        <w:autoSpaceDN w:val="0"/>
        <w:adjustRightInd w:val="0"/>
        <w:spacing w:after="0" w:line="240" w:lineRule="auto"/>
        <w:ind w:firstLine="720"/>
        <w:jc w:val="both"/>
        <w:rPr>
          <w:rFonts w:ascii="Times New Roman" w:eastAsia="Times New Roman" w:hAnsi="Times New Roman" w:cs="Times New Roman"/>
          <w:sz w:val="24"/>
          <w:szCs w:val="23"/>
          <w:lang w:eastAsia="lv-LV"/>
        </w:rPr>
      </w:pPr>
    </w:p>
    <w:p w:rsidR="006A28D4" w:rsidRPr="006A28D4" w:rsidRDefault="006A28D4" w:rsidP="00A73178">
      <w:pPr>
        <w:autoSpaceDE w:val="0"/>
        <w:autoSpaceDN w:val="0"/>
        <w:adjustRightInd w:val="0"/>
        <w:spacing w:after="0" w:line="240" w:lineRule="auto"/>
        <w:ind w:firstLine="720"/>
        <w:jc w:val="center"/>
        <w:rPr>
          <w:rFonts w:ascii="Times New Roman" w:eastAsia="Calibri" w:hAnsi="Times New Roman" w:cs="Times New Roman"/>
          <w:b/>
          <w:sz w:val="24"/>
          <w:szCs w:val="24"/>
        </w:rPr>
      </w:pPr>
      <w:r w:rsidRPr="006A28D4">
        <w:rPr>
          <w:rFonts w:ascii="Times New Roman" w:eastAsia="Times New Roman" w:hAnsi="Times New Roman" w:cs="Times New Roman"/>
          <w:noProof/>
          <w:color w:val="000000"/>
          <w:sz w:val="24"/>
          <w:szCs w:val="24"/>
          <w:lang w:eastAsia="lv-LV"/>
        </w:rPr>
        <w:lastRenderedPageBreak/>
        <w:drawing>
          <wp:anchor distT="0" distB="0" distL="114300" distR="114300" simplePos="0" relativeHeight="251658240" behindDoc="0" locked="0" layoutInCell="1" allowOverlap="1">
            <wp:simplePos x="0" y="0"/>
            <wp:positionH relativeFrom="column">
              <wp:posOffset>128188</wp:posOffset>
            </wp:positionH>
            <wp:positionV relativeFrom="paragraph">
              <wp:posOffset>635</wp:posOffset>
            </wp:positionV>
            <wp:extent cx="5358765" cy="28994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138" b="6199"/>
                    <a:stretch/>
                  </pic:blipFill>
                  <pic:spPr bwMode="auto">
                    <a:xfrm>
                      <a:off x="0" y="0"/>
                      <a:ext cx="5358765" cy="2899410"/>
                    </a:xfrm>
                    <a:prstGeom prst="rect">
                      <a:avLst/>
                    </a:prstGeom>
                    <a:noFill/>
                    <a:ln>
                      <a:noFill/>
                    </a:ln>
                    <a:extLst>
                      <a:ext uri="{53640926-AAD7-44D8-BBD7-CCE9431645EC}">
                        <a14:shadowObscured xmlns:a14="http://schemas.microsoft.com/office/drawing/2010/main"/>
                      </a:ext>
                    </a:extLst>
                  </pic:spPr>
                </pic:pic>
              </a:graphicData>
            </a:graphic>
          </wp:anchor>
        </w:drawing>
      </w:r>
      <w:r w:rsidRPr="006A28D4">
        <w:rPr>
          <w:rFonts w:ascii="Times New Roman" w:eastAsia="Calibri" w:hAnsi="Times New Roman" w:cs="Times New Roman"/>
          <w:b/>
          <w:sz w:val="24"/>
          <w:szCs w:val="24"/>
        </w:rPr>
        <w:t>7.1.att. Iedzīvotāju un nodarbināto skaits vecumā 15-64 un iedzīvotāju skaits 65+ Latvijā, tūkst. (Datu avots:</w:t>
      </w:r>
      <w:r w:rsidRPr="006A28D4">
        <w:rPr>
          <w:rFonts w:ascii="Times New Roman" w:eastAsia="Calibri" w:hAnsi="Times New Roman" w:cs="Times New Roman"/>
          <w:b/>
          <w:i/>
          <w:noProof/>
          <w:sz w:val="24"/>
          <w:szCs w:val="24"/>
        </w:rPr>
        <w:t xml:space="preserve"> Eurostat</w:t>
      </w:r>
      <w:r w:rsidRPr="006A28D4">
        <w:rPr>
          <w:rFonts w:ascii="Times New Roman" w:eastAsia="Calibri" w:hAnsi="Times New Roman" w:cs="Times New Roman"/>
          <w:b/>
          <w:sz w:val="24"/>
          <w:szCs w:val="24"/>
        </w:rPr>
        <w:t>, Eiropas Komisija).</w:t>
      </w:r>
    </w:p>
    <w:p w:rsidR="006A28D4" w:rsidRPr="006A28D4" w:rsidRDefault="006A28D4" w:rsidP="006A28D4">
      <w:pPr>
        <w:autoSpaceDE w:val="0"/>
        <w:autoSpaceDN w:val="0"/>
        <w:adjustRightInd w:val="0"/>
        <w:spacing w:after="0" w:line="240" w:lineRule="auto"/>
        <w:jc w:val="both"/>
        <w:rPr>
          <w:rFonts w:ascii="Times New Roman" w:eastAsia="Times New Roman" w:hAnsi="Times New Roman" w:cs="Times New Roman"/>
          <w:color w:val="000000"/>
          <w:sz w:val="24"/>
          <w:szCs w:val="23"/>
          <w:lang w:eastAsia="lv-LV"/>
        </w:rPr>
      </w:pPr>
    </w:p>
    <w:p w:rsidR="006A28D4" w:rsidRPr="00A73178" w:rsidRDefault="006A28D4" w:rsidP="00A73178">
      <w:pPr>
        <w:spacing w:after="0" w:line="240" w:lineRule="auto"/>
        <w:ind w:firstLine="720"/>
        <w:jc w:val="both"/>
        <w:rPr>
          <w:rFonts w:ascii="Times New Roman" w:eastAsia="Times New Roman" w:hAnsi="Times New Roman" w:cs="Times New Roman"/>
          <w:sz w:val="24"/>
          <w:szCs w:val="24"/>
        </w:rPr>
      </w:pPr>
      <w:r w:rsidRPr="00A73178">
        <w:rPr>
          <w:rFonts w:ascii="Times New Roman" w:eastAsia="Times New Roman" w:hAnsi="Times New Roman" w:cs="Times New Roman"/>
          <w:sz w:val="24"/>
          <w:szCs w:val="24"/>
        </w:rPr>
        <w:t>Pēc Centrālās statistikas pārvaldes datiem Latvijas demogrāfijas un sociālās apdrošināšanas sistēmas noslodze raksturojama ar sekojošu attiecību: 1 pensionārs uz 1,5 strādājošajiem. 2016.gadā uz 1</w:t>
      </w:r>
      <w:r w:rsidR="006D382A">
        <w:rPr>
          <w:rFonts w:ascii="Times New Roman" w:eastAsia="Times New Roman" w:hAnsi="Times New Roman" w:cs="Times New Roman"/>
          <w:sz w:val="24"/>
          <w:szCs w:val="24"/>
        </w:rPr>
        <w:t> </w:t>
      </w:r>
      <w:r w:rsidRPr="00A73178">
        <w:rPr>
          <w:rFonts w:ascii="Times New Roman" w:eastAsia="Times New Roman" w:hAnsi="Times New Roman" w:cs="Times New Roman"/>
          <w:sz w:val="24"/>
          <w:szCs w:val="24"/>
        </w:rPr>
        <w:t xml:space="preserve">000 obligāti sociāli apdrošinātām personām bija reģistrēti 669 pensionāri. Atbilstoši jaunākajām </w:t>
      </w:r>
      <w:r w:rsidRPr="00A73178">
        <w:rPr>
          <w:rFonts w:ascii="Times New Roman" w:eastAsia="Times New Roman" w:hAnsi="Times New Roman" w:cs="Times New Roman"/>
          <w:i/>
          <w:noProof/>
          <w:sz w:val="24"/>
          <w:szCs w:val="24"/>
        </w:rPr>
        <w:t>Eurostat</w:t>
      </w:r>
      <w:r w:rsidRPr="00A73178">
        <w:rPr>
          <w:rFonts w:ascii="Times New Roman" w:eastAsia="Times New Roman" w:hAnsi="Times New Roman" w:cs="Times New Roman"/>
          <w:sz w:val="24"/>
          <w:szCs w:val="24"/>
        </w:rPr>
        <w:t xml:space="preserve"> prognozēm </w:t>
      </w:r>
      <w:r w:rsidRPr="00A73178">
        <w:rPr>
          <w:rFonts w:ascii="Times New Roman" w:eastAsia="Times New Roman" w:hAnsi="Times New Roman" w:cs="Times New Roman"/>
          <w:i/>
          <w:sz w:val="24"/>
          <w:szCs w:val="24"/>
        </w:rPr>
        <w:t>EUROPOP2015</w:t>
      </w:r>
      <w:r w:rsidRPr="00A73178">
        <w:rPr>
          <w:rFonts w:ascii="Times New Roman" w:eastAsia="Times New Roman" w:hAnsi="Times New Roman" w:cs="Times New Roman"/>
          <w:sz w:val="24"/>
          <w:szCs w:val="24"/>
        </w:rPr>
        <w:t xml:space="preserve">, kas izmantotas par pamatu 2018.gada Novecošanās ziņojumā iekļautajām prognozēm, Latvijā līdz 2070.gadam tiek prognozēta iedzīvotāju skaita samazināšanās. </w:t>
      </w:r>
      <w:r w:rsidRPr="00A73178">
        <w:rPr>
          <w:rFonts w:ascii="Times New Roman" w:eastAsia="Times New Roman" w:hAnsi="Times New Roman" w:cs="Times New Roman"/>
          <w:i/>
          <w:noProof/>
          <w:sz w:val="24"/>
          <w:szCs w:val="24"/>
        </w:rPr>
        <w:t>Eurostat</w:t>
      </w:r>
      <w:r w:rsidRPr="00A73178">
        <w:rPr>
          <w:rFonts w:ascii="Times New Roman" w:eastAsia="Times New Roman" w:hAnsi="Times New Roman" w:cs="Times New Roman"/>
          <w:noProof/>
          <w:sz w:val="24"/>
          <w:szCs w:val="24"/>
        </w:rPr>
        <w:t xml:space="preserve"> </w:t>
      </w:r>
      <w:r w:rsidRPr="00A73178">
        <w:rPr>
          <w:rFonts w:ascii="Times New Roman" w:eastAsia="Times New Roman" w:hAnsi="Times New Roman" w:cs="Times New Roman"/>
          <w:sz w:val="24"/>
          <w:szCs w:val="24"/>
        </w:rPr>
        <w:t>bāzes scenārijā prognozē, ka kopējais Latvijas iedzīvotāju skaits samazināsies no 1,96 miljoniem 2016.gadā līdz 1,34 miljoniem 2070.gadā. Tajā skaitā tiek prognozēts, ka darbspējas vecuma (15</w:t>
      </w:r>
      <w:r w:rsidR="006D382A" w:rsidRPr="00F14E08">
        <w:rPr>
          <w:rFonts w:ascii="Times New Roman" w:eastAsia="Calibri" w:hAnsi="Times New Roman" w:cs="Times New Roman"/>
          <w:sz w:val="24"/>
          <w:szCs w:val="24"/>
        </w:rPr>
        <w:t>–</w:t>
      </w:r>
      <w:r w:rsidRPr="00A73178">
        <w:rPr>
          <w:rFonts w:ascii="Times New Roman" w:eastAsia="Times New Roman" w:hAnsi="Times New Roman" w:cs="Times New Roman"/>
          <w:sz w:val="24"/>
          <w:szCs w:val="24"/>
        </w:rPr>
        <w:t>74) iedzīvotāju skaits (skat. 7.1. attēlu) samazināsies par 58% jeb no 1,47</w:t>
      </w:r>
      <w:r w:rsidR="00A73178">
        <w:rPr>
          <w:rFonts w:ascii="Times New Roman" w:eastAsia="Times New Roman" w:hAnsi="Times New Roman" w:cs="Times New Roman"/>
          <w:sz w:val="24"/>
          <w:szCs w:val="24"/>
        </w:rPr>
        <w:t xml:space="preserve"> </w:t>
      </w:r>
      <w:r w:rsidRPr="00A73178">
        <w:rPr>
          <w:rFonts w:ascii="Times New Roman" w:eastAsia="Times New Roman" w:hAnsi="Times New Roman" w:cs="Times New Roman"/>
          <w:sz w:val="24"/>
          <w:szCs w:val="24"/>
        </w:rPr>
        <w:t>miljoniem 2016.gadā līdz aptuveni 0,85</w:t>
      </w:r>
      <w:r w:rsidR="00A73178">
        <w:rPr>
          <w:rFonts w:ascii="Times New Roman" w:eastAsia="Times New Roman" w:hAnsi="Times New Roman" w:cs="Times New Roman"/>
          <w:sz w:val="24"/>
          <w:szCs w:val="24"/>
        </w:rPr>
        <w:t xml:space="preserve"> </w:t>
      </w:r>
      <w:r w:rsidRPr="00A73178">
        <w:rPr>
          <w:rFonts w:ascii="Times New Roman" w:eastAsia="Times New Roman" w:hAnsi="Times New Roman" w:cs="Times New Roman"/>
          <w:sz w:val="24"/>
          <w:szCs w:val="24"/>
        </w:rPr>
        <w:t>miljoniem iedzīvotāju 2070.gadā. Savukārt iedzīvotāju skaits vecumā virs 65</w:t>
      </w:r>
      <w:r w:rsidR="00A73178">
        <w:rPr>
          <w:rFonts w:ascii="Times New Roman" w:eastAsia="Times New Roman" w:hAnsi="Times New Roman" w:cs="Times New Roman"/>
          <w:sz w:val="24"/>
          <w:szCs w:val="24"/>
        </w:rPr>
        <w:t xml:space="preserve"> </w:t>
      </w:r>
      <w:r w:rsidRPr="00A73178">
        <w:rPr>
          <w:rFonts w:ascii="Times New Roman" w:eastAsia="Times New Roman" w:hAnsi="Times New Roman" w:cs="Times New Roman"/>
          <w:sz w:val="24"/>
          <w:szCs w:val="24"/>
        </w:rPr>
        <w:t>gadiem 2070.gadā salīdzinājumā ar 2016.gadu palielināsies par 2,0% un kopumā būs 0,4</w:t>
      </w:r>
      <w:r w:rsidR="00A73178">
        <w:rPr>
          <w:rFonts w:ascii="Times New Roman" w:eastAsia="Times New Roman" w:hAnsi="Times New Roman" w:cs="Times New Roman"/>
          <w:sz w:val="24"/>
          <w:szCs w:val="24"/>
        </w:rPr>
        <w:t xml:space="preserve"> </w:t>
      </w:r>
      <w:r w:rsidRPr="00A73178">
        <w:rPr>
          <w:rFonts w:ascii="Times New Roman" w:eastAsia="Times New Roman" w:hAnsi="Times New Roman" w:cs="Times New Roman"/>
          <w:sz w:val="24"/>
          <w:szCs w:val="24"/>
        </w:rPr>
        <w:t xml:space="preserve">miljoni iedzīvotāju. Darbaspēka apjoma kritumam būs nelabvēlīga ietekme </w:t>
      </w:r>
      <w:r w:rsidR="00F27190" w:rsidRPr="00A73178">
        <w:rPr>
          <w:rFonts w:ascii="Times New Roman" w:eastAsia="Times New Roman" w:hAnsi="Times New Roman" w:cs="Times New Roman"/>
          <w:sz w:val="24"/>
          <w:szCs w:val="24"/>
        </w:rPr>
        <w:t>uz budžetu</w:t>
      </w:r>
      <w:r w:rsidRPr="00A73178">
        <w:rPr>
          <w:rFonts w:ascii="Times New Roman" w:eastAsia="Times New Roman" w:hAnsi="Times New Roman" w:cs="Times New Roman"/>
          <w:sz w:val="24"/>
          <w:szCs w:val="24"/>
        </w:rPr>
        <w:t xml:space="preserve">. Savukārt produktivitātes pieaugumam un darbaspēka līdzdalības līmenim varētu būt pozitīva ietekme. Fiskālajai politikai, kas vērsta uz ilgtermiņa ilgtspējību, jāpievērš vērība šīm strukturālajām izmaiņām, lai nodrošinātu valsts spēju īstenot konsekventas un efektīvas politikas darbības. </w:t>
      </w:r>
    </w:p>
    <w:p w:rsidR="006A28D4" w:rsidRDefault="006A28D4" w:rsidP="00A26279">
      <w:pPr>
        <w:spacing w:after="120" w:line="240" w:lineRule="auto"/>
        <w:ind w:firstLine="720"/>
        <w:jc w:val="both"/>
        <w:rPr>
          <w:rFonts w:ascii="Times New Roman" w:eastAsia="Times New Roman" w:hAnsi="Times New Roman" w:cs="Times New Roman"/>
          <w:sz w:val="24"/>
          <w:szCs w:val="24"/>
        </w:rPr>
      </w:pPr>
      <w:r w:rsidRPr="00A73178">
        <w:rPr>
          <w:rFonts w:ascii="Times New Roman" w:eastAsia="Times New Roman" w:hAnsi="Times New Roman" w:cs="Times New Roman"/>
          <w:sz w:val="24"/>
          <w:szCs w:val="24"/>
        </w:rPr>
        <w:t xml:space="preserve">Darbaspēka apsekojuma dati liecina, ka kopš 2010.gada nodarbināto skaits Latvijā pieaug. To pozitīvi ietekmē gan vidējās algas kāpums, gan brīvo darba vietu skaita straujais pieaugums (skat. 7.2. attēlu). Līdz ar straujāku ekonomikas izaugsmi ekonomikā audzis pieprasījums pēc darbiniekiem, savukārt piedāvājumu ierobežo krītošais darbaspējas vecuma iedzīvotāju skaits, kā rezultātā pagājušajā gadā strauji pieaudzis brīvo darba vietu skaits, kas salīdzinājumā ar 2016.gadu palielinājies par 2,6 tūkstošiem jeb 17,9%. Visaugstākais brīvo darba vietu īpatsvars 2017.gadā bija valsts pārvaldes, aizsardzības un obligātās sociālās apdrošināšanas nozarē – 4,6%, kā arī apstrādes rūpniecības nozarē un būvniecības nozarē – 2,3% no visām darba vietām. Kopš 2010.gada nodarbināto skaits ekonomiski aktīvo iedzīvotāju vecuma grupā (15 – 74 gadi) ir pieaudzis par 44 tūkstošiem, no 851 tūkstoša 2010.gadā līdz 895 tūkstošiem 2017.gadā. Finanšu ministrija savās makroekonomikas prognozēs vidējam termiņam šobrīd prognozē, ka līdz ar straujāku ekonomikas attīstību 2017. un 2018.gadā pozitīvās tendences saglabāsies un tautsaimniecībā nodarbināto iedzīvotāju skaits noturīgā līmenī saglabāsies nākamos trīs gadus. Tāpat ar dažādu darba tirgu stimulējošu </w:t>
      </w:r>
      <w:r w:rsidRPr="00A73178">
        <w:rPr>
          <w:rFonts w:ascii="Times New Roman" w:eastAsia="Times New Roman" w:hAnsi="Times New Roman" w:cs="Times New Roman"/>
          <w:sz w:val="24"/>
          <w:szCs w:val="24"/>
        </w:rPr>
        <w:lastRenderedPageBreak/>
        <w:t>pasākumu palīdzību tiek veicināta nodarbinātība atsevišķām riska grupām, piemēram, iedzīvotājiem, kas sasnieguši 55 gadu slieksni. Tomēr kā jau iepriekš tika minēts, nākotnē darbspējas vecuma iedzīvotāju skaits ilgtermiņā samazināsies, kas pieprasa domāt par problēmas risinājumiem jau šodien.</w:t>
      </w:r>
    </w:p>
    <w:p w:rsidR="0092781F" w:rsidRDefault="0092781F" w:rsidP="0092781F">
      <w:pPr>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lv-LV"/>
        </w:rPr>
        <w:drawing>
          <wp:inline distT="0" distB="0" distL="0" distR="0">
            <wp:extent cx="5035550" cy="2712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5550" cy="2712720"/>
                    </a:xfrm>
                    <a:prstGeom prst="rect">
                      <a:avLst/>
                    </a:prstGeom>
                    <a:noFill/>
                  </pic:spPr>
                </pic:pic>
              </a:graphicData>
            </a:graphic>
          </wp:inline>
        </w:drawing>
      </w:r>
    </w:p>
    <w:p w:rsidR="0092781F" w:rsidRPr="00A73178" w:rsidRDefault="0001142F" w:rsidP="0092781F">
      <w:pPr>
        <w:jc w:val="center"/>
        <w:rPr>
          <w:rFonts w:ascii="Times New Roman" w:eastAsia="Times New Roman" w:hAnsi="Times New Roman" w:cs="Times New Roman"/>
          <w:b/>
          <w:sz w:val="24"/>
          <w:szCs w:val="24"/>
        </w:rPr>
      </w:pPr>
      <w:r>
        <w:rPr>
          <w:rFonts w:ascii="Times New Roman" w:eastAsia="Calibri" w:hAnsi="Times New Roman" w:cs="Times New Roman"/>
          <w:b/>
          <w:sz w:val="24"/>
          <w:szCs w:val="24"/>
        </w:rPr>
        <w:t>7.2.</w:t>
      </w:r>
      <w:r w:rsidR="0092781F" w:rsidRPr="00A73178">
        <w:rPr>
          <w:rFonts w:ascii="Times New Roman" w:eastAsia="Calibri" w:hAnsi="Times New Roman" w:cs="Times New Roman"/>
          <w:b/>
          <w:sz w:val="24"/>
          <w:szCs w:val="24"/>
        </w:rPr>
        <w:t>att. Brīvo darba vietu skaita izmaiņas pa mēnešiem, 2015.-2018.g.</w:t>
      </w:r>
      <w:r w:rsidR="0092781F" w:rsidRPr="00A73178">
        <w:rPr>
          <w:rFonts w:ascii="Times New Roman" w:eastAsia="Calibri" w:hAnsi="Times New Roman" w:cs="Times New Roman"/>
          <w:b/>
          <w:sz w:val="24"/>
          <w:szCs w:val="24"/>
        </w:rPr>
        <w:br/>
        <w:t xml:space="preserve"> (Datu avots: Nodarbinātības valsts aģentūra).</w:t>
      </w:r>
    </w:p>
    <w:p w:rsidR="006A28D4" w:rsidRPr="00A73178" w:rsidRDefault="006A28D4" w:rsidP="0092781F">
      <w:pPr>
        <w:spacing w:after="0" w:line="240" w:lineRule="auto"/>
        <w:ind w:firstLine="576"/>
        <w:jc w:val="both"/>
        <w:rPr>
          <w:rFonts w:ascii="Times New Roman" w:eastAsia="Times New Roman" w:hAnsi="Times New Roman" w:cs="Times New Roman"/>
          <w:sz w:val="24"/>
          <w:szCs w:val="24"/>
        </w:rPr>
      </w:pPr>
      <w:r w:rsidRPr="00A73178">
        <w:rPr>
          <w:rFonts w:ascii="Times New Roman" w:eastAsia="Times New Roman" w:hAnsi="Times New Roman" w:cs="Times New Roman"/>
          <w:sz w:val="24"/>
          <w:szCs w:val="24"/>
        </w:rPr>
        <w:t>Kopējo iedzīvotāju skaita samazināšanos nākamajās desmitgadēs (skat. 7.3.</w:t>
      </w:r>
      <w:r w:rsidR="00A73178" w:rsidRPr="00A73178">
        <w:rPr>
          <w:rFonts w:ascii="Times New Roman" w:eastAsia="Times New Roman" w:hAnsi="Times New Roman" w:cs="Times New Roman"/>
          <w:sz w:val="24"/>
          <w:szCs w:val="24"/>
        </w:rPr>
        <w:t xml:space="preserve"> </w:t>
      </w:r>
      <w:r w:rsidRPr="00A73178">
        <w:rPr>
          <w:rFonts w:ascii="Times New Roman" w:eastAsia="Times New Roman" w:hAnsi="Times New Roman" w:cs="Times New Roman"/>
          <w:sz w:val="24"/>
          <w:szCs w:val="24"/>
        </w:rPr>
        <w:t xml:space="preserve">attēlu) ietekmē gan negatīvs dabiskais pieaugums, gan negatīvs migrācijas saldo. Atbilstoši </w:t>
      </w:r>
      <w:r w:rsidRPr="00A73178">
        <w:rPr>
          <w:rFonts w:ascii="Times New Roman" w:eastAsia="Times New Roman" w:hAnsi="Times New Roman" w:cs="Times New Roman"/>
          <w:i/>
          <w:noProof/>
          <w:sz w:val="24"/>
          <w:szCs w:val="24"/>
        </w:rPr>
        <w:t>Eurostat</w:t>
      </w:r>
      <w:r w:rsidRPr="00A73178">
        <w:rPr>
          <w:rFonts w:ascii="Times New Roman" w:eastAsia="Times New Roman" w:hAnsi="Times New Roman" w:cs="Times New Roman"/>
          <w:sz w:val="24"/>
          <w:szCs w:val="24"/>
        </w:rPr>
        <w:t xml:space="preserve"> ilgtermiņa prognozēm mirušo skaits Latvijā pakāpeniski samazināsies, taču turpinās pārsniegt dzimušo skaitu. Iedzīvotāju skaita dabisko samazināšanos pastiprina negatīvais migrācijas saldo, kas nozīmē izbraukušo iedzīvotāju pārsvaru pār iebraukušo skaitu, un tas Latvijā atbilstoši </w:t>
      </w:r>
      <w:r w:rsidRPr="00A73178">
        <w:rPr>
          <w:rFonts w:ascii="Times New Roman" w:eastAsia="Times New Roman" w:hAnsi="Times New Roman" w:cs="Times New Roman"/>
          <w:i/>
          <w:noProof/>
          <w:sz w:val="24"/>
          <w:szCs w:val="24"/>
        </w:rPr>
        <w:t xml:space="preserve">Eurostat </w:t>
      </w:r>
      <w:r w:rsidRPr="00A73178">
        <w:rPr>
          <w:rFonts w:ascii="Times New Roman" w:eastAsia="Times New Roman" w:hAnsi="Times New Roman" w:cs="Times New Roman"/>
          <w:sz w:val="24"/>
          <w:szCs w:val="24"/>
        </w:rPr>
        <w:t>prognozēm turpināsies līdz pat 2045.gadam.</w:t>
      </w:r>
    </w:p>
    <w:p w:rsidR="006A28D4" w:rsidRPr="00A73178" w:rsidRDefault="006A28D4" w:rsidP="0092781F">
      <w:pPr>
        <w:spacing w:after="0" w:line="240" w:lineRule="auto"/>
        <w:ind w:firstLine="576"/>
        <w:jc w:val="both"/>
        <w:rPr>
          <w:rFonts w:ascii="Times New Roman" w:eastAsia="Times New Roman" w:hAnsi="Times New Roman" w:cs="Times New Roman"/>
          <w:sz w:val="24"/>
          <w:szCs w:val="24"/>
        </w:rPr>
      </w:pPr>
      <w:r w:rsidRPr="00A73178">
        <w:rPr>
          <w:rFonts w:ascii="Times New Roman" w:eastAsia="Times New Roman" w:hAnsi="Times New Roman" w:cs="Times New Roman"/>
          <w:sz w:val="24"/>
          <w:szCs w:val="24"/>
        </w:rPr>
        <w:t>Samazinoties iedzīvotāju skaitam darbspējas vecumā no 15 līdz 64</w:t>
      </w:r>
      <w:r w:rsidR="00A73178">
        <w:rPr>
          <w:rFonts w:ascii="Times New Roman" w:eastAsia="Times New Roman" w:hAnsi="Times New Roman" w:cs="Times New Roman"/>
          <w:sz w:val="24"/>
          <w:szCs w:val="24"/>
        </w:rPr>
        <w:t xml:space="preserve"> </w:t>
      </w:r>
      <w:r w:rsidRPr="00A73178">
        <w:rPr>
          <w:rFonts w:ascii="Times New Roman" w:eastAsia="Times New Roman" w:hAnsi="Times New Roman" w:cs="Times New Roman"/>
          <w:sz w:val="24"/>
          <w:szCs w:val="24"/>
        </w:rPr>
        <w:t>gadiem, būs vērojamas izmaiņas arī nodarbināto skaitā (skat. 7.1.</w:t>
      </w:r>
      <w:r w:rsidR="00A73178">
        <w:rPr>
          <w:rFonts w:ascii="Times New Roman" w:eastAsia="Times New Roman" w:hAnsi="Times New Roman" w:cs="Times New Roman"/>
          <w:sz w:val="24"/>
          <w:szCs w:val="24"/>
        </w:rPr>
        <w:t xml:space="preserve"> </w:t>
      </w:r>
      <w:r w:rsidRPr="00A73178">
        <w:rPr>
          <w:rFonts w:ascii="Times New Roman" w:eastAsia="Times New Roman" w:hAnsi="Times New Roman" w:cs="Times New Roman"/>
          <w:sz w:val="24"/>
          <w:szCs w:val="24"/>
        </w:rPr>
        <w:t xml:space="preserve">attēlu). Taču saskaņā ar EK AWG makroekonomiskajiem pieņēmumiem tiek prognozēts, ka ilgtermiņā pieaugs gan nodarbinātības līmenis šajā vecuma grupā (no 68,8% 2016.gadā līdz 70,3% 2070.gadā), gan samazināsies bezdarbs. Tiek prognozēts, ka ilgtermiņā noteicošais ekonomiskās izaugsmes faktors būs produktivitātes pieaugums. Jāpiemin, ka līdz ar iepriekš minētajiem faktoriem, ir jāņem vērā arī dažādu alternatīvo nodarbinātības formu izplatībā kā Eiropā, tā Latvijā. Attīstoties </w:t>
      </w:r>
      <w:r w:rsidR="0042488E">
        <w:rPr>
          <w:rFonts w:ascii="Times New Roman" w:eastAsia="Times New Roman" w:hAnsi="Times New Roman" w:cs="Times New Roman"/>
          <w:sz w:val="24"/>
          <w:szCs w:val="24"/>
        </w:rPr>
        <w:t>“</w:t>
      </w:r>
      <w:r w:rsidRPr="009C44D7">
        <w:rPr>
          <w:rFonts w:ascii="Times New Roman" w:eastAsia="Times New Roman" w:hAnsi="Times New Roman" w:cs="Times New Roman"/>
          <w:i/>
          <w:sz w:val="24"/>
          <w:szCs w:val="24"/>
        </w:rPr>
        <w:t>gig</w:t>
      </w:r>
      <w:r w:rsidR="006D382A" w:rsidRPr="00F14E08">
        <w:rPr>
          <w:rFonts w:ascii="Times New Roman" w:eastAsia="Calibri" w:hAnsi="Times New Roman" w:cs="Times New Roman"/>
          <w:sz w:val="24"/>
          <w:szCs w:val="24"/>
        </w:rPr>
        <w:t>–</w:t>
      </w:r>
      <w:r w:rsidRPr="009C44D7">
        <w:rPr>
          <w:rFonts w:ascii="Times New Roman" w:eastAsia="Times New Roman" w:hAnsi="Times New Roman" w:cs="Times New Roman"/>
          <w:i/>
          <w:sz w:val="24"/>
          <w:szCs w:val="24"/>
        </w:rPr>
        <w:t>economy</w:t>
      </w:r>
      <w:r w:rsidR="0042488E">
        <w:rPr>
          <w:rFonts w:ascii="Times New Roman" w:eastAsia="Times New Roman" w:hAnsi="Times New Roman" w:cs="Times New Roman"/>
          <w:i/>
          <w:sz w:val="24"/>
          <w:szCs w:val="24"/>
        </w:rPr>
        <w:t>”</w:t>
      </w:r>
      <w:r w:rsidR="0042488E" w:rsidRPr="0042488E">
        <w:rPr>
          <w:rStyle w:val="FootnoteReference"/>
          <w:rFonts w:ascii="Times New Roman" w:eastAsia="Times New Roman" w:hAnsi="Times New Roman" w:cs="Times New Roman"/>
          <w:szCs w:val="24"/>
        </w:rPr>
        <w:footnoteReference w:id="35"/>
      </w:r>
      <w:r w:rsidRPr="0042488E">
        <w:rPr>
          <w:rFonts w:ascii="Times New Roman" w:eastAsia="Times New Roman" w:hAnsi="Times New Roman" w:cs="Times New Roman"/>
          <w:sz w:val="24"/>
          <w:szCs w:val="24"/>
        </w:rPr>
        <w:t xml:space="preserve"> </w:t>
      </w:r>
      <w:r w:rsidRPr="00A73178">
        <w:rPr>
          <w:rFonts w:ascii="Times New Roman" w:eastAsia="Times New Roman" w:hAnsi="Times New Roman" w:cs="Times New Roman"/>
          <w:sz w:val="24"/>
          <w:szCs w:val="24"/>
        </w:rPr>
        <w:t>fenomenam vairumā lielo ekonomiku, uzņēmumiem ir pievilcīgi darbiniekiem piedāvāt pagaidu darba, terminētu līgumu, pašnodarbinātā un citas formas, kas nav iekļautas pilna laika pastāvīga darba kategorijā. Biežāk un šaurāk lietotā šīs parādības nozīme ir saistīta ar darba digitalizācijas procesu attīstību. Šādas darba formas vienlaikus paredz lielāku nenoteiktību par nākotni, tai skaitā bezdarba risku uz kādu laiku, kas ietekmē personas sociālo nodrošinājumu un labklājību. Alternatīvas nodarbinātības formas ir viens no ilgtspējas izaicinājumiem ar kuriem nākotnē būs arvien vairāk jāsaskaras arī Latvijai.</w:t>
      </w:r>
    </w:p>
    <w:p w:rsidR="008813BE" w:rsidRPr="0001142F" w:rsidRDefault="008813BE" w:rsidP="00A26279">
      <w:pPr>
        <w:spacing w:after="0" w:line="240" w:lineRule="auto"/>
        <w:jc w:val="center"/>
        <w:rPr>
          <w:rFonts w:ascii="Times New Roman" w:eastAsia="Calibri" w:hAnsi="Times New Roman" w:cs="Times New Roman"/>
          <w:b/>
          <w:sz w:val="24"/>
          <w:szCs w:val="24"/>
        </w:rPr>
      </w:pPr>
      <w:r w:rsidRPr="006A28D4">
        <w:rPr>
          <w:rFonts w:ascii="Times New Roman" w:eastAsia="Times New Roman" w:hAnsi="Times New Roman" w:cs="Times New Roman"/>
          <w:noProof/>
          <w:sz w:val="24"/>
          <w:szCs w:val="20"/>
          <w:lang w:eastAsia="lv-LV"/>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151765</wp:posOffset>
            </wp:positionV>
            <wp:extent cx="5223510" cy="29705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916"/>
                    <a:stretch/>
                  </pic:blipFill>
                  <pic:spPr bwMode="auto">
                    <a:xfrm>
                      <a:off x="0" y="0"/>
                      <a:ext cx="5223510" cy="2970530"/>
                    </a:xfrm>
                    <a:prstGeom prst="rect">
                      <a:avLst/>
                    </a:prstGeom>
                    <a:noFill/>
                    <a:ln>
                      <a:noFill/>
                    </a:ln>
                    <a:extLst>
                      <a:ext uri="{53640926-AAD7-44D8-BBD7-CCE9431645EC}">
                        <a14:shadowObscured xmlns:a14="http://schemas.microsoft.com/office/drawing/2010/main"/>
                      </a:ext>
                    </a:extLst>
                  </pic:spPr>
                </pic:pic>
              </a:graphicData>
            </a:graphic>
          </wp:anchor>
        </w:drawing>
      </w:r>
      <w:r w:rsidR="0001142F">
        <w:rPr>
          <w:rFonts w:ascii="Times New Roman" w:eastAsia="Calibri" w:hAnsi="Times New Roman" w:cs="Times New Roman"/>
          <w:b/>
          <w:sz w:val="24"/>
          <w:szCs w:val="24"/>
        </w:rPr>
        <w:t>7.3.</w:t>
      </w:r>
      <w:r w:rsidRPr="0001142F">
        <w:rPr>
          <w:rFonts w:ascii="Times New Roman" w:eastAsia="Calibri" w:hAnsi="Times New Roman" w:cs="Times New Roman"/>
          <w:b/>
          <w:sz w:val="24"/>
          <w:szCs w:val="24"/>
        </w:rPr>
        <w:t>att. Iedzīvotāju skaita izmaiņu ietekme kumulatīvi 5 gadu laikā līdz 2070. gada 1.janvārim pa faktoriem: dzimušo skaits, mirušo skaits un migrācijas saldo, tūkst.</w:t>
      </w:r>
      <w:r w:rsidRPr="0001142F">
        <w:rPr>
          <w:rFonts w:ascii="Times New Roman" w:eastAsia="Calibri" w:hAnsi="Times New Roman" w:cs="Times New Roman"/>
          <w:b/>
          <w:sz w:val="24"/>
          <w:szCs w:val="24"/>
        </w:rPr>
        <w:br/>
        <w:t xml:space="preserve">(Datu avots: Centrālā statistikas pārvalde, </w:t>
      </w:r>
      <w:r w:rsidRPr="0001142F">
        <w:rPr>
          <w:rFonts w:ascii="Times New Roman" w:eastAsia="Calibri" w:hAnsi="Times New Roman" w:cs="Times New Roman"/>
          <w:b/>
          <w:i/>
          <w:noProof/>
          <w:sz w:val="24"/>
          <w:szCs w:val="24"/>
        </w:rPr>
        <w:t>Eurostat</w:t>
      </w:r>
      <w:r w:rsidRPr="0001142F">
        <w:rPr>
          <w:rFonts w:ascii="Times New Roman" w:eastAsia="Calibri" w:hAnsi="Times New Roman" w:cs="Times New Roman"/>
          <w:b/>
          <w:sz w:val="24"/>
          <w:szCs w:val="24"/>
        </w:rPr>
        <w:t>).</w:t>
      </w:r>
    </w:p>
    <w:p w:rsidR="008813BE" w:rsidRDefault="008813BE" w:rsidP="00A8311B">
      <w:pPr>
        <w:spacing w:after="0" w:line="240" w:lineRule="auto"/>
        <w:ind w:firstLine="567"/>
        <w:jc w:val="both"/>
        <w:rPr>
          <w:rFonts w:ascii="Times New Roman" w:eastAsia="Times New Roman" w:hAnsi="Times New Roman" w:cs="Times New Roman"/>
          <w:color w:val="000000"/>
          <w:sz w:val="24"/>
          <w:szCs w:val="24"/>
        </w:rPr>
      </w:pPr>
    </w:p>
    <w:p w:rsidR="006A28D4" w:rsidRPr="006A28D4" w:rsidRDefault="006A28D4" w:rsidP="00D41384">
      <w:pPr>
        <w:spacing w:after="0" w:line="240" w:lineRule="auto"/>
        <w:ind w:firstLine="709"/>
        <w:jc w:val="both"/>
        <w:rPr>
          <w:rFonts w:ascii="Times New Roman" w:eastAsia="Times New Roman" w:hAnsi="Times New Roman" w:cs="Times New Roman"/>
          <w:color w:val="000000"/>
          <w:sz w:val="24"/>
          <w:szCs w:val="24"/>
        </w:rPr>
      </w:pPr>
      <w:r w:rsidRPr="006A28D4">
        <w:rPr>
          <w:rFonts w:ascii="Times New Roman" w:eastAsia="Times New Roman" w:hAnsi="Times New Roman" w:cs="Times New Roman"/>
          <w:color w:val="000000"/>
          <w:sz w:val="24"/>
          <w:szCs w:val="24"/>
        </w:rPr>
        <w:t xml:space="preserve">Vienlaikus Latvijā uzlabojoties nodarbinātības rādītājiem, iezīmējas darba roku trūkuma problēmas atsevišķās nozarēs, piemēram, </w:t>
      </w:r>
      <w:r w:rsidRPr="006A28D4">
        <w:rPr>
          <w:rFonts w:ascii="Times New Roman" w:eastAsia="Times New Roman" w:hAnsi="Times New Roman" w:cs="Times New Roman"/>
          <w:color w:val="000000"/>
          <w:sz w:val="24"/>
          <w:szCs w:val="24"/>
          <w:shd w:val="clear" w:color="auto" w:fill="FFFFFF"/>
        </w:rPr>
        <w:t>IT, apstrādes rūpniecības un transporta, vairumtirdzniecības, mazumtirdzniecības, būvniecības, kā arī izmitināšanas un ēdināšanas pakalpojumu sniegšanas jomās.</w:t>
      </w:r>
      <w:r w:rsidRPr="006A28D4">
        <w:rPr>
          <w:rFonts w:ascii="Times New Roman" w:eastAsia="Times New Roman" w:hAnsi="Times New Roman" w:cs="Times New Roman"/>
          <w:color w:val="000000"/>
          <w:sz w:val="24"/>
          <w:szCs w:val="24"/>
        </w:rPr>
        <w:t xml:space="preserve"> Trūkst gan augstākā un vidējā līmeņa speciālisti, gan mazkvalificēti darbinieki. Situāciju apgrūtina darbaspēka emigrācija, tai skaitā aizbraukušie augstskolu absolventi. Sociālie sadarbības partneri un uzņēmēji aicina pārskatīt augstskolu studiju programmas, vairāk koncentrējoties uz tām, kurās trūkst speciālistu. Viens no uzskatāmākajiem piemēriem ir informācijas un komunikācijas tehnoloģiju joma, kurā uzņēmējiem nepieciešami kvalificēti speciālisti. Par vienu no iespējām Ekonomikas ministrija saskatīja ieviest atvieglotus</w:t>
      </w:r>
      <w:r w:rsidR="00394438">
        <w:rPr>
          <w:rFonts w:ascii="Times New Roman" w:eastAsia="Times New Roman" w:hAnsi="Times New Roman" w:cs="Times New Roman"/>
          <w:color w:val="000000"/>
          <w:sz w:val="24"/>
          <w:szCs w:val="24"/>
        </w:rPr>
        <w:t xml:space="preserve"> imigrācijas nosacījumus kopumā</w:t>
      </w:r>
      <w:r w:rsidRPr="006A28D4">
        <w:rPr>
          <w:rFonts w:ascii="Times New Roman" w:eastAsia="Times New Roman" w:hAnsi="Times New Roman" w:cs="Times New Roman"/>
          <w:color w:val="000000"/>
          <w:sz w:val="24"/>
          <w:szCs w:val="24"/>
        </w:rPr>
        <w:t xml:space="preserve"> 29 profesiju apakšgrupu pārstāvjiem saskaņā ar Profesiju klasifikatoru, piemēram, zinātnieki, fiziķi, ķīmiķi, inženieri, būvnieki, piloti, finanšu speciālisti, vidēja un augsta līmeņa vadītāji, projektu vadītāji un citi. 2017.gada 2.februārī Saeima galīgajā lasījumā atbalstīja grozījumus Imigrācijas likumā ar mērķi atvieglot ieceļošanas nosacījumus augsti kvalificētiem nodarbinātajiem, t.sk. jaunuzņēmumu (</w:t>
      </w:r>
      <w:r w:rsidRPr="006A28D4">
        <w:rPr>
          <w:rFonts w:ascii="Times New Roman" w:eastAsia="Times New Roman" w:hAnsi="Times New Roman" w:cs="Times New Roman"/>
          <w:i/>
          <w:color w:val="000000"/>
          <w:sz w:val="24"/>
          <w:szCs w:val="24"/>
        </w:rPr>
        <w:t>start</w:t>
      </w:r>
      <w:r w:rsidR="006D382A" w:rsidRPr="00F14E08">
        <w:rPr>
          <w:rFonts w:ascii="Times New Roman" w:eastAsia="Calibri" w:hAnsi="Times New Roman" w:cs="Times New Roman"/>
          <w:sz w:val="24"/>
          <w:szCs w:val="24"/>
        </w:rPr>
        <w:t>–</w:t>
      </w:r>
      <w:r w:rsidRPr="006A28D4">
        <w:rPr>
          <w:rFonts w:ascii="Times New Roman" w:eastAsia="Times New Roman" w:hAnsi="Times New Roman" w:cs="Times New Roman"/>
          <w:i/>
          <w:color w:val="000000"/>
          <w:sz w:val="24"/>
          <w:szCs w:val="24"/>
        </w:rPr>
        <w:t>up</w:t>
      </w:r>
      <w:r w:rsidRPr="006A28D4">
        <w:rPr>
          <w:rFonts w:ascii="Times New Roman" w:eastAsia="Times New Roman" w:hAnsi="Times New Roman" w:cs="Times New Roman"/>
          <w:color w:val="000000"/>
          <w:sz w:val="24"/>
          <w:szCs w:val="24"/>
        </w:rPr>
        <w:t>) dibinātājiem, kā arī nodarbinātajiem profesijās ar būtisku darbaspēka trūkumu.</w:t>
      </w:r>
    </w:p>
    <w:p w:rsidR="006A28D4" w:rsidRPr="006A28D4" w:rsidRDefault="006A28D4" w:rsidP="00D41384">
      <w:pPr>
        <w:spacing w:after="0" w:line="240" w:lineRule="auto"/>
        <w:ind w:firstLine="709"/>
        <w:jc w:val="both"/>
        <w:rPr>
          <w:rFonts w:ascii="Times New Roman" w:eastAsia="Times New Roman" w:hAnsi="Times New Roman" w:cs="Times New Roman"/>
          <w:sz w:val="24"/>
          <w:szCs w:val="24"/>
        </w:rPr>
      </w:pPr>
      <w:r w:rsidRPr="006A28D4">
        <w:rPr>
          <w:rFonts w:ascii="Times New Roman" w:eastAsia="Times New Roman" w:hAnsi="Times New Roman" w:cs="Times New Roman"/>
          <w:sz w:val="24"/>
          <w:szCs w:val="24"/>
        </w:rPr>
        <w:t xml:space="preserve">Attiecībā uz ilgtermiņa vispārējās valdības budžeta izdevumu prognozēm, atbilstoši bāzes scenārijam, kas sagatavots iekļaušanai topošajā 2018.gada Novecošanās ziņojumā, tiek prognozēts, ka pie nemainīgas politikas Latvijā 2070.gadā salīdzinājumā ar 2016.gadu ar sabiedrības novecošanos saistīto izdevumu īpatsvars iekšzemes kopproduktā samazināsies no </w:t>
      </w:r>
      <w:r w:rsidRPr="006A28D4">
        <w:rPr>
          <w:rFonts w:ascii="Times New Roman" w:eastAsia="Times New Roman" w:hAnsi="Times New Roman" w:cs="Times New Roman"/>
          <w:color w:val="000000"/>
          <w:sz w:val="24"/>
          <w:szCs w:val="24"/>
        </w:rPr>
        <w:t>16,4% no IKP līdz 15,0</w:t>
      </w:r>
      <w:r w:rsidRPr="006A28D4">
        <w:rPr>
          <w:rFonts w:ascii="Times New Roman" w:eastAsia="Times New Roman" w:hAnsi="Times New Roman" w:cs="Times New Roman"/>
          <w:sz w:val="24"/>
          <w:szCs w:val="24"/>
        </w:rPr>
        <w:t>% no IKP. Samazinājumu pamatā noteiks izdevumu valsts pensijām īpatsvara kritums iekšzemes kopproduktā. Ilgtermiņa budžeta izdevumu bāzes scenārijs paredz, ka:</w:t>
      </w:r>
    </w:p>
    <w:p w:rsidR="006A28D4" w:rsidRPr="006A28D4" w:rsidRDefault="006A28D4" w:rsidP="00D41384">
      <w:pPr>
        <w:numPr>
          <w:ilvl w:val="0"/>
          <w:numId w:val="28"/>
        </w:numPr>
        <w:spacing w:after="0" w:line="240" w:lineRule="auto"/>
        <w:ind w:left="1134" w:hanging="425"/>
        <w:jc w:val="both"/>
        <w:rPr>
          <w:rFonts w:ascii="Times New Roman" w:eastAsia="Times New Roman" w:hAnsi="Times New Roman" w:cs="Times New Roman"/>
          <w:sz w:val="24"/>
          <w:szCs w:val="24"/>
        </w:rPr>
      </w:pPr>
      <w:r w:rsidRPr="006A28D4">
        <w:rPr>
          <w:rFonts w:ascii="Times New Roman" w:eastAsia="Times New Roman" w:hAnsi="Times New Roman" w:cs="Times New Roman"/>
          <w:sz w:val="24"/>
          <w:szCs w:val="24"/>
        </w:rPr>
        <w:t>Valsts pensiju izdevumu īpatsvars IKP samazināsies no 7,4% no IKP 2016.gadā līdz 4,7% no IKP 2070.gadā;</w:t>
      </w:r>
    </w:p>
    <w:p w:rsidR="006A28D4" w:rsidRPr="006A28D4" w:rsidRDefault="006A28D4" w:rsidP="00D41384">
      <w:pPr>
        <w:numPr>
          <w:ilvl w:val="0"/>
          <w:numId w:val="28"/>
        </w:numPr>
        <w:spacing w:after="0" w:line="240" w:lineRule="auto"/>
        <w:ind w:left="1134" w:hanging="425"/>
        <w:jc w:val="both"/>
        <w:rPr>
          <w:rFonts w:ascii="Times New Roman" w:eastAsia="Times New Roman" w:hAnsi="Times New Roman" w:cs="Times New Roman"/>
          <w:sz w:val="24"/>
          <w:szCs w:val="24"/>
        </w:rPr>
      </w:pPr>
      <w:r w:rsidRPr="006A28D4">
        <w:rPr>
          <w:rFonts w:ascii="Times New Roman" w:eastAsia="Times New Roman" w:hAnsi="Times New Roman" w:cs="Times New Roman"/>
          <w:sz w:val="24"/>
          <w:szCs w:val="24"/>
        </w:rPr>
        <w:t>Veselības aprūpes izdevumu īpatsvars IKP palielināsies no 3,7% no IKP 2016.gadā līdz 4,3% no IKP 2070.gadā;</w:t>
      </w:r>
    </w:p>
    <w:p w:rsidR="006A28D4" w:rsidRPr="006A28D4" w:rsidRDefault="006A28D4" w:rsidP="00D41384">
      <w:pPr>
        <w:numPr>
          <w:ilvl w:val="0"/>
          <w:numId w:val="28"/>
        </w:numPr>
        <w:spacing w:after="0" w:line="240" w:lineRule="auto"/>
        <w:ind w:left="1134" w:hanging="425"/>
        <w:jc w:val="both"/>
        <w:rPr>
          <w:rFonts w:ascii="Times New Roman" w:eastAsia="Times New Roman" w:hAnsi="Times New Roman" w:cs="Times New Roman"/>
          <w:sz w:val="24"/>
          <w:szCs w:val="24"/>
        </w:rPr>
      </w:pPr>
      <w:r w:rsidRPr="006A28D4">
        <w:rPr>
          <w:rFonts w:ascii="Times New Roman" w:eastAsia="Times New Roman" w:hAnsi="Times New Roman" w:cs="Times New Roman"/>
          <w:sz w:val="24"/>
          <w:szCs w:val="24"/>
        </w:rPr>
        <w:lastRenderedPageBreak/>
        <w:t>Ilglaicīgās aprūpes izdevumu īpatsvars IKP palielināsies no 0,4% no IKP 2016.gadā līdz 0,6% no IKP 2070.gadā;</w:t>
      </w:r>
    </w:p>
    <w:p w:rsidR="006A28D4" w:rsidRPr="006A28D4" w:rsidRDefault="006A28D4" w:rsidP="00D41384">
      <w:pPr>
        <w:numPr>
          <w:ilvl w:val="0"/>
          <w:numId w:val="28"/>
        </w:numPr>
        <w:spacing w:after="0" w:line="240" w:lineRule="auto"/>
        <w:ind w:left="1134" w:hanging="425"/>
        <w:jc w:val="both"/>
        <w:rPr>
          <w:rFonts w:ascii="Times New Roman" w:eastAsia="Times New Roman" w:hAnsi="Times New Roman" w:cs="Times New Roman"/>
          <w:sz w:val="24"/>
          <w:szCs w:val="24"/>
        </w:rPr>
      </w:pPr>
      <w:r w:rsidRPr="006A28D4">
        <w:rPr>
          <w:rFonts w:ascii="Times New Roman" w:eastAsia="Times New Roman" w:hAnsi="Times New Roman" w:cs="Times New Roman"/>
          <w:sz w:val="24"/>
          <w:szCs w:val="24"/>
        </w:rPr>
        <w:t>Izglītības izdevumu īpatsvars IKP palielināsies no 4,5% no IKP 2016.gadā līdz 5,0% no IKP 2070.gadā;</w:t>
      </w:r>
    </w:p>
    <w:p w:rsidR="006A28D4" w:rsidRPr="006A28D4" w:rsidRDefault="00A8311B" w:rsidP="00D41384">
      <w:pPr>
        <w:numPr>
          <w:ilvl w:val="0"/>
          <w:numId w:val="28"/>
        </w:numPr>
        <w:spacing w:after="0" w:line="240" w:lineRule="auto"/>
        <w:ind w:left="1134" w:hanging="425"/>
        <w:jc w:val="both"/>
        <w:rPr>
          <w:rFonts w:ascii="Times New Roman" w:eastAsia="Times New Roman" w:hAnsi="Times New Roman" w:cs="Times New Roman"/>
          <w:sz w:val="24"/>
          <w:szCs w:val="24"/>
        </w:rPr>
      </w:pPr>
      <w:r w:rsidRPr="006A28D4">
        <w:rPr>
          <w:rFonts w:ascii="Times New Roman" w:eastAsia="Times New Roman" w:hAnsi="Times New Roman" w:cs="Times New Roman"/>
          <w:noProof/>
          <w:sz w:val="24"/>
          <w:szCs w:val="20"/>
          <w:lang w:eastAsia="lv-LV"/>
        </w:rPr>
        <w:drawing>
          <wp:anchor distT="0" distB="0" distL="114300" distR="114300" simplePos="0" relativeHeight="251656192" behindDoc="0" locked="0" layoutInCell="1" allowOverlap="1">
            <wp:simplePos x="0" y="0"/>
            <wp:positionH relativeFrom="margin">
              <wp:align>center</wp:align>
            </wp:positionH>
            <wp:positionV relativeFrom="paragraph">
              <wp:posOffset>387350</wp:posOffset>
            </wp:positionV>
            <wp:extent cx="5541645" cy="31261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3681"/>
                    <a:stretch/>
                  </pic:blipFill>
                  <pic:spPr bwMode="auto">
                    <a:xfrm>
                      <a:off x="0" y="0"/>
                      <a:ext cx="5541645" cy="3126105"/>
                    </a:xfrm>
                    <a:prstGeom prst="rect">
                      <a:avLst/>
                    </a:prstGeom>
                    <a:noFill/>
                    <a:ln>
                      <a:noFill/>
                    </a:ln>
                    <a:extLst>
                      <a:ext uri="{53640926-AAD7-44D8-BBD7-CCE9431645EC}">
                        <a14:shadowObscured xmlns:a14="http://schemas.microsoft.com/office/drawing/2010/main"/>
                      </a:ext>
                    </a:extLst>
                  </pic:spPr>
                </pic:pic>
              </a:graphicData>
            </a:graphic>
          </wp:anchor>
        </w:drawing>
      </w:r>
      <w:r w:rsidR="006A28D4" w:rsidRPr="006A28D4">
        <w:rPr>
          <w:rFonts w:ascii="Times New Roman" w:eastAsia="Times New Roman" w:hAnsi="Times New Roman" w:cs="Times New Roman"/>
          <w:sz w:val="24"/>
          <w:szCs w:val="24"/>
        </w:rPr>
        <w:t>Izdevumu bezdarbnieku pabalstiem īpatsvars IKP samazināsies no 0,4% no IKP 2016.gadā līdz 0,3% no IKP 2070.gadā.</w:t>
      </w:r>
    </w:p>
    <w:p w:rsidR="006A28D4" w:rsidRPr="0001142F" w:rsidRDefault="0001142F" w:rsidP="0001142F">
      <w:pPr>
        <w:spacing w:after="12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7.4.</w:t>
      </w:r>
      <w:r w:rsidR="006A28D4" w:rsidRPr="0001142F">
        <w:rPr>
          <w:rFonts w:ascii="Times New Roman" w:eastAsia="Calibri" w:hAnsi="Times New Roman" w:cs="Times New Roman"/>
          <w:b/>
          <w:sz w:val="24"/>
          <w:szCs w:val="24"/>
        </w:rPr>
        <w:t>att. Ar sabiedrības novecošanos saistītie vispār</w:t>
      </w:r>
      <w:r w:rsidR="00D41384" w:rsidRPr="0001142F">
        <w:rPr>
          <w:rFonts w:ascii="Times New Roman" w:eastAsia="Calibri" w:hAnsi="Times New Roman" w:cs="Times New Roman"/>
          <w:b/>
          <w:sz w:val="24"/>
          <w:szCs w:val="24"/>
        </w:rPr>
        <w:t xml:space="preserve">ējās valdības budžeta izdevumi, </w:t>
      </w:r>
      <w:r w:rsidR="006A28D4" w:rsidRPr="0001142F">
        <w:rPr>
          <w:rFonts w:ascii="Times New Roman" w:eastAsia="Calibri" w:hAnsi="Times New Roman" w:cs="Times New Roman"/>
          <w:b/>
          <w:sz w:val="24"/>
          <w:szCs w:val="24"/>
        </w:rPr>
        <w:t xml:space="preserve">% no IKP </w:t>
      </w:r>
      <w:r w:rsidR="006A28D4" w:rsidRPr="0001142F">
        <w:rPr>
          <w:rFonts w:ascii="Times New Roman" w:eastAsia="Calibri" w:hAnsi="Times New Roman" w:cs="Times New Roman"/>
          <w:b/>
          <w:color w:val="000000"/>
          <w:sz w:val="24"/>
          <w:szCs w:val="24"/>
        </w:rPr>
        <w:t xml:space="preserve">(Datu avots: </w:t>
      </w:r>
      <w:r w:rsidR="006A28D4" w:rsidRPr="0001142F">
        <w:rPr>
          <w:rFonts w:ascii="Times New Roman" w:eastAsia="Calibri" w:hAnsi="Times New Roman" w:cs="Times New Roman"/>
          <w:b/>
          <w:i/>
          <w:color w:val="000000"/>
          <w:sz w:val="24"/>
          <w:szCs w:val="24"/>
        </w:rPr>
        <w:t>EC</w:t>
      </w:r>
      <w:r w:rsidR="006D382A" w:rsidRPr="00F14E08">
        <w:rPr>
          <w:rFonts w:ascii="Times New Roman" w:eastAsia="Calibri" w:hAnsi="Times New Roman" w:cs="Times New Roman"/>
          <w:sz w:val="24"/>
          <w:szCs w:val="24"/>
        </w:rPr>
        <w:t>–</w:t>
      </w:r>
      <w:r w:rsidR="006A28D4" w:rsidRPr="0001142F">
        <w:rPr>
          <w:rFonts w:ascii="Times New Roman" w:eastAsia="Calibri" w:hAnsi="Times New Roman" w:cs="Times New Roman"/>
          <w:b/>
          <w:i/>
          <w:color w:val="000000"/>
          <w:sz w:val="24"/>
          <w:szCs w:val="24"/>
        </w:rPr>
        <w:t>EPC 2018 Ageing Report</w:t>
      </w:r>
      <w:r w:rsidR="006A28D4" w:rsidRPr="0001142F">
        <w:rPr>
          <w:rFonts w:ascii="Times New Roman" w:eastAsia="Calibri" w:hAnsi="Times New Roman" w:cs="Times New Roman"/>
          <w:b/>
          <w:color w:val="000000"/>
          <w:sz w:val="24"/>
          <w:szCs w:val="24"/>
        </w:rPr>
        <w:t xml:space="preserve"> (sagatavošanas procesā)</w:t>
      </w:r>
    </w:p>
    <w:p w:rsidR="00D41384" w:rsidRDefault="00D41384" w:rsidP="00A8311B">
      <w:pPr>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p>
    <w:p w:rsidR="006A28D4" w:rsidRPr="006A28D4" w:rsidRDefault="006A28D4" w:rsidP="00D4138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6A28D4">
        <w:rPr>
          <w:rFonts w:ascii="Times New Roman" w:eastAsia="Times New Roman" w:hAnsi="Times New Roman" w:cs="Times New Roman"/>
          <w:color w:val="000000"/>
          <w:sz w:val="24"/>
          <w:szCs w:val="24"/>
        </w:rPr>
        <w:t>Lai savlaicīgi mazinātu sabiedrības novecošanās negatīvo ietekmi uz publiskā sektora izdevumiem ilgtermiņā, 2012.gadā tika veikta būtiska reforma Latvijas pensiju sistēmā, nosakot pakāpenisku pensionēšanās vecuma paaugstināšanu līdz 65</w:t>
      </w:r>
      <w:r w:rsidR="00A8311B">
        <w:rPr>
          <w:rFonts w:ascii="Times New Roman" w:eastAsia="Times New Roman" w:hAnsi="Times New Roman" w:cs="Times New Roman"/>
          <w:color w:val="000000"/>
          <w:sz w:val="24"/>
          <w:szCs w:val="24"/>
        </w:rPr>
        <w:t xml:space="preserve"> </w:t>
      </w:r>
      <w:r w:rsidRPr="006A28D4">
        <w:rPr>
          <w:rFonts w:ascii="Times New Roman" w:eastAsia="Times New Roman" w:hAnsi="Times New Roman" w:cs="Times New Roman"/>
          <w:color w:val="000000"/>
          <w:sz w:val="24"/>
          <w:szCs w:val="24"/>
        </w:rPr>
        <w:t>gadu vecumam un minimālo apdrošināšanas stāžu līdz 20 gadiem ar 2025.gadu. Šis faktors pamatā ietekmēja prognozēto izdevumu valsts pensijām īpatsvara kritumu iekšzemes kopproduktā. Tai pat laikā jāņem vērā nesenās izmaiņas likumdošanā, kas uzskaitītas šīs nodaļas beigās, kas stājās spēkā 2017.gadā un šogad, ar mērķi uzlabot šī brīža pensionāru labklājību.</w:t>
      </w:r>
    </w:p>
    <w:p w:rsidR="006A28D4" w:rsidRPr="006A28D4" w:rsidRDefault="006A28D4" w:rsidP="00D4138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6A28D4">
        <w:rPr>
          <w:rFonts w:ascii="Times New Roman" w:eastAsia="Times New Roman" w:hAnsi="Times New Roman" w:cs="Times New Roman"/>
          <w:color w:val="000000"/>
          <w:sz w:val="24"/>
          <w:szCs w:val="24"/>
        </w:rPr>
        <w:t xml:space="preserve"> Lai arī budžeta izdevumu valsts pensijām īpatsvars iekšzemes kopproduktā ilgtermiņā samazinās, kas uzlabo fiskālās ilgtspējas novērtējumu, vienlaicīgi ir jāvērtē pensiju pietiekamība jeb adekvātums. Saskaņā ar OECD prognozēm, kas ir iekļautas 2015.gada Pensiju </w:t>
      </w:r>
      <w:r w:rsidRPr="006A28D4">
        <w:rPr>
          <w:rFonts w:ascii="Times New Roman" w:eastAsia="Times New Roman" w:hAnsi="Times New Roman" w:cs="Times New Roman"/>
          <w:noProof/>
          <w:color w:val="000000"/>
          <w:sz w:val="24"/>
          <w:szCs w:val="24"/>
        </w:rPr>
        <w:t>adekvātuma ziņojumā (</w:t>
      </w:r>
      <w:r w:rsidRPr="006A28D4">
        <w:rPr>
          <w:rFonts w:ascii="Times New Roman" w:eastAsia="Times New Roman" w:hAnsi="Times New Roman" w:cs="Times New Roman"/>
          <w:i/>
          <w:noProof/>
          <w:color w:val="000000"/>
          <w:sz w:val="24"/>
          <w:szCs w:val="24"/>
        </w:rPr>
        <w:t>Pension Adequacy Report 2015</w:t>
      </w:r>
      <w:r w:rsidRPr="006A28D4">
        <w:rPr>
          <w:rFonts w:ascii="Times New Roman" w:eastAsia="Times New Roman" w:hAnsi="Times New Roman" w:cs="Times New Roman"/>
          <w:noProof/>
          <w:color w:val="000000"/>
          <w:sz w:val="24"/>
          <w:szCs w:val="24"/>
        </w:rPr>
        <w:t>), Latvijā teorētiskais ienākumu atvietojuma līmenis</w:t>
      </w:r>
      <w:r w:rsidRPr="006A28D4">
        <w:rPr>
          <w:rFonts w:ascii="Times New Roman" w:eastAsia="Times New Roman" w:hAnsi="Times New Roman" w:cs="Times New Roman"/>
          <w:color w:val="000000"/>
          <w:sz w:val="24"/>
          <w:szCs w:val="24"/>
        </w:rPr>
        <w:t xml:space="preserve"> 65 gadus vecam iedzīvotājam ar 40</w:t>
      </w:r>
      <w:r w:rsidR="006D382A">
        <w:rPr>
          <w:rFonts w:ascii="Times New Roman" w:eastAsia="Times New Roman" w:hAnsi="Times New Roman" w:cs="Times New Roman"/>
          <w:color w:val="000000"/>
          <w:sz w:val="24"/>
          <w:szCs w:val="24"/>
        </w:rPr>
        <w:t xml:space="preserve"> </w:t>
      </w:r>
      <w:r w:rsidRPr="006A28D4">
        <w:rPr>
          <w:rFonts w:ascii="Times New Roman" w:eastAsia="Times New Roman" w:hAnsi="Times New Roman" w:cs="Times New Roman"/>
          <w:color w:val="000000"/>
          <w:sz w:val="24"/>
          <w:szCs w:val="24"/>
        </w:rPr>
        <w:t>gadu darba stāžu būtiski samazināsies, piemēram, zemo ienākuma grupā no 69,2% no bruto ienākumiem 2013.gadā līdz 43,9% 2053.</w:t>
      </w:r>
      <w:r w:rsidR="00A8311B" w:rsidRPr="006A28D4">
        <w:rPr>
          <w:rFonts w:ascii="Times New Roman" w:eastAsia="Times New Roman" w:hAnsi="Times New Roman" w:cs="Times New Roman"/>
          <w:color w:val="000000"/>
          <w:sz w:val="24"/>
          <w:szCs w:val="24"/>
        </w:rPr>
        <w:t xml:space="preserve"> </w:t>
      </w:r>
      <w:r w:rsidRPr="006A28D4">
        <w:rPr>
          <w:rFonts w:ascii="Times New Roman" w:eastAsia="Times New Roman" w:hAnsi="Times New Roman" w:cs="Times New Roman"/>
          <w:color w:val="000000"/>
          <w:sz w:val="24"/>
          <w:szCs w:val="24"/>
        </w:rPr>
        <w:t>gadā, vidējo ienākumu grupā no 52,9% 2013. gadā līdz 43,9% 2053.gadā, savukārt augst</w:t>
      </w:r>
      <w:r w:rsidR="00A8311B">
        <w:rPr>
          <w:rFonts w:ascii="Times New Roman" w:eastAsia="Times New Roman" w:hAnsi="Times New Roman" w:cs="Times New Roman"/>
          <w:color w:val="000000"/>
          <w:sz w:val="24"/>
          <w:szCs w:val="24"/>
        </w:rPr>
        <w:t>o ienākumu grupā no 44,8% 2013.</w:t>
      </w:r>
      <w:r w:rsidRPr="006A28D4">
        <w:rPr>
          <w:rFonts w:ascii="Times New Roman" w:eastAsia="Times New Roman" w:hAnsi="Times New Roman" w:cs="Times New Roman"/>
          <w:color w:val="000000"/>
          <w:sz w:val="24"/>
          <w:szCs w:val="24"/>
        </w:rPr>
        <w:t xml:space="preserve">gadā līdz 32,8% no bruto ienākumiem 2053.gadā. Tāpat Latvija ierindojas to valstu starpā, kuras saskaras ar augstu nabadzības riska līmeni vecāka gadagājuma cilvēku vidū, kas savukārt norāda </w:t>
      </w:r>
      <w:r w:rsidR="00C82CE7">
        <w:rPr>
          <w:rFonts w:ascii="Times New Roman" w:eastAsia="Times New Roman" w:hAnsi="Times New Roman" w:cs="Times New Roman"/>
          <w:color w:val="000000"/>
          <w:sz w:val="24"/>
          <w:szCs w:val="24"/>
        </w:rPr>
        <w:t xml:space="preserve">uz </w:t>
      </w:r>
      <w:r w:rsidRPr="006A28D4">
        <w:rPr>
          <w:rFonts w:ascii="Times New Roman" w:eastAsia="Times New Roman" w:hAnsi="Times New Roman" w:cs="Times New Roman"/>
          <w:color w:val="000000"/>
          <w:sz w:val="24"/>
          <w:szCs w:val="24"/>
        </w:rPr>
        <w:t xml:space="preserve">to, ka šie cilvēki darbspējīgā vecumā bijuši nodarbināti vai nu īsu periodu, vai saņēmuši nelielus ienākumus, no kuriem veiktas sociālās apdrošināšanas iemaksas. Tas nākotnē varētu ietekmēt adekvātu pensiju nodrošinājumu un pieaugošo nabadzību senioru vidū. </w:t>
      </w:r>
    </w:p>
    <w:p w:rsidR="006A28D4" w:rsidRPr="006A28D4" w:rsidRDefault="006A28D4" w:rsidP="00D4138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6A28D4">
        <w:rPr>
          <w:rFonts w:ascii="Times New Roman" w:eastAsia="Times New Roman" w:hAnsi="Times New Roman" w:cs="Times New Roman"/>
          <w:color w:val="000000"/>
          <w:sz w:val="24"/>
          <w:szCs w:val="24"/>
        </w:rPr>
        <w:lastRenderedPageBreak/>
        <w:t>Saskaņā ar OECD novērtējumu (</w:t>
      </w:r>
      <w:r w:rsidRPr="006A28D4">
        <w:rPr>
          <w:rFonts w:ascii="Times New Roman" w:eastAsia="Times New Roman" w:hAnsi="Times New Roman" w:cs="Times New Roman"/>
          <w:i/>
          <w:color w:val="000000"/>
          <w:sz w:val="24"/>
          <w:szCs w:val="24"/>
        </w:rPr>
        <w:t>Reviews of Pension Systems: Latvia</w:t>
      </w:r>
      <w:r w:rsidRPr="006A28D4">
        <w:rPr>
          <w:rFonts w:ascii="Times New Roman" w:eastAsia="Times New Roman" w:hAnsi="Times New Roman" w:cs="Times New Roman"/>
          <w:color w:val="000000"/>
          <w:sz w:val="24"/>
          <w:szCs w:val="24"/>
        </w:rPr>
        <w:t>, 2018) Latvijā pieaug cilvēku skaits, kuriem ir saīsināts vai nepietiekams nostrādāto darba gadu skaits, lai kvalificētos vecuma pensijas saņemšanai. Latvijā 11% no darbspējīgajiem 50 gadu vecumā darba stāžs, kurā persona ir bijusi sociālo apdrošināta nepārsniedz 15 gadus. Savukārt no personām, kuras sasniegušas 60 gadu vecumu, apmēram 3% nesasniedz 15 gadu apdrošināšanas stāžu, kas šobrīd ir minimālais, lai varētu saņemt vecuma pensiju. Taču jau no 2025.gada minimālais nepieciešamais apdrošināšanas stāžs vecuma pensijas saņemšanai būs 20 gadi un pensionēšanās vecums būs 65 gadi. Paaugstinot pensionēšanās vecumu, tiek mazināta valsts sociālās apdrošināšanas sistēmas noslodze, līdz ar to veicinot speciālā budžeta un pensiju sistēmas finanšu ilgtspēju. Tuvāko desmitgažu riska grupā var nonākt arī mikrouzņēmuma nodokļa maksātāji, patentmaksas maksātāji, autoratlīdzības saņēmēji un pašnodarbinātie, jo tie veic samazinātas sociālās apdrošināšanas iemaksas vai neveic vispār. Līdz 2017. gada beigām lielākā daļa pašnodarbināto praktiski vispār neveica iemaksas pensiju sistēmā, kas, visticamāk, atstās iespaidu uz viņu sociālo nodrošinājumu, tad kad viņi aiziet pensijā. No 2018.gada 1.janvāra mikrouzņēmumu nodokļa maksātājiem tiek samazināts kalendāra gadā pieļaujamais apgrozījums no 100</w:t>
      </w:r>
      <w:r w:rsidR="00A8311B">
        <w:rPr>
          <w:rFonts w:ascii="Times New Roman" w:eastAsia="Times New Roman" w:hAnsi="Times New Roman" w:cs="Times New Roman"/>
          <w:color w:val="000000"/>
          <w:sz w:val="24"/>
          <w:szCs w:val="24"/>
        </w:rPr>
        <w:t> </w:t>
      </w:r>
      <w:r w:rsidRPr="006A28D4">
        <w:rPr>
          <w:rFonts w:ascii="Times New Roman" w:eastAsia="Times New Roman" w:hAnsi="Times New Roman" w:cs="Times New Roman"/>
          <w:color w:val="000000"/>
          <w:sz w:val="24"/>
          <w:szCs w:val="24"/>
        </w:rPr>
        <w:t xml:space="preserve">000 </w:t>
      </w:r>
      <w:r w:rsidRPr="00C47B2B">
        <w:rPr>
          <w:rFonts w:ascii="Times New Roman" w:eastAsia="Times New Roman" w:hAnsi="Times New Roman" w:cs="Times New Roman"/>
          <w:i/>
          <w:color w:val="000000"/>
          <w:sz w:val="24"/>
          <w:szCs w:val="24"/>
        </w:rPr>
        <w:t>e</w:t>
      </w:r>
      <w:r w:rsidR="00CF6005" w:rsidRPr="00C47B2B">
        <w:rPr>
          <w:rFonts w:ascii="Times New Roman" w:eastAsia="Times New Roman" w:hAnsi="Times New Roman" w:cs="Times New Roman"/>
          <w:i/>
          <w:color w:val="000000"/>
          <w:sz w:val="24"/>
          <w:szCs w:val="24"/>
        </w:rPr>
        <w:t>u</w:t>
      </w:r>
      <w:r w:rsidRPr="00C47B2B">
        <w:rPr>
          <w:rFonts w:ascii="Times New Roman" w:eastAsia="Times New Roman" w:hAnsi="Times New Roman" w:cs="Times New Roman"/>
          <w:i/>
          <w:color w:val="000000"/>
          <w:sz w:val="24"/>
          <w:szCs w:val="24"/>
        </w:rPr>
        <w:t>ro</w:t>
      </w:r>
      <w:r w:rsidRPr="006A28D4">
        <w:rPr>
          <w:rFonts w:ascii="Times New Roman" w:eastAsia="Times New Roman" w:hAnsi="Times New Roman" w:cs="Times New Roman"/>
          <w:color w:val="000000"/>
          <w:sz w:val="24"/>
          <w:szCs w:val="24"/>
        </w:rPr>
        <w:t xml:space="preserve"> līdz 40</w:t>
      </w:r>
      <w:r w:rsidR="0001142F">
        <w:rPr>
          <w:rFonts w:ascii="Times New Roman" w:eastAsia="Times New Roman" w:hAnsi="Times New Roman" w:cs="Times New Roman"/>
          <w:color w:val="000000"/>
          <w:sz w:val="24"/>
          <w:szCs w:val="24"/>
        </w:rPr>
        <w:t> </w:t>
      </w:r>
      <w:r w:rsidRPr="006A28D4">
        <w:rPr>
          <w:rFonts w:ascii="Times New Roman" w:eastAsia="Times New Roman" w:hAnsi="Times New Roman" w:cs="Times New Roman"/>
          <w:color w:val="000000"/>
          <w:sz w:val="24"/>
          <w:szCs w:val="24"/>
        </w:rPr>
        <w:t xml:space="preserve">000 </w:t>
      </w:r>
      <w:r w:rsidR="009F2A3D" w:rsidRPr="00633484">
        <w:rPr>
          <w:rFonts w:ascii="Times New Roman" w:eastAsia="Times New Roman" w:hAnsi="Times New Roman" w:cs="Times New Roman"/>
          <w:i/>
          <w:color w:val="000000"/>
          <w:sz w:val="24"/>
          <w:szCs w:val="24"/>
        </w:rPr>
        <w:t>euro</w:t>
      </w:r>
      <w:r w:rsidRPr="006A28D4">
        <w:rPr>
          <w:rFonts w:ascii="Times New Roman" w:eastAsia="Times New Roman" w:hAnsi="Times New Roman" w:cs="Times New Roman"/>
          <w:color w:val="000000"/>
          <w:sz w:val="24"/>
          <w:szCs w:val="24"/>
        </w:rPr>
        <w:t>, savukārt mikrouzņēmumu nodokļa likm</w:t>
      </w:r>
      <w:r w:rsidR="0001142F">
        <w:rPr>
          <w:rFonts w:ascii="Times New Roman" w:eastAsia="Times New Roman" w:hAnsi="Times New Roman" w:cs="Times New Roman"/>
          <w:color w:val="000000"/>
          <w:sz w:val="24"/>
          <w:szCs w:val="24"/>
        </w:rPr>
        <w:t>e ir 15%, iepriekšējo 9% vietā.</w:t>
      </w:r>
      <w:r w:rsidRPr="006A28D4">
        <w:rPr>
          <w:rFonts w:ascii="Times New Roman" w:eastAsia="Times New Roman" w:hAnsi="Times New Roman" w:cs="Times New Roman"/>
          <w:color w:val="000000"/>
          <w:sz w:val="24"/>
          <w:szCs w:val="24"/>
        </w:rPr>
        <w:t xml:space="preserve"> Kopš 2018.gada 1.janvāra fiziskā persona vienlaicīgi varēs tikt nodarbināta kā mikrouzņēmuma darbinieks tikai vienā mikrouzņēmumā. Tādējādi Valsts ieņēmumu dienests nereģistrēs mikrouzņēmuma darbinieku kā darba ņēmēju, ja tas būs nodarbināts citā mikrouzņēmumā. Ja mikrouzņēmumā tiek nodarbināts darbinieks, kurš no 2019.gada ir nodarbināts vēl kādā mikrouzņēmumā, aprēķinot mikrouzņēmumu nodokli, mikrouzņēmumu nodokļa likmei 15% pieskaitīs vēl divus procentpunktus par katru minēto darbinieku. Savukārt mikrouzņēmumu nodokļa maksātājs, kurš no 2019.gada būs nodarbinājis personu, kas ir nodarbināta arī citā mikrouzņēmumā, ar 2020.gadu zaudēs mikrouzņēmumu nodokļa maksātāja statusu. Kā liecina pēdējā aktuālā informācija </w:t>
      </w:r>
      <w:r w:rsidR="00C47B2B">
        <w:rPr>
          <w:rFonts w:ascii="Times New Roman" w:eastAsia="Times New Roman" w:hAnsi="Times New Roman" w:cs="Times New Roman"/>
          <w:color w:val="000000"/>
          <w:sz w:val="24"/>
          <w:szCs w:val="24"/>
        </w:rPr>
        <w:t>līdz 2018.gada 15.martam</w:t>
      </w:r>
      <w:r w:rsidRPr="006A28D4">
        <w:rPr>
          <w:rFonts w:ascii="Times New Roman" w:eastAsia="Times New Roman" w:hAnsi="Times New Roman" w:cs="Times New Roman"/>
          <w:color w:val="000000"/>
          <w:sz w:val="24"/>
          <w:szCs w:val="24"/>
        </w:rPr>
        <w:t>, 2018.gadā reģistrēti 45</w:t>
      </w:r>
      <w:r w:rsidR="00A8311B">
        <w:rPr>
          <w:rFonts w:ascii="Times New Roman" w:eastAsia="Times New Roman" w:hAnsi="Times New Roman" w:cs="Times New Roman"/>
          <w:color w:val="000000"/>
          <w:sz w:val="24"/>
          <w:szCs w:val="24"/>
        </w:rPr>
        <w:t> </w:t>
      </w:r>
      <w:r w:rsidRPr="006A28D4">
        <w:rPr>
          <w:rFonts w:ascii="Times New Roman" w:eastAsia="Times New Roman" w:hAnsi="Times New Roman" w:cs="Times New Roman"/>
          <w:color w:val="000000"/>
          <w:sz w:val="24"/>
          <w:szCs w:val="24"/>
        </w:rPr>
        <w:t>030 mikrouzņēmumi, un to skaits, salīdzinot ar 2017.gadu, kad bija reģistrēti 50</w:t>
      </w:r>
      <w:r w:rsidR="00A8311B">
        <w:rPr>
          <w:rFonts w:ascii="Times New Roman" w:eastAsia="Times New Roman" w:hAnsi="Times New Roman" w:cs="Times New Roman"/>
          <w:color w:val="000000"/>
          <w:sz w:val="24"/>
          <w:szCs w:val="24"/>
        </w:rPr>
        <w:t> </w:t>
      </w:r>
      <w:r w:rsidRPr="006A28D4">
        <w:rPr>
          <w:rFonts w:ascii="Times New Roman" w:eastAsia="Times New Roman" w:hAnsi="Times New Roman" w:cs="Times New Roman"/>
          <w:color w:val="000000"/>
          <w:sz w:val="24"/>
          <w:szCs w:val="24"/>
        </w:rPr>
        <w:t xml:space="preserve">944 mikrouzņēmumi, samazinājies par 11,6%. Tāpat ar šā gada 1.janvāri no likuma ir izslēgta norma, kas ļāva autoratlīdzības saņēmējam neveikt </w:t>
      </w:r>
      <w:r w:rsidR="006D382A">
        <w:rPr>
          <w:rFonts w:ascii="Times New Roman" w:eastAsia="Times New Roman" w:hAnsi="Times New Roman" w:cs="Times New Roman"/>
          <w:color w:val="000000"/>
          <w:sz w:val="24"/>
          <w:szCs w:val="24"/>
        </w:rPr>
        <w:t>VSAOI</w:t>
      </w:r>
      <w:r w:rsidRPr="006A28D4">
        <w:rPr>
          <w:rFonts w:ascii="Times New Roman" w:eastAsia="Times New Roman" w:hAnsi="Times New Roman" w:cs="Times New Roman"/>
          <w:color w:val="000000"/>
          <w:sz w:val="24"/>
          <w:szCs w:val="24"/>
        </w:rPr>
        <w:t xml:space="preserve"> no autoratlīdzības kā pašnodarbinātai personai, ja persona ir darba ņēmējs un v</w:t>
      </w:r>
      <w:r w:rsidR="00A8311B">
        <w:rPr>
          <w:rFonts w:ascii="Times New Roman" w:eastAsia="Times New Roman" w:hAnsi="Times New Roman" w:cs="Times New Roman"/>
          <w:color w:val="000000"/>
          <w:sz w:val="24"/>
          <w:szCs w:val="24"/>
        </w:rPr>
        <w:t>ienlaikus saņem autoratlīdzību.</w:t>
      </w:r>
      <w:r w:rsidRPr="006A28D4">
        <w:rPr>
          <w:rFonts w:ascii="Times New Roman" w:eastAsia="Times New Roman" w:hAnsi="Times New Roman" w:cs="Times New Roman"/>
          <w:color w:val="000000"/>
          <w:sz w:val="24"/>
          <w:szCs w:val="24"/>
        </w:rPr>
        <w:t xml:space="preserve"> Vienlaicīgi stājās spēkā norma, ka autoratlīdzības izmaksātājam no saviem līdzekļiem jāmaksā VSAOI 5 % apmērā no autoratlīdzības tās saņēmēja valsts pensiju apdrošināšanai.</w:t>
      </w:r>
    </w:p>
    <w:p w:rsidR="006A28D4" w:rsidRPr="006A28D4" w:rsidRDefault="006A28D4" w:rsidP="00D41384">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6A28D4">
        <w:rPr>
          <w:rFonts w:ascii="Times New Roman" w:eastAsia="Times New Roman" w:hAnsi="Times New Roman" w:cs="Times New Roman"/>
          <w:color w:val="000000"/>
          <w:sz w:val="24"/>
          <w:szCs w:val="24"/>
        </w:rPr>
        <w:t>Latvijā ir vērojams augsts nabadzības riska indekss gados vecākiem cilvēkiem - īpaši sievietēm un personām, kas vecākas par 75 gadiem. Nabadzības riska mazināšanai OECD mudina palielināt minimālās pensijas un valsts sociālā nodrošinājuma pabalstu apmērus, vienlaikus domājot par atbalstu pārdzīvojušā laulātā gadījumā.</w:t>
      </w:r>
    </w:p>
    <w:p w:rsidR="006A28D4" w:rsidRPr="006A28D4" w:rsidRDefault="006A28D4" w:rsidP="00C47B2B">
      <w:pPr>
        <w:spacing w:after="0" w:line="240" w:lineRule="auto"/>
        <w:ind w:firstLine="709"/>
        <w:jc w:val="both"/>
        <w:rPr>
          <w:rFonts w:ascii="Times New Roman" w:eastAsia="Times New Roman" w:hAnsi="Times New Roman" w:cs="Times New Roman"/>
          <w:noProof/>
          <w:color w:val="000000"/>
          <w:sz w:val="24"/>
          <w:szCs w:val="24"/>
        </w:rPr>
      </w:pPr>
      <w:r w:rsidRPr="006A28D4">
        <w:rPr>
          <w:rFonts w:ascii="Times New Roman" w:eastAsia="Times New Roman" w:hAnsi="Times New Roman" w:cs="Times New Roman"/>
          <w:color w:val="000000"/>
          <w:sz w:val="24"/>
          <w:szCs w:val="24"/>
        </w:rPr>
        <w:t xml:space="preserve">Attiecībā uz pensijas saņēmēju dzīves līmeņa uzlabošanu un vecuma pensiju palielināšanu tiek veikti dažādi pasākumi, tostarp, 2012.gadā tika veikti grozījumi Valsts </w:t>
      </w:r>
      <w:r w:rsidRPr="006A28D4">
        <w:rPr>
          <w:rFonts w:ascii="Times New Roman" w:eastAsia="Times New Roman" w:hAnsi="Times New Roman" w:cs="Times New Roman"/>
          <w:noProof/>
          <w:color w:val="000000"/>
          <w:sz w:val="24"/>
          <w:szCs w:val="24"/>
        </w:rPr>
        <w:t>fondēto</w:t>
      </w:r>
      <w:r w:rsidRPr="006A28D4">
        <w:rPr>
          <w:rFonts w:ascii="Times New Roman" w:eastAsia="Times New Roman" w:hAnsi="Times New Roman" w:cs="Times New Roman"/>
          <w:color w:val="000000"/>
          <w:sz w:val="24"/>
          <w:szCs w:val="24"/>
        </w:rPr>
        <w:t xml:space="preserve"> pensiju likumā, kas pēc finanšu un ekonomiskās krīzes paredzēja pakāpeniski atjaunot un paaugstināt iemaksu likmi valsts </w:t>
      </w:r>
      <w:r w:rsidRPr="006A28D4">
        <w:rPr>
          <w:rFonts w:ascii="Times New Roman" w:eastAsia="Times New Roman" w:hAnsi="Times New Roman" w:cs="Times New Roman"/>
          <w:noProof/>
          <w:color w:val="000000"/>
          <w:sz w:val="24"/>
          <w:szCs w:val="24"/>
        </w:rPr>
        <w:t>fondēto pensiju</w:t>
      </w:r>
      <w:r w:rsidRPr="006A28D4">
        <w:rPr>
          <w:rFonts w:ascii="Times New Roman" w:eastAsia="Times New Roman" w:hAnsi="Times New Roman" w:cs="Times New Roman"/>
          <w:color w:val="000000"/>
          <w:sz w:val="24"/>
          <w:szCs w:val="24"/>
        </w:rPr>
        <w:t xml:space="preserve"> shēmā. 2016.gadā iemaksu likme tika paaugstināta pēdējo reizi, līdz 6%. Saskaņā ar AWG prognozēm izdevumi vecuma pensijām, kas tiktu izmaksāti </w:t>
      </w:r>
      <w:r w:rsidRPr="006A28D4">
        <w:rPr>
          <w:rFonts w:ascii="Times New Roman" w:eastAsia="Times New Roman" w:hAnsi="Times New Roman" w:cs="Times New Roman"/>
          <w:noProof/>
          <w:color w:val="000000"/>
          <w:sz w:val="24"/>
          <w:szCs w:val="24"/>
        </w:rPr>
        <w:t>no fondēto pensiju shēmas jeb 2.līmeņ</w:t>
      </w:r>
      <w:r w:rsidR="0001142F">
        <w:rPr>
          <w:rFonts w:ascii="Times New Roman" w:eastAsia="Times New Roman" w:hAnsi="Times New Roman" w:cs="Times New Roman"/>
          <w:noProof/>
          <w:color w:val="000000"/>
          <w:sz w:val="24"/>
          <w:szCs w:val="24"/>
        </w:rPr>
        <w:t>a, 2060.</w:t>
      </w:r>
      <w:r w:rsidRPr="006A28D4">
        <w:rPr>
          <w:rFonts w:ascii="Times New Roman" w:eastAsia="Times New Roman" w:hAnsi="Times New Roman" w:cs="Times New Roman"/>
          <w:noProof/>
          <w:color w:val="000000"/>
          <w:sz w:val="24"/>
          <w:szCs w:val="24"/>
        </w:rPr>
        <w:t>gadā varētu sasniegt 2,6% no IKP.</w:t>
      </w:r>
    </w:p>
    <w:p w:rsidR="006A28D4" w:rsidRPr="006A28D4" w:rsidRDefault="006A28D4" w:rsidP="00C47B2B">
      <w:pPr>
        <w:spacing w:after="0" w:line="240" w:lineRule="auto"/>
        <w:ind w:firstLine="709"/>
        <w:jc w:val="both"/>
        <w:rPr>
          <w:rFonts w:ascii="Times New Roman" w:eastAsia="Times New Roman" w:hAnsi="Times New Roman" w:cs="Times New Roman"/>
          <w:color w:val="000000"/>
          <w:sz w:val="24"/>
          <w:szCs w:val="20"/>
        </w:rPr>
      </w:pPr>
      <w:r w:rsidRPr="006A28D4">
        <w:rPr>
          <w:rFonts w:ascii="Times New Roman" w:eastAsia="Times New Roman" w:hAnsi="Times New Roman" w:cs="Times New Roman"/>
          <w:color w:val="000000"/>
          <w:sz w:val="24"/>
          <w:szCs w:val="20"/>
        </w:rPr>
        <w:t>2017.gadā un 2018.gadā stājas spēkā šādas izmaiņas likumdošanā, kas attiecināmas uz pensijām:</w:t>
      </w:r>
    </w:p>
    <w:p w:rsidR="006A28D4" w:rsidRPr="006A28D4" w:rsidRDefault="006A28D4" w:rsidP="00FA77F4">
      <w:pPr>
        <w:numPr>
          <w:ilvl w:val="0"/>
          <w:numId w:val="29"/>
        </w:numPr>
        <w:autoSpaceDE w:val="0"/>
        <w:autoSpaceDN w:val="0"/>
        <w:adjustRightInd w:val="0"/>
        <w:spacing w:after="0" w:line="240" w:lineRule="auto"/>
        <w:ind w:left="1134" w:hanging="425"/>
        <w:jc w:val="both"/>
        <w:rPr>
          <w:rFonts w:ascii="Times New Roman" w:eastAsia="Times New Roman" w:hAnsi="Times New Roman" w:cs="Times New Roman"/>
          <w:color w:val="000000"/>
          <w:sz w:val="24"/>
          <w:szCs w:val="20"/>
        </w:rPr>
      </w:pPr>
      <w:r w:rsidRPr="006A28D4">
        <w:rPr>
          <w:rFonts w:ascii="Times New Roman" w:eastAsia="Times New Roman" w:hAnsi="Times New Roman" w:cs="Times New Roman"/>
          <w:color w:val="000000"/>
          <w:sz w:val="24"/>
          <w:szCs w:val="20"/>
        </w:rPr>
        <w:t>Atbilstoši grozījumiem</w:t>
      </w:r>
      <w:r w:rsidR="00CF6005">
        <w:rPr>
          <w:rFonts w:ascii="Times New Roman" w:eastAsia="Times New Roman" w:hAnsi="Times New Roman" w:cs="Times New Roman"/>
          <w:color w:val="000000"/>
          <w:sz w:val="24"/>
          <w:szCs w:val="20"/>
        </w:rPr>
        <w:t xml:space="preserve"> </w:t>
      </w:r>
      <w:r w:rsidRPr="006A28D4">
        <w:rPr>
          <w:rFonts w:ascii="Times New Roman" w:eastAsia="Times New Roman" w:hAnsi="Times New Roman" w:cs="Times New Roman"/>
          <w:color w:val="000000"/>
          <w:sz w:val="24"/>
          <w:szCs w:val="20"/>
        </w:rPr>
        <w:t>likumā</w:t>
      </w:r>
      <w:r w:rsidR="00CF6005">
        <w:rPr>
          <w:rFonts w:ascii="Times New Roman" w:eastAsia="Times New Roman" w:hAnsi="Times New Roman" w:cs="Times New Roman"/>
          <w:color w:val="000000"/>
          <w:sz w:val="24"/>
          <w:szCs w:val="20"/>
        </w:rPr>
        <w:t xml:space="preserve"> </w:t>
      </w:r>
      <w:hyperlink r:id="rId34" w:tgtFrame="_blank" w:history="1">
        <w:r w:rsidRPr="006A28D4">
          <w:rPr>
            <w:rFonts w:ascii="Times New Roman" w:eastAsia="Times New Roman" w:hAnsi="Times New Roman" w:cs="Times New Roman"/>
            <w:color w:val="000000"/>
            <w:sz w:val="24"/>
            <w:szCs w:val="20"/>
          </w:rPr>
          <w:t>„Par valsts pensijām</w:t>
        </w:r>
      </w:hyperlink>
      <w:r w:rsidRPr="006A28D4">
        <w:rPr>
          <w:rFonts w:ascii="Times New Roman" w:eastAsia="Times New Roman" w:hAnsi="Times New Roman" w:cs="Times New Roman"/>
          <w:color w:val="000000"/>
          <w:sz w:val="24"/>
          <w:szCs w:val="20"/>
        </w:rPr>
        <w:t>”, sākot ar 2017.gada 1.janvāra ir palielināts pensiju indeksācijas apmērs no 25% uz 50% no apdrošināšanas iemaksu algas reālā pieauguma procentiem;</w:t>
      </w:r>
    </w:p>
    <w:p w:rsidR="006A28D4" w:rsidRPr="006A28D4" w:rsidRDefault="006A28D4" w:rsidP="00FA77F4">
      <w:pPr>
        <w:numPr>
          <w:ilvl w:val="0"/>
          <w:numId w:val="29"/>
        </w:numPr>
        <w:spacing w:after="0" w:line="240" w:lineRule="auto"/>
        <w:ind w:left="1134" w:hanging="425"/>
        <w:contextualSpacing/>
        <w:jc w:val="both"/>
        <w:rPr>
          <w:rFonts w:ascii="Times New Roman" w:eastAsia="Calibri" w:hAnsi="Times New Roman" w:cs="Times New Roman"/>
          <w:color w:val="000000"/>
          <w:sz w:val="24"/>
          <w:szCs w:val="24"/>
          <w:lang w:eastAsia="lv-LV"/>
        </w:rPr>
      </w:pPr>
      <w:r w:rsidRPr="006A28D4">
        <w:rPr>
          <w:rFonts w:ascii="Times New Roman" w:eastAsia="Calibri" w:hAnsi="Times New Roman" w:cs="Times New Roman"/>
          <w:color w:val="000000"/>
          <w:sz w:val="24"/>
          <w:szCs w:val="24"/>
          <w:lang w:eastAsia="lv-LV"/>
        </w:rPr>
        <w:lastRenderedPageBreak/>
        <w:t>No 2017.gada 1.janvāra personām, kuru apdrošināšanas stāžs ir mazāks par 15 gadiem un kurām nav tiesību uz valsts vecuma pensiju, saskaņā ar Valsts sociālo pabalstu likumu (grozījumus likumā Saeima pieņēma 2015.gada 18.jūnijā), sasniedzot likumā „Par valsts pensijām” noteikto pensionēšanās vecumu, tiek piešķirts un no valsts pamatbudžeta līdzekļiem izmaksāts valsts sociālā nodrošinājuma pabalsts;</w:t>
      </w:r>
    </w:p>
    <w:p w:rsidR="006A28D4" w:rsidRPr="006A28D4" w:rsidRDefault="006A28D4" w:rsidP="00A26279">
      <w:pPr>
        <w:numPr>
          <w:ilvl w:val="0"/>
          <w:numId w:val="29"/>
        </w:numPr>
        <w:spacing w:after="0" w:line="240" w:lineRule="auto"/>
        <w:contextualSpacing/>
        <w:jc w:val="both"/>
        <w:rPr>
          <w:rFonts w:ascii="Times New Roman" w:eastAsia="Calibri" w:hAnsi="Times New Roman" w:cs="Times New Roman"/>
          <w:color w:val="000000"/>
          <w:sz w:val="24"/>
          <w:szCs w:val="24"/>
          <w:lang w:eastAsia="lv-LV"/>
        </w:rPr>
      </w:pPr>
      <w:r w:rsidRPr="006A28D4">
        <w:rPr>
          <w:rFonts w:ascii="Times New Roman" w:eastAsia="Calibri" w:hAnsi="Times New Roman" w:cs="Times New Roman"/>
          <w:color w:val="000000"/>
          <w:sz w:val="24"/>
          <w:szCs w:val="24"/>
          <w:lang w:eastAsia="lv-LV"/>
        </w:rPr>
        <w:t xml:space="preserve">Kopš 2017.gada personai, kurai apdrošināšanas stāžs ir mazāks nekā minimālais apdrošināšanas stāžs (vai nav bijis vispār) un ir pārsniedzis likumā noteikto pensionēšanās vecumu (līdz 2017. gadam </w:t>
      </w:r>
      <w:r w:rsidR="00A26279" w:rsidRPr="00A26279">
        <w:rPr>
          <w:rFonts w:ascii="Times New Roman" w:eastAsia="Calibri" w:hAnsi="Times New Roman" w:cs="Times New Roman"/>
          <w:color w:val="000000"/>
          <w:sz w:val="24"/>
          <w:szCs w:val="24"/>
          <w:lang w:eastAsia="lv-LV"/>
        </w:rPr>
        <w:t>–</w:t>
      </w:r>
      <w:r w:rsidRPr="006A28D4">
        <w:rPr>
          <w:rFonts w:ascii="Times New Roman" w:eastAsia="Calibri" w:hAnsi="Times New Roman" w:cs="Times New Roman"/>
          <w:color w:val="000000"/>
          <w:sz w:val="24"/>
          <w:szCs w:val="24"/>
          <w:lang w:eastAsia="lv-LV"/>
        </w:rPr>
        <w:t xml:space="preserve"> kurš pārsniedza vecuma pensijas vecuma pensiju par 5 gadiem), tiek piešķirts valsts sociālā nodrošinājuma pabalsts, kas tiek finansēts no valsts pamatbudžeta;</w:t>
      </w:r>
    </w:p>
    <w:p w:rsidR="006A28D4" w:rsidRPr="006A28D4" w:rsidRDefault="006A28D4" w:rsidP="00FA77F4">
      <w:pPr>
        <w:numPr>
          <w:ilvl w:val="0"/>
          <w:numId w:val="29"/>
        </w:numPr>
        <w:spacing w:after="0" w:line="240" w:lineRule="auto"/>
        <w:ind w:left="1134" w:hanging="425"/>
        <w:contextualSpacing/>
        <w:jc w:val="both"/>
        <w:rPr>
          <w:rFonts w:ascii="Times New Roman" w:eastAsia="Calibri" w:hAnsi="Times New Roman" w:cs="Times New Roman"/>
          <w:color w:val="000000"/>
          <w:sz w:val="24"/>
          <w:szCs w:val="24"/>
          <w:lang w:eastAsia="lv-LV"/>
        </w:rPr>
      </w:pPr>
      <w:r w:rsidRPr="006A28D4">
        <w:rPr>
          <w:rFonts w:ascii="Times New Roman" w:eastAsia="Calibri" w:hAnsi="Times New Roman" w:cs="Times New Roman"/>
          <w:color w:val="000000"/>
          <w:sz w:val="24"/>
          <w:szCs w:val="24"/>
          <w:lang w:eastAsia="lv-LV"/>
        </w:rPr>
        <w:t xml:space="preserve">No 2018.gada 1.jūlija palielinās piemaksas pie valsts pensijas apmēru par vienu apdrošināšanas stāža gadu, kas uzkrāts līdz 1995.gada 31.decembrim. Piemaksa par stāža gadu būs 1,50 </w:t>
      </w:r>
      <w:r w:rsidR="009F2A3D" w:rsidRPr="00633484">
        <w:rPr>
          <w:rFonts w:ascii="Times New Roman" w:eastAsia="Calibri" w:hAnsi="Times New Roman" w:cs="Times New Roman"/>
          <w:i/>
          <w:color w:val="000000"/>
          <w:sz w:val="24"/>
          <w:szCs w:val="24"/>
          <w:lang w:eastAsia="lv-LV"/>
        </w:rPr>
        <w:t>euro</w:t>
      </w:r>
      <w:r w:rsidRPr="006A28D4">
        <w:rPr>
          <w:rFonts w:ascii="Times New Roman" w:eastAsia="Calibri" w:hAnsi="Times New Roman" w:cs="Times New Roman"/>
          <w:color w:val="000000"/>
          <w:sz w:val="24"/>
          <w:szCs w:val="24"/>
          <w:lang w:eastAsia="lv-LV"/>
        </w:rPr>
        <w:t>, ja līdz 1995.gada 31.decembrim bija gan sasniegts pensijas vecums, gan piešķirta vecuma vai invaliditātes pensija;</w:t>
      </w:r>
    </w:p>
    <w:p w:rsidR="006A28D4" w:rsidRPr="006A28D4" w:rsidRDefault="006A28D4" w:rsidP="00FA77F4">
      <w:pPr>
        <w:numPr>
          <w:ilvl w:val="0"/>
          <w:numId w:val="29"/>
        </w:numPr>
        <w:spacing w:after="0" w:line="240" w:lineRule="auto"/>
        <w:ind w:left="1134" w:hanging="425"/>
        <w:contextualSpacing/>
        <w:jc w:val="both"/>
        <w:rPr>
          <w:rFonts w:ascii="Times New Roman" w:eastAsia="Calibri" w:hAnsi="Times New Roman" w:cs="Times New Roman"/>
          <w:color w:val="000000"/>
          <w:sz w:val="24"/>
          <w:szCs w:val="24"/>
          <w:lang w:eastAsia="lv-LV"/>
        </w:rPr>
      </w:pPr>
      <w:r w:rsidRPr="006A28D4">
        <w:rPr>
          <w:rFonts w:ascii="Times New Roman" w:eastAsia="Calibri" w:hAnsi="Times New Roman" w:cs="Times New Roman"/>
          <w:color w:val="000000"/>
          <w:sz w:val="24"/>
          <w:szCs w:val="24"/>
          <w:lang w:eastAsia="lv-LV"/>
        </w:rPr>
        <w:t>No 2018.gada 1.oktobra vecuma pensiju indeksācijas lielums būs atkarīgs no kopējā apdrošināšanas stāža. Ja apdrošināšanas stāžs būs līdz 29 gadiem, tad pensiju indeksēs, ņemot vērā 50% no apdrošināšanas iemaksu algu summas reālā pieauguma procentiem, ja no 30 līdz 39 gadiem – 60%, ja 40 un vairāk gadu – 70%;</w:t>
      </w:r>
    </w:p>
    <w:p w:rsidR="006A28D4" w:rsidRPr="006A28D4" w:rsidRDefault="006A28D4" w:rsidP="00FA77F4">
      <w:pPr>
        <w:numPr>
          <w:ilvl w:val="0"/>
          <w:numId w:val="29"/>
        </w:numPr>
        <w:spacing w:after="0" w:line="240" w:lineRule="auto"/>
        <w:ind w:left="1134" w:hanging="425"/>
        <w:contextualSpacing/>
        <w:jc w:val="both"/>
        <w:rPr>
          <w:rFonts w:ascii="Times New Roman" w:eastAsia="Calibri" w:hAnsi="Times New Roman" w:cs="Times New Roman"/>
          <w:color w:val="000000"/>
          <w:sz w:val="24"/>
          <w:szCs w:val="24"/>
          <w:lang w:eastAsia="lv-LV"/>
        </w:rPr>
      </w:pPr>
      <w:r w:rsidRPr="006A28D4">
        <w:rPr>
          <w:rFonts w:ascii="Times New Roman" w:eastAsia="Calibri" w:hAnsi="Times New Roman" w:cs="Times New Roman"/>
          <w:color w:val="000000"/>
          <w:sz w:val="24"/>
          <w:szCs w:val="24"/>
          <w:lang w:eastAsia="lv-LV"/>
        </w:rPr>
        <w:t>Pensiju, kura piešķirta par darbu kaitīgos un smagos vai sevišķi kaitīgos un smagos darba apstākļos un apdrošināšanas stāžs būs līdz 39 gadiem, indeksēs, ņemot vērā 60% no apdrošināšanas iemaksu algu summas reālā pieauguma procentiem, bet, ja apdrošināšanas stāžs būs 40 un vairāk gadu – 70%.</w:t>
      </w:r>
    </w:p>
    <w:p w:rsidR="00502866" w:rsidRDefault="00502866" w:rsidP="00A8311B">
      <w:pPr>
        <w:spacing w:after="0"/>
        <w:rPr>
          <w:rFonts w:ascii="Times New Roman" w:eastAsiaTheme="majorEastAsia" w:hAnsi="Times New Roman" w:cs="Times New Roman"/>
          <w:b/>
          <w:bCs/>
          <w:smallCaps/>
          <w:color w:val="000000" w:themeColor="text1"/>
          <w:sz w:val="24"/>
          <w:szCs w:val="28"/>
        </w:rPr>
      </w:pPr>
    </w:p>
    <w:p w:rsidR="005C4F32" w:rsidRPr="00FD5100" w:rsidRDefault="00A34463" w:rsidP="00F4636D">
      <w:pPr>
        <w:pStyle w:val="Heading2"/>
        <w:numPr>
          <w:ilvl w:val="1"/>
          <w:numId w:val="22"/>
        </w:numPr>
        <w:spacing w:before="0" w:after="120"/>
        <w:ind w:left="1134" w:hanging="425"/>
        <w:rPr>
          <w:rFonts w:ascii="Times New Roman" w:hAnsi="Times New Roman" w:cs="Times New Roman"/>
          <w:sz w:val="24"/>
        </w:rPr>
      </w:pPr>
      <w:bookmarkStart w:id="63" w:name="_Toc510790677"/>
      <w:bookmarkStart w:id="64" w:name="_Toc511027837"/>
      <w:r w:rsidRPr="00F51615">
        <w:rPr>
          <w:rFonts w:ascii="Times New Roman" w:hAnsi="Times New Roman" w:cs="Times New Roman"/>
          <w:sz w:val="24"/>
        </w:rPr>
        <w:t>Valsts sniegtie galvojumi</w:t>
      </w:r>
      <w:bookmarkEnd w:id="63"/>
      <w:bookmarkEnd w:id="64"/>
    </w:p>
    <w:p w:rsidR="009F2A3D" w:rsidRPr="009F2A3D" w:rsidRDefault="009F2A3D" w:rsidP="00A8311B">
      <w:pPr>
        <w:spacing w:after="0" w:line="240" w:lineRule="auto"/>
        <w:ind w:firstLine="709"/>
        <w:jc w:val="both"/>
        <w:rPr>
          <w:rFonts w:ascii="Times New Roman" w:hAnsi="Times New Roman" w:cs="Times New Roman"/>
          <w:sz w:val="24"/>
          <w:szCs w:val="24"/>
        </w:rPr>
      </w:pPr>
      <w:r w:rsidRPr="009F2A3D">
        <w:rPr>
          <w:rFonts w:ascii="Times New Roman" w:hAnsi="Times New Roman" w:cs="Times New Roman"/>
          <w:sz w:val="24"/>
          <w:szCs w:val="24"/>
        </w:rPr>
        <w:t>L</w:t>
      </w:r>
      <w:r w:rsidR="00251A5E">
        <w:rPr>
          <w:rFonts w:ascii="Times New Roman" w:hAnsi="Times New Roman" w:cs="Times New Roman"/>
          <w:sz w:val="24"/>
          <w:szCs w:val="24"/>
        </w:rPr>
        <w:t>ikumā “Par valsts budžetu 2017.</w:t>
      </w:r>
      <w:r w:rsidRPr="009F2A3D">
        <w:rPr>
          <w:rFonts w:ascii="Times New Roman" w:hAnsi="Times New Roman" w:cs="Times New Roman"/>
          <w:sz w:val="24"/>
          <w:szCs w:val="24"/>
        </w:rPr>
        <w:t xml:space="preserve">gadam” noteikts, ka finanšu ministrs valsts vārdā var sniegt galvojumus par studējošo un studiju kreditēšanu 35,9 milj.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apmērā, t.sk. studiju kredītus ar valsts vārdā sniegtu galvojumu 25,2 milj.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apmērā un studējošā kredītus ar valsts vār</w:t>
      </w:r>
      <w:r w:rsidR="00A8311B">
        <w:rPr>
          <w:rFonts w:ascii="Times New Roman" w:hAnsi="Times New Roman" w:cs="Times New Roman"/>
          <w:sz w:val="24"/>
          <w:szCs w:val="24"/>
        </w:rPr>
        <w:t>dā sniegtu galvojumu 10,7 milj.</w:t>
      </w:r>
      <w:r w:rsidRPr="009F2A3D">
        <w:rPr>
          <w:rFonts w:ascii="Times New Roman" w:hAnsi="Times New Roman" w:cs="Times New Roman"/>
          <w:sz w:val="24"/>
          <w:szCs w:val="24"/>
        </w:rPr>
        <w:t xml:space="preserve">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apmērā.</w:t>
      </w:r>
    </w:p>
    <w:p w:rsidR="009F2A3D" w:rsidRPr="009F2A3D" w:rsidRDefault="009F2A3D" w:rsidP="009F2A3D">
      <w:pPr>
        <w:spacing w:after="0" w:line="240" w:lineRule="auto"/>
        <w:ind w:firstLine="709"/>
        <w:jc w:val="both"/>
        <w:rPr>
          <w:rFonts w:ascii="Times New Roman" w:hAnsi="Times New Roman" w:cs="Times New Roman"/>
          <w:sz w:val="24"/>
          <w:szCs w:val="24"/>
        </w:rPr>
      </w:pPr>
      <w:r w:rsidRPr="009F2A3D">
        <w:rPr>
          <w:rFonts w:ascii="Times New Roman" w:hAnsi="Times New Roman" w:cs="Times New Roman"/>
          <w:sz w:val="24"/>
          <w:szCs w:val="24"/>
        </w:rPr>
        <w:t>2017.gadā faktiski ir izsniegti studiju kredīti ar valsts vārdā sniegtu galvojumu 6</w:t>
      </w:r>
      <w:r w:rsidR="00A8311B">
        <w:rPr>
          <w:rFonts w:ascii="Times New Roman" w:hAnsi="Times New Roman" w:cs="Times New Roman"/>
          <w:sz w:val="24"/>
          <w:szCs w:val="24"/>
        </w:rPr>
        <w:t>,1 milj.</w:t>
      </w:r>
      <w:r w:rsidRPr="009F2A3D">
        <w:rPr>
          <w:rFonts w:ascii="Times New Roman" w:hAnsi="Times New Roman" w:cs="Times New Roman"/>
          <w:sz w:val="24"/>
          <w:szCs w:val="24"/>
        </w:rPr>
        <w:t xml:space="preserve">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apmērā, savukārt studējošā kredīti ar valsts vārdā sniegtu galvojumu 1,3 milj. </w:t>
      </w:r>
      <w:r w:rsidRPr="009F2A3D">
        <w:rPr>
          <w:rFonts w:ascii="Times New Roman" w:hAnsi="Times New Roman" w:cs="Times New Roman"/>
          <w:i/>
          <w:sz w:val="24"/>
          <w:szCs w:val="24"/>
        </w:rPr>
        <w:t xml:space="preserve">euro </w:t>
      </w:r>
      <w:r w:rsidR="00A26279">
        <w:rPr>
          <w:rFonts w:ascii="Times New Roman" w:hAnsi="Times New Roman" w:cs="Times New Roman"/>
          <w:sz w:val="24"/>
          <w:szCs w:val="24"/>
        </w:rPr>
        <w:t>apmērā.</w:t>
      </w:r>
    </w:p>
    <w:p w:rsidR="009F2A3D" w:rsidRPr="009F2A3D" w:rsidRDefault="009F2A3D" w:rsidP="009F2A3D">
      <w:pPr>
        <w:spacing w:after="0" w:line="240" w:lineRule="auto"/>
        <w:ind w:firstLine="709"/>
        <w:jc w:val="both"/>
        <w:rPr>
          <w:rFonts w:ascii="Times New Roman" w:hAnsi="Times New Roman" w:cs="Times New Roman"/>
          <w:sz w:val="24"/>
          <w:szCs w:val="24"/>
        </w:rPr>
      </w:pPr>
      <w:r w:rsidRPr="009F2A3D">
        <w:rPr>
          <w:rFonts w:ascii="Times New Roman" w:hAnsi="Times New Roman" w:cs="Times New Roman"/>
          <w:sz w:val="24"/>
          <w:szCs w:val="24"/>
        </w:rPr>
        <w:t xml:space="preserve">Valsts galvoto aizdevumu atlikums 2017.gada beigās sasniedza 441 milj. </w:t>
      </w:r>
      <w:r w:rsidRPr="009F2A3D">
        <w:rPr>
          <w:rFonts w:ascii="Times New Roman" w:hAnsi="Times New Roman" w:cs="Times New Roman"/>
          <w:i/>
          <w:sz w:val="24"/>
          <w:szCs w:val="24"/>
        </w:rPr>
        <w:t>euro</w:t>
      </w:r>
      <w:r w:rsidRPr="009F2A3D">
        <w:rPr>
          <w:rFonts w:ascii="Times New Roman" w:hAnsi="Times New Roman" w:cs="Times New Roman"/>
          <w:sz w:val="24"/>
          <w:szCs w:val="24"/>
        </w:rPr>
        <w:t>, kas salīdzinājumā ar valsts galvoto aizdevumu atlikumu 2016.gada beigās ir palielinājies par 8</w:t>
      </w:r>
      <w:r w:rsidR="00A8311B">
        <w:rPr>
          <w:rFonts w:ascii="Times New Roman" w:hAnsi="Times New Roman" w:cs="Times New Roman"/>
          <w:sz w:val="24"/>
          <w:szCs w:val="24"/>
        </w:rPr>
        <w:t xml:space="preserve"> </w:t>
      </w:r>
      <w:r w:rsidRPr="009F2A3D">
        <w:rPr>
          <w:rFonts w:ascii="Times New Roman" w:hAnsi="Times New Roman" w:cs="Times New Roman"/>
          <w:sz w:val="24"/>
          <w:szCs w:val="24"/>
        </w:rPr>
        <w:t xml:space="preserve">milj.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w:t>
      </w:r>
      <w:r w:rsidRPr="0001142F">
        <w:rPr>
          <w:rFonts w:ascii="Times New Roman" w:hAnsi="Times New Roman" w:cs="Times New Roman"/>
          <w:sz w:val="24"/>
          <w:szCs w:val="24"/>
        </w:rPr>
        <w:t>(sk.</w:t>
      </w:r>
      <w:r w:rsidR="0001142F" w:rsidRPr="0001142F">
        <w:rPr>
          <w:rFonts w:ascii="Times New Roman" w:hAnsi="Times New Roman" w:cs="Times New Roman"/>
          <w:sz w:val="24"/>
          <w:szCs w:val="24"/>
        </w:rPr>
        <w:t xml:space="preserve"> 7.5.</w:t>
      </w:r>
      <w:r w:rsidRPr="0001142F">
        <w:rPr>
          <w:rFonts w:ascii="Times New Roman" w:hAnsi="Times New Roman" w:cs="Times New Roman"/>
          <w:sz w:val="24"/>
          <w:szCs w:val="24"/>
        </w:rPr>
        <w:t xml:space="preserve"> attēlu</w:t>
      </w:r>
      <w:r w:rsidRPr="009F2A3D">
        <w:rPr>
          <w:rFonts w:ascii="Times New Roman" w:hAnsi="Times New Roman" w:cs="Times New Roman"/>
          <w:sz w:val="24"/>
          <w:szCs w:val="24"/>
        </w:rPr>
        <w:t>).</w:t>
      </w:r>
    </w:p>
    <w:p w:rsidR="009F2A3D" w:rsidRPr="009F2A3D" w:rsidRDefault="009F2A3D" w:rsidP="009F2A3D">
      <w:pPr>
        <w:spacing w:after="0" w:line="240" w:lineRule="auto"/>
        <w:ind w:firstLine="426"/>
        <w:jc w:val="both"/>
        <w:rPr>
          <w:rFonts w:ascii="Times New Roman" w:hAnsi="Times New Roman" w:cs="Times New Roman"/>
          <w:sz w:val="24"/>
          <w:szCs w:val="24"/>
        </w:rPr>
      </w:pPr>
    </w:p>
    <w:p w:rsidR="009F2A3D" w:rsidRPr="009F2A3D" w:rsidRDefault="009F2A3D" w:rsidP="009F2A3D">
      <w:pPr>
        <w:spacing w:after="0" w:line="240" w:lineRule="auto"/>
        <w:ind w:firstLine="426"/>
        <w:jc w:val="center"/>
        <w:rPr>
          <w:rFonts w:ascii="Times New Roman" w:hAnsi="Times New Roman" w:cs="Times New Roman"/>
          <w:b/>
          <w:bCs/>
          <w:sz w:val="24"/>
          <w:szCs w:val="24"/>
        </w:rPr>
      </w:pPr>
      <w:r w:rsidRPr="009F2A3D">
        <w:rPr>
          <w:rFonts w:ascii="Times New Roman" w:hAnsi="Times New Roman" w:cs="Times New Roman"/>
          <w:noProof/>
          <w:sz w:val="24"/>
          <w:szCs w:val="24"/>
          <w:lang w:eastAsia="lv-LV"/>
        </w:rPr>
        <w:lastRenderedPageBreak/>
        <w:drawing>
          <wp:inline distT="0" distB="0" distL="0" distR="0">
            <wp:extent cx="4572000" cy="266906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F2A3D" w:rsidRPr="009F2A3D" w:rsidRDefault="0001142F" w:rsidP="009F2A3D">
      <w:pPr>
        <w:spacing w:after="0" w:line="240" w:lineRule="auto"/>
        <w:jc w:val="center"/>
        <w:rPr>
          <w:rFonts w:ascii="Times New Roman" w:hAnsi="Times New Roman" w:cs="Times New Roman"/>
          <w:b/>
          <w:bCs/>
          <w:color w:val="FF0000"/>
          <w:sz w:val="24"/>
          <w:szCs w:val="24"/>
        </w:rPr>
      </w:pPr>
      <w:r w:rsidRPr="0001142F">
        <w:rPr>
          <w:rFonts w:ascii="Times New Roman" w:hAnsi="Times New Roman" w:cs="Times New Roman"/>
          <w:b/>
          <w:bCs/>
          <w:sz w:val="24"/>
          <w:szCs w:val="24"/>
        </w:rPr>
        <w:t xml:space="preserve">7.5.att. </w:t>
      </w:r>
      <w:r w:rsidR="009F2A3D" w:rsidRPr="0001142F">
        <w:rPr>
          <w:rFonts w:ascii="Times New Roman" w:hAnsi="Times New Roman" w:cs="Times New Roman"/>
          <w:b/>
          <w:bCs/>
          <w:sz w:val="24"/>
          <w:szCs w:val="24"/>
        </w:rPr>
        <w:t xml:space="preserve">Valsts galvoto aizdevumu atlikums attiecīgā gada beigās (milj. </w:t>
      </w:r>
      <w:r w:rsidR="009F2A3D" w:rsidRPr="0001142F">
        <w:rPr>
          <w:rFonts w:ascii="Times New Roman" w:hAnsi="Times New Roman" w:cs="Times New Roman"/>
          <w:b/>
          <w:bCs/>
          <w:i/>
          <w:sz w:val="24"/>
          <w:szCs w:val="24"/>
        </w:rPr>
        <w:t>euro</w:t>
      </w:r>
      <w:r w:rsidR="009F2A3D" w:rsidRPr="0001142F">
        <w:rPr>
          <w:rFonts w:ascii="Times New Roman" w:hAnsi="Times New Roman" w:cs="Times New Roman"/>
          <w:b/>
          <w:bCs/>
          <w:sz w:val="24"/>
          <w:szCs w:val="24"/>
        </w:rPr>
        <w:t>)</w:t>
      </w:r>
    </w:p>
    <w:p w:rsidR="009F2A3D" w:rsidRPr="009F2A3D" w:rsidRDefault="009F2A3D" w:rsidP="009F2A3D">
      <w:pPr>
        <w:pStyle w:val="BodyText"/>
        <w:spacing w:after="0"/>
        <w:ind w:firstLine="426"/>
        <w:rPr>
          <w:color w:val="000000"/>
          <w:szCs w:val="24"/>
        </w:rPr>
      </w:pPr>
    </w:p>
    <w:p w:rsidR="009F2A3D" w:rsidRPr="009F2A3D" w:rsidRDefault="009F2A3D" w:rsidP="009F2A3D">
      <w:pPr>
        <w:spacing w:after="0" w:line="240" w:lineRule="auto"/>
        <w:ind w:firstLine="720"/>
        <w:jc w:val="both"/>
        <w:rPr>
          <w:rFonts w:ascii="Times New Roman" w:hAnsi="Times New Roman" w:cs="Times New Roman"/>
          <w:sz w:val="24"/>
          <w:szCs w:val="24"/>
        </w:rPr>
      </w:pPr>
      <w:r w:rsidRPr="009F2A3D">
        <w:rPr>
          <w:rFonts w:ascii="Times New Roman" w:hAnsi="Times New Roman" w:cs="Times New Roman"/>
          <w:sz w:val="24"/>
          <w:szCs w:val="24"/>
        </w:rPr>
        <w:t xml:space="preserve">Likumā „Par valsts budžetu 2018.gadam” paredzēti valsts galvojumi 35,9 milj.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apmērā – studējošo kreditēšanai 10,7 milj.</w:t>
      </w:r>
      <w:r w:rsidR="00633484">
        <w:rPr>
          <w:rFonts w:ascii="Times New Roman" w:hAnsi="Times New Roman" w:cs="Times New Roman"/>
          <w:sz w:val="24"/>
          <w:szCs w:val="24"/>
        </w:rPr>
        <w:t xml:space="preserve">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apmērā un studiju kreditēšanai 25,2</w:t>
      </w:r>
      <w:r w:rsidR="00A8311B">
        <w:rPr>
          <w:rFonts w:ascii="Times New Roman" w:hAnsi="Times New Roman" w:cs="Times New Roman"/>
          <w:sz w:val="24"/>
          <w:szCs w:val="24"/>
        </w:rPr>
        <w:t xml:space="preserve"> </w:t>
      </w:r>
      <w:r w:rsidRPr="009F2A3D">
        <w:rPr>
          <w:rFonts w:ascii="Times New Roman" w:hAnsi="Times New Roman" w:cs="Times New Roman"/>
          <w:sz w:val="24"/>
          <w:szCs w:val="24"/>
        </w:rPr>
        <w:t>milj.</w:t>
      </w:r>
      <w:r w:rsidR="00A8311B">
        <w:rPr>
          <w:rFonts w:ascii="Times New Roman" w:hAnsi="Times New Roman" w:cs="Times New Roman"/>
          <w:sz w:val="24"/>
          <w:szCs w:val="24"/>
        </w:rPr>
        <w:t xml:space="preserve">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apmērā.</w:t>
      </w:r>
    </w:p>
    <w:p w:rsidR="009F2A3D" w:rsidRPr="009F2A3D" w:rsidRDefault="009F2A3D" w:rsidP="009F2A3D">
      <w:pPr>
        <w:spacing w:after="0" w:line="240" w:lineRule="auto"/>
        <w:ind w:firstLine="720"/>
        <w:jc w:val="both"/>
        <w:rPr>
          <w:rFonts w:ascii="Times New Roman" w:hAnsi="Times New Roman" w:cs="Times New Roman"/>
          <w:sz w:val="24"/>
          <w:szCs w:val="24"/>
        </w:rPr>
      </w:pPr>
      <w:r w:rsidRPr="009F2A3D">
        <w:rPr>
          <w:rFonts w:ascii="Times New Roman" w:hAnsi="Times New Roman" w:cs="Times New Roman"/>
          <w:sz w:val="24"/>
          <w:szCs w:val="24"/>
        </w:rPr>
        <w:t xml:space="preserve">Izvērtējot aizņēmēju finansiālo stāvokli, līdzšinējo kredītvēsturi, nodrošinājuma likviditāti un apjomu, kā arī citu pieejamo informāciju, uz 2017.gada beigām tika veidoti uzkrājumi diviem galvojumiem, kuru saņēmējiem valsts galvoto aizdevumu neatmaksātais atlikums 2017.gada 31.decembrī veidoja 0,5% no kopējā galvoto aizdevumu neatmaksātā atlikuma. </w:t>
      </w:r>
    </w:p>
    <w:p w:rsidR="009F2A3D" w:rsidRPr="009F2A3D" w:rsidRDefault="009F2A3D" w:rsidP="009F2A3D">
      <w:pPr>
        <w:spacing w:after="0" w:line="240" w:lineRule="auto"/>
        <w:ind w:firstLine="720"/>
        <w:jc w:val="both"/>
        <w:rPr>
          <w:rFonts w:ascii="Times New Roman" w:hAnsi="Times New Roman" w:cs="Times New Roman"/>
          <w:sz w:val="24"/>
          <w:szCs w:val="24"/>
        </w:rPr>
      </w:pPr>
      <w:r w:rsidRPr="009F2A3D">
        <w:rPr>
          <w:rFonts w:ascii="Times New Roman" w:hAnsi="Times New Roman" w:cs="Times New Roman"/>
          <w:sz w:val="24"/>
          <w:szCs w:val="24"/>
        </w:rPr>
        <w:t>Saskaņā ar likumu “Par valsts budžetu 2018.gadam” valsts galvoto aizdevumu ārstniecības iestādēm atmaksas nodrošināšanai paredzēta valsts dotācija pilnā apmērā, kā rezultātā valsts galvotajām ārstniecības iestāžu saistībām uzkrājumi jau uz 2017.gada 31.decembri vairs netiek veidoti.</w:t>
      </w:r>
    </w:p>
    <w:p w:rsidR="009F2A3D" w:rsidRPr="009F2A3D" w:rsidRDefault="009F2A3D" w:rsidP="009F2A3D">
      <w:pPr>
        <w:spacing w:after="0" w:line="240" w:lineRule="auto"/>
        <w:ind w:firstLine="720"/>
        <w:jc w:val="both"/>
        <w:rPr>
          <w:rFonts w:ascii="Times New Roman" w:hAnsi="Times New Roman" w:cs="Times New Roman"/>
          <w:sz w:val="24"/>
          <w:szCs w:val="24"/>
        </w:rPr>
      </w:pPr>
      <w:r w:rsidRPr="009F2A3D">
        <w:rPr>
          <w:rFonts w:ascii="Times New Roman" w:hAnsi="Times New Roman" w:cs="Times New Roman"/>
          <w:sz w:val="24"/>
          <w:szCs w:val="24"/>
        </w:rPr>
        <w:t xml:space="preserve">Likumā „Par valsts budžetu 2018.gadam” valdības rīcības pieļaujamās robežas, lai segtu izdevumus, kas var rasties, pildot uz valsts budžetu attiecināmās valsts galvotā parāda saistības 2018.gadā, ir noteiktas 5,8 milj. </w:t>
      </w:r>
      <w:r w:rsidRPr="009F2A3D">
        <w:rPr>
          <w:rFonts w:ascii="Times New Roman" w:hAnsi="Times New Roman" w:cs="Times New Roman"/>
          <w:i/>
          <w:sz w:val="24"/>
          <w:szCs w:val="24"/>
        </w:rPr>
        <w:t>euro</w:t>
      </w:r>
      <w:r w:rsidRPr="009F2A3D">
        <w:rPr>
          <w:rFonts w:ascii="Times New Roman" w:hAnsi="Times New Roman" w:cs="Times New Roman"/>
          <w:sz w:val="24"/>
          <w:szCs w:val="24"/>
        </w:rPr>
        <w:t xml:space="preserve"> apmērā.</w:t>
      </w:r>
    </w:p>
    <w:p w:rsidR="002C7C43" w:rsidRDefault="002C7C43">
      <w:pPr>
        <w:rPr>
          <w:rFonts w:ascii="Times New Roman" w:eastAsiaTheme="majorEastAsia" w:hAnsi="Times New Roman" w:cs="Times New Roman"/>
          <w:b/>
          <w:bCs/>
          <w:smallCaps/>
          <w:color w:val="000000" w:themeColor="text1"/>
          <w:sz w:val="32"/>
          <w:szCs w:val="36"/>
        </w:rPr>
      </w:pPr>
    </w:p>
    <w:p w:rsidR="00436C53" w:rsidRDefault="00436C53">
      <w:pPr>
        <w:rPr>
          <w:rFonts w:ascii="Times New Roman" w:eastAsiaTheme="majorEastAsia" w:hAnsi="Times New Roman" w:cs="Times New Roman"/>
          <w:b/>
          <w:bCs/>
          <w:smallCaps/>
          <w:color w:val="000000" w:themeColor="text1"/>
          <w:sz w:val="32"/>
          <w:szCs w:val="36"/>
        </w:rPr>
      </w:pPr>
      <w:r>
        <w:rPr>
          <w:rFonts w:ascii="Times New Roman" w:hAnsi="Times New Roman" w:cs="Times New Roman"/>
          <w:sz w:val="32"/>
        </w:rPr>
        <w:br w:type="page"/>
      </w:r>
    </w:p>
    <w:p w:rsidR="003F78CC" w:rsidRPr="00F51615" w:rsidRDefault="005536A9" w:rsidP="00095171">
      <w:pPr>
        <w:pStyle w:val="Heading1"/>
        <w:numPr>
          <w:ilvl w:val="0"/>
          <w:numId w:val="22"/>
        </w:numPr>
        <w:ind w:left="284" w:hanging="283"/>
        <w:jc w:val="center"/>
        <w:rPr>
          <w:rFonts w:ascii="Times New Roman" w:hAnsi="Times New Roman" w:cs="Times New Roman"/>
          <w:sz w:val="32"/>
        </w:rPr>
      </w:pPr>
      <w:bookmarkStart w:id="65" w:name="_Toc510790678"/>
      <w:bookmarkStart w:id="66" w:name="_Toc511027838"/>
      <w:r w:rsidRPr="00F51615">
        <w:rPr>
          <w:rFonts w:ascii="Times New Roman" w:hAnsi="Times New Roman" w:cs="Times New Roman"/>
          <w:sz w:val="32"/>
        </w:rPr>
        <w:lastRenderedPageBreak/>
        <w:t>Valsts finanšu institucionālās iezīmes</w:t>
      </w:r>
      <w:bookmarkEnd w:id="65"/>
      <w:bookmarkEnd w:id="66"/>
    </w:p>
    <w:p w:rsidR="003666E9" w:rsidRPr="001F01DA" w:rsidRDefault="00A34463" w:rsidP="00257089">
      <w:pPr>
        <w:pStyle w:val="Heading2"/>
        <w:numPr>
          <w:ilvl w:val="1"/>
          <w:numId w:val="22"/>
        </w:numPr>
        <w:spacing w:before="240" w:after="120"/>
        <w:ind w:left="1134" w:hanging="425"/>
        <w:rPr>
          <w:rFonts w:ascii="Times New Roman" w:hAnsi="Times New Roman" w:cs="Times New Roman"/>
          <w:sz w:val="24"/>
        </w:rPr>
      </w:pPr>
      <w:bookmarkStart w:id="67" w:name="_Toc510790679"/>
      <w:bookmarkStart w:id="68" w:name="_Toc511027839"/>
      <w:r w:rsidRPr="00F51615">
        <w:rPr>
          <w:rFonts w:ascii="Times New Roman" w:hAnsi="Times New Roman" w:cs="Times New Roman"/>
          <w:sz w:val="24"/>
        </w:rPr>
        <w:t>Valsts budžeta noteikumu ieviešana</w:t>
      </w:r>
      <w:r w:rsidR="003666E9">
        <w:rPr>
          <w:rFonts w:ascii="Times New Roman" w:hAnsi="Times New Roman" w:cs="Times New Roman"/>
          <w:sz w:val="24"/>
        </w:rPr>
        <w:t xml:space="preserve"> un citas institucionālās attīstības attiecībā uz valsts finansēm</w:t>
      </w:r>
      <w:bookmarkEnd w:id="67"/>
      <w:bookmarkEnd w:id="68"/>
    </w:p>
    <w:p w:rsidR="00CF5EB7" w:rsidRPr="00846B1F" w:rsidRDefault="00CF5EB7" w:rsidP="00CF5EB7">
      <w:pPr>
        <w:spacing w:after="0" w:line="240" w:lineRule="auto"/>
        <w:ind w:firstLine="709"/>
        <w:jc w:val="both"/>
        <w:rPr>
          <w:rFonts w:ascii="Times New Roman" w:eastAsia="Times New Roman" w:hAnsi="Times New Roman"/>
          <w:color w:val="000000"/>
          <w:sz w:val="24"/>
          <w:szCs w:val="24"/>
        </w:rPr>
      </w:pPr>
      <w:r w:rsidRPr="00846B1F">
        <w:rPr>
          <w:rFonts w:ascii="Times New Roman" w:eastAsia="Times New Roman" w:hAnsi="Times New Roman" w:cs="Times New Roman"/>
          <w:sz w:val="24"/>
          <w:szCs w:val="20"/>
        </w:rPr>
        <w:t xml:space="preserve">Līdz ar ES ekonomiskās un fiskālās pārvaldības stiprināšanu, ņemot vērā jaunos ES fiskālās disciplīnas nosacījumus, </w:t>
      </w:r>
      <w:r w:rsidRPr="00846B1F">
        <w:rPr>
          <w:rFonts w:ascii="Times New Roman" w:eastAsia="Times New Roman" w:hAnsi="Times New Roman"/>
          <w:color w:val="000000"/>
          <w:sz w:val="24"/>
          <w:szCs w:val="24"/>
        </w:rPr>
        <w:t xml:space="preserve">Latvija </w:t>
      </w:r>
      <w:r>
        <w:rPr>
          <w:rFonts w:ascii="Times New Roman" w:eastAsia="Times New Roman" w:hAnsi="Times New Roman"/>
          <w:color w:val="000000"/>
          <w:sz w:val="24"/>
          <w:szCs w:val="24"/>
        </w:rPr>
        <w:t xml:space="preserve">Līguma par stabilitāti, koordināciju un pārvaldību ekonomiskajā un monetārajā savienībā (turpmāk – Līgums) </w:t>
      </w:r>
      <w:r w:rsidRPr="00846B1F">
        <w:rPr>
          <w:rFonts w:ascii="Times New Roman" w:eastAsia="Times New Roman" w:hAnsi="Times New Roman"/>
          <w:color w:val="000000"/>
          <w:sz w:val="24"/>
          <w:szCs w:val="24"/>
        </w:rPr>
        <w:t xml:space="preserve">regulējumu ieviesa ar diviem normatīvajiem aktiem – likumu „Par Līgumu par stabilitāti, koordināciju un pārvaldību ekonomiskajā un monetārajā savienībā” un FDL. </w:t>
      </w:r>
      <w:r w:rsidRPr="00846B1F">
        <w:rPr>
          <w:rFonts w:ascii="Times New Roman" w:eastAsia="Times New Roman" w:hAnsi="Times New Roman" w:cs="Times New Roman"/>
          <w:sz w:val="24"/>
          <w:szCs w:val="20"/>
        </w:rPr>
        <w:t>Kopš FDL stāšanās spēkā 2013.gadā valsts budžeta un Ietvara likuma veidošanas procesā tiek nodrošināta fiskālo nosacījumu ieviešana</w:t>
      </w:r>
      <w:r>
        <w:rPr>
          <w:rFonts w:ascii="Times New Roman" w:eastAsia="Times New Roman" w:hAnsi="Times New Roman" w:cs="Times New Roman"/>
          <w:sz w:val="24"/>
          <w:szCs w:val="20"/>
        </w:rPr>
        <w:t xml:space="preserve"> saskaņā SIP noteikumiem</w:t>
      </w:r>
      <w:r w:rsidRPr="00846B1F">
        <w:rPr>
          <w:rFonts w:ascii="Times New Roman" w:eastAsia="Times New Roman" w:hAnsi="Times New Roman" w:cs="Times New Roman"/>
          <w:sz w:val="24"/>
          <w:szCs w:val="20"/>
        </w:rPr>
        <w:t>:</w:t>
      </w:r>
    </w:p>
    <w:p w:rsidR="00CF5EB7" w:rsidRPr="00032403" w:rsidRDefault="00CF5EB7" w:rsidP="00CF5EB7">
      <w:pPr>
        <w:numPr>
          <w:ilvl w:val="0"/>
          <w:numId w:val="32"/>
        </w:numPr>
        <w:spacing w:after="0" w:line="240" w:lineRule="auto"/>
        <w:ind w:left="1134"/>
        <w:jc w:val="both"/>
        <w:rPr>
          <w:rFonts w:ascii="Times New Roman" w:eastAsia="Times New Roman" w:hAnsi="Times New Roman" w:cs="Times New Roman"/>
          <w:color w:val="000000"/>
          <w:sz w:val="24"/>
          <w:szCs w:val="24"/>
          <w:lang w:eastAsia="lv-LV"/>
        </w:rPr>
      </w:pPr>
      <w:r w:rsidRPr="00032403">
        <w:rPr>
          <w:rFonts w:ascii="Times New Roman" w:eastAsia="Times New Roman" w:hAnsi="Times New Roman" w:cs="Times New Roman"/>
          <w:b/>
          <w:color w:val="000000"/>
          <w:sz w:val="24"/>
          <w:szCs w:val="24"/>
          <w:lang w:eastAsia="lv-LV"/>
        </w:rPr>
        <w:t>Bilances nosacījums</w:t>
      </w:r>
      <w:r w:rsidRPr="00032403">
        <w:rPr>
          <w:rFonts w:ascii="Times New Roman" w:eastAsia="Times New Roman" w:hAnsi="Times New Roman" w:cs="Times New Roman"/>
          <w:color w:val="000000"/>
          <w:sz w:val="24"/>
          <w:szCs w:val="24"/>
          <w:lang w:eastAsia="lv-LV"/>
        </w:rPr>
        <w:t>.</w:t>
      </w:r>
      <w:r w:rsidR="006D382A">
        <w:rPr>
          <w:rFonts w:ascii="Times New Roman" w:eastAsia="Times New Roman" w:hAnsi="Times New Roman" w:cs="Times New Roman"/>
          <w:color w:val="000000"/>
          <w:sz w:val="24"/>
          <w:szCs w:val="24"/>
          <w:lang w:eastAsia="lv-LV"/>
        </w:rPr>
        <w:t xml:space="preserve"> </w:t>
      </w:r>
      <w:r w:rsidRPr="00032403">
        <w:rPr>
          <w:rFonts w:ascii="Times New Roman" w:eastAsia="Times New Roman" w:hAnsi="Times New Roman" w:cs="Times New Roman"/>
          <w:color w:val="000000"/>
          <w:sz w:val="24"/>
          <w:szCs w:val="24"/>
          <w:lang w:eastAsia="lv-LV"/>
        </w:rPr>
        <w:t>FDL paredz sabalansētu budžetu strukturālajā izteiksmē, nosakot, ka strukturālā bilance nedrīkst būt mazāka par -0,5% no IKP;</w:t>
      </w:r>
    </w:p>
    <w:p w:rsidR="00CF5EB7" w:rsidRPr="00032403" w:rsidRDefault="00CF5EB7" w:rsidP="00CF5EB7">
      <w:pPr>
        <w:numPr>
          <w:ilvl w:val="0"/>
          <w:numId w:val="32"/>
        </w:numPr>
        <w:spacing w:after="0" w:line="240" w:lineRule="auto"/>
        <w:ind w:left="1134"/>
        <w:jc w:val="both"/>
        <w:rPr>
          <w:rFonts w:ascii="Times New Roman" w:eastAsia="Times New Roman" w:hAnsi="Times New Roman" w:cs="Times New Roman"/>
          <w:color w:val="000000"/>
          <w:sz w:val="24"/>
          <w:szCs w:val="24"/>
          <w:lang w:eastAsia="lv-LV"/>
        </w:rPr>
      </w:pPr>
      <w:r w:rsidRPr="00032403">
        <w:rPr>
          <w:rFonts w:ascii="Times New Roman" w:eastAsia="Times New Roman" w:hAnsi="Times New Roman" w:cs="Times New Roman"/>
          <w:b/>
          <w:color w:val="000000"/>
          <w:sz w:val="24"/>
          <w:szCs w:val="24"/>
          <w:lang w:eastAsia="lv-LV"/>
        </w:rPr>
        <w:t>Izdevumu pieauguma tempa nosacījums</w:t>
      </w:r>
      <w:r w:rsidRPr="00032403">
        <w:rPr>
          <w:rFonts w:ascii="Times New Roman" w:eastAsia="Times New Roman" w:hAnsi="Times New Roman" w:cs="Times New Roman"/>
          <w:color w:val="000000"/>
          <w:sz w:val="24"/>
          <w:szCs w:val="24"/>
          <w:lang w:eastAsia="lv-LV"/>
        </w:rPr>
        <w:t>.</w:t>
      </w:r>
      <w:r w:rsidR="006D382A">
        <w:rPr>
          <w:rFonts w:ascii="Times New Roman" w:eastAsia="Times New Roman" w:hAnsi="Times New Roman" w:cs="Times New Roman"/>
          <w:color w:val="000000"/>
          <w:sz w:val="24"/>
          <w:szCs w:val="24"/>
          <w:lang w:eastAsia="lv-LV"/>
        </w:rPr>
        <w:t xml:space="preserve"> </w:t>
      </w:r>
      <w:r w:rsidRPr="00032403">
        <w:rPr>
          <w:rFonts w:ascii="Times New Roman" w:eastAsia="Times New Roman" w:hAnsi="Times New Roman" w:cs="Times New Roman"/>
          <w:color w:val="000000"/>
          <w:sz w:val="24"/>
          <w:szCs w:val="24"/>
          <w:lang w:eastAsia="lv-LV"/>
        </w:rPr>
        <w:t>FDL paredz, ka papildus tam, ka tiek ierobežots strukturālais deficīts, tiek noteikts arī, ka izdevumi, izslēdzot IKP deflatoru, nedrīkst augt ātrāk kā vidējais potenciālā IKP pieaugums. Jāmin, ka šim nosacījumam ir paredzēti izņēmumi saskaņā ar Padomes Regulas Nr. 1175/2011 9.pantā noteiktajām atkāpēm;</w:t>
      </w:r>
    </w:p>
    <w:p w:rsidR="00CF5EB7" w:rsidRPr="00032403" w:rsidRDefault="00CF5EB7" w:rsidP="00CF5EB7">
      <w:pPr>
        <w:pStyle w:val="BodyTextIndent2"/>
        <w:numPr>
          <w:ilvl w:val="0"/>
          <w:numId w:val="32"/>
        </w:numPr>
        <w:spacing w:before="0" w:after="0"/>
        <w:ind w:left="1134"/>
        <w:rPr>
          <w:szCs w:val="24"/>
        </w:rPr>
      </w:pPr>
      <w:r w:rsidRPr="00032403">
        <w:rPr>
          <w:b/>
          <w:color w:val="000000"/>
          <w:szCs w:val="24"/>
          <w:lang w:eastAsia="lv-LV"/>
        </w:rPr>
        <w:t>Valsts budžeta izdevumu sliekšņu noteikšana vidējā termiņā</w:t>
      </w:r>
      <w:r w:rsidRPr="00032403">
        <w:rPr>
          <w:color w:val="000000"/>
          <w:szCs w:val="24"/>
          <w:lang w:eastAsia="lv-LV"/>
        </w:rPr>
        <w:t>.</w:t>
      </w:r>
      <w:r w:rsidR="006D382A">
        <w:rPr>
          <w:color w:val="000000"/>
          <w:szCs w:val="24"/>
          <w:lang w:eastAsia="lv-LV"/>
        </w:rPr>
        <w:t xml:space="preserve"> </w:t>
      </w:r>
      <w:r w:rsidRPr="00032403">
        <w:rPr>
          <w:color w:val="000000"/>
          <w:szCs w:val="24"/>
          <w:lang w:eastAsia="lv-LV"/>
        </w:rPr>
        <w:t xml:space="preserve">FDL dod sākotnējos fiskālos rādītājus, saskaņā ar kuriem tiek izstrādāts Ietvara likums. Šajā likumā viens no būtiskākajiem rādītājiem ir valsts izdevumu sliekšņi turpmākajiem 3 gadiem. FDL nosaka, ka kā standarta nosacījums darbojas šo izdevumu sliekšņu stabilitātes nosacījums – Ietvara likuma pirmā un otrā gada izdevumu sliekšņi tiek pārmantoti no iepriekšējā Ietvara likuma otrā un trešā gada izdevumu sliekšņiem. Kā atkāpe no minētā nosacījuma – izdevumu sliekšņi netiek pārmantoti, ja sliekšņu lielums saskaņā ar atjaunotajām makroekonomiskajām prognozēm atšķiras no pārmantotajiem sliekšņiem vairāk kā par 0,1% no IKP. </w:t>
      </w:r>
    </w:p>
    <w:p w:rsidR="00CF5EB7" w:rsidRPr="001E5D9F" w:rsidRDefault="00CF5EB7" w:rsidP="00CF5EB7">
      <w:pPr>
        <w:spacing w:after="0" w:line="240" w:lineRule="auto"/>
        <w:ind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Fiskālo</w:t>
      </w:r>
      <w:r w:rsidRPr="000D2789">
        <w:rPr>
          <w:rFonts w:ascii="Times New Roman" w:eastAsia="Times New Roman" w:hAnsi="Times New Roman" w:cs="Times New Roman"/>
          <w:sz w:val="24"/>
          <w:szCs w:val="20"/>
        </w:rPr>
        <w:t xml:space="preserve"> nosacījumu ieviešanā Latvijas nacionālajā likumdošanā iesaistās </w:t>
      </w:r>
      <w:r>
        <w:rPr>
          <w:rFonts w:ascii="Times New Roman" w:eastAsia="Times New Roman" w:hAnsi="Times New Roman" w:cs="Times New Roman"/>
          <w:sz w:val="24"/>
          <w:szCs w:val="20"/>
        </w:rPr>
        <w:t>EK</w:t>
      </w:r>
      <w:r w:rsidRPr="000D2789">
        <w:rPr>
          <w:rFonts w:ascii="Times New Roman" w:eastAsia="Times New Roman" w:hAnsi="Times New Roman" w:cs="Times New Roman"/>
          <w:sz w:val="24"/>
          <w:szCs w:val="20"/>
        </w:rPr>
        <w:t xml:space="preserve">, kas izriet no Līguma 8.panta 1.punkta, kurš paredz, ka </w:t>
      </w:r>
      <w:r>
        <w:rPr>
          <w:rFonts w:ascii="Times New Roman" w:eastAsia="Times New Roman" w:hAnsi="Times New Roman" w:cs="Times New Roman"/>
          <w:sz w:val="24"/>
          <w:szCs w:val="20"/>
        </w:rPr>
        <w:t>EK</w:t>
      </w:r>
      <w:r w:rsidRPr="000D2789">
        <w:rPr>
          <w:rFonts w:ascii="Times New Roman" w:eastAsia="Times New Roman" w:hAnsi="Times New Roman" w:cs="Times New Roman"/>
          <w:sz w:val="24"/>
          <w:szCs w:val="20"/>
        </w:rPr>
        <w:t xml:space="preserve"> ir aicināta laikus iesniegt Līgumslēdzējai pusei ziņojumu par noteikumiem, kurus katra no tām pieņēmusi. </w:t>
      </w:r>
      <w:r>
        <w:rPr>
          <w:rFonts w:ascii="Times New Roman" w:eastAsia="Times New Roman" w:hAnsi="Times New Roman" w:cs="Times New Roman"/>
          <w:sz w:val="24"/>
          <w:szCs w:val="20"/>
        </w:rPr>
        <w:t>EK</w:t>
      </w:r>
      <w:r w:rsidRPr="000D2789">
        <w:rPr>
          <w:rFonts w:ascii="Times New Roman" w:eastAsia="Times New Roman" w:hAnsi="Times New Roman" w:cs="Times New Roman"/>
          <w:sz w:val="24"/>
          <w:szCs w:val="20"/>
        </w:rPr>
        <w:t xml:space="preserve"> uzdevums ir uzraudzīt kā katra Līgumslēdzēja puse ir ieviesusi Fiskālā kompakta nosacījumus nacionālajā likumdošanā. </w:t>
      </w:r>
    </w:p>
    <w:p w:rsidR="00CF5EB7" w:rsidRDefault="00CF5EB7" w:rsidP="00CF5EB7">
      <w:pPr>
        <w:spacing w:after="0" w:line="240" w:lineRule="auto"/>
        <w:ind w:firstLine="709"/>
        <w:jc w:val="both"/>
        <w:rPr>
          <w:rFonts w:ascii="Times New Roman" w:hAnsi="Times New Roman"/>
          <w:bCs/>
          <w:sz w:val="24"/>
          <w:szCs w:val="24"/>
        </w:rPr>
      </w:pPr>
      <w:r w:rsidRPr="001E5D9F">
        <w:rPr>
          <w:rFonts w:ascii="Times New Roman" w:hAnsi="Times New Roman"/>
          <w:bCs/>
          <w:sz w:val="24"/>
          <w:szCs w:val="24"/>
        </w:rPr>
        <w:t xml:space="preserve">2017.gada 22.februārī tika publicēts EK ziņojums, kurā secināts, ka Latvijas nacionālie fiskālie nosacījumi ir saskaņā ar </w:t>
      </w:r>
      <w:r w:rsidRPr="001E5D9F">
        <w:rPr>
          <w:rFonts w:ascii="Times New Roman" w:eastAsia="Times New Roman" w:hAnsi="Times New Roman" w:cs="Times New Roman"/>
          <w:sz w:val="24"/>
          <w:szCs w:val="20"/>
        </w:rPr>
        <w:t>Līguma 3.panta 2.punkta prasībām, ņemot vērā arī Latvijas sniegtos skaidrojumus par EK norādītajām neskaidrībām.</w:t>
      </w:r>
    </w:p>
    <w:p w:rsidR="00DD4F0C" w:rsidRDefault="00DD4F0C" w:rsidP="00711F13">
      <w:pPr>
        <w:spacing w:after="0" w:line="240" w:lineRule="auto"/>
        <w:ind w:firstLine="567"/>
        <w:jc w:val="both"/>
        <w:rPr>
          <w:rFonts w:ascii="Times New Roman" w:eastAsia="Times New Roman" w:hAnsi="Times New Roman" w:cs="Times New Roman"/>
          <w:sz w:val="24"/>
          <w:szCs w:val="20"/>
          <w:highlight w:val="yellow"/>
        </w:rPr>
      </w:pPr>
    </w:p>
    <w:p w:rsidR="00A34463" w:rsidRPr="00F51615" w:rsidRDefault="00A34463" w:rsidP="00F4636D">
      <w:pPr>
        <w:pStyle w:val="Heading2"/>
        <w:numPr>
          <w:ilvl w:val="1"/>
          <w:numId w:val="22"/>
        </w:numPr>
        <w:spacing w:before="0" w:after="120"/>
        <w:ind w:left="1134" w:hanging="425"/>
        <w:rPr>
          <w:rFonts w:ascii="Times New Roman" w:hAnsi="Times New Roman" w:cs="Times New Roman"/>
          <w:sz w:val="24"/>
        </w:rPr>
      </w:pPr>
      <w:bookmarkStart w:id="69" w:name="_Toc510790680"/>
      <w:bookmarkStart w:id="70" w:name="_Toc511027840"/>
      <w:r w:rsidRPr="00F51615">
        <w:rPr>
          <w:rFonts w:ascii="Times New Roman" w:hAnsi="Times New Roman" w:cs="Times New Roman"/>
          <w:sz w:val="24"/>
        </w:rPr>
        <w:t>Vidēja termiņa budžeta plānošana</w:t>
      </w:r>
      <w:bookmarkEnd w:id="69"/>
      <w:bookmarkEnd w:id="70"/>
    </w:p>
    <w:p w:rsidR="00C06444" w:rsidRPr="00C06444" w:rsidRDefault="00C06444" w:rsidP="00C06444">
      <w:pPr>
        <w:pStyle w:val="Default"/>
        <w:ind w:firstLine="720"/>
        <w:jc w:val="both"/>
      </w:pPr>
      <w:r w:rsidRPr="00C06444">
        <w:t xml:space="preserve">Atbilstoši LBFV vidēja termiņa valsts budžeta plānošana ir process, kurā tiek noteikti pieejamie resursi vidējam termiņam un nodrošināta šo resursu izlietošana atbilstoši valdības noteiktajām prioritātēm. Vidējs termiņš – triju gadu periods, ko veido saimnieciskais gads, kuram plāno valsts budžetu, un tam sekojošie divi saimnieciskie gadi. </w:t>
      </w:r>
    </w:p>
    <w:p w:rsidR="00C06444" w:rsidRPr="00C06444" w:rsidRDefault="00C06444" w:rsidP="00C06444">
      <w:pPr>
        <w:pStyle w:val="Default"/>
        <w:ind w:firstLine="720"/>
        <w:jc w:val="both"/>
      </w:pPr>
      <w:r w:rsidRPr="00C06444">
        <w:t xml:space="preserve">Kopš 2007.gada valstī tika sagatavots vidēja termiņa makroekonomiskās attīstības un fiskālās politikas ietvars (turpmāk – Ietvars) nākamajiem trijiem saimnieciskajiem gadiem, iekļaujot tajā vidēja termiņa valsts makroekonomiskās situācijas analīzi, valdības fiskālās politikas mērķus vidējam termiņam, valsts budžeta ieņēmumu prognozes un maksimāli pieļaujamo valsts budžeta kopējo izdevumu apjomu katrai ministrijai un citām centrālajām valsts iestādēm vidējam termiņam. Ņemot vērā, ka Ietvaram nebija juridiski saistošs raksturs </w:t>
      </w:r>
      <w:r w:rsidRPr="00C06444">
        <w:lastRenderedPageBreak/>
        <w:t xml:space="preserve">un tas tikai indikatīvi norādīja maksimāli pieļaujamo valsts budžeta kopējo izdevumu apjomu vidējam termiņam, radās nepieciešamība nostiprināt vidējā termiņa budžeta plānošanas sistēmu. </w:t>
      </w:r>
      <w:r w:rsidRPr="007537BE">
        <w:t>Līdz ar to tika veikti attiecīgi grozījumi LBFV un, sākot ar 2012.gada 1.janvāri, Ietvaru, ko kopš 2007.gada tika apstiprinājis MK, sāka izstrādāt likuma formā kā Ietvara likumu, kuru apstiprina Saeima. Tādējādi Ietvara likumā iekļautajiem sasniedzamajiem finanšu rādītājiem ir juridiski saistošs spēks un uz tiem ir jābalstās gadskārtējā valsts budžeta likuma izstrādāšanā, kā arī turpmāko Ietvara likumu izstrādāšanā.</w:t>
      </w:r>
      <w:r w:rsidRPr="00C06444">
        <w:t xml:space="preserve"> </w:t>
      </w:r>
    </w:p>
    <w:p w:rsidR="00C06444" w:rsidRPr="00C06444" w:rsidRDefault="00C06444" w:rsidP="00C06444">
      <w:pPr>
        <w:pStyle w:val="Default"/>
        <w:ind w:firstLine="720"/>
        <w:jc w:val="both"/>
      </w:pPr>
      <w:r w:rsidRPr="00C06444">
        <w:t xml:space="preserve">Ietvara likumu izstrādā katru gadu nākamo triju gadu periodam, pie tam katra nākamā Ietvara likuma perioda pirmajam un otrajam gadam tiek izmantoti iepriekšējā Ietvara likumā noteiktie rādītāji, kas precizēti atbilstoši normatīvajos aktos noteiktajiem gadījumiem, savukārt trešajā gadā plānotie rādītāji ir jauni. Turklāt Ietvara likums tiek sasaistīts ar attīstības plānošanas dokumentiem, nodrošinot pieejamo resursu sasaisti ar valdības politikas prioritātēm vidējā termiņā un tas pakļaujas FDL noteiktajiem fiskālajiem nosacījumiem, nodrošinot pārredzamu un atbildīgu fiskālo politiku. Tādējādi Ietvara likums ir galvenais instruments fiskālās disciplīnas ievērošanā. </w:t>
      </w:r>
    </w:p>
    <w:p w:rsidR="00C06444" w:rsidRPr="00C06444" w:rsidRDefault="00C06444" w:rsidP="00C47C4A">
      <w:pPr>
        <w:pStyle w:val="Default"/>
        <w:ind w:firstLine="709"/>
        <w:jc w:val="both"/>
        <w:rPr>
          <w:color w:val="auto"/>
        </w:rPr>
      </w:pPr>
      <w:r w:rsidRPr="00C06444">
        <w:rPr>
          <w:color w:val="auto"/>
        </w:rPr>
        <w:tab/>
        <w:t>Ietvara likuma darbības perioda pirmais gads tiek detalizēti izvērsts gadskārtējā valsts budžeta likumā. Ietvara likumā katram likuma perioda gadam tiek norādīti vidēja termiņa budžeta mērķi un Nacionālajā attīstības plānā noteiktie prioritārie attīstības virzieni, valdības fiskālās politikas mērķu formulējums, maksimāli pieļaujamais valsts budžeta izdevumu kopapjoms (arī izdevumu kopapjoms katram budžeta resoram), iekšzemes kopprodukta prognozes, valsts budžeta ieņēmumu prognozes, valsts budžeta finansiālās bilances apjoms (maksimālais deficīta līmenis un vai minimālais pārpalikuma līmenis). Atbilstoši FDL nosacījumiem vienlaikus ar Ietvara likumu 2015.</w:t>
      </w:r>
      <w:r w:rsidR="006D382A" w:rsidRPr="006D382A">
        <w:t xml:space="preserve"> </w:t>
      </w:r>
      <w:r w:rsidR="006D382A" w:rsidRPr="00C06444">
        <w:t>–</w:t>
      </w:r>
      <w:r w:rsidR="006D382A">
        <w:t xml:space="preserve"> </w:t>
      </w:r>
      <w:r w:rsidRPr="00C06444">
        <w:rPr>
          <w:color w:val="auto"/>
        </w:rPr>
        <w:t xml:space="preserve">2017.gadam tika pirmo reizi izstrādāta Fiskālo risku deklarācija, kuras mērķis ir nodrošināt fiskālo risku vispārēju vadību, kā arī fiskālo rādītāju stabilitāti vidējā termiņā. </w:t>
      </w:r>
    </w:p>
    <w:p w:rsidR="00C06444" w:rsidRPr="00C06444" w:rsidRDefault="00C06444" w:rsidP="00C06444">
      <w:pPr>
        <w:pStyle w:val="Default"/>
        <w:ind w:firstLine="720"/>
        <w:jc w:val="both"/>
      </w:pPr>
      <w:r w:rsidRPr="00C06444">
        <w:t xml:space="preserve">Latvija kā </w:t>
      </w:r>
      <w:r w:rsidR="00C47E13">
        <w:t>ES</w:t>
      </w:r>
      <w:r w:rsidRPr="00C06444">
        <w:t xml:space="preserve"> dalībvalsts iesniedz Eiropas Komisijai </w:t>
      </w:r>
      <w:r w:rsidR="00C47E13">
        <w:t>Stabilitātes programmu. Latvija</w:t>
      </w:r>
      <w:r w:rsidRPr="00C06444">
        <w:t xml:space="preserve"> kā </w:t>
      </w:r>
      <w:r w:rsidR="009F2A3D" w:rsidRPr="00633484">
        <w:rPr>
          <w:i/>
        </w:rPr>
        <w:t>euro</w:t>
      </w:r>
      <w:r w:rsidR="009F2A3D">
        <w:t xml:space="preserve"> </w:t>
      </w:r>
      <w:r w:rsidRPr="00C06444">
        <w:t>zonas dalībvalst</w:t>
      </w:r>
      <w:r w:rsidR="00C47E13">
        <w:t>s</w:t>
      </w:r>
      <w:r w:rsidRPr="00C06444">
        <w:t xml:space="preserve"> </w:t>
      </w:r>
      <w:r w:rsidR="00C47E13">
        <w:t>sagatavo arī</w:t>
      </w:r>
      <w:r w:rsidRPr="00C06444">
        <w:t xml:space="preserve"> Vispārējās valdības budžeta plāna projekt</w:t>
      </w:r>
      <w:r w:rsidR="00C47E13">
        <w:t>u</w:t>
      </w:r>
      <w:r w:rsidRPr="00C06444">
        <w:t xml:space="preserve">s, kurā tiek norādītas galveno nākamā gada budžeta rādītāju prognozes – ieņēmumi, izdevumi, deficīts un valsts parāds, ietverot valsts budžetu, pašvaldību budžetu, no valsts budžeta daļēji finansēto atvasināto publisko personu budžetu un vispārējā valdības sektorā ieskaitītās komercsabiedrības. Minētā plāna mērķis ir iesniegt Eiropas Komisijai informāciju, kas ļautu tai novērtēt plānotā budžeta atbilstību Eiropas Savienības tiesību normām fiskālās disciplīnas jomā. Ja Eiropas Komisija konstatē, ka budžeta plāns būtiski pārkāpj ES fiskālās disciplīnas noteikumus, tā var noraidīt budžeta plānu un pieprasīt dalībvalstij veikt izmaiņas un iesniegt to atkārtoti. Tāpat Eiropas Komisija savā atzinumā var sniegt rekomendācijas plāna uzlabošanai. Procedūra paredz, ka nacionālie parlamenti ņem vērā Eiropas Komisijas atzinumu, pieņemot galīgajā lasījumā valsts budžetu. </w:t>
      </w:r>
    </w:p>
    <w:p w:rsidR="00A34463" w:rsidRDefault="00A34463" w:rsidP="00E54E8C">
      <w:pPr>
        <w:pStyle w:val="Heading2"/>
        <w:numPr>
          <w:ilvl w:val="1"/>
          <w:numId w:val="22"/>
        </w:numPr>
        <w:spacing w:before="240" w:after="120"/>
        <w:ind w:left="1134" w:hanging="425"/>
        <w:rPr>
          <w:rFonts w:ascii="Times New Roman" w:hAnsi="Times New Roman" w:cs="Times New Roman"/>
          <w:sz w:val="24"/>
        </w:rPr>
      </w:pPr>
      <w:bookmarkStart w:id="71" w:name="_Toc510790681"/>
      <w:bookmarkStart w:id="72" w:name="_Toc511027841"/>
      <w:r w:rsidRPr="00F51615">
        <w:rPr>
          <w:rFonts w:ascii="Times New Roman" w:hAnsi="Times New Roman" w:cs="Times New Roman"/>
          <w:sz w:val="24"/>
        </w:rPr>
        <w:t>Budžeta procedūras, t.sk. valsts finanšu statistikas pārvalde</w:t>
      </w:r>
      <w:bookmarkEnd w:id="71"/>
      <w:bookmarkEnd w:id="72"/>
    </w:p>
    <w:p w:rsidR="00551458" w:rsidRDefault="00551458" w:rsidP="00136AB2">
      <w:pPr>
        <w:pStyle w:val="Heading3"/>
        <w:numPr>
          <w:ilvl w:val="2"/>
          <w:numId w:val="22"/>
        </w:numPr>
        <w:spacing w:before="120" w:after="120" w:line="240" w:lineRule="auto"/>
        <w:ind w:left="1134" w:hanging="425"/>
        <w:rPr>
          <w:rFonts w:ascii="Times New Roman" w:hAnsi="Times New Roman" w:cs="Times New Roman"/>
          <w:sz w:val="24"/>
          <w:szCs w:val="24"/>
        </w:rPr>
      </w:pPr>
      <w:bookmarkStart w:id="73" w:name="_Toc510790682"/>
      <w:bookmarkStart w:id="74" w:name="_Toc511027842"/>
      <w:r w:rsidRPr="00551458">
        <w:rPr>
          <w:rFonts w:ascii="Times New Roman" w:hAnsi="Times New Roman" w:cs="Times New Roman"/>
          <w:sz w:val="24"/>
          <w:szCs w:val="24"/>
        </w:rPr>
        <w:t>Budžeta procedūras</w:t>
      </w:r>
      <w:bookmarkEnd w:id="73"/>
      <w:bookmarkEnd w:id="74"/>
    </w:p>
    <w:p w:rsidR="00E10BBE" w:rsidRPr="00E10BBE" w:rsidRDefault="00E10BBE" w:rsidP="00353DFF">
      <w:pPr>
        <w:pStyle w:val="Default"/>
        <w:ind w:firstLine="709"/>
        <w:jc w:val="both"/>
      </w:pPr>
      <w:r w:rsidRPr="00E10BBE">
        <w:t xml:space="preserve">Latvijas Republikas Satversme nosaka, ka Saeima ik gadu pirms saimnieciskā gada sākšanās lemj par valsts ienākumu un izdevumu budžetu, kura projektu tai iesniedz MK. </w:t>
      </w:r>
      <w:r w:rsidRPr="00E10BBE">
        <w:rPr>
          <w:bCs/>
        </w:rPr>
        <w:t xml:space="preserve">Gadskārtējo valsts budžeta likumu apstiprina Saeima. </w:t>
      </w:r>
    </w:p>
    <w:p w:rsidR="00E10BBE" w:rsidRPr="00E10BBE" w:rsidRDefault="00E10BBE" w:rsidP="00353DFF">
      <w:pPr>
        <w:pStyle w:val="Default"/>
        <w:ind w:firstLine="709"/>
        <w:jc w:val="both"/>
      </w:pPr>
      <w:r w:rsidRPr="00E10BBE">
        <w:t xml:space="preserve">Valsts budžeta līdzekļu izdevumu plānošanā sākotnēji tiek aprēķināti un saskaņoti bāzes izdevumi. Bāzes izdevumu aprēķinu un to sasaistes principus ar Ietvara likumu nosaka MK 2012.gada 11.decembra noteikumi Nr.867 „Kārtība, kādā nosakāms maksimāli pieļaujamais valsts budžeta izdevumu kopapjoms un maksimāli pieļaujamais valsts budžeta izdevumu kopējais apjoms katrai ministrijai un citām centrālajām valsts iestādēm vidējam </w:t>
      </w:r>
      <w:r w:rsidRPr="00E10BBE">
        <w:lastRenderedPageBreak/>
        <w:t>termiņam”. Tādējādi tiek noteikts nepieciešamais izdevumu apjoms, lai nodrošinātu valsts funkciju izpildi nemainīgā līmenī. Bāzes izdevumus apstiprina MK.</w:t>
      </w:r>
    </w:p>
    <w:p w:rsidR="00E10BBE" w:rsidRPr="00E10BBE" w:rsidRDefault="00E10BBE" w:rsidP="00353DFF">
      <w:pPr>
        <w:pStyle w:val="Default"/>
        <w:ind w:firstLine="720"/>
        <w:jc w:val="both"/>
      </w:pPr>
      <w:r w:rsidRPr="00E10BBE">
        <w:t>Kopš 2016.gada kā budžeta procesa sastāvdaļa ir ieviesta pastāvīga un sistemātiska valsts budžeta izdevumu pārskatīšana, par kuru plašāka informācija ir sniegta 6.1.</w:t>
      </w:r>
      <w:r w:rsidR="00E04576">
        <w:t xml:space="preserve"> </w:t>
      </w:r>
      <w:r w:rsidRPr="00E10BBE">
        <w:t>sadaļā.</w:t>
      </w:r>
    </w:p>
    <w:p w:rsidR="00E10BBE" w:rsidRPr="00E10BBE" w:rsidRDefault="00E10BBE" w:rsidP="00E10BBE">
      <w:pPr>
        <w:pStyle w:val="Default"/>
        <w:ind w:firstLine="720"/>
        <w:jc w:val="both"/>
        <w:rPr>
          <w:color w:val="auto"/>
        </w:rPr>
      </w:pPr>
      <w:r w:rsidRPr="00E10BBE">
        <w:rPr>
          <w:color w:val="auto"/>
        </w:rPr>
        <w:t>Ja attiecīgajos nākamajos saimnieciskajos gados atbilstoši aktuālākajām makroekonomiskās attīstības prognozēm būs pieejami līdzekļi attīstības izdevumiem, ministrijas un citas centrālās valsts iestādes sagatavo priekšlikumus atbalstāmajiem prioritārajiem pasākumiem. Priekšlikumus pasākumiem gatavo, pamatojoties uz Nacionālajā attīstības plānā, Valsts aizsardzības koncepcijā un citos attīstības plānošanas dokumentos noteiktajām prioritātēm un mērķiem. Tādējādi tiek nodrošināta valstī noteikto prioritāšu sasaiste ar valsts budžetā pieejamajiem resursiem vidējam termiņam.</w:t>
      </w:r>
    </w:p>
    <w:p w:rsidR="00E10BBE" w:rsidRPr="00E10BBE" w:rsidRDefault="00E10BBE" w:rsidP="00353DFF">
      <w:pPr>
        <w:pStyle w:val="Default"/>
        <w:ind w:firstLine="720"/>
        <w:jc w:val="both"/>
        <w:rPr>
          <w:color w:val="auto"/>
        </w:rPr>
      </w:pPr>
      <w:r w:rsidRPr="00E10BBE">
        <w:t xml:space="preserve">Aprēķinot maksimāli pieļaujamo valsts budžeta izdevumu kopapjomu, kas sastāv no valsts pamatbudžeta un valsts speciālā budžeta bāzes izdevumiem un valsts pamatbudžeta un valsts speciālā budžeta attīstības izdevumiem, FM pamatojas uz Ietvara likumu, prognozēm par makroekonomisko attīstību, kā arī ievēro valstī noteiktos fiskālos nosacījumus. Pamatojoties uz MK apstiprinātiem lēmumiem par bāzes izdevumiem un prioritāro pasākumu finansēšanu, ministrijas un citas centrālās valsts iestādes izstrādā un iesniedz FM budžeta </w:t>
      </w:r>
      <w:r w:rsidRPr="00E10BBE">
        <w:rPr>
          <w:color w:val="auto"/>
        </w:rPr>
        <w:t>pieprasījumus. FM sagatavo un iesniedz Ietvara likuma projektu (ar paskaidrojumiem, fiskālo risku deklarāciju, Fiskālās disciplīnas padomes fiskālās disciplīnas uzraudzības ziņojumu) un gadskārtējā valsts budžeta likuma projektu (ar paskaidrojumiem) izskatīšanai MK.</w:t>
      </w:r>
    </w:p>
    <w:p w:rsidR="00E10BBE" w:rsidRPr="00E10BBE" w:rsidRDefault="00E10BBE" w:rsidP="00353DFF">
      <w:pPr>
        <w:pStyle w:val="Default"/>
        <w:ind w:firstLine="720"/>
        <w:jc w:val="both"/>
        <w:rPr>
          <w:color w:val="auto"/>
        </w:rPr>
      </w:pPr>
      <w:r w:rsidRPr="00E10BBE">
        <w:rPr>
          <w:color w:val="auto"/>
        </w:rPr>
        <w:t xml:space="preserve">Lai nodrošinātu sabiedrībai uzskatāmu priekšstatu par to, kādi resursi ir iesaistīti valsts pamatfunkciju īstenošanā, un kādi – ES un citu ārvalstu politiku instrumentu pasākumu ieviešanā, budžets tiek sagatavots šādās sadaļās: </w:t>
      </w:r>
    </w:p>
    <w:p w:rsidR="00E10BBE" w:rsidRPr="00E10BBE" w:rsidRDefault="00E10BBE" w:rsidP="00E54E8C">
      <w:pPr>
        <w:pStyle w:val="Default"/>
        <w:numPr>
          <w:ilvl w:val="0"/>
          <w:numId w:val="14"/>
        </w:numPr>
        <w:ind w:left="1134" w:hanging="425"/>
        <w:jc w:val="both"/>
        <w:rPr>
          <w:color w:val="auto"/>
        </w:rPr>
      </w:pPr>
      <w:r w:rsidRPr="00E10BBE">
        <w:rPr>
          <w:color w:val="auto"/>
        </w:rPr>
        <w:t>valsts pamatfunkciju īstenošana (izņemot ES politiku instrumentu un pārējās ārvalstu finanšu palīdzības līdzfinansētos un finansētos projektus un pasākumus);</w:t>
      </w:r>
    </w:p>
    <w:p w:rsidR="00E10BBE" w:rsidRPr="00E10BBE" w:rsidRDefault="00E10BBE" w:rsidP="00E54E8C">
      <w:pPr>
        <w:pStyle w:val="Default"/>
        <w:numPr>
          <w:ilvl w:val="0"/>
          <w:numId w:val="14"/>
        </w:numPr>
        <w:ind w:left="1134" w:hanging="425"/>
        <w:jc w:val="both"/>
        <w:rPr>
          <w:color w:val="auto"/>
        </w:rPr>
      </w:pPr>
      <w:r w:rsidRPr="00E10BBE">
        <w:rPr>
          <w:color w:val="auto"/>
        </w:rPr>
        <w:t>ES politiku instrumentu un pārējās ārvalstu finanšu palīdzības līdzfinansēto un finansēto projektu un pasākumu īstenošana.</w:t>
      </w:r>
    </w:p>
    <w:p w:rsidR="00E10BBE" w:rsidRPr="00E10BBE" w:rsidRDefault="00E10BBE" w:rsidP="00E54E8C">
      <w:pPr>
        <w:pStyle w:val="Default"/>
        <w:ind w:left="1134" w:hanging="425"/>
        <w:jc w:val="both"/>
        <w:rPr>
          <w:color w:val="auto"/>
        </w:rPr>
      </w:pPr>
      <w:r w:rsidRPr="00E10BBE">
        <w:rPr>
          <w:color w:val="auto"/>
        </w:rPr>
        <w:t xml:space="preserve">Gadskārtējā valsts budžeta likumprojekta sagatavošanas procesā tiek kompleksi vērtēti un pēc tam atspoguļoti valsts budžeta likumā šādi rādītāji: </w:t>
      </w:r>
    </w:p>
    <w:p w:rsidR="00E10BBE" w:rsidRPr="00E10BBE" w:rsidRDefault="00E10BBE" w:rsidP="00E54E8C">
      <w:pPr>
        <w:pStyle w:val="Default"/>
        <w:numPr>
          <w:ilvl w:val="0"/>
          <w:numId w:val="4"/>
        </w:numPr>
        <w:ind w:left="1134" w:hanging="425"/>
        <w:jc w:val="both"/>
        <w:rPr>
          <w:color w:val="auto"/>
        </w:rPr>
      </w:pPr>
      <w:r w:rsidRPr="00E10BBE">
        <w:rPr>
          <w:color w:val="auto"/>
        </w:rPr>
        <w:t>valsts budžeta ieņēmumi sadalījumā pa ieņēmumu veidiem (sadalījumā pa atbildīgajām ministrijām);</w:t>
      </w:r>
    </w:p>
    <w:p w:rsidR="00E10BBE" w:rsidRPr="00E10BBE" w:rsidRDefault="00E10BBE" w:rsidP="00E54E8C">
      <w:pPr>
        <w:pStyle w:val="Default"/>
        <w:numPr>
          <w:ilvl w:val="0"/>
          <w:numId w:val="4"/>
        </w:numPr>
        <w:ind w:left="1134" w:hanging="425"/>
        <w:jc w:val="both"/>
        <w:rPr>
          <w:color w:val="auto"/>
        </w:rPr>
      </w:pPr>
      <w:r w:rsidRPr="00E10BBE">
        <w:rPr>
          <w:color w:val="auto"/>
        </w:rPr>
        <w:t xml:space="preserve">valsts budžeta izdevumi sadalījumā pa programmām (apakšprogrammām) un izdevumu veidiem atbilstoši ekonomiskajai būtībai; </w:t>
      </w:r>
    </w:p>
    <w:p w:rsidR="00E10BBE" w:rsidRPr="00E10BBE" w:rsidRDefault="00E10BBE" w:rsidP="00E54E8C">
      <w:pPr>
        <w:pStyle w:val="Default"/>
        <w:numPr>
          <w:ilvl w:val="0"/>
          <w:numId w:val="4"/>
        </w:numPr>
        <w:ind w:left="1134" w:hanging="425"/>
        <w:jc w:val="both"/>
        <w:rPr>
          <w:color w:val="auto"/>
        </w:rPr>
      </w:pPr>
      <w:r w:rsidRPr="00E10BBE">
        <w:rPr>
          <w:color w:val="auto"/>
        </w:rPr>
        <w:t xml:space="preserve">valsts budžeta finansiālā bilance; </w:t>
      </w:r>
    </w:p>
    <w:p w:rsidR="00E10BBE" w:rsidRPr="00E10BBE" w:rsidRDefault="00E10BBE" w:rsidP="00E54E8C">
      <w:pPr>
        <w:pStyle w:val="Default"/>
        <w:numPr>
          <w:ilvl w:val="0"/>
          <w:numId w:val="4"/>
        </w:numPr>
        <w:ind w:left="1134" w:hanging="425"/>
        <w:jc w:val="both"/>
        <w:rPr>
          <w:color w:val="auto"/>
        </w:rPr>
      </w:pPr>
      <w:r w:rsidRPr="00E10BBE">
        <w:rPr>
          <w:color w:val="auto"/>
        </w:rPr>
        <w:t xml:space="preserve">maksimālais valsts parāda maksimāli pieļaujamais apjoms saimnieciskā gada beigās; </w:t>
      </w:r>
    </w:p>
    <w:p w:rsidR="00E10BBE" w:rsidRPr="00E10BBE" w:rsidRDefault="00E10BBE" w:rsidP="00E54E8C">
      <w:pPr>
        <w:pStyle w:val="Default"/>
        <w:numPr>
          <w:ilvl w:val="0"/>
          <w:numId w:val="4"/>
        </w:numPr>
        <w:ind w:left="1134" w:hanging="425"/>
        <w:jc w:val="both"/>
        <w:rPr>
          <w:color w:val="auto"/>
        </w:rPr>
      </w:pPr>
      <w:r w:rsidRPr="00E10BBE">
        <w:rPr>
          <w:color w:val="auto"/>
        </w:rPr>
        <w:t xml:space="preserve">valsts vārdā izsniedzamo galvojumu apmērs; </w:t>
      </w:r>
    </w:p>
    <w:p w:rsidR="00E10BBE" w:rsidRPr="00E10BBE" w:rsidRDefault="00E10BBE" w:rsidP="00E54E8C">
      <w:pPr>
        <w:pStyle w:val="Default"/>
        <w:numPr>
          <w:ilvl w:val="0"/>
          <w:numId w:val="4"/>
        </w:numPr>
        <w:ind w:left="1134" w:hanging="425"/>
        <w:jc w:val="both"/>
        <w:rPr>
          <w:color w:val="auto"/>
        </w:rPr>
      </w:pPr>
      <w:r w:rsidRPr="00E10BBE">
        <w:rPr>
          <w:color w:val="auto"/>
        </w:rPr>
        <w:t xml:space="preserve">valsts budžeta aizdevumu kopējais palielinājums; </w:t>
      </w:r>
    </w:p>
    <w:p w:rsidR="00E10BBE" w:rsidRPr="00E10BBE" w:rsidRDefault="00E10BBE" w:rsidP="00E54E8C">
      <w:pPr>
        <w:pStyle w:val="Default"/>
        <w:numPr>
          <w:ilvl w:val="0"/>
          <w:numId w:val="4"/>
        </w:numPr>
        <w:ind w:left="1134" w:hanging="425"/>
        <w:jc w:val="both"/>
        <w:rPr>
          <w:color w:val="auto"/>
        </w:rPr>
      </w:pPr>
      <w:r w:rsidRPr="00E10BBE">
        <w:rPr>
          <w:color w:val="auto"/>
        </w:rPr>
        <w:t xml:space="preserve">valsts budžeta mērķdotāciju apmērs pašvaldībām, kā arī valsts budžeta dotācijas apmērs pašvaldību finanšu izlīdzināšanas fondam; </w:t>
      </w:r>
    </w:p>
    <w:p w:rsidR="00E10BBE" w:rsidRPr="00E10BBE" w:rsidRDefault="00E10BBE" w:rsidP="00E54E8C">
      <w:pPr>
        <w:pStyle w:val="Default"/>
        <w:numPr>
          <w:ilvl w:val="0"/>
          <w:numId w:val="4"/>
        </w:numPr>
        <w:ind w:left="1134" w:hanging="425"/>
        <w:jc w:val="both"/>
        <w:rPr>
          <w:color w:val="auto"/>
        </w:rPr>
      </w:pPr>
      <w:r w:rsidRPr="00E10BBE">
        <w:rPr>
          <w:color w:val="auto"/>
        </w:rPr>
        <w:t xml:space="preserve">pašvaldību aizņēmumu kopējais palielinājums un pašvaldību sniegto galvojumu kopējais palielinājums; </w:t>
      </w:r>
    </w:p>
    <w:p w:rsidR="00E10BBE" w:rsidRPr="00E10BBE" w:rsidRDefault="00E10BBE" w:rsidP="00E54E8C">
      <w:pPr>
        <w:pStyle w:val="Default"/>
        <w:numPr>
          <w:ilvl w:val="0"/>
          <w:numId w:val="4"/>
        </w:numPr>
        <w:ind w:left="1134" w:hanging="425"/>
        <w:jc w:val="both"/>
        <w:rPr>
          <w:color w:val="auto"/>
        </w:rPr>
      </w:pPr>
      <w:r w:rsidRPr="00E10BBE">
        <w:rPr>
          <w:color w:val="auto"/>
        </w:rPr>
        <w:t xml:space="preserve">citi nosacījumi, piemēram, valsts </w:t>
      </w:r>
      <w:r w:rsidR="00353DFF" w:rsidRPr="00E10BBE">
        <w:rPr>
          <w:color w:val="auto"/>
        </w:rPr>
        <w:t>fondētu</w:t>
      </w:r>
      <w:r w:rsidRPr="00E10BBE">
        <w:rPr>
          <w:color w:val="auto"/>
        </w:rPr>
        <w:t xml:space="preserve"> pensiju shēmas iemaksu likme un iemaksu summa. </w:t>
      </w:r>
    </w:p>
    <w:p w:rsidR="00E10BBE" w:rsidRPr="00E10BBE" w:rsidRDefault="00E10BBE" w:rsidP="006D382A">
      <w:pPr>
        <w:pStyle w:val="Default"/>
        <w:spacing w:before="120"/>
        <w:ind w:firstLine="709"/>
        <w:jc w:val="both"/>
        <w:rPr>
          <w:b/>
          <w:bCs/>
          <w:color w:val="auto"/>
        </w:rPr>
      </w:pPr>
      <w:r w:rsidRPr="003155C3">
        <w:rPr>
          <w:color w:val="auto"/>
        </w:rPr>
        <w:t>Gadskārtējā valsts budžeta likumprojekta paskaidrojumos</w:t>
      </w:r>
      <w:r w:rsidRPr="00E10BBE">
        <w:rPr>
          <w:color w:val="auto"/>
        </w:rPr>
        <w:t xml:space="preserve"> tiek ietverts makroekonomiskās attīstības scenārija apraksts, ieņēmumu prognožu analīze, valsts budžeta izdevumu plānošanas būtiskākie elementi, ministriju izdevumu paskaidrojumi, valsts budžeta izdevumi funkcionālajā, administratīvajā un ekonomisko kategoriju sadalījumā, kā arī </w:t>
      </w:r>
      <w:r w:rsidRPr="00E10BBE">
        <w:rPr>
          <w:color w:val="auto"/>
        </w:rPr>
        <w:lastRenderedPageBreak/>
        <w:t xml:space="preserve">informācija par plānotajiem investīciju projektiem, informācija par valsts finansiālajām saistībām (kopsavilkums), kā arī informācija par budžeta likumprojektu paketes ietvaros veiktajiem grozījumiem normatīvajos aktos. Ministrijas un citas centrālās valsts iestādes paskaidrojumos iekļauj Politikas un resursu vadības kartes, prioritāros pasākumus un to īstenošanas rezultātā sagaidāmos darbības rezultātus un to rezultatīvos rādītājus, optimizācijas pasākumus, kā arī katrai pamatbudžeta vai speciālā budžeta programmai (apakšprogrammai) norāda mērķi, galvenās aktivitātes un izpildītājus, darbības rezultātus un to rezultatīvos rādītājus, finansiālos rādītājus un kopējo izdevumu izmaiņas. </w:t>
      </w:r>
      <w:r w:rsidR="00552831" w:rsidRPr="00197051">
        <w:rPr>
          <w:color w:val="auto"/>
        </w:rPr>
        <w:t>Savukārt Ietvara likumprojekta paskaidrojumos tiek ietvert</w:t>
      </w:r>
      <w:r w:rsidR="006F6CA1">
        <w:rPr>
          <w:color w:val="auto"/>
        </w:rPr>
        <w:t>a</w:t>
      </w:r>
      <w:r w:rsidR="00552831" w:rsidRPr="00197051">
        <w:rPr>
          <w:color w:val="auto"/>
        </w:rPr>
        <w:t xml:space="preserve"> formācij</w:t>
      </w:r>
      <w:r w:rsidR="006F6CA1">
        <w:rPr>
          <w:color w:val="auto"/>
        </w:rPr>
        <w:t>a</w:t>
      </w:r>
      <w:r w:rsidR="00552831" w:rsidRPr="00197051">
        <w:rPr>
          <w:color w:val="auto"/>
        </w:rPr>
        <w:t xml:space="preserve"> par (i) prognozēto makroekonomisko attīstību, tās vidēja termiņa risku izvērtējumu, kā arī salīdzinājumu ar iepriekšējā gada Ietvara likumā noteiktajām vidēja termiņa makroekonomiskajām prognozēm; (ii) fiskālās politikas vidēja termiņa mērķiem, to sasniegšanai īstenojamiem pasākumiem, kā arī to salīdzinājumu ar iepriekšējā Ietvara likumā noteiktajiem fiskālās politikas vidēja termiņa mērķiem; (iii) ieņēmumu prognozi vidējam termiņam, kā arī tās salīdzinājumu ar iepriekšējā Ietvara likumā vidējam termiņam noteikto ieņēmumu prognozi; (iv) valdības parāda vidēja termiņa attīstības tendencēm; (v) to, kā aprēķināti Ietvara likumprojektā noteiktie rādītāji; (vi) bilances koriģēšanu; (vii) uzkrāto bilanču starpībām un citu informāciju.</w:t>
      </w:r>
    </w:p>
    <w:p w:rsidR="00E10BBE" w:rsidRPr="00E10BBE" w:rsidRDefault="00E10BBE" w:rsidP="00E10BBE">
      <w:pPr>
        <w:pStyle w:val="Default"/>
        <w:ind w:firstLine="720"/>
        <w:jc w:val="both"/>
      </w:pPr>
      <w:r w:rsidRPr="00E10BBE">
        <w:t>Valsts bu</w:t>
      </w:r>
      <w:r w:rsidR="00197051">
        <w:t xml:space="preserve">džeta likumprojekta </w:t>
      </w:r>
      <w:r w:rsidRPr="00E10BBE">
        <w:t xml:space="preserve">ietvara likumprojekta izstrādes gaitā notiek LPS un FM sarunas, kuru rezultātā tiek sagatavots MK un LPS protokola projekts, kas tiek iesniegts izskatīšanai paplašinātajā MK komitejas sēdē. Protokola projektā tiek iekļauti jautājumi par pašvaldību nodokļu ieņēmumu, </w:t>
      </w:r>
      <w:r w:rsidR="00353DFF">
        <w:t>ne</w:t>
      </w:r>
      <w:r w:rsidR="00197051">
        <w:t>-</w:t>
      </w:r>
      <w:r w:rsidR="00353DFF" w:rsidRPr="00E10BBE">
        <w:t>nodokļu</w:t>
      </w:r>
      <w:r w:rsidRPr="00E10BBE">
        <w:t xml:space="preserve"> ieņēmumu un citu ieņēmumu prognozēm, valsts budžeta transfertiem pašvaldībām, pašvaldību aizņēmumiem, galvojumiem, ilgtermiņa saistību apmēru un nosacījumiem, pašvaldību finanšu izlīdzināšanu, kā arī citi ar pašvaldību darbību un finansēm saistīti jautājumi. Protokols tiek pievienots gadskārtējā valsts budžeta likumprojektam un vidēja termiņa budžeta ietvara likumprojektam, MK to iesniedzot Saeimā. </w:t>
      </w:r>
    </w:p>
    <w:p w:rsidR="00E10BBE" w:rsidRPr="00E10BBE" w:rsidRDefault="00E10BBE" w:rsidP="00E10BBE">
      <w:pPr>
        <w:pStyle w:val="Default"/>
        <w:ind w:firstLine="720"/>
        <w:jc w:val="both"/>
      </w:pPr>
      <w:r w:rsidRPr="00E10BBE">
        <w:t xml:space="preserve">Atbilstoši likumam „Par pašvaldību budžetiem”, pašvaldības izstrādā savus budžetus ne vēlāk kā divu mēnešu laikā pēc gadskārtējā valsts budžeta likuma izsludināšanas. </w:t>
      </w:r>
    </w:p>
    <w:p w:rsidR="00E10BBE" w:rsidRPr="00E10BBE" w:rsidRDefault="00E10BBE" w:rsidP="00E10BBE">
      <w:pPr>
        <w:pStyle w:val="Default"/>
        <w:ind w:firstLine="720"/>
        <w:jc w:val="both"/>
      </w:pPr>
      <w:r w:rsidRPr="00E10BBE">
        <w:t>Ja, sākoties saimnieciskajam gadam, nav stājies spēkā gadskārtējais valsts budžeta likums, finanšu ministrs apstiprina nepieciešamos valsts budžeta izdevumus pašvaldībām ar noteikumu, ka izdevumi mēnesī nepārsniedz divpadsmito daļu no iepriekšējā gada apropriācijas.</w:t>
      </w:r>
    </w:p>
    <w:p w:rsidR="00E10BBE" w:rsidRPr="00E10BBE" w:rsidRDefault="00E10BBE" w:rsidP="00E10BBE">
      <w:pPr>
        <w:pStyle w:val="Default"/>
        <w:ind w:firstLine="720"/>
        <w:jc w:val="both"/>
      </w:pPr>
      <w:r w:rsidRPr="00E10BBE">
        <w:t xml:space="preserve">Ja līdz saimnieciskā gada sākumam pašvaldības budžets nav apstiprināts, pašvaldības izdevumi mēnesī nedrīkst pārsniegt divpadsmito daļu no iepriekšējā gada izdevumiem ar noteikumu, ka salīdzinājumā ar iepriekšējo gadu pašvaldībai nesamazinās izpildāmo funkciju apjoms. </w:t>
      </w:r>
    </w:p>
    <w:p w:rsidR="00E10BBE" w:rsidRPr="00E10BBE" w:rsidRDefault="00E10BBE" w:rsidP="00E10BBE">
      <w:pPr>
        <w:pStyle w:val="Default"/>
        <w:ind w:firstLine="720"/>
        <w:jc w:val="both"/>
      </w:pPr>
      <w:r w:rsidRPr="00E10BBE">
        <w:t>Pašvaldībām likumā “Par pašvaldību budžetiem” ir noteikti stingri nosacījumi budžeta plānošanas un izpildes jomā – pašvaldību budžeta asignējumi nedrīkst pārsniegt budžetā plānotos apjomus.</w:t>
      </w:r>
    </w:p>
    <w:p w:rsidR="00E10BBE" w:rsidRPr="00E10BBE" w:rsidRDefault="00E10BBE" w:rsidP="00E10BBE">
      <w:pPr>
        <w:pStyle w:val="Default"/>
        <w:ind w:firstLine="720"/>
        <w:jc w:val="both"/>
      </w:pPr>
      <w:r w:rsidRPr="00E10BBE">
        <w:t xml:space="preserve">Neatkarīgo iestāžu (tiesas, Valsts kontroles, Tiesībsarga un citas) budžeta pieprasījumiem ir īpaša loma budžeta procesā. LBFV nosaka, ka MK, sagatavojot Ietvara likuma projektu un </w:t>
      </w:r>
      <w:r w:rsidRPr="00E10BBE">
        <w:rPr>
          <w:color w:val="auto"/>
        </w:rPr>
        <w:t>gadskārtējā valsts budžeta likuma projektu,</w:t>
      </w:r>
      <w:r w:rsidRPr="00E10BBE">
        <w:t xml:space="preserve"> ir jāuzklausa neatkarīgo iestāžu viedoklis par attiecīgo iestāžu finansējuma sadaļām, jāpamato MK viedoklis finansējuma samazinājuma gadījumā, kā arī minēto sarunu rezultāti protokola veidā ir jādara zināmi likumdevējam, pievienojot tos attiecīgajiem likumprojektiem. </w:t>
      </w:r>
    </w:p>
    <w:p w:rsidR="00E10BBE" w:rsidRPr="00E10BBE" w:rsidRDefault="00E10BBE" w:rsidP="00E10BBE">
      <w:pPr>
        <w:pStyle w:val="Default"/>
        <w:ind w:firstLine="720"/>
        <w:jc w:val="both"/>
      </w:pPr>
      <w:r w:rsidRPr="00E10BBE">
        <w:t xml:space="preserve">MK ir tiesības noteikt valsts un pašvaldību budžeta plānošanas un izpildes papildu nosacījumus, lai nodrošinātu makroekonomisko procesu izraisīto paaugstināto fiskālo, ekonomisko un sociālo risku ietekmes mazināšanas un novēršanas pasākumus un nodrošinātu starptautiskajās saistībās noteikto fiskālo kritēriju izpildi. </w:t>
      </w:r>
    </w:p>
    <w:p w:rsidR="00A34463" w:rsidRDefault="00551458" w:rsidP="00095171">
      <w:pPr>
        <w:pStyle w:val="Heading3"/>
        <w:numPr>
          <w:ilvl w:val="2"/>
          <w:numId w:val="22"/>
        </w:numPr>
        <w:spacing w:before="240" w:after="120" w:line="240" w:lineRule="auto"/>
        <w:ind w:left="1134" w:hanging="425"/>
        <w:rPr>
          <w:rFonts w:ascii="Times New Roman" w:hAnsi="Times New Roman" w:cs="Times New Roman"/>
          <w:sz w:val="24"/>
          <w:szCs w:val="24"/>
        </w:rPr>
      </w:pPr>
      <w:bookmarkStart w:id="75" w:name="_Toc510790683"/>
      <w:bookmarkStart w:id="76" w:name="_Toc511027843"/>
      <w:r w:rsidRPr="00551458">
        <w:rPr>
          <w:rFonts w:ascii="Times New Roman" w:hAnsi="Times New Roman" w:cs="Times New Roman"/>
          <w:sz w:val="24"/>
          <w:szCs w:val="24"/>
        </w:rPr>
        <w:lastRenderedPageBreak/>
        <w:t>Valsts finanšu statistikas pārvaldība</w:t>
      </w:r>
      <w:bookmarkEnd w:id="75"/>
      <w:bookmarkEnd w:id="76"/>
    </w:p>
    <w:p w:rsidR="00C06444" w:rsidRPr="00C06444" w:rsidRDefault="006D382A" w:rsidP="00C06444">
      <w:pPr>
        <w:pStyle w:val="BodyTextIndent2"/>
        <w:spacing w:before="0" w:after="0"/>
        <w:rPr>
          <w:szCs w:val="24"/>
        </w:rPr>
      </w:pPr>
      <w:r>
        <w:rPr>
          <w:szCs w:val="24"/>
        </w:rPr>
        <w:t>CSP</w:t>
      </w:r>
      <w:r w:rsidR="00C06444" w:rsidRPr="00C06444">
        <w:rPr>
          <w:szCs w:val="24"/>
        </w:rPr>
        <w:t xml:space="preserve"> apkopo valdības finanšu statistiku atbilstoši Eiropas Parlamenta un Padomes Regulas (E</w:t>
      </w:r>
      <w:r w:rsidR="00EF3257">
        <w:rPr>
          <w:szCs w:val="24"/>
        </w:rPr>
        <w:t>S) Nr. 549/2013 (2013.gada 21.</w:t>
      </w:r>
      <w:r w:rsidR="00C06444" w:rsidRPr="00C06444">
        <w:rPr>
          <w:szCs w:val="24"/>
        </w:rPr>
        <w:t>maijs) par Eiropas nacionālo un reģionālo kontu sistēmu Eiropas Savienībā (turpmāk EKS 2010) prasībām.</w:t>
      </w:r>
    </w:p>
    <w:p w:rsidR="00C06444" w:rsidRPr="00C06444" w:rsidRDefault="00C06444" w:rsidP="00C06444">
      <w:pPr>
        <w:pStyle w:val="BodyTextIndent2"/>
        <w:spacing w:before="0" w:after="0"/>
        <w:rPr>
          <w:szCs w:val="24"/>
        </w:rPr>
      </w:pPr>
      <w:r w:rsidRPr="00C06444">
        <w:rPr>
          <w:szCs w:val="24"/>
        </w:rPr>
        <w:t>Vispārējās valdības sektora (S.13) ietvars Latvijā atbilstoši EKS 2010 metodoloģijai sastāv no trim apakšsektoriem: centrālās valdības apakšsektora (S.1311), pašvaldību apakšsektora (S.1313) un sociālās apdrošināšanas apakšsektora (S.1314).</w:t>
      </w:r>
    </w:p>
    <w:p w:rsidR="00C06444" w:rsidRPr="00C06444" w:rsidRDefault="00C06444" w:rsidP="00C06444">
      <w:pPr>
        <w:pStyle w:val="BodyTextIndent2"/>
        <w:spacing w:before="0" w:after="0"/>
        <w:rPr>
          <w:szCs w:val="24"/>
        </w:rPr>
      </w:pPr>
      <w:r w:rsidRPr="00C06444">
        <w:rPr>
          <w:szCs w:val="24"/>
        </w:rPr>
        <w:t>Atbilstoši Ministru kabineta 2013.gada 10.</w:t>
      </w:r>
      <w:r w:rsidR="00EF3257">
        <w:rPr>
          <w:szCs w:val="24"/>
        </w:rPr>
        <w:t>decembra noteikumu Nr.</w:t>
      </w:r>
      <w:r w:rsidRPr="00C06444">
        <w:rPr>
          <w:szCs w:val="24"/>
        </w:rPr>
        <w:t>1456 “Noteikumi par institucionālo sektoru klasifikāciju” 6.</w:t>
      </w:r>
      <w:r w:rsidR="00E04576">
        <w:rPr>
          <w:szCs w:val="24"/>
        </w:rPr>
        <w:t xml:space="preserve"> </w:t>
      </w:r>
      <w:r w:rsidRPr="00C06444">
        <w:rPr>
          <w:szCs w:val="24"/>
        </w:rPr>
        <w:t>punktam, CSP sagatavo un uztur vispārē</w:t>
      </w:r>
      <w:r w:rsidR="00EF3257">
        <w:rPr>
          <w:szCs w:val="24"/>
        </w:rPr>
        <w:t xml:space="preserve">jās valdības sektora sarakstu. </w:t>
      </w:r>
      <w:r w:rsidRPr="00C06444">
        <w:rPr>
          <w:szCs w:val="24"/>
        </w:rPr>
        <w:t xml:space="preserve">Lai sagatavotu sarakstu un lemtu par tajā iekļaujamajām vienībām CSP ievēro EKS 2010 prasības, kā arī Eiropas savienības Statistikas biroja </w:t>
      </w:r>
      <w:r w:rsidRPr="00C06444">
        <w:rPr>
          <w:i/>
          <w:szCs w:val="24"/>
        </w:rPr>
        <w:t xml:space="preserve">Eurostat </w:t>
      </w:r>
      <w:r w:rsidRPr="00C06444">
        <w:rPr>
          <w:szCs w:val="24"/>
        </w:rPr>
        <w:t>(turpmāk –</w:t>
      </w:r>
      <w:r w:rsidRPr="00C06444">
        <w:rPr>
          <w:i/>
          <w:szCs w:val="24"/>
        </w:rPr>
        <w:t xml:space="preserve"> Eurostat) </w:t>
      </w:r>
      <w:r w:rsidRPr="00C06444">
        <w:rPr>
          <w:szCs w:val="24"/>
        </w:rPr>
        <w:t xml:space="preserve">Rokasgrāmatā par valdības deficītu un valsts parādu definētos principus, kas paredz uz vispārējās valdības sektoru attiecināt valsts un pašvaldību kontrolētas un pārsvarā finansētas kapitālsabiedrības. </w:t>
      </w:r>
    </w:p>
    <w:p w:rsidR="00C06444" w:rsidRPr="00C06444" w:rsidRDefault="00C06444" w:rsidP="00C06444">
      <w:pPr>
        <w:pStyle w:val="BodyTextIndent2"/>
        <w:spacing w:before="0" w:after="0"/>
        <w:rPr>
          <w:szCs w:val="24"/>
        </w:rPr>
      </w:pPr>
      <w:r w:rsidRPr="00C06444">
        <w:rPr>
          <w:szCs w:val="24"/>
        </w:rPr>
        <w:t>Vispārējās valdības sektorā uz 2017.</w:t>
      </w:r>
      <w:r w:rsidR="00E04576">
        <w:rPr>
          <w:szCs w:val="24"/>
        </w:rPr>
        <w:t xml:space="preserve"> </w:t>
      </w:r>
      <w:r w:rsidRPr="00C06444">
        <w:rPr>
          <w:szCs w:val="24"/>
        </w:rPr>
        <w:t>gada 31.</w:t>
      </w:r>
      <w:r w:rsidR="00E04576">
        <w:rPr>
          <w:szCs w:val="24"/>
        </w:rPr>
        <w:t xml:space="preserve"> </w:t>
      </w:r>
      <w:r w:rsidRPr="00C06444">
        <w:rPr>
          <w:szCs w:val="24"/>
        </w:rPr>
        <w:t xml:space="preserve">decembri bija 1044 neatkarīgas budžeta iestādes, no tām centrālās valdības apakšsektorā </w:t>
      </w:r>
      <w:r w:rsidR="006D382A" w:rsidRPr="00C06444">
        <w:t>–</w:t>
      </w:r>
      <w:r w:rsidRPr="00C06444">
        <w:rPr>
          <w:szCs w:val="24"/>
        </w:rPr>
        <w:t xml:space="preserve"> 228 iestādes, pašvaldību apakšsektorā – 815 iestādes un sociālās apdrošināšanas fonda apakšsektorā – viena iestāde, bez tam </w:t>
      </w:r>
      <w:r w:rsidR="00AC67D2" w:rsidRPr="00AC67D2">
        <w:rPr>
          <w:szCs w:val="24"/>
        </w:rPr>
        <w:t>–</w:t>
      </w:r>
      <w:r w:rsidRPr="00C06444">
        <w:rPr>
          <w:szCs w:val="24"/>
        </w:rPr>
        <w:t xml:space="preserve"> 131 valsts un pašvaldību kontrolēta un finansēta kapitālsabiedrība, no tām valsts kontrolētas – 52 kapitālsabiedrības, pašvaldību kontrolētas – 79 kapitālsabiedrības. </w:t>
      </w:r>
    </w:p>
    <w:p w:rsidR="00C06444" w:rsidRPr="00C06444" w:rsidRDefault="00C06444" w:rsidP="00C06444">
      <w:pPr>
        <w:spacing w:after="0" w:line="240" w:lineRule="auto"/>
        <w:ind w:firstLine="720"/>
        <w:jc w:val="both"/>
        <w:rPr>
          <w:rFonts w:ascii="Times New Roman" w:hAnsi="Times New Roman" w:cs="Times New Roman"/>
          <w:i/>
          <w:sz w:val="24"/>
          <w:szCs w:val="24"/>
        </w:rPr>
      </w:pPr>
      <w:r w:rsidRPr="00C06444">
        <w:rPr>
          <w:rFonts w:ascii="Times New Roman" w:hAnsi="Times New Roman" w:cs="Times New Roman"/>
          <w:sz w:val="24"/>
          <w:szCs w:val="24"/>
        </w:rPr>
        <w:t xml:space="preserve">CSP katru ceturksni aprēķina šādus vispārējās valdības sektora rādītājus - ieņēmumus, izdevumus, deficītu, parādu un sagatavo vispārējās valdības ceturkšņa finanšu kontus. Informācija tiek publicēta CSP mājaslapā un nosūtīta uz </w:t>
      </w:r>
      <w:r w:rsidRPr="00C06444">
        <w:rPr>
          <w:rFonts w:ascii="Times New Roman" w:hAnsi="Times New Roman" w:cs="Times New Roman"/>
          <w:i/>
          <w:sz w:val="24"/>
          <w:szCs w:val="24"/>
        </w:rPr>
        <w:t xml:space="preserve">Eurostat </w:t>
      </w:r>
      <w:r w:rsidRPr="00C06444">
        <w:rPr>
          <w:rFonts w:ascii="Times New Roman" w:hAnsi="Times New Roman" w:cs="Times New Roman"/>
          <w:sz w:val="24"/>
          <w:szCs w:val="24"/>
        </w:rPr>
        <w:t>trīs mēnešus pēc pārskata perioda beigām.</w:t>
      </w:r>
      <w:r w:rsidRPr="00C06444">
        <w:rPr>
          <w:rFonts w:ascii="Times New Roman" w:hAnsi="Times New Roman" w:cs="Times New Roman"/>
          <w:i/>
          <w:sz w:val="24"/>
          <w:szCs w:val="24"/>
        </w:rPr>
        <w:t xml:space="preserve"> </w:t>
      </w:r>
    </w:p>
    <w:p w:rsidR="00C06444" w:rsidRPr="00C06444" w:rsidRDefault="00C06444" w:rsidP="00353DFF">
      <w:pPr>
        <w:pStyle w:val="BodyTextIndent"/>
        <w:spacing w:after="0"/>
        <w:ind w:left="0" w:firstLine="720"/>
        <w:rPr>
          <w:szCs w:val="24"/>
        </w:rPr>
      </w:pPr>
      <w:r w:rsidRPr="00C06444">
        <w:rPr>
          <w:szCs w:val="24"/>
        </w:rPr>
        <w:t xml:space="preserve">Bez tam CSP katru gadu noteiktajos termiņos līdz 1. aprīlim (operatīvie dati) un līdz 1. oktobrim (gala dati) sagatavo un iesniedz vispārējās valdības budžeta deficīta un parāda notifikāciju (turpmāk – Notifikācija) </w:t>
      </w:r>
      <w:r w:rsidRPr="00C06444">
        <w:rPr>
          <w:i/>
          <w:szCs w:val="24"/>
        </w:rPr>
        <w:t>Eurostat</w:t>
      </w:r>
      <w:r w:rsidRPr="00C06444">
        <w:rPr>
          <w:szCs w:val="24"/>
        </w:rPr>
        <w:t xml:space="preserve">. </w:t>
      </w:r>
    </w:p>
    <w:p w:rsidR="00C06444" w:rsidRPr="00C06444" w:rsidRDefault="00C06444" w:rsidP="00353DFF">
      <w:pPr>
        <w:pStyle w:val="BodyTextIndent"/>
        <w:spacing w:after="0"/>
        <w:ind w:left="0"/>
        <w:rPr>
          <w:rStyle w:val="IntenseReference"/>
          <w:szCs w:val="24"/>
        </w:rPr>
      </w:pPr>
      <w:r w:rsidRPr="00C06444">
        <w:rPr>
          <w:szCs w:val="24"/>
        </w:rPr>
        <w:tab/>
        <w:t xml:space="preserve">Notifikācija tiek sagatavota atbilstoši Ministru kabineta 2015.gada 22.decembra noteikumu Nr. 756 “Kārtība kādā sagatavo vispārējās valdības budžeta deficīta un parāda notifikāciju” prasībām. Par Notifikācijas sagatavošanu un iesniegšanu </w:t>
      </w:r>
      <w:r w:rsidRPr="00C06444">
        <w:rPr>
          <w:i/>
          <w:szCs w:val="24"/>
        </w:rPr>
        <w:t>Eurostat</w:t>
      </w:r>
      <w:r w:rsidRPr="00C06444">
        <w:rPr>
          <w:szCs w:val="24"/>
        </w:rPr>
        <w:t xml:space="preserve"> atbildīgā iestāde ir CSP, kura vada regulāras starpinstitūciju darba grupas sanāksmes. Notifikācijas sagatavošanā ir iesaistīti speciālisti no Finanšu ministrijas, Valsts Kases, Centrālās finanšu un līgumu aģentūras, Aizsardzības ministrijas un Valsts sociālās apdrošināšanas aģentūras. Vajadzības gadījumā tiek piesaistīti speciālisti no citām institūcijām (Ekonomikas ministrijas, Labklājības ministrijas, Rīgas Domes u.c). </w:t>
      </w:r>
    </w:p>
    <w:p w:rsidR="00C06444" w:rsidRPr="00C06444" w:rsidRDefault="00C06444" w:rsidP="00353DFF">
      <w:pPr>
        <w:pStyle w:val="BodyTextIndent2"/>
        <w:spacing w:before="0" w:after="0"/>
        <w:rPr>
          <w:szCs w:val="24"/>
        </w:rPr>
      </w:pPr>
      <w:r w:rsidRPr="00C06444">
        <w:rPr>
          <w:szCs w:val="24"/>
        </w:rPr>
        <w:t>Notifikāciju rezultāti tiek izmantoti valstu izvērtēšanai par to, kā tiek nodrošināta ekonomisko rādītāju atbilstība Māstrihtas līgumā noteiktajiem kritērijiem, t.i., plānotā un faktiskā vispārējās valdības sektora budžeta deficīta attiecība pret iekšzemes kopproduktu ti</w:t>
      </w:r>
      <w:r w:rsidR="00143084">
        <w:rPr>
          <w:szCs w:val="24"/>
        </w:rPr>
        <w:t>rgus cenās nedrīkst pārsniegt 3</w:t>
      </w:r>
      <w:r w:rsidRPr="00C06444">
        <w:rPr>
          <w:szCs w:val="24"/>
        </w:rPr>
        <w:t xml:space="preserve">% un valdības parāda attiecība pret iekšzemes kopproduktu tirgus cenās nedrīkst būt lielāka par 60 %, kas aprēķināti atbilstoši EKS 2010 prasībām. </w:t>
      </w:r>
    </w:p>
    <w:p w:rsidR="00C06444" w:rsidRPr="00C06444" w:rsidRDefault="002F2293" w:rsidP="00C06444">
      <w:pPr>
        <w:pStyle w:val="BodyTextIndent2"/>
        <w:spacing w:before="0" w:after="0"/>
        <w:rPr>
          <w:szCs w:val="24"/>
        </w:rPr>
      </w:pPr>
      <w:r w:rsidRPr="003155C3">
        <w:rPr>
          <w:szCs w:val="24"/>
        </w:rPr>
        <w:t xml:space="preserve">Latvija ir ieviesusi </w:t>
      </w:r>
      <w:r w:rsidR="00C06444" w:rsidRPr="003155C3">
        <w:rPr>
          <w:szCs w:val="24"/>
        </w:rPr>
        <w:t>Padomes Direktīv</w:t>
      </w:r>
      <w:r w:rsidRPr="003155C3">
        <w:rPr>
          <w:szCs w:val="24"/>
        </w:rPr>
        <w:t>u</w:t>
      </w:r>
      <w:r w:rsidR="00C06444" w:rsidRPr="003155C3">
        <w:rPr>
          <w:szCs w:val="24"/>
        </w:rPr>
        <w:t xml:space="preserve"> 2011/85</w:t>
      </w:r>
      <w:r w:rsidR="00497408" w:rsidRPr="003155C3">
        <w:rPr>
          <w:szCs w:val="24"/>
        </w:rPr>
        <w:t>/</w:t>
      </w:r>
      <w:r w:rsidR="00C06444" w:rsidRPr="003155C3">
        <w:rPr>
          <w:szCs w:val="24"/>
        </w:rPr>
        <w:t>ES (2011.</w:t>
      </w:r>
      <w:r w:rsidR="00103DD2" w:rsidRPr="003155C3">
        <w:rPr>
          <w:szCs w:val="24"/>
        </w:rPr>
        <w:t xml:space="preserve"> </w:t>
      </w:r>
      <w:r w:rsidR="00C06444" w:rsidRPr="003155C3">
        <w:rPr>
          <w:szCs w:val="24"/>
        </w:rPr>
        <w:t>gada 8.</w:t>
      </w:r>
      <w:r w:rsidR="00103DD2" w:rsidRPr="003155C3">
        <w:rPr>
          <w:szCs w:val="24"/>
        </w:rPr>
        <w:t xml:space="preserve"> </w:t>
      </w:r>
      <w:r w:rsidR="00C06444" w:rsidRPr="003155C3">
        <w:rPr>
          <w:szCs w:val="24"/>
        </w:rPr>
        <w:t>novembris)</w:t>
      </w:r>
      <w:r w:rsidR="00C06444" w:rsidRPr="003155C3">
        <w:rPr>
          <w:b/>
          <w:bCs/>
          <w:color w:val="000000"/>
          <w:szCs w:val="24"/>
          <w:shd w:val="clear" w:color="auto" w:fill="FFFFFF"/>
        </w:rPr>
        <w:t xml:space="preserve"> </w:t>
      </w:r>
      <w:r w:rsidR="00C06444" w:rsidRPr="003155C3">
        <w:rPr>
          <w:bCs/>
          <w:color w:val="000000"/>
          <w:szCs w:val="24"/>
          <w:shd w:val="clear" w:color="auto" w:fill="FFFFFF"/>
        </w:rPr>
        <w:t>par prasībām dalībvalstu budžeta struktūrām</w:t>
      </w:r>
      <w:r w:rsidRPr="003155C3">
        <w:rPr>
          <w:bCs/>
          <w:color w:val="000000"/>
          <w:szCs w:val="24"/>
          <w:shd w:val="clear" w:color="auto" w:fill="FFFFFF"/>
        </w:rPr>
        <w:t>, kas</w:t>
      </w:r>
      <w:r w:rsidR="00C06444" w:rsidRPr="003155C3">
        <w:rPr>
          <w:bCs/>
          <w:color w:val="000000"/>
          <w:szCs w:val="24"/>
          <w:shd w:val="clear" w:color="auto" w:fill="FFFFFF"/>
        </w:rPr>
        <w:t xml:space="preserve"> nosaka detalizētus </w:t>
      </w:r>
      <w:r w:rsidR="00103DD2" w:rsidRPr="003155C3">
        <w:rPr>
          <w:bCs/>
          <w:color w:val="000000"/>
          <w:szCs w:val="24"/>
          <w:shd w:val="clear" w:color="auto" w:fill="FFFFFF"/>
        </w:rPr>
        <w:t xml:space="preserve">informācijas publicēšanas </w:t>
      </w:r>
      <w:r w:rsidRPr="003155C3">
        <w:rPr>
          <w:bCs/>
          <w:color w:val="000000"/>
          <w:szCs w:val="24"/>
          <w:shd w:val="clear" w:color="auto" w:fill="FFFFFF"/>
        </w:rPr>
        <w:t xml:space="preserve">nosacījumus </w:t>
      </w:r>
      <w:r w:rsidR="00C06444" w:rsidRPr="003155C3">
        <w:rPr>
          <w:bCs/>
          <w:color w:val="000000"/>
          <w:szCs w:val="24"/>
          <w:shd w:val="clear" w:color="auto" w:fill="FFFFFF"/>
        </w:rPr>
        <w:t>ES dalībvalstīm</w:t>
      </w:r>
      <w:r w:rsidRPr="003155C3">
        <w:rPr>
          <w:bCs/>
          <w:color w:val="000000"/>
          <w:szCs w:val="24"/>
          <w:shd w:val="clear" w:color="auto" w:fill="FFFFFF"/>
        </w:rPr>
        <w:t xml:space="preserve"> ar mērķi</w:t>
      </w:r>
      <w:r w:rsidR="00103DD2" w:rsidRPr="003155C3">
        <w:rPr>
          <w:bCs/>
          <w:color w:val="000000"/>
          <w:szCs w:val="24"/>
          <w:shd w:val="clear" w:color="auto" w:fill="FFFFFF"/>
        </w:rPr>
        <w:t xml:space="preserve"> </w:t>
      </w:r>
      <w:r w:rsidR="00C06444" w:rsidRPr="003155C3">
        <w:rPr>
          <w:bCs/>
          <w:color w:val="000000"/>
          <w:szCs w:val="24"/>
          <w:shd w:val="clear" w:color="auto" w:fill="FFFFFF"/>
        </w:rPr>
        <w:t>stiprināt ES fiskālo un ekonomikas pārvaldību</w:t>
      </w:r>
      <w:r w:rsidR="00103DD2" w:rsidRPr="003155C3">
        <w:rPr>
          <w:bCs/>
          <w:color w:val="000000"/>
          <w:szCs w:val="24"/>
          <w:shd w:val="clear" w:color="auto" w:fill="FFFFFF"/>
        </w:rPr>
        <w:t xml:space="preserve"> un veicināt </w:t>
      </w:r>
      <w:r w:rsidR="00C06444" w:rsidRPr="003155C3">
        <w:rPr>
          <w:bCs/>
          <w:color w:val="000000"/>
          <w:szCs w:val="24"/>
          <w:shd w:val="clear" w:color="auto" w:fill="FFFFFF"/>
        </w:rPr>
        <w:t>pārmērīg</w:t>
      </w:r>
      <w:r w:rsidRPr="003155C3">
        <w:rPr>
          <w:bCs/>
          <w:color w:val="000000"/>
          <w:szCs w:val="24"/>
          <w:shd w:val="clear" w:color="auto" w:fill="FFFFFF"/>
        </w:rPr>
        <w:t>a</w:t>
      </w:r>
      <w:r w:rsidR="00C06444" w:rsidRPr="003155C3">
        <w:rPr>
          <w:bCs/>
          <w:color w:val="000000"/>
          <w:szCs w:val="24"/>
          <w:shd w:val="clear" w:color="auto" w:fill="FFFFFF"/>
        </w:rPr>
        <w:t xml:space="preserve"> budžeta deficīt</w:t>
      </w:r>
      <w:r w:rsidRPr="003155C3">
        <w:rPr>
          <w:bCs/>
          <w:color w:val="000000"/>
          <w:szCs w:val="24"/>
          <w:shd w:val="clear" w:color="auto" w:fill="FFFFFF"/>
        </w:rPr>
        <w:t>a</w:t>
      </w:r>
      <w:r w:rsidR="00103DD2" w:rsidRPr="003155C3">
        <w:rPr>
          <w:bCs/>
          <w:color w:val="000000"/>
          <w:szCs w:val="24"/>
          <w:shd w:val="clear" w:color="auto" w:fill="FFFFFF"/>
        </w:rPr>
        <w:t xml:space="preserve"> situācijas iestāšanās novēršanu</w:t>
      </w:r>
      <w:r w:rsidR="00C06444" w:rsidRPr="003155C3">
        <w:rPr>
          <w:bCs/>
          <w:color w:val="000000"/>
          <w:szCs w:val="24"/>
          <w:shd w:val="clear" w:color="auto" w:fill="FFFFFF"/>
        </w:rPr>
        <w:t xml:space="preserve">. </w:t>
      </w:r>
      <w:r w:rsidRPr="003155C3">
        <w:rPr>
          <w:bCs/>
          <w:color w:val="000000"/>
          <w:szCs w:val="24"/>
          <w:shd w:val="clear" w:color="auto" w:fill="FFFFFF"/>
        </w:rPr>
        <w:t>Lai izpildītu Padomes Direktīvas 2011/85/ES prasības, a</w:t>
      </w:r>
      <w:r w:rsidR="00C06444" w:rsidRPr="003155C3">
        <w:rPr>
          <w:bCs/>
          <w:color w:val="000000"/>
          <w:szCs w:val="24"/>
          <w:shd w:val="clear" w:color="auto" w:fill="FFFFFF"/>
        </w:rPr>
        <w:t xml:space="preserve">r CSP administratīvo atbalstu </w:t>
      </w:r>
      <w:r w:rsidR="00C06444" w:rsidRPr="003155C3">
        <w:rPr>
          <w:szCs w:val="24"/>
        </w:rPr>
        <w:t xml:space="preserve">tiek sagatavoti un publiskoti </w:t>
      </w:r>
      <w:r w:rsidRPr="003155C3">
        <w:rPr>
          <w:szCs w:val="24"/>
        </w:rPr>
        <w:t>informācija par fiskālajiem rādītājiem, kā arī detalizēta pārejas tabula budžeta datiem no naudas plūsmas pēc nacionālās klasifikācijas uz vispārējās valdības sektora datiem pēc EKS</w:t>
      </w:r>
      <w:r w:rsidR="00103DD2" w:rsidRPr="003155C3">
        <w:rPr>
          <w:szCs w:val="24"/>
        </w:rPr>
        <w:t xml:space="preserve"> </w:t>
      </w:r>
      <w:r w:rsidRPr="003155C3">
        <w:rPr>
          <w:szCs w:val="24"/>
        </w:rPr>
        <w:t>2010 metodoloģijas.</w:t>
      </w:r>
      <w:r w:rsidR="00C06444" w:rsidRPr="003155C3">
        <w:rPr>
          <w:szCs w:val="24"/>
        </w:rPr>
        <w:t xml:space="preserve"> </w:t>
      </w:r>
      <w:r w:rsidRPr="003155C3">
        <w:rPr>
          <w:szCs w:val="24"/>
        </w:rPr>
        <w:t xml:space="preserve">Šī informācija tiek publicēta </w:t>
      </w:r>
      <w:r w:rsidR="00C06444" w:rsidRPr="003155C3">
        <w:rPr>
          <w:szCs w:val="24"/>
        </w:rPr>
        <w:t>Finanšu ministrijas mājas lapā. Regulāri tiek publiskota šāda informācija:</w:t>
      </w:r>
    </w:p>
    <w:p w:rsidR="00C06444" w:rsidRPr="00C06444" w:rsidRDefault="00C06444" w:rsidP="00747DC7">
      <w:pPr>
        <w:pStyle w:val="BodyTextIndent2"/>
        <w:numPr>
          <w:ilvl w:val="0"/>
          <w:numId w:val="8"/>
        </w:numPr>
        <w:spacing w:before="0" w:after="0"/>
        <w:ind w:left="993" w:hanging="284"/>
        <w:rPr>
          <w:szCs w:val="24"/>
        </w:rPr>
      </w:pPr>
      <w:r w:rsidRPr="00C06444">
        <w:rPr>
          <w:szCs w:val="24"/>
        </w:rPr>
        <w:lastRenderedPageBreak/>
        <w:t>fiskālie dati (mēneša un ceturkšņa dati);</w:t>
      </w:r>
    </w:p>
    <w:p w:rsidR="00C06444" w:rsidRPr="00C06444" w:rsidRDefault="002F2293" w:rsidP="00747DC7">
      <w:pPr>
        <w:pStyle w:val="BodyTextIndent2"/>
        <w:numPr>
          <w:ilvl w:val="0"/>
          <w:numId w:val="8"/>
        </w:numPr>
        <w:spacing w:before="0" w:after="0"/>
        <w:ind w:left="993" w:hanging="284"/>
        <w:rPr>
          <w:szCs w:val="24"/>
        </w:rPr>
      </w:pPr>
      <w:r>
        <w:rPr>
          <w:szCs w:val="24"/>
        </w:rPr>
        <w:t xml:space="preserve">vispārējās </w:t>
      </w:r>
      <w:r w:rsidR="00C06444" w:rsidRPr="00C06444">
        <w:rPr>
          <w:szCs w:val="24"/>
        </w:rPr>
        <w:t xml:space="preserve">valdības </w:t>
      </w:r>
      <w:r>
        <w:rPr>
          <w:szCs w:val="24"/>
        </w:rPr>
        <w:t xml:space="preserve">sektora </w:t>
      </w:r>
      <w:r w:rsidR="00C06444" w:rsidRPr="00C06444">
        <w:rPr>
          <w:szCs w:val="24"/>
        </w:rPr>
        <w:t>galvojumi (gada dati);</w:t>
      </w:r>
    </w:p>
    <w:p w:rsidR="00C06444" w:rsidRPr="00C06444" w:rsidRDefault="002F2293" w:rsidP="00747DC7">
      <w:pPr>
        <w:pStyle w:val="BodyTextIndent2"/>
        <w:numPr>
          <w:ilvl w:val="0"/>
          <w:numId w:val="8"/>
        </w:numPr>
        <w:spacing w:before="0" w:after="0"/>
        <w:ind w:left="993" w:hanging="284"/>
        <w:rPr>
          <w:szCs w:val="24"/>
        </w:rPr>
      </w:pPr>
      <w:r>
        <w:rPr>
          <w:szCs w:val="24"/>
        </w:rPr>
        <w:t xml:space="preserve">ienākumus nenesošie kredīti </w:t>
      </w:r>
      <w:r w:rsidR="00C06444" w:rsidRPr="00C06444">
        <w:rPr>
          <w:szCs w:val="24"/>
        </w:rPr>
        <w:t>(gada dati);</w:t>
      </w:r>
    </w:p>
    <w:p w:rsidR="00C06444" w:rsidRPr="00C06444" w:rsidRDefault="00C222F0" w:rsidP="00747DC7">
      <w:pPr>
        <w:pStyle w:val="BodyTextIndent2"/>
        <w:numPr>
          <w:ilvl w:val="0"/>
          <w:numId w:val="8"/>
        </w:numPr>
        <w:spacing w:before="0" w:after="0"/>
        <w:ind w:left="993" w:hanging="284"/>
        <w:rPr>
          <w:szCs w:val="24"/>
        </w:rPr>
      </w:pPr>
      <w:r w:rsidRPr="00D227B4">
        <w:rPr>
          <w:szCs w:val="24"/>
        </w:rPr>
        <w:t>ārpus</w:t>
      </w:r>
      <w:r>
        <w:rPr>
          <w:szCs w:val="24"/>
        </w:rPr>
        <w:t>-</w:t>
      </w:r>
      <w:r w:rsidR="002F2293" w:rsidRPr="00D227B4">
        <w:rPr>
          <w:szCs w:val="24"/>
        </w:rPr>
        <w:t>bilances publisko un privāto partnerību koriģētā vērtība</w:t>
      </w:r>
      <w:r w:rsidR="002F2293" w:rsidRPr="00C06444" w:rsidDel="002F2293">
        <w:rPr>
          <w:szCs w:val="24"/>
        </w:rPr>
        <w:t xml:space="preserve"> </w:t>
      </w:r>
      <w:r w:rsidR="00C06444" w:rsidRPr="00C06444">
        <w:rPr>
          <w:szCs w:val="24"/>
        </w:rPr>
        <w:t>(gada dati);</w:t>
      </w:r>
    </w:p>
    <w:p w:rsidR="00C06444" w:rsidRPr="00C06444" w:rsidRDefault="00103DD2" w:rsidP="00747DC7">
      <w:pPr>
        <w:pStyle w:val="BodyTextIndent2"/>
        <w:numPr>
          <w:ilvl w:val="0"/>
          <w:numId w:val="8"/>
        </w:numPr>
        <w:spacing w:before="0" w:after="0"/>
        <w:ind w:left="993" w:hanging="284"/>
        <w:rPr>
          <w:szCs w:val="24"/>
        </w:rPr>
      </w:pPr>
      <w:r>
        <w:rPr>
          <w:szCs w:val="24"/>
        </w:rPr>
        <w:t>p</w:t>
      </w:r>
      <w:r w:rsidR="002F2293" w:rsidRPr="00D227B4">
        <w:rPr>
          <w:szCs w:val="24"/>
        </w:rPr>
        <w:t>ublisko kapitālsabiedrību saistības</w:t>
      </w:r>
      <w:r w:rsidR="00C06444" w:rsidRPr="00C06444">
        <w:rPr>
          <w:szCs w:val="24"/>
        </w:rPr>
        <w:t xml:space="preserve"> (gada dati);</w:t>
      </w:r>
    </w:p>
    <w:p w:rsidR="00C06444" w:rsidRPr="00C06444" w:rsidRDefault="00C06444" w:rsidP="00747DC7">
      <w:pPr>
        <w:pStyle w:val="BodyTextIndent2"/>
        <w:numPr>
          <w:ilvl w:val="0"/>
          <w:numId w:val="8"/>
        </w:numPr>
        <w:spacing w:before="0" w:after="0"/>
        <w:ind w:left="993" w:hanging="284"/>
        <w:rPr>
          <w:szCs w:val="24"/>
        </w:rPr>
      </w:pPr>
      <w:r w:rsidRPr="00C06444">
        <w:rPr>
          <w:szCs w:val="24"/>
        </w:rPr>
        <w:t>vispārējās valdības sektora līdzdalības vērtība kapitālsabiedrību kapitālā (gada dati).</w:t>
      </w:r>
    </w:p>
    <w:p w:rsidR="009D2D01" w:rsidRPr="000C5D4A" w:rsidRDefault="009D2D01" w:rsidP="00747DC7">
      <w:pPr>
        <w:pStyle w:val="BodyTextIndent2"/>
        <w:numPr>
          <w:ilvl w:val="0"/>
          <w:numId w:val="8"/>
        </w:numPr>
        <w:spacing w:before="0" w:after="0"/>
        <w:ind w:left="1077" w:hanging="357"/>
        <w:rPr>
          <w:rFonts w:eastAsiaTheme="majorEastAsia"/>
          <w:b/>
          <w:bCs/>
          <w:smallCaps/>
          <w:color w:val="000000" w:themeColor="text1"/>
          <w:sz w:val="32"/>
          <w:szCs w:val="32"/>
        </w:rPr>
      </w:pPr>
      <w:r w:rsidRPr="000C5D4A">
        <w:rPr>
          <w:sz w:val="32"/>
          <w:szCs w:val="32"/>
        </w:rPr>
        <w:br w:type="page"/>
      </w:r>
    </w:p>
    <w:p w:rsidR="00A34463" w:rsidRPr="00F51615" w:rsidRDefault="00F51615" w:rsidP="00F51615">
      <w:pPr>
        <w:pStyle w:val="Heading1"/>
        <w:numPr>
          <w:ilvl w:val="0"/>
          <w:numId w:val="0"/>
        </w:numPr>
        <w:jc w:val="center"/>
        <w:rPr>
          <w:rFonts w:ascii="Times New Roman" w:hAnsi="Times New Roman" w:cs="Times New Roman"/>
          <w:sz w:val="32"/>
          <w:szCs w:val="32"/>
        </w:rPr>
      </w:pPr>
      <w:bookmarkStart w:id="77" w:name="_Toc510790684"/>
      <w:bookmarkStart w:id="78" w:name="_Toc511027844"/>
      <w:r w:rsidRPr="00F51615">
        <w:rPr>
          <w:rFonts w:ascii="Times New Roman" w:hAnsi="Times New Roman" w:cs="Times New Roman"/>
          <w:sz w:val="32"/>
          <w:szCs w:val="32"/>
        </w:rPr>
        <w:lastRenderedPageBreak/>
        <w:t>Pielikumi</w:t>
      </w:r>
      <w:bookmarkEnd w:id="77"/>
      <w:bookmarkEnd w:id="78"/>
    </w:p>
    <w:p w:rsidR="00CA00DF" w:rsidRDefault="00CA00DF" w:rsidP="00CA00DF">
      <w:pPr>
        <w:pStyle w:val="T"/>
        <w:spacing w:before="360"/>
        <w:ind w:left="0"/>
        <w:rPr>
          <w:rFonts w:ascii="Times New Roman" w:hAnsi="Times New Roman"/>
          <w:color w:val="000000"/>
        </w:rPr>
      </w:pPr>
      <w:r w:rsidRPr="00A8311B">
        <w:rPr>
          <w:rFonts w:ascii="Times New Roman" w:hAnsi="Times New Roman"/>
          <w:color w:val="000000"/>
        </w:rPr>
        <w:t>1a.tabula. Izaugsme un ar to saistītie faktori</w:t>
      </w:r>
    </w:p>
    <w:tbl>
      <w:tblPr>
        <w:tblStyle w:val="GridTable6Colorful-Accent15"/>
        <w:tblW w:w="9073" w:type="dxa"/>
        <w:jc w:val="center"/>
        <w:tblLayout w:type="fixed"/>
        <w:tblLook w:val="04A0" w:firstRow="1" w:lastRow="0" w:firstColumn="1" w:lastColumn="0" w:noHBand="0" w:noVBand="1"/>
      </w:tblPr>
      <w:tblGrid>
        <w:gridCol w:w="3256"/>
        <w:gridCol w:w="998"/>
        <w:gridCol w:w="803"/>
        <w:gridCol w:w="803"/>
        <w:gridCol w:w="803"/>
        <w:gridCol w:w="803"/>
        <w:gridCol w:w="803"/>
        <w:gridCol w:w="804"/>
      </w:tblGrid>
      <w:tr w:rsidR="00CA00DF" w:rsidRPr="009C058E" w:rsidTr="00A8311B">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hideMark/>
          </w:tcPr>
          <w:p w:rsidR="00CA00DF" w:rsidRPr="009C058E" w:rsidRDefault="00CA00DF" w:rsidP="001509AF">
            <w:pPr>
              <w:autoSpaceDE w:val="0"/>
              <w:autoSpaceDN w:val="0"/>
              <w:adjustRightInd w:val="0"/>
              <w:spacing w:line="259" w:lineRule="auto"/>
              <w:jc w:val="both"/>
              <w:rPr>
                <w:rFonts w:ascii="Times New Roman" w:eastAsia="Times New Roman" w:hAnsi="Times New Roman" w:cs="Times New Roman"/>
                <w:b w:val="0"/>
                <w:bCs w:val="0"/>
                <w:color w:val="000000"/>
                <w:sz w:val="20"/>
                <w:szCs w:val="24"/>
                <w:lang w:eastAsia="lv-LV"/>
              </w:rPr>
            </w:pPr>
          </w:p>
        </w:tc>
        <w:tc>
          <w:tcPr>
            <w:tcW w:w="998" w:type="dxa"/>
            <w:vMerge w:val="restart"/>
            <w:noWrap/>
            <w:vAlign w:val="center"/>
            <w:hideMark/>
          </w:tcPr>
          <w:p w:rsidR="00CA00DF" w:rsidRPr="00B20730" w:rsidRDefault="00CA00DF" w:rsidP="00A8311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B20730">
              <w:rPr>
                <w:rFonts w:ascii="Times New Roman" w:eastAsia="Times New Roman" w:hAnsi="Times New Roman" w:cs="Times New Roman"/>
                <w:bCs w:val="0"/>
                <w:color w:val="000000"/>
                <w:sz w:val="20"/>
                <w:szCs w:val="24"/>
                <w:lang w:eastAsia="lv-LV"/>
              </w:rPr>
              <w:t>EKS Kods</w:t>
            </w:r>
          </w:p>
        </w:tc>
        <w:tc>
          <w:tcPr>
            <w:tcW w:w="803" w:type="dxa"/>
            <w:noWrap/>
            <w:vAlign w:val="center"/>
          </w:tcPr>
          <w:p w:rsidR="00CA00DF" w:rsidRPr="00B20730" w:rsidRDefault="00CA00DF" w:rsidP="00A8311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B20730">
              <w:rPr>
                <w:rFonts w:ascii="Times New Roman" w:eastAsia="Times New Roman" w:hAnsi="Times New Roman" w:cs="Times New Roman"/>
                <w:bCs w:val="0"/>
                <w:color w:val="000000"/>
                <w:sz w:val="20"/>
                <w:szCs w:val="24"/>
                <w:lang w:eastAsia="lv-LV"/>
              </w:rPr>
              <w:t>2017</w:t>
            </w:r>
            <w:r w:rsidR="00736241" w:rsidRPr="00736241">
              <w:rPr>
                <w:rStyle w:val="FootnoteReference"/>
                <w:rFonts w:ascii="Times New Roman" w:eastAsia="Times New Roman" w:hAnsi="Times New Roman" w:cs="Times New Roman"/>
                <w:bCs w:val="0"/>
                <w:color w:val="000000"/>
                <w:sz w:val="18"/>
                <w:szCs w:val="24"/>
                <w:lang w:eastAsia="lv-LV"/>
              </w:rPr>
              <w:footnoteReference w:id="36"/>
            </w:r>
          </w:p>
        </w:tc>
        <w:tc>
          <w:tcPr>
            <w:tcW w:w="803" w:type="dxa"/>
            <w:noWrap/>
            <w:vAlign w:val="center"/>
          </w:tcPr>
          <w:p w:rsidR="00CA00DF" w:rsidRPr="00B20730" w:rsidRDefault="00CA00DF" w:rsidP="00393D5A">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B20730">
              <w:rPr>
                <w:rFonts w:ascii="Times New Roman" w:eastAsia="Times New Roman" w:hAnsi="Times New Roman" w:cs="Times New Roman"/>
                <w:bCs w:val="0"/>
                <w:color w:val="000000"/>
                <w:sz w:val="20"/>
                <w:szCs w:val="24"/>
                <w:lang w:eastAsia="lv-LV"/>
              </w:rPr>
              <w:t>2017</w:t>
            </w:r>
            <w:r w:rsidR="00736241" w:rsidRPr="00736241">
              <w:rPr>
                <w:rFonts w:ascii="Times New Roman" w:eastAsia="Times New Roman" w:hAnsi="Times New Roman" w:cs="Times New Roman"/>
                <w:b w:val="0"/>
                <w:bCs w:val="0"/>
                <w:color w:val="000000"/>
                <w:sz w:val="18"/>
                <w:szCs w:val="24"/>
                <w:vertAlign w:val="superscript"/>
                <w:lang w:eastAsia="lv-LV"/>
              </w:rPr>
              <w:t>3</w:t>
            </w:r>
            <w:r w:rsidR="00393D5A">
              <w:rPr>
                <w:rFonts w:ascii="Times New Roman" w:eastAsia="Times New Roman" w:hAnsi="Times New Roman" w:cs="Times New Roman"/>
                <w:b w:val="0"/>
                <w:bCs w:val="0"/>
                <w:color w:val="000000"/>
                <w:sz w:val="18"/>
                <w:szCs w:val="24"/>
                <w:vertAlign w:val="superscript"/>
                <w:lang w:eastAsia="lv-LV"/>
              </w:rPr>
              <w:t>5</w:t>
            </w:r>
          </w:p>
        </w:tc>
        <w:tc>
          <w:tcPr>
            <w:tcW w:w="803" w:type="dxa"/>
            <w:noWrap/>
            <w:vAlign w:val="center"/>
          </w:tcPr>
          <w:p w:rsidR="00CA00DF" w:rsidRPr="00B20730" w:rsidRDefault="00CA00DF" w:rsidP="00A8311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B20730">
              <w:rPr>
                <w:rFonts w:ascii="Times New Roman" w:eastAsia="Times New Roman" w:hAnsi="Times New Roman" w:cs="Times New Roman"/>
                <w:bCs w:val="0"/>
                <w:color w:val="000000"/>
                <w:sz w:val="20"/>
                <w:szCs w:val="24"/>
                <w:lang w:eastAsia="lv-LV"/>
              </w:rPr>
              <w:t>2018p</w:t>
            </w:r>
          </w:p>
        </w:tc>
        <w:tc>
          <w:tcPr>
            <w:tcW w:w="803" w:type="dxa"/>
            <w:noWrap/>
            <w:vAlign w:val="center"/>
          </w:tcPr>
          <w:p w:rsidR="00CA00DF" w:rsidRPr="00B20730" w:rsidRDefault="00CA00DF" w:rsidP="00A8311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B20730">
              <w:rPr>
                <w:rFonts w:ascii="Times New Roman" w:eastAsia="Times New Roman" w:hAnsi="Times New Roman" w:cs="Times New Roman"/>
                <w:bCs w:val="0"/>
                <w:color w:val="000000"/>
                <w:sz w:val="20"/>
                <w:szCs w:val="24"/>
                <w:lang w:eastAsia="lv-LV"/>
              </w:rPr>
              <w:t>2019p</w:t>
            </w:r>
          </w:p>
        </w:tc>
        <w:tc>
          <w:tcPr>
            <w:tcW w:w="803" w:type="dxa"/>
            <w:noWrap/>
            <w:vAlign w:val="center"/>
          </w:tcPr>
          <w:p w:rsidR="00CA00DF" w:rsidRPr="00B20730" w:rsidRDefault="00CA00DF" w:rsidP="00A8311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eastAsia="lv-LV"/>
              </w:rPr>
            </w:pPr>
            <w:r w:rsidRPr="00B20730">
              <w:rPr>
                <w:rFonts w:ascii="Times New Roman" w:eastAsia="Times New Roman" w:hAnsi="Times New Roman" w:cs="Times New Roman"/>
                <w:bCs w:val="0"/>
                <w:color w:val="000000"/>
                <w:sz w:val="20"/>
                <w:szCs w:val="24"/>
                <w:lang w:eastAsia="lv-LV"/>
              </w:rPr>
              <w:t>2020p</w:t>
            </w:r>
          </w:p>
        </w:tc>
        <w:tc>
          <w:tcPr>
            <w:tcW w:w="804" w:type="dxa"/>
            <w:noWrap/>
            <w:vAlign w:val="center"/>
          </w:tcPr>
          <w:p w:rsidR="00CA00DF" w:rsidRPr="00B20730" w:rsidRDefault="00CA00DF" w:rsidP="00A8311B">
            <w:pPr>
              <w:autoSpaceDE w:val="0"/>
              <w:autoSpaceDN w:val="0"/>
              <w:adjustRightInd w:val="0"/>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4"/>
                <w:lang w:eastAsia="lv-LV"/>
              </w:rPr>
            </w:pPr>
            <w:r w:rsidRPr="00B20730">
              <w:rPr>
                <w:rFonts w:ascii="Times New Roman" w:eastAsia="Times New Roman" w:hAnsi="Times New Roman" w:cs="Times New Roman"/>
                <w:bCs w:val="0"/>
                <w:color w:val="000000"/>
                <w:sz w:val="20"/>
                <w:szCs w:val="24"/>
                <w:lang w:eastAsia="lv-LV"/>
              </w:rPr>
              <w:t>2021p</w:t>
            </w:r>
          </w:p>
        </w:tc>
      </w:tr>
      <w:tr w:rsidR="00CA00DF" w:rsidRPr="009C058E" w:rsidTr="00A8311B">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3256" w:type="dxa"/>
            <w:vMerge/>
            <w:vAlign w:val="center"/>
            <w:hideMark/>
          </w:tcPr>
          <w:p w:rsidR="00CA00DF" w:rsidRPr="009C058E" w:rsidRDefault="00CA00DF" w:rsidP="001509AF">
            <w:pPr>
              <w:autoSpaceDE w:val="0"/>
              <w:autoSpaceDN w:val="0"/>
              <w:adjustRightInd w:val="0"/>
              <w:spacing w:line="259" w:lineRule="auto"/>
              <w:jc w:val="both"/>
              <w:rPr>
                <w:rFonts w:ascii="Times New Roman" w:eastAsia="Times New Roman" w:hAnsi="Times New Roman" w:cs="Times New Roman"/>
                <w:b w:val="0"/>
                <w:bCs w:val="0"/>
                <w:color w:val="000000"/>
                <w:sz w:val="20"/>
                <w:szCs w:val="24"/>
                <w:lang w:eastAsia="lv-LV"/>
              </w:rPr>
            </w:pPr>
          </w:p>
        </w:tc>
        <w:tc>
          <w:tcPr>
            <w:tcW w:w="998" w:type="dxa"/>
            <w:vMerge/>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 xml:space="preserve">milj. </w:t>
            </w:r>
            <w:r w:rsidRPr="009C058E">
              <w:rPr>
                <w:rFonts w:ascii="Times New Roman" w:eastAsia="Times New Roman" w:hAnsi="Times New Roman" w:cs="Times New Roman"/>
                <w:i/>
                <w:iCs/>
                <w:color w:val="000000"/>
                <w:sz w:val="20"/>
                <w:szCs w:val="24"/>
                <w:lang w:eastAsia="lv-LV"/>
              </w:rPr>
              <w:t>euro</w:t>
            </w:r>
          </w:p>
        </w:tc>
        <w:tc>
          <w:tcPr>
            <w:tcW w:w="4016" w:type="dxa"/>
            <w:gridSpan w:val="5"/>
            <w:vAlign w:val="center"/>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Pieaugums %</w:t>
            </w:r>
          </w:p>
        </w:tc>
      </w:tr>
      <w:tr w:rsidR="00CA00DF" w:rsidRPr="009C058E" w:rsidTr="00A8311B">
        <w:trPr>
          <w:trHeight w:val="16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1. IKP 2010.gada cenās</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B1*g</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22</w:t>
            </w:r>
            <w:r w:rsidR="005C3D64">
              <w:rPr>
                <w:rFonts w:ascii="Times New Roman" w:eastAsia="Times New Roman" w:hAnsi="Times New Roman" w:cs="Times New Roman"/>
                <w:color w:val="000000"/>
                <w:sz w:val="20"/>
                <w:szCs w:val="24"/>
                <w:lang w:eastAsia="lv-LV"/>
              </w:rPr>
              <w:t> </w:t>
            </w:r>
            <w:r w:rsidRPr="009C058E">
              <w:rPr>
                <w:rFonts w:ascii="Times New Roman" w:eastAsia="Times New Roman" w:hAnsi="Times New Roman" w:cs="Times New Roman"/>
                <w:color w:val="000000"/>
                <w:sz w:val="20"/>
                <w:szCs w:val="24"/>
                <w:lang w:eastAsia="lv-LV"/>
              </w:rPr>
              <w:t>792</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4,5</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4,0</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3,4</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3,0</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2,9</w:t>
            </w:r>
          </w:p>
        </w:tc>
      </w:tr>
      <w:tr w:rsidR="00CA00DF" w:rsidRPr="009C058E" w:rsidTr="00A8311B">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2. IKP faktiskajās cenās</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B1*g</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26</w:t>
            </w:r>
            <w:r w:rsidR="005C3D64">
              <w:rPr>
                <w:rFonts w:ascii="Times New Roman" w:eastAsia="Times New Roman" w:hAnsi="Times New Roman" w:cs="Times New Roman"/>
                <w:color w:val="000000"/>
                <w:sz w:val="20"/>
                <w:szCs w:val="24"/>
                <w:lang w:eastAsia="lv-LV"/>
              </w:rPr>
              <w:t> </w:t>
            </w:r>
            <w:r w:rsidRPr="009C058E">
              <w:rPr>
                <w:rFonts w:ascii="Times New Roman" w:eastAsia="Times New Roman" w:hAnsi="Times New Roman" w:cs="Times New Roman"/>
                <w:color w:val="000000"/>
                <w:sz w:val="20"/>
                <w:szCs w:val="24"/>
                <w:lang w:eastAsia="lv-LV"/>
              </w:rPr>
              <w:t>851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7,7</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7,2</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6,5</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5,8</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5,4</w:t>
            </w:r>
          </w:p>
        </w:tc>
      </w:tr>
      <w:tr w:rsidR="00CA00DF" w:rsidRPr="009C058E" w:rsidTr="00A8311B">
        <w:trPr>
          <w:trHeight w:val="118"/>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rsidR="00CA00DF" w:rsidRPr="009C058E" w:rsidRDefault="00CA00DF" w:rsidP="00A8311B">
            <w:pPr>
              <w:autoSpaceDE w:val="0"/>
              <w:autoSpaceDN w:val="0"/>
              <w:adjustRightInd w:val="0"/>
              <w:spacing w:line="259" w:lineRule="auto"/>
              <w:jc w:val="center"/>
              <w:rPr>
                <w:rFonts w:ascii="Times New Roman" w:eastAsia="Times New Roman" w:hAnsi="Times New Roman" w:cs="Times New Roman"/>
                <w:b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IKP pēc izlietojuma 2010.gada cenās</w:t>
            </w:r>
          </w:p>
        </w:tc>
      </w:tr>
      <w:tr w:rsidR="00CA00DF" w:rsidRPr="009C058E" w:rsidTr="00A8311B">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3. Privātais patēriņš</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P3</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14</w:t>
            </w:r>
            <w:r w:rsidR="005C3D64">
              <w:rPr>
                <w:rFonts w:ascii="Times New Roman" w:eastAsia="Times New Roman" w:hAnsi="Times New Roman" w:cs="Times New Roman"/>
                <w:color w:val="000000"/>
                <w:sz w:val="20"/>
                <w:szCs w:val="24"/>
                <w:lang w:eastAsia="lv-LV"/>
              </w:rPr>
              <w:t> </w:t>
            </w:r>
            <w:r w:rsidRPr="009C058E">
              <w:rPr>
                <w:rFonts w:ascii="Times New Roman" w:eastAsia="Times New Roman" w:hAnsi="Times New Roman" w:cs="Times New Roman"/>
                <w:color w:val="000000"/>
                <w:sz w:val="20"/>
                <w:szCs w:val="24"/>
                <w:lang w:eastAsia="lv-LV"/>
              </w:rPr>
              <w:t>395</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5,1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6,1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3,5</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2,8</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2,6</w:t>
            </w:r>
          </w:p>
        </w:tc>
      </w:tr>
      <w:tr w:rsidR="00CA00DF" w:rsidRPr="009C058E" w:rsidTr="00A8311B">
        <w:trPr>
          <w:trHeight w:val="20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4. Sabiedriskais patēriņš</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P3</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w:t>
            </w:r>
            <w:r w:rsidR="005C3D64">
              <w:rPr>
                <w:rFonts w:ascii="Times New Roman" w:eastAsia="Times New Roman" w:hAnsi="Times New Roman" w:cs="Times New Roman"/>
                <w:color w:val="000000"/>
                <w:sz w:val="20"/>
                <w:szCs w:val="24"/>
                <w:lang w:eastAsia="lv-LV"/>
              </w:rPr>
              <w:t> </w:t>
            </w:r>
            <w:r w:rsidRPr="009C058E">
              <w:rPr>
                <w:rFonts w:ascii="Times New Roman" w:eastAsia="Times New Roman" w:hAnsi="Times New Roman" w:cs="Times New Roman"/>
                <w:color w:val="000000"/>
                <w:sz w:val="20"/>
                <w:szCs w:val="24"/>
                <w:lang w:eastAsia="lv-LV"/>
              </w:rPr>
              <w:t>841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2,8</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2,8</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2,6</w:t>
            </w:r>
          </w:p>
        </w:tc>
      </w:tr>
      <w:tr w:rsidR="00CA00DF" w:rsidRPr="009C058E" w:rsidTr="00A8311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5. Kopējā pamatkapitāla veidošana</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P51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w:t>
            </w:r>
            <w:r w:rsidR="005C3D64">
              <w:rPr>
                <w:rFonts w:ascii="Times New Roman" w:eastAsia="Times New Roman" w:hAnsi="Times New Roman" w:cs="Times New Roman"/>
                <w:color w:val="000000"/>
                <w:sz w:val="20"/>
                <w:szCs w:val="24"/>
                <w:lang w:eastAsia="lv-LV"/>
              </w:rPr>
              <w:t> </w:t>
            </w:r>
            <w:r w:rsidRPr="009C058E">
              <w:rPr>
                <w:rFonts w:ascii="Times New Roman" w:eastAsia="Times New Roman" w:hAnsi="Times New Roman" w:cs="Times New Roman"/>
                <w:color w:val="000000"/>
                <w:sz w:val="20"/>
                <w:szCs w:val="24"/>
                <w:lang w:eastAsia="lv-LV"/>
              </w:rPr>
              <w:t>554</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16,0</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11,2</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9,0</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7,1</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7,0</w:t>
            </w:r>
          </w:p>
        </w:tc>
      </w:tr>
      <w:tr w:rsidR="00CA00DF" w:rsidRPr="009C058E" w:rsidTr="00A8311B">
        <w:trPr>
          <w:trHeight w:val="248"/>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6. Krājumu pārmaiņas un vērtslietu iegāde</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P52+P53</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862</w:t>
            </w:r>
          </w:p>
        </w:tc>
        <w:tc>
          <w:tcPr>
            <w:tcW w:w="803" w:type="dxa"/>
            <w:noWrap/>
            <w:vAlign w:val="center"/>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c>
          <w:tcPr>
            <w:tcW w:w="803" w:type="dxa"/>
            <w:noWrap/>
            <w:vAlign w:val="center"/>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c>
          <w:tcPr>
            <w:tcW w:w="803" w:type="dxa"/>
            <w:noWrap/>
            <w:vAlign w:val="center"/>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c>
          <w:tcPr>
            <w:tcW w:w="803" w:type="dxa"/>
            <w:noWrap/>
            <w:vAlign w:val="center"/>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c>
          <w:tcPr>
            <w:tcW w:w="804" w:type="dxa"/>
            <w:noWrap/>
            <w:vAlign w:val="center"/>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w:t>
            </w:r>
          </w:p>
        </w:tc>
      </w:tr>
      <w:tr w:rsidR="00CA00DF" w:rsidRPr="009C058E" w:rsidTr="00A8311B">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7. Eksports</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P6</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14</w:t>
            </w:r>
            <w:r w:rsidR="005C3D64">
              <w:rPr>
                <w:rFonts w:ascii="Times New Roman" w:eastAsia="Times New Roman" w:hAnsi="Times New Roman" w:cs="Times New Roman"/>
                <w:color w:val="000000"/>
                <w:sz w:val="20"/>
                <w:szCs w:val="24"/>
                <w:lang w:eastAsia="lv-LV"/>
              </w:rPr>
              <w:t> </w:t>
            </w:r>
            <w:r w:rsidRPr="009C058E">
              <w:rPr>
                <w:rFonts w:ascii="Times New Roman" w:eastAsia="Times New Roman" w:hAnsi="Times New Roman" w:cs="Times New Roman"/>
                <w:color w:val="000000"/>
                <w:sz w:val="20"/>
                <w:szCs w:val="24"/>
                <w:lang w:eastAsia="lv-LV"/>
              </w:rPr>
              <w:t>189</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4,4</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4,0</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3,9</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3,8</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3,8</w:t>
            </w:r>
          </w:p>
        </w:tc>
      </w:tr>
      <w:tr w:rsidR="00CA00DF" w:rsidRPr="009C058E" w:rsidTr="00A8311B">
        <w:trPr>
          <w:trHeight w:val="201"/>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8. Imports</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P7</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15</w:t>
            </w:r>
            <w:r w:rsidR="005C3D64">
              <w:rPr>
                <w:rFonts w:ascii="Times New Roman" w:eastAsia="Times New Roman" w:hAnsi="Times New Roman" w:cs="Times New Roman"/>
                <w:color w:val="000000"/>
                <w:sz w:val="20"/>
                <w:szCs w:val="24"/>
                <w:lang w:eastAsia="lv-LV"/>
              </w:rPr>
              <w:t> </w:t>
            </w:r>
            <w:r w:rsidRPr="009C058E">
              <w:rPr>
                <w:rFonts w:ascii="Times New Roman" w:eastAsia="Times New Roman" w:hAnsi="Times New Roman" w:cs="Times New Roman"/>
                <w:color w:val="000000"/>
                <w:sz w:val="20"/>
                <w:szCs w:val="24"/>
                <w:lang w:eastAsia="lv-LV"/>
              </w:rPr>
              <w:t>049</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9,2</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7,6</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4,7</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4,6</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4,5</w:t>
            </w:r>
          </w:p>
        </w:tc>
      </w:tr>
      <w:tr w:rsidR="00CA00DF" w:rsidRPr="009C058E" w:rsidTr="00A8311B">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073" w:type="dxa"/>
            <w:gridSpan w:val="8"/>
            <w:noWrap/>
            <w:vAlign w:val="center"/>
            <w:hideMark/>
          </w:tcPr>
          <w:p w:rsidR="00CA00DF" w:rsidRPr="009C058E" w:rsidRDefault="00CA00DF" w:rsidP="00A8311B">
            <w:pPr>
              <w:autoSpaceDE w:val="0"/>
              <w:autoSpaceDN w:val="0"/>
              <w:adjustRightInd w:val="0"/>
              <w:spacing w:line="259" w:lineRule="auto"/>
              <w:jc w:val="center"/>
              <w:rPr>
                <w:rFonts w:ascii="Times New Roman" w:eastAsia="Times New Roman" w:hAnsi="Times New Roman" w:cs="Times New Roman"/>
                <w:b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Ieguldījums IKP izaugsmē</w:t>
            </w:r>
          </w:p>
        </w:tc>
      </w:tr>
      <w:tr w:rsidR="00CA00DF" w:rsidRPr="009C058E" w:rsidTr="00A8311B">
        <w:trPr>
          <w:trHeight w:val="14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9. Kopējais iekšzemes pieprasījums</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6,8</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6,6</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4,6</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3,9</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3,7</w:t>
            </w:r>
          </w:p>
        </w:tc>
      </w:tr>
      <w:tr w:rsidR="00CA00DF" w:rsidRPr="009C058E" w:rsidTr="00A8311B">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 xml:space="preserve">10. Krājumu pārmaiņas un vērtslietu iegāde </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P52+P53</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0,8</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-0,5</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0,0</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0,0</w:t>
            </w:r>
          </w:p>
        </w:tc>
      </w:tr>
      <w:tr w:rsidR="00CA00DF" w:rsidRPr="009C058E" w:rsidTr="00A8311B">
        <w:trPr>
          <w:trHeight w:val="345"/>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rsidR="00CA00DF" w:rsidRPr="009C058E" w:rsidRDefault="00CA00DF" w:rsidP="001509AF">
            <w:pPr>
              <w:autoSpaceDE w:val="0"/>
              <w:autoSpaceDN w:val="0"/>
              <w:adjustRightInd w:val="0"/>
              <w:spacing w:line="259" w:lineRule="auto"/>
              <w:rPr>
                <w:rFonts w:ascii="Times New Roman" w:eastAsia="Times New Roman" w:hAnsi="Times New Roman" w:cs="Times New Roman"/>
                <w:bCs w:val="0"/>
                <w:color w:val="000000"/>
                <w:sz w:val="20"/>
                <w:szCs w:val="24"/>
                <w:lang w:eastAsia="lv-LV"/>
              </w:rPr>
            </w:pPr>
            <w:r w:rsidRPr="009C058E">
              <w:rPr>
                <w:rFonts w:ascii="Times New Roman" w:eastAsia="Times New Roman" w:hAnsi="Times New Roman" w:cs="Times New Roman"/>
                <w:b w:val="0"/>
                <w:bCs w:val="0"/>
                <w:color w:val="000000"/>
                <w:sz w:val="20"/>
                <w:szCs w:val="24"/>
                <w:lang w:eastAsia="lv-LV"/>
              </w:rPr>
              <w:t>11. Eksporta-importa bilance</w:t>
            </w:r>
          </w:p>
        </w:tc>
        <w:tc>
          <w:tcPr>
            <w:tcW w:w="998"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B11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-3,1</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-2,5</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-0,8</w:t>
            </w:r>
          </w:p>
        </w:tc>
        <w:tc>
          <w:tcPr>
            <w:tcW w:w="803"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-0,8</w:t>
            </w:r>
          </w:p>
        </w:tc>
        <w:tc>
          <w:tcPr>
            <w:tcW w:w="804" w:type="dxa"/>
            <w:noWrap/>
            <w:vAlign w:val="center"/>
            <w:hideMark/>
          </w:tcPr>
          <w:p w:rsidR="00CA00DF" w:rsidRPr="009C058E" w:rsidRDefault="00CA00DF" w:rsidP="00A8311B">
            <w:pPr>
              <w:autoSpaceDE w:val="0"/>
              <w:autoSpaceDN w:val="0"/>
              <w:adjustRightInd w:val="0"/>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lv-LV"/>
              </w:rPr>
            </w:pPr>
            <w:r w:rsidRPr="009C058E">
              <w:rPr>
                <w:rFonts w:ascii="Times New Roman" w:eastAsia="Times New Roman" w:hAnsi="Times New Roman" w:cs="Times New Roman"/>
                <w:color w:val="000000"/>
                <w:sz w:val="20"/>
                <w:szCs w:val="24"/>
                <w:lang w:eastAsia="lv-LV"/>
              </w:rPr>
              <w:t>-0,8</w:t>
            </w:r>
          </w:p>
        </w:tc>
      </w:tr>
    </w:tbl>
    <w:p w:rsidR="00736241" w:rsidRPr="00736241" w:rsidRDefault="00736241" w:rsidP="00736241">
      <w:pPr>
        <w:pStyle w:val="T"/>
        <w:spacing w:after="0"/>
        <w:ind w:left="0"/>
        <w:rPr>
          <w:rFonts w:ascii="Times New Roman" w:hAnsi="Times New Roman"/>
          <w:b w:val="0"/>
          <w:color w:val="000000"/>
        </w:rPr>
      </w:pPr>
    </w:p>
    <w:p w:rsidR="00CA00DF" w:rsidRDefault="00CA00DF" w:rsidP="00736241">
      <w:pPr>
        <w:pStyle w:val="T"/>
        <w:spacing w:after="0"/>
        <w:ind w:left="0"/>
        <w:rPr>
          <w:rFonts w:ascii="Times New Roman" w:hAnsi="Times New Roman"/>
          <w:color w:val="000000"/>
        </w:rPr>
      </w:pPr>
      <w:r w:rsidRPr="008A3375">
        <w:rPr>
          <w:rFonts w:ascii="Times New Roman" w:hAnsi="Times New Roman"/>
          <w:color w:val="000000"/>
        </w:rPr>
        <w:t>1b.tabula. Patēriņa cenu izmaiņas</w:t>
      </w:r>
    </w:p>
    <w:tbl>
      <w:tblPr>
        <w:tblStyle w:val="GridTable6Colorful-Accent11"/>
        <w:tblW w:w="9151" w:type="dxa"/>
        <w:jc w:val="center"/>
        <w:tblLayout w:type="fixed"/>
        <w:tblLook w:val="04A0" w:firstRow="1" w:lastRow="0" w:firstColumn="1" w:lastColumn="0" w:noHBand="0" w:noVBand="1"/>
      </w:tblPr>
      <w:tblGrid>
        <w:gridCol w:w="3285"/>
        <w:gridCol w:w="1114"/>
        <w:gridCol w:w="850"/>
        <w:gridCol w:w="780"/>
        <w:gridCol w:w="780"/>
        <w:gridCol w:w="781"/>
        <w:gridCol w:w="780"/>
        <w:gridCol w:w="781"/>
      </w:tblGrid>
      <w:tr w:rsidR="00CA00DF" w:rsidRPr="008A3375" w:rsidTr="00A831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tcPr>
          <w:p w:rsidR="00CA00DF" w:rsidRPr="008A3375" w:rsidRDefault="00CA00DF" w:rsidP="001509AF">
            <w:pPr>
              <w:spacing w:line="256" w:lineRule="auto"/>
              <w:rPr>
                <w:rFonts w:ascii="Times New Roman" w:eastAsia="Times New Roman" w:hAnsi="Times New Roman" w:cs="Times New Roman"/>
                <w:color w:val="auto"/>
                <w:sz w:val="20"/>
                <w:szCs w:val="20"/>
              </w:rPr>
            </w:pPr>
          </w:p>
        </w:tc>
        <w:tc>
          <w:tcPr>
            <w:tcW w:w="1114" w:type="dxa"/>
            <w:vAlign w:val="center"/>
            <w:hideMark/>
          </w:tcPr>
          <w:p w:rsidR="00CA00DF" w:rsidRPr="008A3375" w:rsidRDefault="00CA00DF" w:rsidP="00A8311B">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eastAsia="Times New Roman" w:hAnsi="Times New Roman" w:cs="Times New Roman"/>
                <w:color w:val="auto"/>
                <w:sz w:val="20"/>
                <w:szCs w:val="20"/>
              </w:rPr>
              <w:t>EKS</w:t>
            </w:r>
          </w:p>
          <w:p w:rsidR="00CA00DF" w:rsidRPr="008A3375" w:rsidRDefault="00CA00DF" w:rsidP="00A8311B">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eastAsia="Times New Roman" w:hAnsi="Times New Roman" w:cs="Times New Roman"/>
                <w:color w:val="auto"/>
                <w:sz w:val="20"/>
                <w:szCs w:val="20"/>
              </w:rPr>
              <w:t>Kods</w:t>
            </w:r>
          </w:p>
        </w:tc>
        <w:tc>
          <w:tcPr>
            <w:tcW w:w="850" w:type="dxa"/>
            <w:vAlign w:val="center"/>
            <w:hideMark/>
          </w:tcPr>
          <w:p w:rsidR="00CA00DF" w:rsidRPr="008A3375" w:rsidRDefault="00CA00DF" w:rsidP="00393D5A">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hAnsi="Times New Roman" w:cs="Times New Roman"/>
                <w:color w:val="auto"/>
                <w:sz w:val="20"/>
                <w:szCs w:val="20"/>
              </w:rPr>
              <w:t>2017</w:t>
            </w:r>
            <w:r w:rsidR="00736241" w:rsidRPr="00736241">
              <w:rPr>
                <w:rFonts w:ascii="Times New Roman" w:eastAsia="Times New Roman" w:hAnsi="Times New Roman" w:cs="Times New Roman"/>
                <w:b w:val="0"/>
                <w:bCs w:val="0"/>
                <w:color w:val="000000"/>
                <w:sz w:val="18"/>
                <w:szCs w:val="24"/>
                <w:vertAlign w:val="superscript"/>
                <w:lang w:eastAsia="lv-LV"/>
              </w:rPr>
              <w:t>3</w:t>
            </w:r>
            <w:r w:rsidR="00393D5A">
              <w:rPr>
                <w:rFonts w:ascii="Times New Roman" w:eastAsia="Times New Roman" w:hAnsi="Times New Roman" w:cs="Times New Roman"/>
                <w:b w:val="0"/>
                <w:bCs w:val="0"/>
                <w:color w:val="000000"/>
                <w:sz w:val="18"/>
                <w:szCs w:val="24"/>
                <w:vertAlign w:val="superscript"/>
                <w:lang w:eastAsia="lv-LV"/>
              </w:rPr>
              <w:t>5</w:t>
            </w:r>
          </w:p>
        </w:tc>
        <w:tc>
          <w:tcPr>
            <w:tcW w:w="780" w:type="dxa"/>
            <w:vAlign w:val="center"/>
            <w:hideMark/>
          </w:tcPr>
          <w:p w:rsidR="00CA00DF" w:rsidRPr="008A3375" w:rsidRDefault="00CA00DF" w:rsidP="00393D5A">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hAnsi="Times New Roman" w:cs="Times New Roman"/>
                <w:color w:val="auto"/>
                <w:sz w:val="20"/>
                <w:szCs w:val="20"/>
              </w:rPr>
              <w:t>2017</w:t>
            </w:r>
            <w:r w:rsidR="00736241" w:rsidRPr="00736241">
              <w:rPr>
                <w:rFonts w:ascii="Times New Roman" w:eastAsia="Times New Roman" w:hAnsi="Times New Roman" w:cs="Times New Roman"/>
                <w:b w:val="0"/>
                <w:bCs w:val="0"/>
                <w:color w:val="000000"/>
                <w:sz w:val="18"/>
                <w:szCs w:val="24"/>
                <w:vertAlign w:val="superscript"/>
                <w:lang w:eastAsia="lv-LV"/>
              </w:rPr>
              <w:t>3</w:t>
            </w:r>
            <w:r w:rsidR="00393D5A">
              <w:rPr>
                <w:rFonts w:ascii="Times New Roman" w:eastAsia="Times New Roman" w:hAnsi="Times New Roman" w:cs="Times New Roman"/>
                <w:b w:val="0"/>
                <w:bCs w:val="0"/>
                <w:color w:val="000000"/>
                <w:sz w:val="18"/>
                <w:szCs w:val="24"/>
                <w:vertAlign w:val="superscript"/>
                <w:lang w:eastAsia="lv-LV"/>
              </w:rPr>
              <w:t>5</w:t>
            </w:r>
          </w:p>
        </w:tc>
        <w:tc>
          <w:tcPr>
            <w:tcW w:w="780" w:type="dxa"/>
            <w:vAlign w:val="center"/>
            <w:hideMark/>
          </w:tcPr>
          <w:p w:rsidR="00CA00DF" w:rsidRPr="008A3375" w:rsidRDefault="00CA00DF" w:rsidP="00A8311B">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hAnsi="Times New Roman" w:cs="Times New Roman"/>
                <w:color w:val="auto"/>
                <w:sz w:val="20"/>
                <w:szCs w:val="20"/>
              </w:rPr>
              <w:t>2018</w:t>
            </w:r>
          </w:p>
        </w:tc>
        <w:tc>
          <w:tcPr>
            <w:tcW w:w="781" w:type="dxa"/>
            <w:vAlign w:val="center"/>
            <w:hideMark/>
          </w:tcPr>
          <w:p w:rsidR="00CA00DF" w:rsidRPr="008A3375" w:rsidRDefault="00CA00DF" w:rsidP="00A8311B">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hAnsi="Times New Roman" w:cs="Times New Roman"/>
                <w:color w:val="auto"/>
                <w:sz w:val="20"/>
                <w:szCs w:val="20"/>
              </w:rPr>
              <w:t>2019</w:t>
            </w:r>
          </w:p>
        </w:tc>
        <w:tc>
          <w:tcPr>
            <w:tcW w:w="780" w:type="dxa"/>
            <w:vAlign w:val="center"/>
            <w:hideMark/>
          </w:tcPr>
          <w:p w:rsidR="00CA00DF" w:rsidRPr="008A3375" w:rsidRDefault="00CA00DF" w:rsidP="00A8311B">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hAnsi="Times New Roman" w:cs="Times New Roman"/>
                <w:color w:val="auto"/>
                <w:sz w:val="20"/>
                <w:szCs w:val="20"/>
              </w:rPr>
              <w:t>2020</w:t>
            </w:r>
          </w:p>
        </w:tc>
        <w:tc>
          <w:tcPr>
            <w:tcW w:w="781" w:type="dxa"/>
            <w:vAlign w:val="center"/>
            <w:hideMark/>
          </w:tcPr>
          <w:p w:rsidR="00CA00DF" w:rsidRPr="008A3375" w:rsidRDefault="00CA00DF" w:rsidP="00A8311B">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hAnsi="Times New Roman" w:cs="Times New Roman"/>
                <w:color w:val="auto"/>
                <w:sz w:val="20"/>
                <w:szCs w:val="20"/>
              </w:rPr>
              <w:t>2021</w:t>
            </w:r>
          </w:p>
        </w:tc>
      </w:tr>
      <w:tr w:rsidR="00CA00DF" w:rsidRPr="008A3375" w:rsidTr="00A831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tcPr>
          <w:p w:rsidR="00CA00DF" w:rsidRPr="008A3375" w:rsidRDefault="00CA00DF" w:rsidP="001509AF">
            <w:pPr>
              <w:spacing w:line="256" w:lineRule="auto"/>
              <w:rPr>
                <w:rFonts w:ascii="Times New Roman" w:eastAsia="Times New Roman" w:hAnsi="Times New Roman" w:cs="Times New Roman"/>
                <w:snapToGrid w:val="0"/>
                <w:color w:val="auto"/>
                <w:sz w:val="20"/>
                <w:szCs w:val="20"/>
              </w:rPr>
            </w:pPr>
          </w:p>
        </w:tc>
        <w:tc>
          <w:tcPr>
            <w:tcW w:w="1114" w:type="dxa"/>
            <w:vAlign w:val="center"/>
          </w:tcPr>
          <w:p w:rsidR="00CA00DF" w:rsidRPr="008A3375"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hideMark/>
          </w:tcPr>
          <w:p w:rsidR="00CA00DF" w:rsidRPr="008A3375" w:rsidRDefault="00CA00DF" w:rsidP="00A8311B">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eastAsia="Times New Roman" w:hAnsi="Times New Roman" w:cs="Times New Roman"/>
                <w:color w:val="auto"/>
                <w:sz w:val="20"/>
                <w:szCs w:val="20"/>
              </w:rPr>
              <w:t>līmenis</w:t>
            </w:r>
          </w:p>
        </w:tc>
        <w:tc>
          <w:tcPr>
            <w:tcW w:w="3902" w:type="dxa"/>
            <w:gridSpan w:val="5"/>
            <w:vAlign w:val="center"/>
            <w:hideMark/>
          </w:tcPr>
          <w:p w:rsidR="00CA00DF" w:rsidRPr="008A3375" w:rsidRDefault="00CA00DF" w:rsidP="00A8311B">
            <w:pPr>
              <w:tabs>
                <w:tab w:val="decimal" w:pos="296"/>
              </w:tabs>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8A3375">
              <w:rPr>
                <w:rFonts w:ascii="Times New Roman" w:eastAsia="Times New Roman" w:hAnsi="Times New Roman" w:cs="Times New Roman"/>
                <w:color w:val="auto"/>
                <w:sz w:val="20"/>
                <w:szCs w:val="20"/>
              </w:rPr>
              <w:t>Pieaugums %</w:t>
            </w:r>
          </w:p>
        </w:tc>
      </w:tr>
      <w:tr w:rsidR="00CA00DF" w:rsidRPr="008A3375" w:rsidTr="00A8311B">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CA00DF" w:rsidRPr="008A3375" w:rsidRDefault="00CA00DF" w:rsidP="001509AF">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1. IKP deflators</w:t>
            </w:r>
          </w:p>
        </w:tc>
        <w:tc>
          <w:tcPr>
            <w:tcW w:w="1114" w:type="dxa"/>
            <w:vAlign w:val="center"/>
          </w:tcPr>
          <w:p w:rsidR="00CA00DF" w:rsidRPr="008A3375"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rsidR="00CA00DF" w:rsidRPr="008A3375"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0</w:t>
            </w: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1</w:t>
            </w:r>
          </w:p>
        </w:tc>
        <w:tc>
          <w:tcPr>
            <w:tcW w:w="781"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0</w:t>
            </w: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7</w:t>
            </w:r>
          </w:p>
        </w:tc>
        <w:tc>
          <w:tcPr>
            <w:tcW w:w="781"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5</w:t>
            </w:r>
          </w:p>
        </w:tc>
      </w:tr>
      <w:tr w:rsidR="00CA00DF" w:rsidRPr="008A3375" w:rsidTr="00A831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CA00DF" w:rsidRPr="008A3375" w:rsidRDefault="00CA00DF" w:rsidP="001509AF">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2. Privātā patēriņa deflators</w:t>
            </w:r>
          </w:p>
        </w:tc>
        <w:tc>
          <w:tcPr>
            <w:tcW w:w="1114" w:type="dxa"/>
            <w:vAlign w:val="center"/>
          </w:tcPr>
          <w:p w:rsidR="00CA00DF" w:rsidRPr="008A3375"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rsidR="00CA00DF" w:rsidRPr="008A3375"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0</w:t>
            </w: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8</w:t>
            </w:r>
          </w:p>
        </w:tc>
        <w:tc>
          <w:tcPr>
            <w:tcW w:w="781"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4</w:t>
            </w: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1</w:t>
            </w:r>
          </w:p>
        </w:tc>
        <w:tc>
          <w:tcPr>
            <w:tcW w:w="781"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1</w:t>
            </w:r>
          </w:p>
        </w:tc>
      </w:tr>
      <w:tr w:rsidR="00CA00DF" w:rsidRPr="008A3375" w:rsidTr="00A8311B">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CA00DF" w:rsidRPr="008A3375" w:rsidRDefault="00CA00DF" w:rsidP="001509AF">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 xml:space="preserve">3. </w:t>
            </w:r>
            <w:r w:rsidRPr="008A3375">
              <w:rPr>
                <w:rFonts w:ascii="Times New Roman" w:eastAsia="Times New Roman" w:hAnsi="Times New Roman" w:cs="Times New Roman"/>
                <w:b w:val="0"/>
                <w:noProof/>
                <w:color w:val="auto"/>
                <w:sz w:val="20"/>
                <w:szCs w:val="20"/>
              </w:rPr>
              <w:t>SPCI izmaiņas (gads pret gadu)</w:t>
            </w:r>
          </w:p>
        </w:tc>
        <w:tc>
          <w:tcPr>
            <w:tcW w:w="1114" w:type="dxa"/>
            <w:vAlign w:val="center"/>
          </w:tcPr>
          <w:p w:rsidR="00CA00DF" w:rsidRPr="008A3375"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rsidR="00CA00DF" w:rsidRPr="008A3375"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9</w:t>
            </w: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8</w:t>
            </w:r>
          </w:p>
        </w:tc>
        <w:tc>
          <w:tcPr>
            <w:tcW w:w="781"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4</w:t>
            </w: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1</w:t>
            </w:r>
          </w:p>
        </w:tc>
        <w:tc>
          <w:tcPr>
            <w:tcW w:w="781"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1</w:t>
            </w:r>
          </w:p>
        </w:tc>
      </w:tr>
      <w:tr w:rsidR="00CA00DF" w:rsidRPr="008A3375" w:rsidTr="00A831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CA00DF" w:rsidRPr="008A3375" w:rsidRDefault="00CA00DF" w:rsidP="001509AF">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4. Sabiedriskā patēriņa deflators</w:t>
            </w:r>
          </w:p>
        </w:tc>
        <w:tc>
          <w:tcPr>
            <w:tcW w:w="1114" w:type="dxa"/>
            <w:vAlign w:val="center"/>
          </w:tcPr>
          <w:p w:rsidR="00CA00DF" w:rsidRPr="008A3375"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850" w:type="dxa"/>
            <w:vAlign w:val="center"/>
          </w:tcPr>
          <w:p w:rsidR="00CA00DF" w:rsidRPr="008A3375"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6</w:t>
            </w: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0</w:t>
            </w:r>
          </w:p>
        </w:tc>
        <w:tc>
          <w:tcPr>
            <w:tcW w:w="781"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0</w:t>
            </w: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7</w:t>
            </w:r>
          </w:p>
        </w:tc>
        <w:tc>
          <w:tcPr>
            <w:tcW w:w="781"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4</w:t>
            </w:r>
          </w:p>
        </w:tc>
      </w:tr>
      <w:tr w:rsidR="00CA00DF" w:rsidRPr="008A3375" w:rsidTr="00A8311B">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CA00DF" w:rsidRPr="008A3375" w:rsidRDefault="00CA00DF" w:rsidP="001509AF">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5. Investīciju deflators</w:t>
            </w:r>
          </w:p>
        </w:tc>
        <w:tc>
          <w:tcPr>
            <w:tcW w:w="1114" w:type="dxa"/>
            <w:vAlign w:val="center"/>
          </w:tcPr>
          <w:p w:rsidR="00CA00DF" w:rsidRPr="008A3375"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rsidR="00CA00DF" w:rsidRPr="008A3375"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0</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8</w:t>
            </w: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3</w:t>
            </w:r>
          </w:p>
        </w:tc>
        <w:tc>
          <w:tcPr>
            <w:tcW w:w="781"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2</w:t>
            </w: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9</w:t>
            </w:r>
          </w:p>
        </w:tc>
        <w:tc>
          <w:tcPr>
            <w:tcW w:w="781"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0</w:t>
            </w:r>
          </w:p>
        </w:tc>
      </w:tr>
      <w:tr w:rsidR="00CA00DF" w:rsidRPr="008A3375" w:rsidTr="00A831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CA00DF" w:rsidRPr="008A3375" w:rsidRDefault="00CA00DF" w:rsidP="001509AF">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6. Eksporta (preču un pakalpojumu) deflators</w:t>
            </w:r>
          </w:p>
        </w:tc>
        <w:tc>
          <w:tcPr>
            <w:tcW w:w="1114" w:type="dxa"/>
            <w:vAlign w:val="center"/>
          </w:tcPr>
          <w:p w:rsidR="00CA00DF" w:rsidRPr="008A3375"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rsidR="00CA00DF" w:rsidRPr="008A3375"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5</w:t>
            </w: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4</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3</w:t>
            </w:r>
          </w:p>
        </w:tc>
        <w:tc>
          <w:tcPr>
            <w:tcW w:w="781"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4</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3</w:t>
            </w:r>
          </w:p>
        </w:tc>
        <w:tc>
          <w:tcPr>
            <w:tcW w:w="780"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4</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3</w:t>
            </w:r>
          </w:p>
        </w:tc>
        <w:tc>
          <w:tcPr>
            <w:tcW w:w="781" w:type="dxa"/>
            <w:vAlign w:val="center"/>
          </w:tcPr>
          <w:p w:rsidR="00CA00DF" w:rsidRPr="008A3375"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4</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3</w:t>
            </w:r>
          </w:p>
        </w:tc>
      </w:tr>
      <w:tr w:rsidR="00CA00DF" w:rsidRPr="008A3375" w:rsidTr="00A8311B">
        <w:trPr>
          <w:jc w:val="center"/>
        </w:trPr>
        <w:tc>
          <w:tcPr>
            <w:cnfStyle w:val="001000000000" w:firstRow="0" w:lastRow="0" w:firstColumn="1" w:lastColumn="0" w:oddVBand="0" w:evenVBand="0" w:oddHBand="0" w:evenHBand="0" w:firstRowFirstColumn="0" w:firstRowLastColumn="0" w:lastRowFirstColumn="0" w:lastRowLastColumn="0"/>
            <w:tcW w:w="3285" w:type="dxa"/>
            <w:hideMark/>
          </w:tcPr>
          <w:p w:rsidR="00CA00DF" w:rsidRPr="008A3375" w:rsidRDefault="00CA00DF" w:rsidP="001509AF">
            <w:pPr>
              <w:spacing w:line="256" w:lineRule="auto"/>
              <w:rPr>
                <w:rFonts w:ascii="Times New Roman" w:eastAsia="Times New Roman" w:hAnsi="Times New Roman" w:cs="Times New Roman"/>
                <w:b w:val="0"/>
                <w:noProof/>
                <w:snapToGrid w:val="0"/>
                <w:color w:val="auto"/>
                <w:sz w:val="20"/>
                <w:szCs w:val="20"/>
              </w:rPr>
            </w:pPr>
            <w:r w:rsidRPr="008A3375">
              <w:rPr>
                <w:rFonts w:ascii="Times New Roman" w:eastAsia="Times New Roman" w:hAnsi="Times New Roman" w:cs="Times New Roman"/>
                <w:b w:val="0"/>
                <w:noProof/>
                <w:snapToGrid w:val="0"/>
                <w:color w:val="auto"/>
                <w:sz w:val="20"/>
                <w:szCs w:val="20"/>
              </w:rPr>
              <w:t>7. Importa (preču un pakalpojumu) deflators</w:t>
            </w:r>
          </w:p>
        </w:tc>
        <w:tc>
          <w:tcPr>
            <w:tcW w:w="1114" w:type="dxa"/>
            <w:vAlign w:val="center"/>
          </w:tcPr>
          <w:p w:rsidR="00CA00DF" w:rsidRPr="008A3375"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850" w:type="dxa"/>
            <w:vAlign w:val="center"/>
          </w:tcPr>
          <w:p w:rsidR="00CA00DF" w:rsidRPr="008A3375"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2</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8</w:t>
            </w: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6</w:t>
            </w:r>
          </w:p>
        </w:tc>
        <w:tc>
          <w:tcPr>
            <w:tcW w:w="781"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6</w:t>
            </w:r>
          </w:p>
        </w:tc>
        <w:tc>
          <w:tcPr>
            <w:tcW w:w="780"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6</w:t>
            </w:r>
          </w:p>
        </w:tc>
        <w:tc>
          <w:tcPr>
            <w:tcW w:w="781" w:type="dxa"/>
            <w:vAlign w:val="center"/>
          </w:tcPr>
          <w:p w:rsidR="00CA00DF" w:rsidRPr="008A3375"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A3375">
              <w:rPr>
                <w:rFonts w:ascii="Times New Roman" w:hAnsi="Times New Roman" w:cs="Times New Roman"/>
                <w:color w:val="auto"/>
                <w:sz w:val="20"/>
                <w:szCs w:val="20"/>
              </w:rPr>
              <w:t>3</w:t>
            </w:r>
            <w:r>
              <w:rPr>
                <w:rFonts w:ascii="Times New Roman" w:hAnsi="Times New Roman" w:cs="Times New Roman"/>
                <w:color w:val="auto"/>
                <w:sz w:val="20"/>
                <w:szCs w:val="20"/>
              </w:rPr>
              <w:t>,</w:t>
            </w:r>
            <w:r w:rsidRPr="008A3375">
              <w:rPr>
                <w:rFonts w:ascii="Times New Roman" w:hAnsi="Times New Roman" w:cs="Times New Roman"/>
                <w:color w:val="auto"/>
                <w:sz w:val="20"/>
                <w:szCs w:val="20"/>
              </w:rPr>
              <w:t>6</w:t>
            </w:r>
          </w:p>
        </w:tc>
      </w:tr>
    </w:tbl>
    <w:p w:rsidR="00CA00DF" w:rsidRPr="00F51615" w:rsidRDefault="00CA00DF" w:rsidP="00736241">
      <w:pPr>
        <w:spacing w:after="0" w:line="240" w:lineRule="auto"/>
        <w:rPr>
          <w:rFonts w:ascii="Times New Roman" w:hAnsi="Times New Roman" w:cs="Times New Roman"/>
          <w:b/>
          <w:color w:val="000000"/>
        </w:rPr>
      </w:pPr>
    </w:p>
    <w:p w:rsidR="00CA00DF" w:rsidRPr="00C81719" w:rsidRDefault="00CA00DF" w:rsidP="00736241">
      <w:pPr>
        <w:spacing w:after="0" w:line="240" w:lineRule="auto"/>
        <w:rPr>
          <w:rFonts w:ascii="Times New Roman" w:hAnsi="Times New Roman" w:cs="Times New Roman"/>
          <w:b/>
          <w:color w:val="000000"/>
          <w:sz w:val="24"/>
        </w:rPr>
      </w:pPr>
      <w:r>
        <w:rPr>
          <w:rFonts w:ascii="Times New Roman" w:hAnsi="Times New Roman" w:cs="Times New Roman"/>
          <w:b/>
          <w:color w:val="000000"/>
          <w:sz w:val="24"/>
        </w:rPr>
        <w:t>1c.</w:t>
      </w:r>
      <w:r w:rsidRPr="00C81719">
        <w:rPr>
          <w:rFonts w:ascii="Times New Roman" w:hAnsi="Times New Roman" w:cs="Times New Roman"/>
          <w:b/>
          <w:color w:val="000000"/>
          <w:sz w:val="24"/>
        </w:rPr>
        <w:t>tabula. Darba tirgus attīstība</w:t>
      </w:r>
    </w:p>
    <w:tbl>
      <w:tblPr>
        <w:tblStyle w:val="GridTable6Colorful-Accent11"/>
        <w:tblW w:w="9151" w:type="dxa"/>
        <w:jc w:val="center"/>
        <w:tblLayout w:type="fixed"/>
        <w:tblLook w:val="04A0" w:firstRow="1" w:lastRow="0" w:firstColumn="1" w:lastColumn="0" w:noHBand="0" w:noVBand="1"/>
      </w:tblPr>
      <w:tblGrid>
        <w:gridCol w:w="3182"/>
        <w:gridCol w:w="686"/>
        <w:gridCol w:w="1372"/>
        <w:gridCol w:w="782"/>
        <w:gridCol w:w="782"/>
        <w:gridCol w:w="782"/>
        <w:gridCol w:w="782"/>
        <w:gridCol w:w="783"/>
      </w:tblGrid>
      <w:tr w:rsidR="00CA00DF" w:rsidRPr="00E055A8" w:rsidTr="00FC55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E055A8" w:rsidRDefault="00CA00DF" w:rsidP="001509AF">
            <w:pPr>
              <w:rPr>
                <w:rFonts w:ascii="Times New Roman" w:eastAsia="Times New Roman" w:hAnsi="Times New Roman" w:cs="Times New Roman"/>
                <w:color w:val="auto"/>
                <w:sz w:val="20"/>
                <w:szCs w:val="20"/>
              </w:rPr>
            </w:pPr>
          </w:p>
        </w:tc>
        <w:tc>
          <w:tcPr>
            <w:tcW w:w="686" w:type="dxa"/>
            <w:vAlign w:val="center"/>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11D34">
              <w:rPr>
                <w:rFonts w:ascii="Times New Roman" w:eastAsia="Times New Roman" w:hAnsi="Times New Roman" w:cs="Times New Roman"/>
                <w:color w:val="auto"/>
                <w:sz w:val="20"/>
                <w:szCs w:val="20"/>
              </w:rPr>
              <w:t>EKS</w:t>
            </w:r>
          </w:p>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11D34">
              <w:rPr>
                <w:rFonts w:ascii="Times New Roman" w:eastAsia="Times New Roman" w:hAnsi="Times New Roman" w:cs="Times New Roman"/>
                <w:color w:val="auto"/>
                <w:sz w:val="20"/>
                <w:szCs w:val="20"/>
              </w:rPr>
              <w:t>Kods</w:t>
            </w:r>
          </w:p>
        </w:tc>
        <w:tc>
          <w:tcPr>
            <w:tcW w:w="1372" w:type="dxa"/>
            <w:vAlign w:val="center"/>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2017</w:t>
            </w:r>
            <w:r w:rsidR="00393D5A" w:rsidRPr="00393D5A">
              <w:rPr>
                <w:rFonts w:ascii="Times New Roman" w:eastAsia="Times New Roman" w:hAnsi="Times New Roman" w:cs="Times New Roman"/>
                <w:b w:val="0"/>
                <w:color w:val="auto"/>
                <w:sz w:val="18"/>
                <w:szCs w:val="20"/>
                <w:vertAlign w:val="superscript"/>
              </w:rPr>
              <w:t>35</w:t>
            </w:r>
          </w:p>
        </w:tc>
        <w:tc>
          <w:tcPr>
            <w:tcW w:w="782" w:type="dxa"/>
            <w:vAlign w:val="center"/>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2017</w:t>
            </w:r>
            <w:r w:rsidR="00393D5A" w:rsidRPr="00393D5A">
              <w:rPr>
                <w:rFonts w:ascii="Times New Roman" w:eastAsia="Times New Roman" w:hAnsi="Times New Roman" w:cs="Times New Roman"/>
                <w:b w:val="0"/>
                <w:color w:val="auto"/>
                <w:sz w:val="18"/>
                <w:szCs w:val="20"/>
                <w:vertAlign w:val="superscript"/>
              </w:rPr>
              <w:t>35</w:t>
            </w:r>
          </w:p>
        </w:tc>
        <w:tc>
          <w:tcPr>
            <w:tcW w:w="782" w:type="dxa"/>
            <w:vAlign w:val="center"/>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2018</w:t>
            </w:r>
          </w:p>
        </w:tc>
        <w:tc>
          <w:tcPr>
            <w:tcW w:w="782" w:type="dxa"/>
            <w:vAlign w:val="center"/>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2019</w:t>
            </w:r>
          </w:p>
        </w:tc>
        <w:tc>
          <w:tcPr>
            <w:tcW w:w="782" w:type="dxa"/>
            <w:vAlign w:val="center"/>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2020</w:t>
            </w:r>
          </w:p>
        </w:tc>
        <w:tc>
          <w:tcPr>
            <w:tcW w:w="783" w:type="dxa"/>
            <w:vAlign w:val="center"/>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2021</w:t>
            </w:r>
          </w:p>
        </w:tc>
      </w:tr>
      <w:tr w:rsidR="00CA00DF" w:rsidRPr="00E055A8" w:rsidTr="00FC55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E055A8" w:rsidRDefault="00CA00DF" w:rsidP="001509AF">
            <w:pPr>
              <w:jc w:val="center"/>
              <w:rPr>
                <w:rFonts w:ascii="Times New Roman" w:eastAsia="Times New Roman" w:hAnsi="Times New Roman" w:cs="Times New Roman"/>
                <w:sz w:val="20"/>
                <w:szCs w:val="20"/>
              </w:rPr>
            </w:pPr>
          </w:p>
        </w:tc>
        <w:tc>
          <w:tcPr>
            <w:tcW w:w="686" w:type="dxa"/>
            <w:vAlign w:val="center"/>
          </w:tcPr>
          <w:p w:rsidR="00CA00DF" w:rsidRPr="00E055A8"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372" w:type="dxa"/>
            <w:vAlign w:val="center"/>
          </w:tcPr>
          <w:p w:rsidR="00CA00DF" w:rsidRPr="00E055A8"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E055A8">
              <w:rPr>
                <w:rFonts w:ascii="Times New Roman" w:eastAsia="Times New Roman" w:hAnsi="Times New Roman" w:cs="Times New Roman"/>
                <w:color w:val="auto"/>
                <w:sz w:val="20"/>
                <w:szCs w:val="20"/>
              </w:rPr>
              <w:t>Līmenis</w:t>
            </w:r>
          </w:p>
        </w:tc>
        <w:tc>
          <w:tcPr>
            <w:tcW w:w="3911" w:type="dxa"/>
            <w:gridSpan w:val="5"/>
            <w:vAlign w:val="center"/>
          </w:tcPr>
          <w:p w:rsidR="00CA00DF" w:rsidRPr="00E055A8"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E055A8">
              <w:rPr>
                <w:rFonts w:ascii="Times New Roman" w:eastAsia="Times New Roman" w:hAnsi="Times New Roman" w:cs="Times New Roman"/>
                <w:color w:val="auto"/>
                <w:sz w:val="20"/>
                <w:szCs w:val="20"/>
              </w:rPr>
              <w:t>Pieaugums %</w:t>
            </w:r>
          </w:p>
        </w:tc>
      </w:tr>
      <w:tr w:rsidR="00CA00DF" w:rsidRPr="00E055A8" w:rsidTr="00FC55D0">
        <w:trPr>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B5365D" w:rsidRDefault="00CA00DF" w:rsidP="001509AF">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1. Nodarbinātība, cilvēki, tūkst</w:t>
            </w:r>
          </w:p>
        </w:tc>
        <w:tc>
          <w:tcPr>
            <w:tcW w:w="686" w:type="dxa"/>
            <w:vAlign w:val="center"/>
          </w:tcPr>
          <w:p w:rsidR="00CA00DF" w:rsidRPr="00E055A8" w:rsidRDefault="00CA00DF" w:rsidP="00A831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0960F7">
              <w:rPr>
                <w:rFonts w:ascii="Times New Roman" w:hAnsi="Times New Roman" w:cs="Times New Roman"/>
                <w:color w:val="auto"/>
                <w:sz w:val="20"/>
              </w:rPr>
              <w:t>893</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0,2</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,1</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,0</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783"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w:t>
            </w:r>
            <w:r w:rsidRPr="00F02172">
              <w:rPr>
                <w:rFonts w:ascii="Times New Roman" w:hAnsi="Times New Roman" w:cs="Times New Roman"/>
                <w:color w:val="auto"/>
                <w:sz w:val="20"/>
              </w:rPr>
              <w:t>0</w:t>
            </w:r>
            <w:r>
              <w:rPr>
                <w:rFonts w:ascii="Times New Roman" w:hAnsi="Times New Roman" w:cs="Times New Roman"/>
                <w:color w:val="auto"/>
                <w:sz w:val="20"/>
              </w:rPr>
              <w:t>,1</w:t>
            </w:r>
          </w:p>
        </w:tc>
      </w:tr>
      <w:tr w:rsidR="00CA00DF" w:rsidRPr="00E055A8" w:rsidTr="00FC55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B5365D" w:rsidRDefault="00CA00DF" w:rsidP="001509AF">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2. Nodarbinātība, darba stundas</w:t>
            </w:r>
          </w:p>
        </w:tc>
        <w:tc>
          <w:tcPr>
            <w:tcW w:w="686" w:type="dxa"/>
            <w:vAlign w:val="center"/>
          </w:tcPr>
          <w:p w:rsidR="00CA00DF" w:rsidRPr="00E055A8" w:rsidRDefault="00CA00DF" w:rsidP="00A8311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1A7C47">
              <w:rPr>
                <w:rFonts w:ascii="Times New Roman" w:hAnsi="Times New Roman" w:cs="Times New Roman"/>
                <w:color w:val="auto"/>
                <w:sz w:val="20"/>
              </w:rPr>
              <w:t>1</w:t>
            </w:r>
            <w:r w:rsidR="00FC55D0">
              <w:rPr>
                <w:rFonts w:ascii="Times New Roman" w:hAnsi="Times New Roman" w:cs="Times New Roman"/>
                <w:color w:val="auto"/>
                <w:sz w:val="20"/>
              </w:rPr>
              <w:t> </w:t>
            </w:r>
            <w:r w:rsidRPr="001A7C47">
              <w:rPr>
                <w:rFonts w:ascii="Times New Roman" w:hAnsi="Times New Roman" w:cs="Times New Roman"/>
                <w:color w:val="auto"/>
                <w:sz w:val="20"/>
              </w:rPr>
              <w:t>318</w:t>
            </w:r>
            <w:r w:rsidR="00FC55D0">
              <w:rPr>
                <w:rFonts w:ascii="Times New Roman" w:hAnsi="Times New Roman" w:cs="Times New Roman"/>
                <w:color w:val="auto"/>
                <w:sz w:val="20"/>
              </w:rPr>
              <w:t> </w:t>
            </w:r>
            <w:r w:rsidRPr="001A7C47">
              <w:rPr>
                <w:rFonts w:ascii="Times New Roman" w:hAnsi="Times New Roman" w:cs="Times New Roman"/>
                <w:color w:val="auto"/>
                <w:sz w:val="20"/>
              </w:rPr>
              <w:t>819</w:t>
            </w:r>
            <w:r w:rsidR="00FC55D0">
              <w:rPr>
                <w:rFonts w:ascii="Times New Roman" w:hAnsi="Times New Roman" w:cs="Times New Roman"/>
                <w:color w:val="auto"/>
                <w:sz w:val="20"/>
              </w:rPr>
              <w:t> </w:t>
            </w:r>
            <w:r w:rsidRPr="001A7C47">
              <w:rPr>
                <w:rFonts w:ascii="Times New Roman" w:hAnsi="Times New Roman" w:cs="Times New Roman"/>
                <w:color w:val="auto"/>
                <w:sz w:val="20"/>
              </w:rPr>
              <w:t>578</w:t>
            </w:r>
          </w:p>
        </w:tc>
        <w:tc>
          <w:tcPr>
            <w:tcW w:w="782" w:type="dxa"/>
            <w:vAlign w:val="center"/>
          </w:tcPr>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0,9</w:t>
            </w:r>
          </w:p>
        </w:tc>
        <w:tc>
          <w:tcPr>
            <w:tcW w:w="782" w:type="dxa"/>
            <w:vAlign w:val="center"/>
          </w:tcPr>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0</w:t>
            </w:r>
            <w:r>
              <w:rPr>
                <w:rFonts w:ascii="Times New Roman" w:hAnsi="Times New Roman" w:cs="Times New Roman"/>
                <w:color w:val="auto"/>
                <w:sz w:val="20"/>
              </w:rPr>
              <w:t>,1</w:t>
            </w:r>
          </w:p>
        </w:tc>
        <w:tc>
          <w:tcPr>
            <w:tcW w:w="782"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highlight w:val="yellow"/>
              </w:rPr>
            </w:pPr>
            <w:r w:rsidRPr="00F02172">
              <w:rPr>
                <w:rFonts w:ascii="Times New Roman" w:hAnsi="Times New Roman" w:cs="Times New Roman"/>
                <w:color w:val="auto"/>
                <w:sz w:val="20"/>
              </w:rPr>
              <w:t>0</w:t>
            </w:r>
            <w:r>
              <w:rPr>
                <w:rFonts w:ascii="Times New Roman" w:hAnsi="Times New Roman" w:cs="Times New Roman"/>
                <w:color w:val="auto"/>
                <w:sz w:val="20"/>
              </w:rPr>
              <w:t>,0</w:t>
            </w:r>
          </w:p>
        </w:tc>
        <w:tc>
          <w:tcPr>
            <w:tcW w:w="782"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highlight w:val="yellow"/>
              </w:rPr>
            </w:pPr>
            <w:r w:rsidRPr="00F02172">
              <w:rPr>
                <w:rFonts w:ascii="Times New Roman" w:hAnsi="Times New Roman" w:cs="Times New Roman"/>
                <w:color w:val="auto"/>
                <w:sz w:val="20"/>
              </w:rPr>
              <w:t>0</w:t>
            </w:r>
            <w:r>
              <w:rPr>
                <w:rFonts w:ascii="Times New Roman" w:hAnsi="Times New Roman" w:cs="Times New Roman"/>
                <w:color w:val="auto"/>
                <w:sz w:val="20"/>
              </w:rPr>
              <w:t>,</w:t>
            </w:r>
            <w:r w:rsidRPr="00F02172">
              <w:rPr>
                <w:rFonts w:ascii="Times New Roman" w:hAnsi="Times New Roman" w:cs="Times New Roman"/>
                <w:color w:val="auto"/>
                <w:sz w:val="20"/>
              </w:rPr>
              <w:t>0</w:t>
            </w:r>
          </w:p>
        </w:tc>
        <w:tc>
          <w:tcPr>
            <w:tcW w:w="783"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highlight w:val="yellow"/>
              </w:rPr>
            </w:pPr>
            <w:r>
              <w:rPr>
                <w:rFonts w:ascii="Times New Roman" w:hAnsi="Times New Roman" w:cs="Times New Roman"/>
                <w:color w:val="auto"/>
                <w:sz w:val="20"/>
              </w:rPr>
              <w:t>-</w:t>
            </w:r>
            <w:r w:rsidRPr="00F02172">
              <w:rPr>
                <w:rFonts w:ascii="Times New Roman" w:hAnsi="Times New Roman" w:cs="Times New Roman"/>
                <w:color w:val="auto"/>
                <w:sz w:val="20"/>
              </w:rPr>
              <w:t>0</w:t>
            </w:r>
            <w:r>
              <w:rPr>
                <w:rFonts w:ascii="Times New Roman" w:hAnsi="Times New Roman" w:cs="Times New Roman"/>
                <w:color w:val="auto"/>
                <w:sz w:val="20"/>
              </w:rPr>
              <w:t>,1</w:t>
            </w:r>
          </w:p>
        </w:tc>
      </w:tr>
      <w:tr w:rsidR="00CA00DF" w:rsidRPr="00E055A8" w:rsidTr="00FC55D0">
        <w:trPr>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B5365D" w:rsidRDefault="00CA00DF" w:rsidP="001509AF">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3. Bezdarba līmenis (%)</w:t>
            </w:r>
          </w:p>
        </w:tc>
        <w:tc>
          <w:tcPr>
            <w:tcW w:w="686" w:type="dxa"/>
            <w:vAlign w:val="center"/>
          </w:tcPr>
          <w:p w:rsidR="00CA00DF" w:rsidRPr="00E055A8" w:rsidRDefault="00CA00DF" w:rsidP="00A831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CA00DF" w:rsidRPr="00DD2914" w:rsidRDefault="00CA00DF" w:rsidP="00A8311B">
            <w:pPr>
              <w:tabs>
                <w:tab w:val="decimal" w:pos="511"/>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8,7</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8,0</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7,7</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7,2</w:t>
            </w:r>
          </w:p>
        </w:tc>
        <w:tc>
          <w:tcPr>
            <w:tcW w:w="783"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7,0</w:t>
            </w:r>
          </w:p>
        </w:tc>
      </w:tr>
      <w:tr w:rsidR="00CA00DF" w:rsidRPr="00E055A8" w:rsidTr="00FC55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B5365D" w:rsidRDefault="00CA00DF" w:rsidP="001509AF">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4. Darba ražīgums, uz nodarbināto</w:t>
            </w:r>
          </w:p>
        </w:tc>
        <w:tc>
          <w:tcPr>
            <w:tcW w:w="686" w:type="dxa"/>
            <w:vAlign w:val="center"/>
          </w:tcPr>
          <w:p w:rsidR="00CA00DF" w:rsidRPr="00E055A8" w:rsidRDefault="00CA00DF" w:rsidP="00A8311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CA00DF" w:rsidRPr="00DD2914" w:rsidRDefault="00CA00DF" w:rsidP="00A8311B">
            <w:pPr>
              <w:tabs>
                <w:tab w:val="decimal" w:pos="511"/>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782" w:type="dxa"/>
            <w:vAlign w:val="center"/>
          </w:tcPr>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4,3</w:t>
            </w:r>
          </w:p>
        </w:tc>
        <w:tc>
          <w:tcPr>
            <w:tcW w:w="782" w:type="dxa"/>
            <w:vAlign w:val="center"/>
          </w:tcPr>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3,9</w:t>
            </w:r>
          </w:p>
        </w:tc>
        <w:tc>
          <w:tcPr>
            <w:tcW w:w="782" w:type="dxa"/>
            <w:vAlign w:val="center"/>
          </w:tcPr>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3,4</w:t>
            </w:r>
          </w:p>
        </w:tc>
        <w:tc>
          <w:tcPr>
            <w:tcW w:w="782" w:type="dxa"/>
            <w:vAlign w:val="center"/>
          </w:tcPr>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3,0</w:t>
            </w:r>
          </w:p>
        </w:tc>
        <w:tc>
          <w:tcPr>
            <w:tcW w:w="783" w:type="dxa"/>
            <w:vAlign w:val="center"/>
          </w:tcPr>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3,0</w:t>
            </w:r>
          </w:p>
        </w:tc>
      </w:tr>
      <w:tr w:rsidR="00CA00DF" w:rsidRPr="00E055A8" w:rsidTr="00FC55D0">
        <w:trPr>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B5365D" w:rsidRDefault="00CA00DF" w:rsidP="001509AF">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5. Darba ražīgums, uz darba stundu</w:t>
            </w:r>
          </w:p>
        </w:tc>
        <w:tc>
          <w:tcPr>
            <w:tcW w:w="686" w:type="dxa"/>
            <w:vAlign w:val="center"/>
          </w:tcPr>
          <w:p w:rsidR="00CA00DF" w:rsidRPr="00E055A8" w:rsidRDefault="00CA00DF" w:rsidP="00A831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CA00DF" w:rsidRPr="00DD2914" w:rsidRDefault="00CA00DF" w:rsidP="00A8311B">
            <w:pPr>
              <w:tabs>
                <w:tab w:val="decimal" w:pos="511"/>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782"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3,6</w:t>
            </w:r>
          </w:p>
        </w:tc>
        <w:tc>
          <w:tcPr>
            <w:tcW w:w="782"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3,9</w:t>
            </w:r>
          </w:p>
        </w:tc>
        <w:tc>
          <w:tcPr>
            <w:tcW w:w="782"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3,4</w:t>
            </w:r>
          </w:p>
        </w:tc>
        <w:tc>
          <w:tcPr>
            <w:tcW w:w="782"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3,0</w:t>
            </w:r>
          </w:p>
        </w:tc>
        <w:tc>
          <w:tcPr>
            <w:tcW w:w="783"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3,0</w:t>
            </w:r>
          </w:p>
        </w:tc>
      </w:tr>
      <w:tr w:rsidR="00CA00DF" w:rsidRPr="00E055A8" w:rsidTr="00FC55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B5365D" w:rsidRDefault="00CA00DF" w:rsidP="001509AF">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t xml:space="preserve">6. Atlīdzība nodarbinātajiem, milj. </w:t>
            </w:r>
            <w:r w:rsidRPr="00B5365D">
              <w:rPr>
                <w:rFonts w:ascii="Times New Roman" w:eastAsia="Times New Roman" w:hAnsi="Times New Roman" w:cs="Times New Roman"/>
                <w:b w:val="0"/>
                <w:i/>
                <w:snapToGrid w:val="0"/>
                <w:color w:val="auto"/>
                <w:sz w:val="20"/>
                <w:szCs w:val="20"/>
              </w:rPr>
              <w:t>euro</w:t>
            </w:r>
            <w:r w:rsidRPr="00B5365D">
              <w:rPr>
                <w:rFonts w:ascii="Times New Roman" w:eastAsia="Times New Roman" w:hAnsi="Times New Roman" w:cs="Times New Roman"/>
                <w:b w:val="0"/>
                <w:snapToGrid w:val="0"/>
                <w:color w:val="auto"/>
                <w:sz w:val="20"/>
                <w:szCs w:val="20"/>
              </w:rPr>
              <w:t>, faktiskās cenās</w:t>
            </w:r>
          </w:p>
        </w:tc>
        <w:tc>
          <w:tcPr>
            <w:tcW w:w="686" w:type="dxa"/>
            <w:vAlign w:val="center"/>
          </w:tcPr>
          <w:p w:rsidR="00CA00DF" w:rsidRPr="00E055A8" w:rsidRDefault="00CA00DF" w:rsidP="00A8311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E055A8">
              <w:rPr>
                <w:rFonts w:ascii="Times New Roman" w:eastAsia="Times New Roman" w:hAnsi="Times New Roman" w:cs="Times New Roman"/>
                <w:color w:val="auto"/>
                <w:sz w:val="20"/>
                <w:szCs w:val="20"/>
              </w:rPr>
              <w:t>D.1</w:t>
            </w:r>
          </w:p>
        </w:tc>
        <w:tc>
          <w:tcPr>
            <w:tcW w:w="1372" w:type="dxa"/>
            <w:vAlign w:val="center"/>
          </w:tcPr>
          <w:p w:rsidR="00CA00DF"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F02172">
              <w:rPr>
                <w:rFonts w:ascii="Times New Roman" w:hAnsi="Times New Roman" w:cs="Times New Roman"/>
                <w:color w:val="auto"/>
                <w:sz w:val="20"/>
              </w:rPr>
              <w:t>11</w:t>
            </w:r>
            <w:r w:rsidR="00FC55D0">
              <w:rPr>
                <w:rFonts w:ascii="Times New Roman" w:hAnsi="Times New Roman" w:cs="Times New Roman"/>
                <w:color w:val="auto"/>
                <w:sz w:val="20"/>
              </w:rPr>
              <w:t> </w:t>
            </w:r>
            <w:r w:rsidRPr="00F02172">
              <w:rPr>
                <w:rFonts w:ascii="Times New Roman" w:hAnsi="Times New Roman" w:cs="Times New Roman"/>
                <w:color w:val="auto"/>
                <w:sz w:val="20"/>
              </w:rPr>
              <w:t>505</w:t>
            </w:r>
          </w:p>
          <w:p w:rsidR="00CA00DF" w:rsidRPr="00DD2914" w:rsidRDefault="00CA00DF" w:rsidP="00A8311B">
            <w:pPr>
              <w:spacing w:line="25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782"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color w:val="auto"/>
                <w:sz w:val="20"/>
                <w:szCs w:val="20"/>
              </w:rPr>
            </w:pPr>
            <w:r>
              <w:rPr>
                <w:rFonts w:ascii="Times New Roman" w:hAnsi="Times New Roman" w:cs="Times New Roman"/>
                <w:color w:val="auto"/>
                <w:sz w:val="20"/>
              </w:rPr>
              <w:t>8,2</w:t>
            </w:r>
          </w:p>
        </w:tc>
        <w:tc>
          <w:tcPr>
            <w:tcW w:w="782" w:type="dxa"/>
            <w:vAlign w:val="center"/>
          </w:tcPr>
          <w:p w:rsidR="00CA00DF" w:rsidRPr="00DD2914" w:rsidRDefault="00CA00DF" w:rsidP="00A8311B">
            <w:pPr>
              <w:tabs>
                <w:tab w:val="decimal" w:pos="511"/>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8,1</w:t>
            </w:r>
          </w:p>
        </w:tc>
        <w:tc>
          <w:tcPr>
            <w:tcW w:w="782" w:type="dxa"/>
            <w:vAlign w:val="center"/>
          </w:tcPr>
          <w:p w:rsidR="00CA00DF" w:rsidRPr="00DD2914" w:rsidRDefault="00CA00DF" w:rsidP="00A8311B">
            <w:pPr>
              <w:tabs>
                <w:tab w:val="decimal" w:pos="511"/>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6,0</w:t>
            </w:r>
          </w:p>
        </w:tc>
        <w:tc>
          <w:tcPr>
            <w:tcW w:w="782" w:type="dxa"/>
            <w:vAlign w:val="center"/>
          </w:tcPr>
          <w:p w:rsidR="00CA00DF" w:rsidRPr="00DD2914" w:rsidRDefault="00CA00DF" w:rsidP="00A8311B">
            <w:pPr>
              <w:tabs>
                <w:tab w:val="decimal" w:pos="511"/>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5,5</w:t>
            </w:r>
          </w:p>
        </w:tc>
        <w:tc>
          <w:tcPr>
            <w:tcW w:w="783" w:type="dxa"/>
            <w:vAlign w:val="center"/>
          </w:tcPr>
          <w:p w:rsidR="00CA00DF" w:rsidRPr="00DD2914" w:rsidRDefault="00CA00DF" w:rsidP="00A8311B">
            <w:pPr>
              <w:tabs>
                <w:tab w:val="decimal" w:pos="392"/>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4,9</w:t>
            </w:r>
          </w:p>
        </w:tc>
      </w:tr>
      <w:tr w:rsidR="00CA00DF" w:rsidRPr="00E055A8" w:rsidTr="00FC55D0">
        <w:trPr>
          <w:jc w:val="center"/>
        </w:trPr>
        <w:tc>
          <w:tcPr>
            <w:cnfStyle w:val="001000000000" w:firstRow="0" w:lastRow="0" w:firstColumn="1" w:lastColumn="0" w:oddVBand="0" w:evenVBand="0" w:oddHBand="0" w:evenHBand="0" w:firstRowFirstColumn="0" w:firstRowLastColumn="0" w:lastRowFirstColumn="0" w:lastRowLastColumn="0"/>
            <w:tcW w:w="3182" w:type="dxa"/>
          </w:tcPr>
          <w:p w:rsidR="00CA00DF" w:rsidRPr="00B5365D" w:rsidRDefault="00CA00DF" w:rsidP="001509AF">
            <w:pPr>
              <w:spacing w:line="276" w:lineRule="auto"/>
              <w:rPr>
                <w:rFonts w:ascii="Times New Roman" w:eastAsia="Times New Roman" w:hAnsi="Times New Roman" w:cs="Times New Roman"/>
                <w:b w:val="0"/>
                <w:snapToGrid w:val="0"/>
                <w:color w:val="auto"/>
                <w:sz w:val="20"/>
                <w:szCs w:val="20"/>
              </w:rPr>
            </w:pPr>
            <w:r w:rsidRPr="00B5365D">
              <w:rPr>
                <w:rFonts w:ascii="Times New Roman" w:eastAsia="Times New Roman" w:hAnsi="Times New Roman" w:cs="Times New Roman"/>
                <w:b w:val="0"/>
                <w:snapToGrid w:val="0"/>
                <w:color w:val="auto"/>
                <w:sz w:val="20"/>
                <w:szCs w:val="20"/>
              </w:rPr>
              <w:lastRenderedPageBreak/>
              <w:t xml:space="preserve">7. Atlīdzība nodarbinātajam, </w:t>
            </w:r>
            <w:r w:rsidRPr="00B5365D">
              <w:rPr>
                <w:rFonts w:ascii="Times New Roman" w:eastAsia="Times New Roman" w:hAnsi="Times New Roman" w:cs="Times New Roman"/>
                <w:b w:val="0"/>
                <w:i/>
                <w:snapToGrid w:val="0"/>
                <w:color w:val="auto"/>
                <w:sz w:val="20"/>
                <w:szCs w:val="20"/>
              </w:rPr>
              <w:t>euro</w:t>
            </w:r>
          </w:p>
        </w:tc>
        <w:tc>
          <w:tcPr>
            <w:tcW w:w="686" w:type="dxa"/>
            <w:vAlign w:val="center"/>
          </w:tcPr>
          <w:p w:rsidR="00CA00DF" w:rsidRPr="00E055A8" w:rsidRDefault="00CA00DF" w:rsidP="00A831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auto"/>
                <w:sz w:val="20"/>
                <w:szCs w:val="20"/>
              </w:rPr>
            </w:pPr>
          </w:p>
        </w:tc>
        <w:tc>
          <w:tcPr>
            <w:tcW w:w="137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926</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7,8</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8,0</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6,0</w:t>
            </w:r>
          </w:p>
        </w:tc>
        <w:tc>
          <w:tcPr>
            <w:tcW w:w="782"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Pr>
                <w:rFonts w:ascii="Times New Roman" w:hAnsi="Times New Roman" w:cs="Times New Roman"/>
                <w:color w:val="auto"/>
                <w:sz w:val="20"/>
              </w:rPr>
              <w:t>5,5</w:t>
            </w:r>
          </w:p>
        </w:tc>
        <w:tc>
          <w:tcPr>
            <w:tcW w:w="783" w:type="dxa"/>
            <w:vAlign w:val="center"/>
          </w:tcPr>
          <w:p w:rsidR="00CA00DF" w:rsidRPr="00DD2914" w:rsidRDefault="00CA00DF" w:rsidP="00A8311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F02172">
              <w:rPr>
                <w:rFonts w:ascii="Times New Roman" w:hAnsi="Times New Roman" w:cs="Times New Roman"/>
                <w:color w:val="auto"/>
                <w:sz w:val="20"/>
              </w:rPr>
              <w:t>5</w:t>
            </w:r>
            <w:r>
              <w:rPr>
                <w:rFonts w:ascii="Times New Roman" w:hAnsi="Times New Roman" w:cs="Times New Roman"/>
                <w:color w:val="auto"/>
                <w:sz w:val="20"/>
              </w:rPr>
              <w:t>,</w:t>
            </w:r>
            <w:r w:rsidRPr="00F02172">
              <w:rPr>
                <w:rFonts w:ascii="Times New Roman" w:hAnsi="Times New Roman" w:cs="Times New Roman"/>
                <w:color w:val="auto"/>
                <w:sz w:val="20"/>
              </w:rPr>
              <w:t>0</w:t>
            </w:r>
          </w:p>
        </w:tc>
      </w:tr>
    </w:tbl>
    <w:p w:rsidR="006D382A" w:rsidRDefault="006D382A" w:rsidP="00736241">
      <w:pPr>
        <w:pStyle w:val="T"/>
        <w:spacing w:after="0"/>
        <w:ind w:left="0"/>
        <w:rPr>
          <w:rFonts w:ascii="Times New Roman" w:hAnsi="Times New Roman"/>
          <w:color w:val="000000"/>
        </w:rPr>
      </w:pPr>
    </w:p>
    <w:p w:rsidR="00CA00DF" w:rsidRPr="00F51615" w:rsidRDefault="00CA00DF" w:rsidP="00736241">
      <w:pPr>
        <w:pStyle w:val="T"/>
        <w:spacing w:after="0"/>
        <w:ind w:left="0"/>
        <w:rPr>
          <w:rFonts w:ascii="Times New Roman" w:hAnsi="Times New Roman"/>
          <w:color w:val="000000"/>
        </w:rPr>
      </w:pPr>
      <w:r w:rsidRPr="0009714C">
        <w:rPr>
          <w:rFonts w:ascii="Times New Roman" w:hAnsi="Times New Roman"/>
          <w:color w:val="000000"/>
        </w:rPr>
        <w:t>1d.tabula. Sektoru bilances</w:t>
      </w:r>
    </w:p>
    <w:tbl>
      <w:tblPr>
        <w:tblStyle w:val="GridTable6Colorful-Accent11"/>
        <w:tblW w:w="9543" w:type="dxa"/>
        <w:jc w:val="center"/>
        <w:tblLayout w:type="fixed"/>
        <w:tblLook w:val="04A0" w:firstRow="1" w:lastRow="0" w:firstColumn="1" w:lastColumn="0" w:noHBand="0" w:noVBand="1"/>
      </w:tblPr>
      <w:tblGrid>
        <w:gridCol w:w="4649"/>
        <w:gridCol w:w="960"/>
        <w:gridCol w:w="786"/>
        <w:gridCol w:w="787"/>
        <w:gridCol w:w="787"/>
        <w:gridCol w:w="787"/>
        <w:gridCol w:w="787"/>
      </w:tblGrid>
      <w:tr w:rsidR="00CA00DF" w:rsidRPr="00F11D34" w:rsidTr="00A8311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649" w:type="dxa"/>
            <w:vMerge w:val="restart"/>
            <w:vAlign w:val="center"/>
            <w:hideMark/>
          </w:tcPr>
          <w:p w:rsidR="00CA00DF" w:rsidRPr="00F11D34" w:rsidRDefault="00CA00DF" w:rsidP="001509AF">
            <w:pPr>
              <w:jc w:val="center"/>
              <w:rPr>
                <w:rFonts w:ascii="Times New Roman" w:eastAsia="Calibri" w:hAnsi="Times New Roman" w:cs="Times New Roman"/>
                <w:color w:val="000000"/>
                <w:sz w:val="20"/>
                <w:szCs w:val="20"/>
              </w:rPr>
            </w:pPr>
            <w:r w:rsidRPr="00F11D34">
              <w:rPr>
                <w:rFonts w:ascii="Times New Roman" w:eastAsia="Calibri" w:hAnsi="Times New Roman" w:cs="Times New Roman"/>
                <w:color w:val="000000"/>
                <w:sz w:val="20"/>
                <w:szCs w:val="20"/>
              </w:rPr>
              <w:t>% no IKP</w:t>
            </w:r>
          </w:p>
        </w:tc>
        <w:tc>
          <w:tcPr>
            <w:tcW w:w="960" w:type="dxa"/>
            <w:vMerge w:val="restart"/>
            <w:vAlign w:val="center"/>
            <w:hideMark/>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color w:val="000000"/>
                <w:sz w:val="20"/>
                <w:szCs w:val="20"/>
              </w:rPr>
              <w:t>EKS kods</w:t>
            </w:r>
          </w:p>
        </w:tc>
        <w:tc>
          <w:tcPr>
            <w:tcW w:w="786" w:type="dxa"/>
            <w:vMerge w:val="restart"/>
            <w:vAlign w:val="center"/>
            <w:hideMark/>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2017</w:t>
            </w:r>
          </w:p>
        </w:tc>
        <w:tc>
          <w:tcPr>
            <w:tcW w:w="787" w:type="dxa"/>
            <w:vMerge w:val="restart"/>
            <w:vAlign w:val="center"/>
            <w:hideMark/>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2018</w:t>
            </w:r>
          </w:p>
        </w:tc>
        <w:tc>
          <w:tcPr>
            <w:tcW w:w="787" w:type="dxa"/>
            <w:vMerge w:val="restart"/>
            <w:vAlign w:val="center"/>
            <w:hideMark/>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2019</w:t>
            </w:r>
          </w:p>
        </w:tc>
        <w:tc>
          <w:tcPr>
            <w:tcW w:w="787" w:type="dxa"/>
            <w:vMerge w:val="restart"/>
            <w:vAlign w:val="center"/>
            <w:hideMark/>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2020</w:t>
            </w:r>
          </w:p>
        </w:tc>
        <w:tc>
          <w:tcPr>
            <w:tcW w:w="787" w:type="dxa"/>
            <w:vMerge w:val="restart"/>
            <w:vAlign w:val="center"/>
            <w:hideMark/>
          </w:tcPr>
          <w:p w:rsidR="00CA00DF" w:rsidRPr="00F11D34" w:rsidRDefault="00CA00DF"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000000"/>
                <w:sz w:val="20"/>
                <w:szCs w:val="20"/>
              </w:rPr>
            </w:pPr>
            <w:r>
              <w:rPr>
                <w:rFonts w:ascii="Times New Roman" w:eastAsia="Calibri" w:hAnsi="Times New Roman" w:cs="Times New Roman"/>
                <w:bCs w:val="0"/>
                <w:color w:val="000000"/>
                <w:sz w:val="20"/>
                <w:szCs w:val="20"/>
              </w:rPr>
              <w:t>2021</w:t>
            </w:r>
          </w:p>
        </w:tc>
      </w:tr>
      <w:tr w:rsidR="00CA00DF" w:rsidRPr="00F11D34" w:rsidTr="00A8311B">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4649" w:type="dxa"/>
            <w:vMerge/>
            <w:hideMark/>
          </w:tcPr>
          <w:p w:rsidR="00CA00DF" w:rsidRPr="00F11D34" w:rsidRDefault="00CA00DF" w:rsidP="001509AF">
            <w:pPr>
              <w:rPr>
                <w:rFonts w:ascii="Times New Roman" w:eastAsia="Calibri" w:hAnsi="Times New Roman" w:cs="Times New Roman"/>
                <w:b w:val="0"/>
                <w:color w:val="000000"/>
                <w:sz w:val="20"/>
                <w:szCs w:val="20"/>
              </w:rPr>
            </w:pPr>
          </w:p>
        </w:tc>
        <w:tc>
          <w:tcPr>
            <w:tcW w:w="960" w:type="dxa"/>
            <w:vMerge/>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Merge/>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c>
          <w:tcPr>
            <w:tcW w:w="787" w:type="dxa"/>
            <w:vMerge/>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0"/>
                <w:szCs w:val="20"/>
              </w:rPr>
            </w:pPr>
          </w:p>
        </w:tc>
      </w:tr>
      <w:tr w:rsidR="00CA00DF" w:rsidRPr="00F11D34" w:rsidTr="00A8311B">
        <w:trPr>
          <w:trHeight w:val="207"/>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CA00DF" w:rsidRPr="00F11D34" w:rsidRDefault="00CA00DF" w:rsidP="001509AF">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1. Tekošais un kapitāla konts</w:t>
            </w:r>
          </w:p>
        </w:tc>
        <w:tc>
          <w:tcPr>
            <w:tcW w:w="960" w:type="dxa"/>
            <w:vAlign w:val="center"/>
            <w:hideMark/>
          </w:tcPr>
          <w:p w:rsidR="00CA00DF" w:rsidRPr="00F11D3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B.9</w:t>
            </w:r>
          </w:p>
        </w:tc>
        <w:tc>
          <w:tcPr>
            <w:tcW w:w="786"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0</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6</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-2</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3</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-2</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8</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-3</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7</w:t>
            </w:r>
          </w:p>
        </w:tc>
      </w:tr>
      <w:tr w:rsidR="00CA00DF" w:rsidRPr="00F11D34" w:rsidTr="00A8311B">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CA00DF" w:rsidRPr="00F11D34" w:rsidRDefault="00CA00DF" w:rsidP="001509AF">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t.sk.:</w:t>
            </w:r>
          </w:p>
        </w:tc>
        <w:tc>
          <w:tcPr>
            <w:tcW w:w="960" w:type="dxa"/>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noWrap/>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7" w:type="dxa"/>
            <w:noWrap/>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7" w:type="dxa"/>
            <w:noWrap/>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7" w:type="dxa"/>
            <w:noWrap/>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7" w:type="dxa"/>
            <w:noWrap/>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r>
      <w:tr w:rsidR="00CA00DF" w:rsidRPr="00F11D34" w:rsidTr="00A8311B">
        <w:trPr>
          <w:trHeight w:val="230"/>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CA00DF" w:rsidRPr="00F11D34" w:rsidRDefault="00CA00DF" w:rsidP="001509AF">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Preču un pakalpojumu bilance</w:t>
            </w:r>
          </w:p>
        </w:tc>
        <w:tc>
          <w:tcPr>
            <w:tcW w:w="960" w:type="dxa"/>
            <w:vAlign w:val="center"/>
            <w:hideMark/>
          </w:tcPr>
          <w:p w:rsidR="00CA00DF" w:rsidRPr="00F11D3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4</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-3</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6</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2</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-4</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9</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-5</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5</w:t>
            </w:r>
          </w:p>
        </w:tc>
      </w:tr>
      <w:tr w:rsidR="00CA00DF" w:rsidRPr="00F11D34" w:rsidTr="00A8311B">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CA00DF" w:rsidRPr="00F11D34" w:rsidRDefault="00CA00DF" w:rsidP="001509AF">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Ienākumu un pārvedumu bilance</w:t>
            </w:r>
          </w:p>
        </w:tc>
        <w:tc>
          <w:tcPr>
            <w:tcW w:w="960" w:type="dxa"/>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6</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3</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3</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3</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0</w:t>
            </w:r>
          </w:p>
        </w:tc>
      </w:tr>
      <w:tr w:rsidR="00CA00DF" w:rsidRPr="00F11D34" w:rsidTr="00A8311B">
        <w:trPr>
          <w:trHeight w:val="252"/>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CA00DF" w:rsidRPr="00F11D34" w:rsidRDefault="00CA00DF" w:rsidP="001509AF">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 Kapitāla konts</w:t>
            </w:r>
          </w:p>
        </w:tc>
        <w:tc>
          <w:tcPr>
            <w:tcW w:w="960" w:type="dxa"/>
            <w:vAlign w:val="center"/>
            <w:hideMark/>
          </w:tcPr>
          <w:p w:rsidR="00CA00DF" w:rsidRPr="00F11D3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8</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8</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6</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7</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8</w:t>
            </w:r>
          </w:p>
        </w:tc>
      </w:tr>
      <w:tr w:rsidR="00CA00DF" w:rsidRPr="00F11D34" w:rsidTr="00A8311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CA00DF" w:rsidRPr="00F11D34" w:rsidRDefault="00CA00DF" w:rsidP="001509AF">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2. Neto aizdevumi/ aizņemšanās privātajā sektorā</w:t>
            </w:r>
          </w:p>
        </w:tc>
        <w:tc>
          <w:tcPr>
            <w:tcW w:w="960" w:type="dxa"/>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B.9</w:t>
            </w:r>
          </w:p>
        </w:tc>
        <w:tc>
          <w:tcPr>
            <w:tcW w:w="786"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5</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7</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-1</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4</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-2</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4</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-3</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3</w:t>
            </w:r>
          </w:p>
        </w:tc>
      </w:tr>
      <w:tr w:rsidR="00CA00DF" w:rsidRPr="00F11D34" w:rsidTr="00A8311B">
        <w:trPr>
          <w:trHeight w:val="272"/>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CA00DF" w:rsidRPr="00F11D34" w:rsidRDefault="00CA00DF" w:rsidP="001509AF">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3. Neto aizdevumi/ aizņemšanās vispārējās valdības sektorā</w:t>
            </w:r>
          </w:p>
        </w:tc>
        <w:tc>
          <w:tcPr>
            <w:tcW w:w="960" w:type="dxa"/>
            <w:vAlign w:val="center"/>
            <w:hideMark/>
          </w:tcPr>
          <w:p w:rsidR="00CA00DF" w:rsidRPr="00F11D3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F11D34">
              <w:rPr>
                <w:rFonts w:ascii="Times New Roman" w:eastAsia="Calibri" w:hAnsi="Times New Roman" w:cs="Times New Roman"/>
                <w:snapToGrid w:val="0"/>
                <w:color w:val="000000"/>
                <w:sz w:val="20"/>
                <w:szCs w:val="20"/>
              </w:rPr>
              <w:t>EDP B.9</w:t>
            </w:r>
          </w:p>
        </w:tc>
        <w:tc>
          <w:tcPr>
            <w:tcW w:w="786"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5</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9</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9</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4</w:t>
            </w:r>
          </w:p>
        </w:tc>
        <w:tc>
          <w:tcPr>
            <w:tcW w:w="787" w:type="dxa"/>
            <w:vAlign w:val="center"/>
          </w:tcPr>
          <w:p w:rsidR="00CA00DF" w:rsidRPr="00DD2914" w:rsidRDefault="00CA00DF"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D67863">
              <w:rPr>
                <w:rFonts w:ascii="Times New Roman" w:eastAsia="Times New Roman" w:hAnsi="Times New Roman" w:cs="Times New Roman"/>
                <w:color w:val="000000"/>
                <w:sz w:val="20"/>
                <w:szCs w:val="20"/>
                <w:lang w:eastAsia="lv-LV"/>
              </w:rPr>
              <w:t>-0</w:t>
            </w:r>
            <w:r>
              <w:rPr>
                <w:rFonts w:ascii="Times New Roman" w:eastAsia="Times New Roman" w:hAnsi="Times New Roman" w:cs="Times New Roman"/>
                <w:color w:val="000000"/>
                <w:sz w:val="20"/>
                <w:szCs w:val="20"/>
                <w:lang w:eastAsia="lv-LV"/>
              </w:rPr>
              <w:t>,</w:t>
            </w:r>
            <w:r w:rsidRPr="00D67863">
              <w:rPr>
                <w:rFonts w:ascii="Times New Roman" w:eastAsia="Times New Roman" w:hAnsi="Times New Roman" w:cs="Times New Roman"/>
                <w:color w:val="000000"/>
                <w:sz w:val="20"/>
                <w:szCs w:val="20"/>
                <w:lang w:eastAsia="lv-LV"/>
              </w:rPr>
              <w:t>4</w:t>
            </w:r>
          </w:p>
        </w:tc>
      </w:tr>
      <w:tr w:rsidR="00CA00DF" w:rsidRPr="00F11D34" w:rsidTr="00A8311B">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649" w:type="dxa"/>
            <w:hideMark/>
          </w:tcPr>
          <w:p w:rsidR="00CA00DF" w:rsidRPr="00F11D34" w:rsidRDefault="00CA00DF" w:rsidP="001509AF">
            <w:pPr>
              <w:rPr>
                <w:rFonts w:ascii="Times New Roman" w:eastAsia="Calibri" w:hAnsi="Times New Roman" w:cs="Times New Roman"/>
                <w:b w:val="0"/>
                <w:color w:val="000000"/>
                <w:sz w:val="20"/>
                <w:szCs w:val="20"/>
              </w:rPr>
            </w:pPr>
            <w:r w:rsidRPr="00F11D34">
              <w:rPr>
                <w:rFonts w:ascii="Times New Roman" w:eastAsia="Calibri" w:hAnsi="Times New Roman" w:cs="Times New Roman"/>
                <w:b w:val="0"/>
                <w:snapToGrid w:val="0"/>
                <w:color w:val="000000"/>
                <w:sz w:val="20"/>
                <w:szCs w:val="20"/>
              </w:rPr>
              <w:t>4. Statistiskā novirze</w:t>
            </w:r>
          </w:p>
        </w:tc>
        <w:tc>
          <w:tcPr>
            <w:tcW w:w="960" w:type="dxa"/>
            <w:vAlign w:val="center"/>
            <w:hideMark/>
          </w:tcPr>
          <w:p w:rsidR="00CA00DF" w:rsidRPr="00F11D3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786"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D67863">
              <w:rPr>
                <w:rFonts w:ascii="Times New Roman" w:eastAsia="Times New Roman" w:hAnsi="Times New Roman" w:cs="Times New Roman"/>
                <w:i/>
                <w:iCs/>
                <w:color w:val="000000"/>
                <w:sz w:val="20"/>
                <w:szCs w:val="20"/>
                <w:lang w:eastAsia="lv-LV"/>
              </w:rPr>
              <w:t>0</w:t>
            </w:r>
            <w:r>
              <w:rPr>
                <w:rFonts w:ascii="Times New Roman" w:eastAsia="Times New Roman" w:hAnsi="Times New Roman" w:cs="Times New Roman"/>
                <w:i/>
                <w:iCs/>
                <w:color w:val="000000"/>
                <w:sz w:val="20"/>
                <w:szCs w:val="20"/>
                <w:lang w:eastAsia="lv-LV"/>
              </w:rPr>
              <w:t>,</w:t>
            </w:r>
            <w:r w:rsidRPr="00D67863">
              <w:rPr>
                <w:rFonts w:ascii="Times New Roman" w:eastAsia="Times New Roman" w:hAnsi="Times New Roman" w:cs="Times New Roman"/>
                <w:i/>
                <w:iCs/>
                <w:color w:val="000000"/>
                <w:sz w:val="20"/>
                <w:szCs w:val="20"/>
                <w:lang w:eastAsia="lv-LV"/>
              </w:rPr>
              <w:t>0</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D67863">
              <w:rPr>
                <w:rFonts w:ascii="Times New Roman" w:eastAsia="Times New Roman" w:hAnsi="Times New Roman" w:cs="Times New Roman"/>
                <w:i/>
                <w:iCs/>
                <w:color w:val="000000"/>
                <w:sz w:val="20"/>
                <w:szCs w:val="20"/>
                <w:lang w:eastAsia="lv-LV"/>
              </w:rPr>
              <w:t>0</w:t>
            </w:r>
            <w:r>
              <w:rPr>
                <w:rFonts w:ascii="Times New Roman" w:eastAsia="Times New Roman" w:hAnsi="Times New Roman" w:cs="Times New Roman"/>
                <w:i/>
                <w:iCs/>
                <w:color w:val="000000"/>
                <w:sz w:val="20"/>
                <w:szCs w:val="20"/>
                <w:lang w:eastAsia="lv-LV"/>
              </w:rPr>
              <w:t>,</w:t>
            </w:r>
            <w:r w:rsidRPr="00D67863">
              <w:rPr>
                <w:rFonts w:ascii="Times New Roman" w:eastAsia="Times New Roman" w:hAnsi="Times New Roman" w:cs="Times New Roman"/>
                <w:i/>
                <w:iCs/>
                <w:color w:val="000000"/>
                <w:sz w:val="20"/>
                <w:szCs w:val="20"/>
                <w:lang w:eastAsia="lv-LV"/>
              </w:rPr>
              <w:t>0</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D67863">
              <w:rPr>
                <w:rFonts w:ascii="Times New Roman" w:eastAsia="Times New Roman" w:hAnsi="Times New Roman" w:cs="Times New Roman"/>
                <w:i/>
                <w:iCs/>
                <w:color w:val="000000"/>
                <w:sz w:val="20"/>
                <w:szCs w:val="20"/>
                <w:lang w:eastAsia="lv-LV"/>
              </w:rPr>
              <w:t>0</w:t>
            </w:r>
            <w:r>
              <w:rPr>
                <w:rFonts w:ascii="Times New Roman" w:eastAsia="Times New Roman" w:hAnsi="Times New Roman" w:cs="Times New Roman"/>
                <w:i/>
                <w:iCs/>
                <w:color w:val="000000"/>
                <w:sz w:val="20"/>
                <w:szCs w:val="20"/>
                <w:lang w:eastAsia="lv-LV"/>
              </w:rPr>
              <w:t>,</w:t>
            </w:r>
            <w:r w:rsidRPr="00D67863">
              <w:rPr>
                <w:rFonts w:ascii="Times New Roman" w:eastAsia="Times New Roman" w:hAnsi="Times New Roman" w:cs="Times New Roman"/>
                <w:i/>
                <w:iCs/>
                <w:color w:val="000000"/>
                <w:sz w:val="20"/>
                <w:szCs w:val="20"/>
                <w:lang w:eastAsia="lv-LV"/>
              </w:rPr>
              <w:t>0</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D67863">
              <w:rPr>
                <w:rFonts w:ascii="Times New Roman" w:eastAsia="Times New Roman" w:hAnsi="Times New Roman" w:cs="Times New Roman"/>
                <w:i/>
                <w:iCs/>
                <w:color w:val="000000"/>
                <w:sz w:val="20"/>
                <w:szCs w:val="20"/>
                <w:lang w:eastAsia="lv-LV"/>
              </w:rPr>
              <w:t>0</w:t>
            </w:r>
            <w:r>
              <w:rPr>
                <w:rFonts w:ascii="Times New Roman" w:eastAsia="Times New Roman" w:hAnsi="Times New Roman" w:cs="Times New Roman"/>
                <w:i/>
                <w:iCs/>
                <w:color w:val="000000"/>
                <w:sz w:val="20"/>
                <w:szCs w:val="20"/>
                <w:lang w:eastAsia="lv-LV"/>
              </w:rPr>
              <w:t>,</w:t>
            </w:r>
            <w:r w:rsidRPr="00D67863">
              <w:rPr>
                <w:rFonts w:ascii="Times New Roman" w:eastAsia="Times New Roman" w:hAnsi="Times New Roman" w:cs="Times New Roman"/>
                <w:i/>
                <w:iCs/>
                <w:color w:val="000000"/>
                <w:sz w:val="20"/>
                <w:szCs w:val="20"/>
                <w:lang w:eastAsia="lv-LV"/>
              </w:rPr>
              <w:t>0</w:t>
            </w:r>
          </w:p>
        </w:tc>
        <w:tc>
          <w:tcPr>
            <w:tcW w:w="787" w:type="dxa"/>
            <w:vAlign w:val="center"/>
          </w:tcPr>
          <w:p w:rsidR="00CA00DF" w:rsidRPr="00DD2914" w:rsidRDefault="00CA00DF"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color w:val="000000"/>
                <w:sz w:val="20"/>
                <w:szCs w:val="20"/>
              </w:rPr>
            </w:pPr>
            <w:r w:rsidRPr="00D67863">
              <w:rPr>
                <w:rFonts w:ascii="Times New Roman" w:eastAsia="Times New Roman" w:hAnsi="Times New Roman" w:cs="Times New Roman"/>
                <w:i/>
                <w:iCs/>
                <w:color w:val="000000"/>
                <w:sz w:val="20"/>
                <w:szCs w:val="20"/>
                <w:lang w:eastAsia="lv-LV"/>
              </w:rPr>
              <w:t>0</w:t>
            </w:r>
            <w:r>
              <w:rPr>
                <w:rFonts w:ascii="Times New Roman" w:eastAsia="Times New Roman" w:hAnsi="Times New Roman" w:cs="Times New Roman"/>
                <w:i/>
                <w:iCs/>
                <w:color w:val="000000"/>
                <w:sz w:val="20"/>
                <w:szCs w:val="20"/>
                <w:lang w:eastAsia="lv-LV"/>
              </w:rPr>
              <w:t>,</w:t>
            </w:r>
            <w:r w:rsidRPr="00D67863">
              <w:rPr>
                <w:rFonts w:ascii="Times New Roman" w:eastAsia="Times New Roman" w:hAnsi="Times New Roman" w:cs="Times New Roman"/>
                <w:i/>
                <w:iCs/>
                <w:color w:val="000000"/>
                <w:sz w:val="20"/>
                <w:szCs w:val="20"/>
                <w:lang w:eastAsia="lv-LV"/>
              </w:rPr>
              <w:t>0</w:t>
            </w:r>
          </w:p>
        </w:tc>
      </w:tr>
    </w:tbl>
    <w:p w:rsidR="00736241" w:rsidRDefault="00736241" w:rsidP="00FC55D0">
      <w:pPr>
        <w:spacing w:after="0"/>
        <w:rPr>
          <w:rFonts w:ascii="Times New Roman" w:hAnsi="Times New Roman" w:cs="Times New Roman"/>
          <w:b/>
          <w:color w:val="000000"/>
          <w:sz w:val="24"/>
          <w:szCs w:val="24"/>
        </w:rPr>
      </w:pPr>
    </w:p>
    <w:p w:rsidR="00094C88" w:rsidRPr="00F51615" w:rsidRDefault="00C81719" w:rsidP="00FC55D0">
      <w:pPr>
        <w:spacing w:after="0"/>
        <w:rPr>
          <w:rFonts w:ascii="Times New Roman" w:hAnsi="Times New Roman" w:cs="Times New Roman"/>
          <w:b/>
          <w:color w:val="000000"/>
          <w:szCs w:val="24"/>
        </w:rPr>
      </w:pPr>
      <w:r>
        <w:rPr>
          <w:rFonts w:ascii="Times New Roman" w:hAnsi="Times New Roman" w:cs="Times New Roman"/>
          <w:b/>
          <w:color w:val="000000"/>
          <w:sz w:val="24"/>
          <w:szCs w:val="24"/>
        </w:rPr>
        <w:t>2a.</w:t>
      </w:r>
      <w:r w:rsidR="00F51615" w:rsidRPr="00C81719">
        <w:rPr>
          <w:rFonts w:ascii="Times New Roman" w:hAnsi="Times New Roman" w:cs="Times New Roman"/>
          <w:b/>
          <w:color w:val="000000"/>
          <w:sz w:val="24"/>
          <w:szCs w:val="24"/>
        </w:rPr>
        <w:t xml:space="preserve">tabula. Vispārējās valdības budžeta attīstība </w:t>
      </w:r>
    </w:p>
    <w:tbl>
      <w:tblPr>
        <w:tblStyle w:val="GridTable6Colorful-Accent11"/>
        <w:tblW w:w="9645" w:type="dxa"/>
        <w:jc w:val="center"/>
        <w:tblLayout w:type="fixed"/>
        <w:tblLook w:val="04A0" w:firstRow="1" w:lastRow="0" w:firstColumn="1" w:lastColumn="0" w:noHBand="0" w:noVBand="1"/>
      </w:tblPr>
      <w:tblGrid>
        <w:gridCol w:w="3681"/>
        <w:gridCol w:w="1134"/>
        <w:gridCol w:w="1134"/>
        <w:gridCol w:w="861"/>
        <w:gridCol w:w="708"/>
        <w:gridCol w:w="709"/>
        <w:gridCol w:w="709"/>
        <w:gridCol w:w="709"/>
      </w:tblGrid>
      <w:tr w:rsidR="00125819" w:rsidRPr="00094C88" w:rsidTr="00A8311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p>
        </w:tc>
        <w:tc>
          <w:tcPr>
            <w:tcW w:w="1134" w:type="dxa"/>
            <w:vAlign w:val="center"/>
            <w:hideMark/>
          </w:tcPr>
          <w:p w:rsidR="00125819" w:rsidRPr="005C3D64" w:rsidRDefault="00125819"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C3D64">
              <w:rPr>
                <w:rFonts w:ascii="Times New Roman" w:eastAsia="Times New Roman" w:hAnsi="Times New Roman" w:cs="Times New Roman"/>
                <w:color w:val="auto"/>
                <w:sz w:val="20"/>
                <w:szCs w:val="20"/>
                <w:lang w:eastAsia="lv-LV"/>
              </w:rPr>
              <w:t>EKS kods</w:t>
            </w:r>
          </w:p>
        </w:tc>
        <w:tc>
          <w:tcPr>
            <w:tcW w:w="1134" w:type="dxa"/>
            <w:vAlign w:val="center"/>
            <w:hideMark/>
          </w:tcPr>
          <w:p w:rsidR="00125819" w:rsidRPr="005C3D64" w:rsidRDefault="00125819"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C3D64">
              <w:rPr>
                <w:rFonts w:ascii="Times New Roman" w:eastAsia="Times New Roman" w:hAnsi="Times New Roman" w:cs="Times New Roman"/>
                <w:color w:val="auto"/>
                <w:sz w:val="20"/>
                <w:szCs w:val="20"/>
                <w:lang w:eastAsia="lv-LV"/>
              </w:rPr>
              <w:t>2017*</w:t>
            </w:r>
          </w:p>
        </w:tc>
        <w:tc>
          <w:tcPr>
            <w:tcW w:w="861" w:type="dxa"/>
            <w:vAlign w:val="center"/>
            <w:hideMark/>
          </w:tcPr>
          <w:p w:rsidR="00125819" w:rsidRPr="005C3D64" w:rsidRDefault="00125819"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C3D64">
              <w:rPr>
                <w:rFonts w:ascii="Times New Roman" w:eastAsia="Times New Roman" w:hAnsi="Times New Roman" w:cs="Times New Roman"/>
                <w:color w:val="auto"/>
                <w:sz w:val="20"/>
                <w:szCs w:val="20"/>
                <w:lang w:eastAsia="lv-LV"/>
              </w:rPr>
              <w:t>2017*</w:t>
            </w:r>
          </w:p>
        </w:tc>
        <w:tc>
          <w:tcPr>
            <w:tcW w:w="708" w:type="dxa"/>
            <w:vAlign w:val="center"/>
            <w:hideMark/>
          </w:tcPr>
          <w:p w:rsidR="00125819" w:rsidRPr="005C3D64" w:rsidRDefault="00125819"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C3D64">
              <w:rPr>
                <w:rFonts w:ascii="Times New Roman" w:eastAsia="Times New Roman" w:hAnsi="Times New Roman" w:cs="Times New Roman"/>
                <w:color w:val="auto"/>
                <w:sz w:val="20"/>
                <w:szCs w:val="20"/>
                <w:lang w:eastAsia="lv-LV"/>
              </w:rPr>
              <w:t>2018</w:t>
            </w:r>
          </w:p>
        </w:tc>
        <w:tc>
          <w:tcPr>
            <w:tcW w:w="709" w:type="dxa"/>
            <w:vAlign w:val="center"/>
            <w:hideMark/>
          </w:tcPr>
          <w:p w:rsidR="00125819" w:rsidRPr="005C3D64" w:rsidRDefault="00125819"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C3D64">
              <w:rPr>
                <w:rFonts w:ascii="Times New Roman" w:eastAsia="Times New Roman" w:hAnsi="Times New Roman" w:cs="Times New Roman"/>
                <w:color w:val="auto"/>
                <w:sz w:val="20"/>
                <w:szCs w:val="20"/>
                <w:lang w:eastAsia="lv-LV"/>
              </w:rPr>
              <w:t>2019</w:t>
            </w:r>
          </w:p>
        </w:tc>
        <w:tc>
          <w:tcPr>
            <w:tcW w:w="709" w:type="dxa"/>
            <w:vAlign w:val="center"/>
            <w:hideMark/>
          </w:tcPr>
          <w:p w:rsidR="00125819" w:rsidRPr="005C3D64" w:rsidRDefault="00125819"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C3D64">
              <w:rPr>
                <w:rFonts w:ascii="Times New Roman" w:eastAsia="Times New Roman" w:hAnsi="Times New Roman" w:cs="Times New Roman"/>
                <w:color w:val="auto"/>
                <w:sz w:val="20"/>
                <w:szCs w:val="20"/>
                <w:lang w:eastAsia="lv-LV"/>
              </w:rPr>
              <w:t>2020</w:t>
            </w:r>
          </w:p>
        </w:tc>
        <w:tc>
          <w:tcPr>
            <w:tcW w:w="709" w:type="dxa"/>
            <w:vAlign w:val="center"/>
            <w:hideMark/>
          </w:tcPr>
          <w:p w:rsidR="00125819" w:rsidRPr="005C3D64" w:rsidRDefault="00125819"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5C3D64">
              <w:rPr>
                <w:rFonts w:ascii="Times New Roman" w:eastAsia="Times New Roman" w:hAnsi="Times New Roman" w:cs="Times New Roman"/>
                <w:color w:val="auto"/>
                <w:sz w:val="20"/>
                <w:szCs w:val="20"/>
                <w:lang w:eastAsia="lv-LV"/>
              </w:rPr>
              <w:t>2021</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 xml:space="preserve">milj. </w:t>
            </w:r>
            <w:r w:rsidRPr="00736241">
              <w:rPr>
                <w:rFonts w:ascii="Times New Roman" w:eastAsia="Times New Roman" w:hAnsi="Times New Roman" w:cs="Times New Roman"/>
                <w:bCs/>
                <w:i/>
                <w:color w:val="auto"/>
                <w:sz w:val="20"/>
                <w:szCs w:val="20"/>
                <w:lang w:eastAsia="lv-LV"/>
              </w:rPr>
              <w:t>euro</w:t>
            </w:r>
          </w:p>
        </w:tc>
        <w:tc>
          <w:tcPr>
            <w:tcW w:w="3696" w:type="dxa"/>
            <w:gridSpan w:val="5"/>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 no IKP</w:t>
            </w:r>
          </w:p>
        </w:tc>
      </w:tr>
      <w:tr w:rsidR="00125819" w:rsidRPr="00094C88" w:rsidTr="00A8311B">
        <w:trPr>
          <w:trHeight w:val="225"/>
          <w:jc w:val="center"/>
        </w:trPr>
        <w:tc>
          <w:tcPr>
            <w:cnfStyle w:val="001000000000" w:firstRow="0" w:lastRow="0" w:firstColumn="1" w:lastColumn="0" w:oddVBand="0" w:evenVBand="0" w:oddHBand="0" w:evenHBand="0" w:firstRowFirstColumn="0" w:firstRowLastColumn="0" w:lastRowFirstColumn="0" w:lastRowLastColumn="0"/>
            <w:tcW w:w="9645" w:type="dxa"/>
            <w:gridSpan w:val="8"/>
            <w:vAlign w:val="center"/>
            <w:hideMark/>
          </w:tcPr>
          <w:p w:rsidR="00125819" w:rsidRPr="00125819" w:rsidRDefault="00125819" w:rsidP="00A8311B">
            <w:pPr>
              <w:jc w:val="cente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Neto aizdevumi (+) vai aizņēmumi (–) (B.9) pa apakš</w:t>
            </w:r>
            <w:r w:rsidR="00C222F0">
              <w:rPr>
                <w:rFonts w:ascii="Times New Roman" w:eastAsia="Times New Roman" w:hAnsi="Times New Roman" w:cs="Times New Roman"/>
                <w:b w:val="0"/>
                <w:color w:val="auto"/>
                <w:sz w:val="20"/>
                <w:szCs w:val="20"/>
                <w:lang w:eastAsia="lv-LV"/>
              </w:rPr>
              <w:t>-</w:t>
            </w:r>
            <w:r w:rsidRPr="00125819">
              <w:rPr>
                <w:rFonts w:ascii="Times New Roman" w:eastAsia="Times New Roman" w:hAnsi="Times New Roman" w:cs="Times New Roman"/>
                <w:b w:val="0"/>
                <w:color w:val="auto"/>
                <w:sz w:val="20"/>
                <w:szCs w:val="20"/>
                <w:lang w:eastAsia="lv-LV"/>
              </w:rPr>
              <w:t>sektoriem</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 Vispārējā valdība</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S.13</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w:t>
            </w:r>
            <w:r w:rsidR="00125819" w:rsidRPr="00125819">
              <w:rPr>
                <w:rFonts w:ascii="Times New Roman" w:eastAsia="Times New Roman" w:hAnsi="Times New Roman" w:cs="Times New Roman"/>
                <w:bCs/>
                <w:color w:val="auto"/>
                <w:sz w:val="20"/>
                <w:szCs w:val="20"/>
                <w:lang w:eastAsia="lv-LV"/>
              </w:rPr>
              <w:t>25,2</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-0,5</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r>
      <w:tr w:rsidR="00125819" w:rsidRPr="00094C88" w:rsidTr="00A8311B">
        <w:trPr>
          <w:trHeight w:val="2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2. Centrālā valdība</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S.1311</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w:t>
            </w:r>
            <w:r w:rsidR="00125819" w:rsidRPr="00125819">
              <w:rPr>
                <w:rFonts w:ascii="Times New Roman" w:eastAsia="Times New Roman" w:hAnsi="Times New Roman" w:cs="Times New Roman"/>
                <w:bCs/>
                <w:color w:val="auto"/>
                <w:sz w:val="20"/>
                <w:szCs w:val="20"/>
                <w:lang w:eastAsia="lv-LV"/>
              </w:rPr>
              <w:t>59,3</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-0,6</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-1,3</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-0,5</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3. Pavalsts valdība</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S.1312</w:t>
            </w:r>
          </w:p>
        </w:tc>
        <w:tc>
          <w:tcPr>
            <w:tcW w:w="1134"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125819" w:rsidRPr="00094C88" w:rsidTr="00A8311B">
        <w:trPr>
          <w:trHeight w:val="18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4. Vietējā valdība</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S.1313</w:t>
            </w:r>
          </w:p>
        </w:tc>
        <w:tc>
          <w:tcPr>
            <w:tcW w:w="1134"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-46,2</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-0,2</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0,0</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5. Sociālās nodrošināšanas fondi</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S.1314</w:t>
            </w:r>
          </w:p>
        </w:tc>
        <w:tc>
          <w:tcPr>
            <w:tcW w:w="1134"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80,3</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0,3</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0,5</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0,3</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r>
      <w:tr w:rsidR="00125819" w:rsidRPr="00094C88" w:rsidTr="00A8311B">
        <w:trPr>
          <w:trHeight w:val="203"/>
          <w:jc w:val="center"/>
        </w:trPr>
        <w:tc>
          <w:tcPr>
            <w:cnfStyle w:val="001000000000" w:firstRow="0" w:lastRow="0" w:firstColumn="1" w:lastColumn="0" w:oddVBand="0" w:evenVBand="0" w:oddHBand="0" w:evenHBand="0" w:firstRowFirstColumn="0" w:firstRowLastColumn="0" w:lastRowFirstColumn="0" w:lastRowLastColumn="0"/>
            <w:tcW w:w="9645" w:type="dxa"/>
            <w:gridSpan w:val="8"/>
            <w:vAlign w:val="center"/>
            <w:hideMark/>
          </w:tcPr>
          <w:p w:rsidR="00125819" w:rsidRPr="00125819" w:rsidRDefault="00125819" w:rsidP="00A8311B">
            <w:pPr>
              <w:jc w:val="cente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Vispārējā valdība (S.13)</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6. Kopējie ieņēmumi</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TR</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9 9</w:t>
            </w:r>
            <w:r w:rsidR="00125819" w:rsidRPr="00125819">
              <w:rPr>
                <w:rFonts w:ascii="Times New Roman" w:eastAsia="Times New Roman" w:hAnsi="Times New Roman" w:cs="Times New Roman"/>
                <w:bCs/>
                <w:color w:val="auto"/>
                <w:sz w:val="20"/>
                <w:szCs w:val="20"/>
                <w:lang w:eastAsia="lv-LV"/>
              </w:rPr>
              <w:t>64,7</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37,1</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36,8</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36,1</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36,4</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35,3</w:t>
            </w:r>
          </w:p>
        </w:tc>
      </w:tr>
      <w:tr w:rsidR="00125819" w:rsidRPr="00094C88" w:rsidTr="00A8311B">
        <w:trPr>
          <w:trHeight w:val="128"/>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7. Kopējie izdevumi</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TE</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10 0</w:t>
            </w:r>
            <w:r w:rsidR="00125819" w:rsidRPr="00125819">
              <w:rPr>
                <w:rFonts w:ascii="Times New Roman" w:eastAsia="Times New Roman" w:hAnsi="Times New Roman" w:cs="Times New Roman"/>
                <w:bCs/>
                <w:color w:val="auto"/>
                <w:sz w:val="20"/>
                <w:szCs w:val="20"/>
                <w:lang w:eastAsia="lv-LV"/>
              </w:rPr>
              <w:t>89,9</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37,6</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37,8</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37,1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36,8</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35,7</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8. Budžeta bilance</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B.9</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w:t>
            </w:r>
            <w:r w:rsidR="00125819" w:rsidRPr="00125819">
              <w:rPr>
                <w:rFonts w:ascii="Times New Roman" w:eastAsia="Times New Roman" w:hAnsi="Times New Roman" w:cs="Times New Roman"/>
                <w:bCs/>
                <w:color w:val="auto"/>
                <w:sz w:val="20"/>
                <w:szCs w:val="20"/>
                <w:lang w:eastAsia="lv-LV"/>
              </w:rPr>
              <w:t>25,2</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-0,5</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r>
      <w:tr w:rsidR="00125819" w:rsidRPr="00094C88" w:rsidTr="00A8311B">
        <w:trPr>
          <w:trHeight w:val="20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9. Procentu izdevumi</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D.41</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2</w:t>
            </w:r>
            <w:r w:rsidR="00125819" w:rsidRPr="00125819">
              <w:rPr>
                <w:rFonts w:ascii="Times New Roman" w:eastAsia="Times New Roman" w:hAnsi="Times New Roman" w:cs="Times New Roman"/>
                <w:bCs/>
                <w:color w:val="auto"/>
                <w:sz w:val="20"/>
                <w:szCs w:val="20"/>
                <w:lang w:eastAsia="lv-LV"/>
              </w:rPr>
              <w:t>64,8</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0,8</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0,9</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0,9</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0,8</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10. Primārā bilance</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w:t>
            </w:r>
            <w:r w:rsidR="00125819" w:rsidRPr="00125819">
              <w:rPr>
                <w:rFonts w:ascii="Times New Roman" w:eastAsia="Times New Roman" w:hAnsi="Times New Roman" w:cs="Times New Roman"/>
                <w:bCs/>
                <w:color w:val="auto"/>
                <w:sz w:val="20"/>
                <w:szCs w:val="20"/>
                <w:lang w:eastAsia="lv-LV"/>
              </w:rPr>
              <w:t>39,6</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0,5</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0,0</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0,5</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r>
      <w:tr w:rsidR="00125819" w:rsidRPr="00094C88" w:rsidTr="00A8311B">
        <w:trPr>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11. Vienreizēji un citi īslaicīgi pasākumi</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9645" w:type="dxa"/>
            <w:gridSpan w:val="8"/>
            <w:vAlign w:val="center"/>
            <w:hideMark/>
          </w:tcPr>
          <w:p w:rsidR="00125819" w:rsidRPr="00125819" w:rsidRDefault="00125819" w:rsidP="00A8311B">
            <w:pPr>
              <w:jc w:val="cente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Ieņēmumu sadaļas</w:t>
            </w:r>
          </w:p>
        </w:tc>
      </w:tr>
      <w:tr w:rsidR="00125819" w:rsidRPr="00094C88" w:rsidTr="00A8311B">
        <w:trPr>
          <w:trHeight w:val="14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12. Nodokļi kopā (12=12a+12b+12c)</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6 0</w:t>
            </w:r>
            <w:r w:rsidR="00125819" w:rsidRPr="00125819">
              <w:rPr>
                <w:rFonts w:ascii="Times New Roman" w:eastAsia="Times New Roman" w:hAnsi="Times New Roman" w:cs="Times New Roman"/>
                <w:bCs/>
                <w:color w:val="auto"/>
                <w:sz w:val="20"/>
                <w:szCs w:val="20"/>
                <w:lang w:eastAsia="lv-LV"/>
              </w:rPr>
              <w:t>92,3</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22,7</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21,4</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20,9</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21,3</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21,0</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12a. Ražošanas un importa nodokļi</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D.2</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3 7</w:t>
            </w:r>
            <w:r w:rsidR="00125819" w:rsidRPr="00125819">
              <w:rPr>
                <w:rFonts w:ascii="Times New Roman" w:eastAsia="Times New Roman" w:hAnsi="Times New Roman" w:cs="Times New Roman"/>
                <w:bCs/>
                <w:color w:val="auto"/>
                <w:sz w:val="20"/>
                <w:szCs w:val="20"/>
                <w:lang w:eastAsia="lv-LV"/>
              </w:rPr>
              <w:t>88,6</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14,1</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14,3</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14,4</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14,5</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14,4</w:t>
            </w:r>
          </w:p>
        </w:tc>
      </w:tr>
      <w:tr w:rsidR="00125819" w:rsidRPr="00094C88" w:rsidTr="00A8311B">
        <w:trPr>
          <w:trHeight w:val="2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12b. Ienākuma un mantas kārtējie nodokļi</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D.5</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2 3</w:t>
            </w:r>
            <w:r w:rsidR="00125819" w:rsidRPr="00125819">
              <w:rPr>
                <w:rFonts w:ascii="Times New Roman" w:eastAsia="Times New Roman" w:hAnsi="Times New Roman" w:cs="Times New Roman"/>
                <w:bCs/>
                <w:color w:val="auto"/>
                <w:sz w:val="20"/>
                <w:szCs w:val="20"/>
                <w:lang w:eastAsia="lv-LV"/>
              </w:rPr>
              <w:t>01,0</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8,6</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7,1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6,5</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6,7</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6,6</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12c. Kapitāla nodokļi</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D.91</w:t>
            </w:r>
          </w:p>
        </w:tc>
        <w:tc>
          <w:tcPr>
            <w:tcW w:w="1134"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2,8</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0,0</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0,0</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0,0</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0,0</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0,0</w:t>
            </w:r>
          </w:p>
        </w:tc>
      </w:tr>
      <w:tr w:rsidR="00125819" w:rsidRPr="00094C88" w:rsidTr="00A8311B">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13. Sociālās iemaksas</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D.61</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2 3</w:t>
            </w:r>
            <w:r w:rsidR="00125819" w:rsidRPr="00125819">
              <w:rPr>
                <w:rFonts w:ascii="Times New Roman" w:eastAsia="Times New Roman" w:hAnsi="Times New Roman" w:cs="Times New Roman"/>
                <w:bCs/>
                <w:color w:val="auto"/>
                <w:sz w:val="20"/>
                <w:szCs w:val="20"/>
                <w:lang w:eastAsia="lv-LV"/>
              </w:rPr>
              <w:t>43,1</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8,7</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9,5</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9,4</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9,4</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9,3</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14. Īpašuma ienākumi</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D.4</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w:t>
            </w:r>
            <w:r w:rsidR="00125819" w:rsidRPr="00125819">
              <w:rPr>
                <w:rFonts w:ascii="Times New Roman" w:eastAsia="Times New Roman" w:hAnsi="Times New Roman" w:cs="Times New Roman"/>
                <w:bCs/>
                <w:color w:val="auto"/>
                <w:sz w:val="20"/>
                <w:szCs w:val="20"/>
                <w:lang w:eastAsia="lv-LV"/>
              </w:rPr>
              <w:t>80,6</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0,7</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0,6</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0,6</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0,5</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r>
      <w:tr w:rsidR="00125819" w:rsidRPr="00094C88" w:rsidTr="00A8311B">
        <w:trPr>
          <w:trHeight w:val="22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15. Pārējie ieņēmumi</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1 3</w:t>
            </w:r>
            <w:r w:rsidR="00125819" w:rsidRPr="00125819">
              <w:rPr>
                <w:rFonts w:ascii="Times New Roman" w:eastAsia="Times New Roman" w:hAnsi="Times New Roman" w:cs="Times New Roman"/>
                <w:bCs/>
                <w:color w:val="auto"/>
                <w:sz w:val="20"/>
                <w:szCs w:val="20"/>
                <w:lang w:eastAsia="lv-LV"/>
              </w:rPr>
              <w:t>48,6</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5,0</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5,3</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5,3</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5,3</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4,8</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16. Kopējie ieņēmumi</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TR</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9 9</w:t>
            </w:r>
            <w:r w:rsidR="00125819" w:rsidRPr="00125819">
              <w:rPr>
                <w:rFonts w:ascii="Times New Roman" w:eastAsia="Times New Roman" w:hAnsi="Times New Roman" w:cs="Times New Roman"/>
                <w:bCs/>
                <w:color w:val="auto"/>
                <w:sz w:val="20"/>
                <w:szCs w:val="20"/>
                <w:lang w:eastAsia="lv-LV"/>
              </w:rPr>
              <w:t>64,7</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37,1</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36,8</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36,1</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36,4</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35,3</w:t>
            </w:r>
          </w:p>
        </w:tc>
      </w:tr>
      <w:tr w:rsidR="00125819" w:rsidRPr="00094C88" w:rsidTr="00A8311B">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Nodokļu slogs (D.2**+D.5+D.61+D.91-D.995)</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8 3</w:t>
            </w:r>
            <w:r w:rsidR="00125819" w:rsidRPr="00125819">
              <w:rPr>
                <w:rFonts w:ascii="Times New Roman" w:eastAsia="Times New Roman" w:hAnsi="Times New Roman" w:cs="Times New Roman"/>
                <w:bCs/>
                <w:color w:val="auto"/>
                <w:sz w:val="20"/>
                <w:szCs w:val="20"/>
                <w:lang w:eastAsia="lv-LV"/>
              </w:rPr>
              <w:t>94,9</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31,3</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30,7</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30,2</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30,5</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30,3</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9645" w:type="dxa"/>
            <w:gridSpan w:val="8"/>
            <w:vAlign w:val="center"/>
            <w:hideMark/>
          </w:tcPr>
          <w:p w:rsidR="00125819" w:rsidRPr="00125819" w:rsidRDefault="00125819" w:rsidP="00A8311B">
            <w:pPr>
              <w:jc w:val="cente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Izdevumu sadaļas</w:t>
            </w:r>
          </w:p>
        </w:tc>
      </w:tr>
      <w:tr w:rsidR="00125819" w:rsidRPr="00094C88" w:rsidTr="00A8311B">
        <w:trPr>
          <w:trHeight w:val="34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17. Atlīdzība nodarbinātajiem un starppatēriņš</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D.1+P.2</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4 4</w:t>
            </w:r>
            <w:r w:rsidR="00125819" w:rsidRPr="00125819">
              <w:rPr>
                <w:rFonts w:ascii="Times New Roman" w:eastAsia="Times New Roman" w:hAnsi="Times New Roman" w:cs="Times New Roman"/>
                <w:bCs/>
                <w:color w:val="auto"/>
                <w:sz w:val="20"/>
                <w:szCs w:val="20"/>
                <w:lang w:eastAsia="lv-LV"/>
              </w:rPr>
              <w:t>17,0</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16,5</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16,8</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16,2</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16,0</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14,9</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17a. Atlīdzība nodarbinātajiem</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D.1</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2 7</w:t>
            </w:r>
            <w:r w:rsidR="00125819" w:rsidRPr="00125819">
              <w:rPr>
                <w:rFonts w:ascii="Times New Roman" w:eastAsia="Times New Roman" w:hAnsi="Times New Roman" w:cs="Times New Roman"/>
                <w:bCs/>
                <w:color w:val="auto"/>
                <w:sz w:val="20"/>
                <w:szCs w:val="20"/>
                <w:lang w:eastAsia="lv-LV"/>
              </w:rPr>
              <w:t>86,8</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10,4</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10,5</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10,1</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9,9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9,5</w:t>
            </w:r>
          </w:p>
        </w:tc>
      </w:tr>
      <w:tr w:rsidR="00125819" w:rsidRPr="00094C88" w:rsidTr="00A8311B">
        <w:trPr>
          <w:trHeight w:val="18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17b. Starppatēriņš</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P.2</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1 6</w:t>
            </w:r>
            <w:r w:rsidR="00125819" w:rsidRPr="00125819">
              <w:rPr>
                <w:rFonts w:ascii="Times New Roman" w:eastAsia="Times New Roman" w:hAnsi="Times New Roman" w:cs="Times New Roman"/>
                <w:bCs/>
                <w:color w:val="auto"/>
                <w:sz w:val="20"/>
                <w:szCs w:val="20"/>
                <w:lang w:eastAsia="lv-LV"/>
              </w:rPr>
              <w:t>30,2</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6,1</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6,4</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6,2</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6,1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5,5</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18. Sociālie maksājumi (18=18a+18b)</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3 0</w:t>
            </w:r>
            <w:r w:rsidR="00125819" w:rsidRPr="00125819">
              <w:rPr>
                <w:rFonts w:ascii="Times New Roman" w:eastAsia="Times New Roman" w:hAnsi="Times New Roman" w:cs="Times New Roman"/>
                <w:bCs/>
                <w:color w:val="auto"/>
                <w:sz w:val="20"/>
                <w:szCs w:val="20"/>
                <w:lang w:eastAsia="lv-LV"/>
              </w:rPr>
              <w:t>44,9</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11,3</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11,7</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11,7</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11,7</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11,7</w:t>
            </w:r>
          </w:p>
        </w:tc>
      </w:tr>
      <w:tr w:rsidR="00125819" w:rsidRPr="00094C88" w:rsidTr="00A8311B">
        <w:trPr>
          <w:trHeight w:val="13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tai skaitā bezdarbnieku pabalsti</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w:t>
            </w:r>
            <w:r w:rsidR="00125819" w:rsidRPr="00125819">
              <w:rPr>
                <w:rFonts w:ascii="Times New Roman" w:eastAsia="Times New Roman" w:hAnsi="Times New Roman" w:cs="Times New Roman"/>
                <w:bCs/>
                <w:color w:val="auto"/>
                <w:sz w:val="20"/>
                <w:szCs w:val="20"/>
                <w:lang w:eastAsia="lv-LV"/>
              </w:rPr>
              <w:t>12,9</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0,4</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18a. Sociālie pārvedumi piegādāti caur tirgus ražotājiem</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D.6311, D.63121, D.63131</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3</w:t>
            </w:r>
            <w:r w:rsidR="00125819" w:rsidRPr="00125819">
              <w:rPr>
                <w:rFonts w:ascii="Times New Roman" w:eastAsia="Times New Roman" w:hAnsi="Times New Roman" w:cs="Times New Roman"/>
                <w:bCs/>
                <w:color w:val="auto"/>
                <w:sz w:val="20"/>
                <w:szCs w:val="20"/>
                <w:lang w:eastAsia="lv-LV"/>
              </w:rPr>
              <w:t>15,4</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1,2</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1,2</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1,2</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1,2</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1,2</w:t>
            </w:r>
          </w:p>
        </w:tc>
      </w:tr>
      <w:tr w:rsidR="00125819" w:rsidRPr="00094C88" w:rsidTr="00A8311B">
        <w:trPr>
          <w:trHeight w:val="33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lastRenderedPageBreak/>
              <w:t>18b. Sociālie pārvedumi, kas nav sociālie pārvedumi natūrā</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D.62</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2 7</w:t>
            </w:r>
            <w:r w:rsidR="00125819" w:rsidRPr="00125819">
              <w:rPr>
                <w:rFonts w:ascii="Times New Roman" w:eastAsia="Times New Roman" w:hAnsi="Times New Roman" w:cs="Times New Roman"/>
                <w:bCs/>
                <w:color w:val="auto"/>
                <w:sz w:val="20"/>
                <w:szCs w:val="20"/>
                <w:lang w:eastAsia="lv-LV"/>
              </w:rPr>
              <w:t>29,5</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10,2</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10,5</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10,5</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10,5</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10,5</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19.=9. Procentu izdevumi</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D.41</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2</w:t>
            </w:r>
            <w:r w:rsidR="00125819" w:rsidRPr="00125819">
              <w:rPr>
                <w:rFonts w:ascii="Times New Roman" w:eastAsia="Times New Roman" w:hAnsi="Times New Roman" w:cs="Times New Roman"/>
                <w:bCs/>
                <w:color w:val="auto"/>
                <w:sz w:val="20"/>
                <w:szCs w:val="20"/>
                <w:lang w:eastAsia="lv-LV"/>
              </w:rPr>
              <w:t>64,8</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1,0</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0,8</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0,8</w:t>
            </w:r>
          </w:p>
        </w:tc>
      </w:tr>
      <w:tr w:rsidR="00125819" w:rsidRPr="00094C88" w:rsidTr="00A8311B">
        <w:trPr>
          <w:trHeight w:val="187"/>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20. Subsīdijas</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D.3</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4</w:t>
            </w:r>
            <w:r w:rsidR="00125819" w:rsidRPr="00125819">
              <w:rPr>
                <w:rFonts w:ascii="Times New Roman" w:eastAsia="Times New Roman" w:hAnsi="Times New Roman" w:cs="Times New Roman"/>
                <w:bCs/>
                <w:color w:val="auto"/>
                <w:sz w:val="20"/>
                <w:szCs w:val="20"/>
                <w:lang w:eastAsia="lv-LV"/>
              </w:rPr>
              <w:t>05,7</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1,5</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1,6</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1,5</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1,4</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1,7</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21. Bruto kopējā pamatkapitāla veidošana</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P.51</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12</w:t>
            </w:r>
            <w:r w:rsidR="00125819" w:rsidRPr="00125819">
              <w:rPr>
                <w:rFonts w:ascii="Times New Roman" w:eastAsia="Times New Roman" w:hAnsi="Times New Roman" w:cs="Times New Roman"/>
                <w:bCs/>
                <w:color w:val="auto"/>
                <w:sz w:val="20"/>
                <w:szCs w:val="20"/>
                <w:lang w:eastAsia="lv-LV"/>
              </w:rPr>
              <w:t>41,2</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4,6</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4,8</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4,7</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4,4</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4,3</w:t>
            </w:r>
          </w:p>
        </w:tc>
      </w:tr>
      <w:tr w:rsidR="00125819" w:rsidRPr="00094C88" w:rsidTr="00A8311B">
        <w:trPr>
          <w:trHeight w:val="123"/>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22. Kapitālo izdevumu transferti</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D.9</w:t>
            </w:r>
          </w:p>
        </w:tc>
        <w:tc>
          <w:tcPr>
            <w:tcW w:w="1134"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34,4</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0,1</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23. Pārējie izdevumi</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6</w:t>
            </w:r>
            <w:r w:rsidR="00125819" w:rsidRPr="00125819">
              <w:rPr>
                <w:rFonts w:ascii="Times New Roman" w:eastAsia="Times New Roman" w:hAnsi="Times New Roman" w:cs="Times New Roman"/>
                <w:bCs/>
                <w:color w:val="auto"/>
                <w:sz w:val="20"/>
                <w:szCs w:val="20"/>
                <w:lang w:eastAsia="lv-LV"/>
              </w:rPr>
              <w:t>81,8</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2,5</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2,0</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2,4</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2,2</w:t>
            </w:r>
          </w:p>
        </w:tc>
      </w:tr>
      <w:tr w:rsidR="00125819" w:rsidRPr="00094C88" w:rsidTr="00A8311B">
        <w:trPr>
          <w:trHeight w:val="215"/>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24.=7. Kopējie izdevumi</w:t>
            </w:r>
          </w:p>
        </w:tc>
        <w:tc>
          <w:tcPr>
            <w:tcW w:w="1134" w:type="dxa"/>
            <w:vAlign w:val="center"/>
            <w:hideMark/>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TE</w:t>
            </w:r>
          </w:p>
        </w:tc>
        <w:tc>
          <w:tcPr>
            <w:tcW w:w="1134" w:type="dxa"/>
            <w:vAlign w:val="center"/>
          </w:tcPr>
          <w:p w:rsidR="00125819" w:rsidRPr="00125819"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10 0</w:t>
            </w:r>
            <w:r w:rsidR="00125819" w:rsidRPr="00125819">
              <w:rPr>
                <w:rFonts w:ascii="Times New Roman" w:eastAsia="Times New Roman" w:hAnsi="Times New Roman" w:cs="Times New Roman"/>
                <w:bCs/>
                <w:color w:val="auto"/>
                <w:sz w:val="20"/>
                <w:szCs w:val="20"/>
                <w:lang w:eastAsia="lv-LV"/>
              </w:rPr>
              <w:t>89,9</w:t>
            </w:r>
          </w:p>
        </w:tc>
        <w:tc>
          <w:tcPr>
            <w:tcW w:w="861"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37,6</w:t>
            </w:r>
          </w:p>
        </w:tc>
        <w:tc>
          <w:tcPr>
            <w:tcW w:w="708"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37,8</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37,1</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36,8</w:t>
            </w:r>
          </w:p>
        </w:tc>
        <w:tc>
          <w:tcPr>
            <w:tcW w:w="709" w:type="dxa"/>
            <w:vAlign w:val="center"/>
          </w:tcPr>
          <w:p w:rsidR="00125819" w:rsidRPr="00125819" w:rsidRDefault="00125819"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35,7</w:t>
            </w:r>
          </w:p>
        </w:tc>
      </w:tr>
      <w:tr w:rsidR="00125819" w:rsidRPr="00094C88" w:rsidTr="00A8311B">
        <w:trPr>
          <w:cnfStyle w:val="000000100000" w:firstRow="0" w:lastRow="0" w:firstColumn="0" w:lastColumn="0" w:oddVBand="0" w:evenVBand="0" w:oddHBand="1" w:evenHBand="0" w:firstRowFirstColumn="0" w:firstRowLastColumn="0" w:lastRowFirstColumn="0" w:lastRowLastColumn="0"/>
          <w:trHeight w:val="119"/>
          <w:jc w:val="center"/>
        </w:trPr>
        <w:tc>
          <w:tcPr>
            <w:cnfStyle w:val="001000000000" w:firstRow="0" w:lastRow="0" w:firstColumn="1" w:lastColumn="0" w:oddVBand="0" w:evenVBand="0" w:oddHBand="0" w:evenHBand="0" w:firstRowFirstColumn="0" w:firstRowLastColumn="0" w:lastRowFirstColumn="0" w:lastRowLastColumn="0"/>
            <w:tcW w:w="3681" w:type="dxa"/>
            <w:hideMark/>
          </w:tcPr>
          <w:p w:rsidR="00125819" w:rsidRPr="00125819" w:rsidRDefault="00125819" w:rsidP="00125819">
            <w:pPr>
              <w:rPr>
                <w:rFonts w:ascii="Times New Roman" w:eastAsia="Times New Roman" w:hAnsi="Times New Roman" w:cs="Times New Roman"/>
                <w:b w:val="0"/>
                <w:color w:val="auto"/>
                <w:sz w:val="20"/>
                <w:szCs w:val="20"/>
                <w:lang w:eastAsia="lv-LV"/>
              </w:rPr>
            </w:pPr>
            <w:r w:rsidRPr="00125819">
              <w:rPr>
                <w:rFonts w:ascii="Times New Roman" w:eastAsia="Times New Roman" w:hAnsi="Times New Roman" w:cs="Times New Roman"/>
                <w:b w:val="0"/>
                <w:color w:val="auto"/>
                <w:sz w:val="20"/>
                <w:szCs w:val="20"/>
                <w:lang w:eastAsia="lv-LV"/>
              </w:rPr>
              <w:t>Valdības patēriņš</w:t>
            </w:r>
          </w:p>
        </w:tc>
        <w:tc>
          <w:tcPr>
            <w:tcW w:w="1134" w:type="dxa"/>
            <w:vAlign w:val="center"/>
            <w:hideMark/>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P.3</w:t>
            </w:r>
          </w:p>
        </w:tc>
        <w:tc>
          <w:tcPr>
            <w:tcW w:w="1134" w:type="dxa"/>
            <w:vAlign w:val="center"/>
          </w:tcPr>
          <w:p w:rsidR="00125819" w:rsidRPr="00125819"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Pr>
                <w:rFonts w:ascii="Times New Roman" w:eastAsia="Times New Roman" w:hAnsi="Times New Roman" w:cs="Times New Roman"/>
                <w:bCs/>
                <w:color w:val="auto"/>
                <w:sz w:val="20"/>
                <w:szCs w:val="20"/>
                <w:lang w:eastAsia="lv-LV"/>
              </w:rPr>
              <w:t>4 9</w:t>
            </w:r>
            <w:r w:rsidR="00125819" w:rsidRPr="00125819">
              <w:rPr>
                <w:rFonts w:ascii="Times New Roman" w:eastAsia="Times New Roman" w:hAnsi="Times New Roman" w:cs="Times New Roman"/>
                <w:bCs/>
                <w:color w:val="auto"/>
                <w:sz w:val="20"/>
                <w:szCs w:val="20"/>
                <w:lang w:eastAsia="lv-LV"/>
              </w:rPr>
              <w:t>32,5</w:t>
            </w:r>
          </w:p>
        </w:tc>
        <w:tc>
          <w:tcPr>
            <w:tcW w:w="861"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18,4</w:t>
            </w:r>
          </w:p>
        </w:tc>
        <w:tc>
          <w:tcPr>
            <w:tcW w:w="708"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18,9</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18,3</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18,1</w:t>
            </w:r>
          </w:p>
        </w:tc>
        <w:tc>
          <w:tcPr>
            <w:tcW w:w="709" w:type="dxa"/>
            <w:vAlign w:val="center"/>
          </w:tcPr>
          <w:p w:rsidR="00125819" w:rsidRPr="00125819" w:rsidRDefault="00125819"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125819">
              <w:rPr>
                <w:rFonts w:ascii="Times New Roman" w:eastAsia="Times New Roman" w:hAnsi="Times New Roman" w:cs="Times New Roman"/>
                <w:bCs/>
                <w:color w:val="auto"/>
                <w:sz w:val="20"/>
                <w:szCs w:val="20"/>
                <w:lang w:eastAsia="lv-LV"/>
              </w:rPr>
              <w:t>16,9</w:t>
            </w:r>
          </w:p>
        </w:tc>
      </w:tr>
    </w:tbl>
    <w:p w:rsidR="00542988" w:rsidRPr="00502866" w:rsidRDefault="00527227" w:rsidP="00F171EC">
      <w:pPr>
        <w:spacing w:after="0" w:line="240" w:lineRule="auto"/>
        <w:rPr>
          <w:rFonts w:ascii="Times New Roman" w:eastAsia="Times New Roman" w:hAnsi="Times New Roman" w:cs="Times New Roman"/>
          <w:sz w:val="20"/>
          <w:szCs w:val="20"/>
          <w:lang w:eastAsia="lv-LV"/>
        </w:rPr>
      </w:pPr>
      <w:r w:rsidRPr="00502866">
        <w:rPr>
          <w:rFonts w:ascii="Times New Roman" w:eastAsia="Times New Roman" w:hAnsi="Times New Roman" w:cs="Times New Roman"/>
          <w:sz w:val="20"/>
          <w:szCs w:val="20"/>
          <w:lang w:eastAsia="lv-LV"/>
        </w:rPr>
        <w:t xml:space="preserve">* </w:t>
      </w:r>
      <w:r w:rsidR="00E42D7B" w:rsidRPr="00502866">
        <w:rPr>
          <w:rFonts w:ascii="Times New Roman" w:eastAsia="Times New Roman" w:hAnsi="Times New Roman" w:cs="Times New Roman"/>
          <w:sz w:val="20"/>
          <w:szCs w:val="20"/>
          <w:lang w:eastAsia="lv-LV"/>
        </w:rPr>
        <w:t>FM</w:t>
      </w:r>
      <w:r w:rsidRPr="00502866">
        <w:rPr>
          <w:rFonts w:ascii="Times New Roman" w:eastAsia="Times New Roman" w:hAnsi="Times New Roman" w:cs="Times New Roman"/>
          <w:sz w:val="20"/>
          <w:szCs w:val="20"/>
          <w:lang w:eastAsia="lv-LV"/>
        </w:rPr>
        <w:t xml:space="preserve"> novērtējums</w:t>
      </w:r>
    </w:p>
    <w:p w:rsidR="00B557A0" w:rsidRDefault="00527227" w:rsidP="00B557A0">
      <w:pPr>
        <w:spacing w:after="0" w:line="240" w:lineRule="auto"/>
        <w:rPr>
          <w:rFonts w:ascii="Times New Roman" w:eastAsia="Times New Roman" w:hAnsi="Times New Roman" w:cs="Times New Roman"/>
          <w:sz w:val="20"/>
          <w:szCs w:val="20"/>
          <w:lang w:eastAsia="lv-LV"/>
        </w:rPr>
      </w:pPr>
      <w:r w:rsidRPr="00502866">
        <w:rPr>
          <w:rFonts w:ascii="Times New Roman" w:eastAsia="Times New Roman" w:hAnsi="Times New Roman" w:cs="Times New Roman"/>
          <w:sz w:val="20"/>
          <w:szCs w:val="20"/>
          <w:lang w:eastAsia="lv-LV"/>
        </w:rPr>
        <w:t>** Ieskaitot ES budžetā iekasēto nodokļu daļu</w:t>
      </w:r>
    </w:p>
    <w:p w:rsidR="00736241" w:rsidRPr="00502866" w:rsidRDefault="00736241" w:rsidP="00FC55D0">
      <w:pPr>
        <w:spacing w:after="0" w:line="240" w:lineRule="auto"/>
        <w:rPr>
          <w:rFonts w:ascii="Times New Roman" w:eastAsia="Times New Roman" w:hAnsi="Times New Roman" w:cs="Times New Roman"/>
          <w:sz w:val="20"/>
          <w:szCs w:val="20"/>
          <w:lang w:eastAsia="lv-LV"/>
        </w:rPr>
      </w:pPr>
    </w:p>
    <w:p w:rsidR="00F51615" w:rsidRDefault="00C81719" w:rsidP="00FC55D0">
      <w:pPr>
        <w:spacing w:after="0"/>
        <w:rPr>
          <w:rFonts w:ascii="Times New Roman" w:hAnsi="Times New Roman" w:cs="Times New Roman"/>
          <w:b/>
          <w:sz w:val="24"/>
          <w:szCs w:val="24"/>
        </w:rPr>
      </w:pPr>
      <w:r>
        <w:rPr>
          <w:rFonts w:ascii="Times New Roman" w:hAnsi="Times New Roman" w:cs="Times New Roman"/>
          <w:b/>
          <w:sz w:val="24"/>
          <w:szCs w:val="24"/>
        </w:rPr>
        <w:t>2b.</w:t>
      </w:r>
      <w:r w:rsidR="00F51615" w:rsidRPr="00C81719">
        <w:rPr>
          <w:rFonts w:ascii="Times New Roman" w:hAnsi="Times New Roman" w:cs="Times New Roman"/>
          <w:b/>
          <w:sz w:val="24"/>
          <w:szCs w:val="24"/>
        </w:rPr>
        <w:t>tabula. Prognozes pie nemainīgas politikas</w:t>
      </w:r>
    </w:p>
    <w:tbl>
      <w:tblPr>
        <w:tblStyle w:val="GridTable6Colorful-Accent11"/>
        <w:tblW w:w="9533" w:type="dxa"/>
        <w:jc w:val="center"/>
        <w:tblLook w:val="04A0" w:firstRow="1" w:lastRow="0" w:firstColumn="1" w:lastColumn="0" w:noHBand="0" w:noVBand="1"/>
      </w:tblPr>
      <w:tblGrid>
        <w:gridCol w:w="4717"/>
        <w:gridCol w:w="1134"/>
        <w:gridCol w:w="798"/>
        <w:gridCol w:w="708"/>
        <w:gridCol w:w="758"/>
        <w:gridCol w:w="709"/>
        <w:gridCol w:w="709"/>
      </w:tblGrid>
      <w:tr w:rsidR="003E3615" w:rsidRPr="00094C88" w:rsidTr="00FC55D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17" w:type="dxa"/>
            <w:hideMark/>
          </w:tcPr>
          <w:p w:rsidR="003E3615" w:rsidRPr="00094C88" w:rsidRDefault="003E3615" w:rsidP="003E3615">
            <w:pPr>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c>
          <w:tcPr>
            <w:tcW w:w="1134" w:type="dxa"/>
            <w:vAlign w:val="center"/>
            <w:hideMark/>
          </w:tcPr>
          <w:p w:rsidR="003E3615" w:rsidRPr="003E3615" w:rsidRDefault="003E3615"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highlight w:val="yellow"/>
                <w:lang w:eastAsia="lv-LV"/>
              </w:rPr>
            </w:pPr>
            <w:r w:rsidRPr="003E3615">
              <w:rPr>
                <w:rFonts w:ascii="Times New Roman" w:hAnsi="Times New Roman" w:cs="Times New Roman"/>
                <w:color w:val="000000" w:themeColor="text1"/>
                <w:sz w:val="20"/>
                <w:szCs w:val="20"/>
              </w:rPr>
              <w:t>2017</w:t>
            </w:r>
          </w:p>
        </w:tc>
        <w:tc>
          <w:tcPr>
            <w:tcW w:w="798" w:type="dxa"/>
            <w:vAlign w:val="center"/>
            <w:hideMark/>
          </w:tcPr>
          <w:p w:rsidR="003E3615" w:rsidRPr="003E3615" w:rsidRDefault="003E3615"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highlight w:val="yellow"/>
                <w:lang w:eastAsia="lv-LV"/>
              </w:rPr>
            </w:pPr>
            <w:r w:rsidRPr="003E3615">
              <w:rPr>
                <w:rFonts w:ascii="Times New Roman" w:hAnsi="Times New Roman" w:cs="Times New Roman"/>
                <w:color w:val="000000" w:themeColor="text1"/>
                <w:sz w:val="20"/>
                <w:szCs w:val="20"/>
              </w:rPr>
              <w:t>2017</w:t>
            </w:r>
          </w:p>
        </w:tc>
        <w:tc>
          <w:tcPr>
            <w:tcW w:w="708" w:type="dxa"/>
            <w:vAlign w:val="center"/>
            <w:hideMark/>
          </w:tcPr>
          <w:p w:rsidR="003E3615" w:rsidRPr="003E3615" w:rsidRDefault="003E3615"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highlight w:val="yellow"/>
                <w:lang w:eastAsia="lv-LV"/>
              </w:rPr>
            </w:pPr>
            <w:r w:rsidRPr="003E3615">
              <w:rPr>
                <w:rFonts w:ascii="Times New Roman" w:hAnsi="Times New Roman" w:cs="Times New Roman"/>
                <w:color w:val="000000" w:themeColor="text1"/>
                <w:sz w:val="20"/>
                <w:szCs w:val="20"/>
              </w:rPr>
              <w:t>2018</w:t>
            </w:r>
          </w:p>
        </w:tc>
        <w:tc>
          <w:tcPr>
            <w:tcW w:w="758" w:type="dxa"/>
            <w:vAlign w:val="center"/>
            <w:hideMark/>
          </w:tcPr>
          <w:p w:rsidR="003E3615" w:rsidRPr="003E3615" w:rsidRDefault="003E3615"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highlight w:val="yellow"/>
                <w:lang w:eastAsia="lv-LV"/>
              </w:rPr>
            </w:pPr>
            <w:r w:rsidRPr="003E3615">
              <w:rPr>
                <w:rFonts w:ascii="Times New Roman" w:hAnsi="Times New Roman" w:cs="Times New Roman"/>
                <w:color w:val="000000" w:themeColor="text1"/>
                <w:sz w:val="20"/>
                <w:szCs w:val="20"/>
              </w:rPr>
              <w:t>2019</w:t>
            </w:r>
          </w:p>
        </w:tc>
        <w:tc>
          <w:tcPr>
            <w:tcW w:w="709" w:type="dxa"/>
            <w:vAlign w:val="center"/>
            <w:hideMark/>
          </w:tcPr>
          <w:p w:rsidR="003E3615" w:rsidRPr="003E3615" w:rsidRDefault="003E3615"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highlight w:val="yellow"/>
                <w:lang w:eastAsia="lv-LV"/>
              </w:rPr>
            </w:pPr>
            <w:r w:rsidRPr="003E3615">
              <w:rPr>
                <w:rFonts w:ascii="Times New Roman" w:hAnsi="Times New Roman" w:cs="Times New Roman"/>
                <w:color w:val="000000" w:themeColor="text1"/>
                <w:sz w:val="20"/>
                <w:szCs w:val="20"/>
              </w:rPr>
              <w:t>2020</w:t>
            </w:r>
          </w:p>
        </w:tc>
        <w:tc>
          <w:tcPr>
            <w:tcW w:w="709" w:type="dxa"/>
            <w:vAlign w:val="center"/>
            <w:hideMark/>
          </w:tcPr>
          <w:p w:rsidR="003E3615" w:rsidRPr="003E3615" w:rsidRDefault="003E3615" w:rsidP="00A831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highlight w:val="yellow"/>
                <w:lang w:eastAsia="lv-LV"/>
              </w:rPr>
            </w:pPr>
            <w:r w:rsidRPr="003E3615">
              <w:rPr>
                <w:rFonts w:ascii="Times New Roman" w:hAnsi="Times New Roman" w:cs="Times New Roman"/>
                <w:color w:val="000000" w:themeColor="text1"/>
                <w:sz w:val="20"/>
                <w:szCs w:val="20"/>
              </w:rPr>
              <w:t>2021</w:t>
            </w:r>
          </w:p>
        </w:tc>
      </w:tr>
      <w:tr w:rsidR="003E3615" w:rsidRPr="00094C88" w:rsidTr="00FC55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17" w:type="dxa"/>
            <w:hideMark/>
          </w:tcPr>
          <w:p w:rsidR="003E3615" w:rsidRPr="00094C88" w:rsidRDefault="003E3615" w:rsidP="003E3615">
            <w:pPr>
              <w:rPr>
                <w:rFonts w:ascii="Times New Roman" w:eastAsia="Times New Roman" w:hAnsi="Times New Roman" w:cs="Times New Roman"/>
                <w:color w:val="auto"/>
                <w:sz w:val="20"/>
                <w:szCs w:val="20"/>
                <w:lang w:eastAsia="lv-LV"/>
              </w:rPr>
            </w:pPr>
            <w:r w:rsidRPr="00094C88">
              <w:rPr>
                <w:rFonts w:ascii="Times New Roman" w:eastAsia="Times New Roman" w:hAnsi="Times New Roman" w:cs="Times New Roman"/>
                <w:color w:val="auto"/>
                <w:sz w:val="20"/>
                <w:szCs w:val="20"/>
                <w:lang w:eastAsia="lv-LV"/>
              </w:rPr>
              <w:t> </w:t>
            </w:r>
          </w:p>
        </w:tc>
        <w:tc>
          <w:tcPr>
            <w:tcW w:w="1134"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 xml:space="preserve">milj. </w:t>
            </w:r>
            <w:r w:rsidRPr="00736241">
              <w:rPr>
                <w:rFonts w:ascii="Times New Roman" w:hAnsi="Times New Roman" w:cs="Times New Roman"/>
                <w:i/>
                <w:color w:val="000000" w:themeColor="text1"/>
                <w:sz w:val="20"/>
                <w:szCs w:val="20"/>
              </w:rPr>
              <w:t>euro</w:t>
            </w:r>
          </w:p>
        </w:tc>
        <w:tc>
          <w:tcPr>
            <w:tcW w:w="3682" w:type="dxa"/>
            <w:gridSpan w:val="5"/>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 no IKP</w:t>
            </w:r>
          </w:p>
        </w:tc>
      </w:tr>
      <w:tr w:rsidR="003E3615" w:rsidRPr="00094C88" w:rsidTr="00FC55D0">
        <w:trPr>
          <w:trHeight w:val="300"/>
          <w:jc w:val="center"/>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rsidR="003E3615" w:rsidRPr="00094C88" w:rsidRDefault="003E3615" w:rsidP="003E3615">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1. Kopējie ieņēmumi pie nemainīgas politikas</w:t>
            </w:r>
          </w:p>
        </w:tc>
        <w:tc>
          <w:tcPr>
            <w:tcW w:w="1134" w:type="dxa"/>
            <w:vAlign w:val="center"/>
          </w:tcPr>
          <w:p w:rsidR="003E3615" w:rsidRPr="003E3615" w:rsidRDefault="005C3D64"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Pr>
                <w:rFonts w:ascii="Times New Roman" w:hAnsi="Times New Roman" w:cs="Times New Roman"/>
                <w:color w:val="000000" w:themeColor="text1"/>
                <w:sz w:val="20"/>
                <w:szCs w:val="20"/>
              </w:rPr>
              <w:t>9 9</w:t>
            </w:r>
            <w:r w:rsidR="003E3615" w:rsidRPr="003E3615">
              <w:rPr>
                <w:rFonts w:ascii="Times New Roman" w:hAnsi="Times New Roman" w:cs="Times New Roman"/>
                <w:color w:val="000000" w:themeColor="text1"/>
                <w:sz w:val="20"/>
                <w:szCs w:val="20"/>
              </w:rPr>
              <w:t>64,7</w:t>
            </w:r>
          </w:p>
        </w:tc>
        <w:tc>
          <w:tcPr>
            <w:tcW w:w="798" w:type="dxa"/>
            <w:vAlign w:val="center"/>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37,1</w:t>
            </w:r>
          </w:p>
        </w:tc>
        <w:tc>
          <w:tcPr>
            <w:tcW w:w="708" w:type="dxa"/>
            <w:vAlign w:val="center"/>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36,8</w:t>
            </w:r>
          </w:p>
        </w:tc>
        <w:tc>
          <w:tcPr>
            <w:tcW w:w="758" w:type="dxa"/>
            <w:vAlign w:val="center"/>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36,1</w:t>
            </w:r>
          </w:p>
        </w:tc>
        <w:tc>
          <w:tcPr>
            <w:tcW w:w="709" w:type="dxa"/>
            <w:vAlign w:val="center"/>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36,4</w:t>
            </w:r>
          </w:p>
        </w:tc>
        <w:tc>
          <w:tcPr>
            <w:tcW w:w="709" w:type="dxa"/>
            <w:vAlign w:val="center"/>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35,3</w:t>
            </w:r>
          </w:p>
        </w:tc>
      </w:tr>
      <w:tr w:rsidR="003E3615" w:rsidRPr="00094C88" w:rsidTr="00FC55D0">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4717" w:type="dxa"/>
            <w:vAlign w:val="center"/>
            <w:hideMark/>
          </w:tcPr>
          <w:p w:rsidR="003E3615" w:rsidRPr="00094C88" w:rsidRDefault="003E3615" w:rsidP="003E3615">
            <w:pPr>
              <w:rPr>
                <w:rFonts w:ascii="Times New Roman" w:eastAsia="Times New Roman" w:hAnsi="Times New Roman" w:cs="Times New Roman"/>
                <w:b w:val="0"/>
                <w:color w:val="auto"/>
                <w:sz w:val="20"/>
                <w:szCs w:val="20"/>
                <w:lang w:eastAsia="lv-LV"/>
              </w:rPr>
            </w:pPr>
            <w:r w:rsidRPr="00094C88">
              <w:rPr>
                <w:rFonts w:ascii="Times New Roman" w:eastAsia="Times New Roman" w:hAnsi="Times New Roman" w:cs="Times New Roman"/>
                <w:b w:val="0"/>
                <w:color w:val="auto"/>
                <w:sz w:val="20"/>
                <w:szCs w:val="20"/>
                <w:lang w:eastAsia="lv-LV"/>
              </w:rPr>
              <w:t>2. Kopējie izdevumi pie nemainīgas politikas</w:t>
            </w:r>
          </w:p>
        </w:tc>
        <w:tc>
          <w:tcPr>
            <w:tcW w:w="1134" w:type="dxa"/>
            <w:vAlign w:val="center"/>
          </w:tcPr>
          <w:p w:rsidR="003E3615" w:rsidRPr="003E3615" w:rsidRDefault="005C3D64"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Pr>
                <w:rFonts w:ascii="Times New Roman" w:hAnsi="Times New Roman" w:cs="Times New Roman"/>
                <w:color w:val="000000" w:themeColor="text1"/>
                <w:sz w:val="20"/>
                <w:szCs w:val="20"/>
              </w:rPr>
              <w:t>10 0</w:t>
            </w:r>
            <w:r w:rsidR="003E3615" w:rsidRPr="003E3615">
              <w:rPr>
                <w:rFonts w:ascii="Times New Roman" w:hAnsi="Times New Roman" w:cs="Times New Roman"/>
                <w:color w:val="000000" w:themeColor="text1"/>
                <w:sz w:val="20"/>
                <w:szCs w:val="20"/>
              </w:rPr>
              <w:t>89,9</w:t>
            </w:r>
          </w:p>
        </w:tc>
        <w:tc>
          <w:tcPr>
            <w:tcW w:w="798" w:type="dxa"/>
            <w:vAlign w:val="center"/>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37,6</w:t>
            </w:r>
          </w:p>
        </w:tc>
        <w:tc>
          <w:tcPr>
            <w:tcW w:w="708" w:type="dxa"/>
            <w:vAlign w:val="center"/>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37,8</w:t>
            </w:r>
          </w:p>
        </w:tc>
        <w:tc>
          <w:tcPr>
            <w:tcW w:w="758" w:type="dxa"/>
            <w:vAlign w:val="center"/>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37,1</w:t>
            </w:r>
          </w:p>
        </w:tc>
        <w:tc>
          <w:tcPr>
            <w:tcW w:w="709" w:type="dxa"/>
            <w:vAlign w:val="center"/>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36,9</w:t>
            </w:r>
          </w:p>
        </w:tc>
        <w:tc>
          <w:tcPr>
            <w:tcW w:w="709" w:type="dxa"/>
            <w:vAlign w:val="center"/>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35,6</w:t>
            </w:r>
          </w:p>
        </w:tc>
      </w:tr>
    </w:tbl>
    <w:p w:rsidR="006D5FB6" w:rsidRDefault="006D5FB6" w:rsidP="00FC55D0">
      <w:pPr>
        <w:spacing w:after="0"/>
        <w:rPr>
          <w:rFonts w:ascii="Times New Roman" w:hAnsi="Times New Roman" w:cs="Times New Roman"/>
          <w:b/>
          <w:szCs w:val="24"/>
        </w:rPr>
      </w:pPr>
    </w:p>
    <w:p w:rsidR="00F51615" w:rsidRPr="00C81719" w:rsidRDefault="00C81719" w:rsidP="00FC55D0">
      <w:pPr>
        <w:spacing w:after="0"/>
        <w:rPr>
          <w:rFonts w:ascii="Times New Roman" w:hAnsi="Times New Roman" w:cs="Times New Roman"/>
          <w:b/>
          <w:sz w:val="24"/>
          <w:szCs w:val="24"/>
        </w:rPr>
      </w:pPr>
      <w:r>
        <w:rPr>
          <w:rFonts w:ascii="Times New Roman" w:hAnsi="Times New Roman" w:cs="Times New Roman"/>
          <w:b/>
          <w:sz w:val="24"/>
          <w:szCs w:val="24"/>
        </w:rPr>
        <w:t>2c.</w:t>
      </w:r>
      <w:r w:rsidR="00F51615" w:rsidRPr="00C81719">
        <w:rPr>
          <w:rFonts w:ascii="Times New Roman" w:hAnsi="Times New Roman" w:cs="Times New Roman"/>
          <w:b/>
          <w:sz w:val="24"/>
          <w:szCs w:val="24"/>
        </w:rPr>
        <w:t>tabula. Izdevumi, kas tiek izslēgti no izdevumu kritērija</w:t>
      </w:r>
    </w:p>
    <w:tbl>
      <w:tblPr>
        <w:tblStyle w:val="GridTable6Colorful-Accent11"/>
        <w:tblW w:w="8393" w:type="dxa"/>
        <w:tblInd w:w="-176" w:type="dxa"/>
        <w:tblLayout w:type="fixed"/>
        <w:tblLook w:val="04A0" w:firstRow="1" w:lastRow="0" w:firstColumn="1" w:lastColumn="0" w:noHBand="0" w:noVBand="1"/>
      </w:tblPr>
      <w:tblGrid>
        <w:gridCol w:w="3970"/>
        <w:gridCol w:w="742"/>
        <w:gridCol w:w="704"/>
        <w:gridCol w:w="851"/>
        <w:gridCol w:w="708"/>
        <w:gridCol w:w="709"/>
        <w:gridCol w:w="709"/>
      </w:tblGrid>
      <w:tr w:rsidR="00B11ACB" w:rsidRPr="0061493E" w:rsidTr="005C3D6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70" w:type="dxa"/>
          </w:tcPr>
          <w:p w:rsidR="00B11ACB" w:rsidRPr="0061493E" w:rsidRDefault="00B11ACB" w:rsidP="00B11ACB">
            <w:pPr>
              <w:jc w:val="center"/>
              <w:rPr>
                <w:rFonts w:ascii="Times New Roman" w:eastAsia="Times New Roman" w:hAnsi="Times New Roman" w:cs="Times New Roman"/>
                <w:b w:val="0"/>
                <w:sz w:val="20"/>
                <w:szCs w:val="20"/>
                <w:lang w:eastAsia="lv-LV"/>
              </w:rPr>
            </w:pPr>
          </w:p>
        </w:tc>
        <w:tc>
          <w:tcPr>
            <w:tcW w:w="742" w:type="dxa"/>
            <w:vAlign w:val="center"/>
          </w:tcPr>
          <w:p w:rsidR="00B11ACB" w:rsidRPr="00B11ACB" w:rsidRDefault="00B11ACB"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lv-LV"/>
              </w:rPr>
            </w:pPr>
            <w:r w:rsidRPr="00B11ACB">
              <w:rPr>
                <w:rFonts w:ascii="Times New Roman" w:eastAsia="Times New Roman" w:hAnsi="Times New Roman" w:cs="Times New Roman"/>
                <w:bCs w:val="0"/>
                <w:color w:val="auto"/>
                <w:sz w:val="20"/>
                <w:szCs w:val="20"/>
                <w:lang w:eastAsia="lv-LV"/>
              </w:rPr>
              <w:t>2017</w:t>
            </w:r>
          </w:p>
        </w:tc>
        <w:tc>
          <w:tcPr>
            <w:tcW w:w="704" w:type="dxa"/>
            <w:vAlign w:val="center"/>
          </w:tcPr>
          <w:p w:rsidR="00B11ACB" w:rsidRPr="00B11ACB" w:rsidRDefault="00B11ACB"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lv-LV"/>
              </w:rPr>
            </w:pPr>
            <w:r w:rsidRPr="00B11ACB">
              <w:rPr>
                <w:rFonts w:ascii="Times New Roman" w:eastAsia="Times New Roman" w:hAnsi="Times New Roman" w:cs="Times New Roman"/>
                <w:bCs w:val="0"/>
                <w:color w:val="auto"/>
                <w:sz w:val="20"/>
                <w:szCs w:val="20"/>
                <w:lang w:eastAsia="lv-LV"/>
              </w:rPr>
              <w:t>2017</w:t>
            </w:r>
          </w:p>
        </w:tc>
        <w:tc>
          <w:tcPr>
            <w:tcW w:w="851" w:type="dxa"/>
            <w:vAlign w:val="center"/>
          </w:tcPr>
          <w:p w:rsidR="00B11ACB" w:rsidRPr="00B11ACB" w:rsidRDefault="00B11ACB"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lv-LV"/>
              </w:rPr>
            </w:pPr>
            <w:r w:rsidRPr="00B11ACB">
              <w:rPr>
                <w:rFonts w:ascii="Times New Roman" w:eastAsia="Times New Roman" w:hAnsi="Times New Roman" w:cs="Times New Roman"/>
                <w:bCs w:val="0"/>
                <w:color w:val="auto"/>
                <w:sz w:val="20"/>
                <w:szCs w:val="20"/>
                <w:lang w:eastAsia="lv-LV"/>
              </w:rPr>
              <w:t>2018</w:t>
            </w:r>
          </w:p>
        </w:tc>
        <w:tc>
          <w:tcPr>
            <w:tcW w:w="708" w:type="dxa"/>
            <w:vAlign w:val="center"/>
          </w:tcPr>
          <w:p w:rsidR="00B11ACB" w:rsidRPr="00B11ACB" w:rsidRDefault="00B11ACB"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lv-LV"/>
              </w:rPr>
            </w:pPr>
            <w:r w:rsidRPr="00B11ACB">
              <w:rPr>
                <w:rFonts w:ascii="Times New Roman" w:eastAsia="Times New Roman" w:hAnsi="Times New Roman" w:cs="Times New Roman"/>
                <w:bCs w:val="0"/>
                <w:color w:val="auto"/>
                <w:sz w:val="20"/>
                <w:szCs w:val="20"/>
                <w:lang w:eastAsia="lv-LV"/>
              </w:rPr>
              <w:t>2019</w:t>
            </w:r>
          </w:p>
        </w:tc>
        <w:tc>
          <w:tcPr>
            <w:tcW w:w="709" w:type="dxa"/>
            <w:vAlign w:val="center"/>
          </w:tcPr>
          <w:p w:rsidR="00B11ACB" w:rsidRPr="00B11ACB" w:rsidRDefault="00B11ACB"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lv-LV"/>
              </w:rPr>
            </w:pPr>
            <w:r w:rsidRPr="00B11ACB">
              <w:rPr>
                <w:rFonts w:ascii="Times New Roman" w:eastAsia="Times New Roman" w:hAnsi="Times New Roman" w:cs="Times New Roman"/>
                <w:bCs w:val="0"/>
                <w:color w:val="auto"/>
                <w:sz w:val="20"/>
                <w:szCs w:val="20"/>
                <w:lang w:eastAsia="lv-LV"/>
              </w:rPr>
              <w:t>2020</w:t>
            </w:r>
          </w:p>
        </w:tc>
        <w:tc>
          <w:tcPr>
            <w:tcW w:w="709" w:type="dxa"/>
            <w:vAlign w:val="center"/>
          </w:tcPr>
          <w:p w:rsidR="00B11ACB" w:rsidRPr="00B11ACB" w:rsidRDefault="00B11ACB"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lv-LV"/>
              </w:rPr>
            </w:pPr>
            <w:r w:rsidRPr="00B11ACB">
              <w:rPr>
                <w:rFonts w:ascii="Times New Roman" w:eastAsia="Times New Roman" w:hAnsi="Times New Roman" w:cs="Times New Roman"/>
                <w:bCs w:val="0"/>
                <w:color w:val="auto"/>
                <w:sz w:val="20"/>
                <w:szCs w:val="20"/>
                <w:lang w:eastAsia="lv-LV"/>
              </w:rPr>
              <w:t>2021</w:t>
            </w:r>
          </w:p>
        </w:tc>
      </w:tr>
      <w:tr w:rsidR="00B11ACB" w:rsidRPr="0061493E" w:rsidTr="005C3D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70" w:type="dxa"/>
          </w:tcPr>
          <w:p w:rsidR="00B11ACB" w:rsidRPr="0061493E" w:rsidRDefault="00B11ACB" w:rsidP="00B11ACB">
            <w:pPr>
              <w:jc w:val="center"/>
              <w:rPr>
                <w:rFonts w:ascii="Times New Roman" w:eastAsia="Times New Roman" w:hAnsi="Times New Roman" w:cs="Times New Roman"/>
                <w:b w:val="0"/>
                <w:sz w:val="20"/>
                <w:szCs w:val="20"/>
                <w:lang w:eastAsia="lv-LV"/>
              </w:rPr>
            </w:pPr>
          </w:p>
        </w:tc>
        <w:tc>
          <w:tcPr>
            <w:tcW w:w="742" w:type="dxa"/>
            <w:vAlign w:val="center"/>
          </w:tcPr>
          <w:p w:rsidR="00B11ACB" w:rsidRPr="00B11ACB"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B11ACB">
              <w:rPr>
                <w:rFonts w:ascii="Times New Roman" w:eastAsia="Times New Roman" w:hAnsi="Times New Roman" w:cs="Times New Roman"/>
                <w:b/>
                <w:bCs/>
                <w:color w:val="auto"/>
                <w:sz w:val="20"/>
                <w:szCs w:val="20"/>
                <w:lang w:eastAsia="lv-LV"/>
              </w:rPr>
              <w:t>milj.</w:t>
            </w:r>
            <w:r w:rsidR="00736241">
              <w:rPr>
                <w:rFonts w:ascii="Times New Roman" w:eastAsia="Times New Roman" w:hAnsi="Times New Roman" w:cs="Times New Roman"/>
                <w:b/>
                <w:bCs/>
                <w:color w:val="auto"/>
                <w:sz w:val="20"/>
                <w:szCs w:val="20"/>
                <w:lang w:eastAsia="lv-LV"/>
              </w:rPr>
              <w:t xml:space="preserve"> </w:t>
            </w:r>
            <w:r w:rsidRPr="00736241">
              <w:rPr>
                <w:rFonts w:ascii="Times New Roman" w:eastAsia="Times New Roman" w:hAnsi="Times New Roman" w:cs="Times New Roman"/>
                <w:b/>
                <w:bCs/>
                <w:i/>
                <w:color w:val="auto"/>
                <w:sz w:val="20"/>
                <w:szCs w:val="20"/>
                <w:lang w:eastAsia="lv-LV"/>
              </w:rPr>
              <w:t>euro</w:t>
            </w:r>
          </w:p>
        </w:tc>
        <w:tc>
          <w:tcPr>
            <w:tcW w:w="3681" w:type="dxa"/>
            <w:gridSpan w:val="5"/>
            <w:vAlign w:val="center"/>
          </w:tcPr>
          <w:p w:rsidR="00B11ACB" w:rsidRPr="00B11ACB"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lv-LV"/>
              </w:rPr>
            </w:pPr>
            <w:r w:rsidRPr="00B11ACB">
              <w:rPr>
                <w:rFonts w:ascii="Times New Roman" w:eastAsia="Times New Roman" w:hAnsi="Times New Roman" w:cs="Times New Roman"/>
                <w:b/>
                <w:bCs/>
                <w:color w:val="auto"/>
                <w:sz w:val="20"/>
                <w:szCs w:val="20"/>
                <w:lang w:eastAsia="lv-LV"/>
              </w:rPr>
              <w:t>% no IKP</w:t>
            </w:r>
          </w:p>
        </w:tc>
      </w:tr>
      <w:tr w:rsidR="00B11ACB" w:rsidRPr="0061493E" w:rsidTr="005C3D64">
        <w:trPr>
          <w:trHeight w:val="780"/>
        </w:trPr>
        <w:tc>
          <w:tcPr>
            <w:cnfStyle w:val="001000000000" w:firstRow="0" w:lastRow="0" w:firstColumn="1" w:lastColumn="0" w:oddVBand="0" w:evenVBand="0" w:oddHBand="0" w:evenHBand="0" w:firstRowFirstColumn="0" w:firstRowLastColumn="0" w:lastRowFirstColumn="0" w:lastRowLastColumn="0"/>
            <w:tcW w:w="3970" w:type="dxa"/>
            <w:hideMark/>
          </w:tcPr>
          <w:p w:rsidR="00B11ACB" w:rsidRPr="0061493E" w:rsidRDefault="00FC55D0" w:rsidP="00B11ACB">
            <w:pPr>
              <w:jc w:val="both"/>
              <w:rPr>
                <w:rFonts w:ascii="Times New Roman" w:eastAsia="Times New Roman" w:hAnsi="Times New Roman" w:cs="Times New Roman"/>
                <w:b w:val="0"/>
                <w:color w:val="auto"/>
                <w:sz w:val="20"/>
                <w:szCs w:val="20"/>
                <w:lang w:eastAsia="lv-LV"/>
              </w:rPr>
            </w:pPr>
            <w:r>
              <w:rPr>
                <w:rFonts w:ascii="Times New Roman" w:eastAsia="Times New Roman" w:hAnsi="Times New Roman" w:cs="Times New Roman"/>
                <w:b w:val="0"/>
                <w:color w:val="auto"/>
                <w:sz w:val="20"/>
                <w:szCs w:val="20"/>
                <w:lang w:eastAsia="lv-LV"/>
              </w:rPr>
              <w:t>1.</w:t>
            </w:r>
            <w:r w:rsidR="00B11ACB" w:rsidRPr="0061493E">
              <w:rPr>
                <w:rFonts w:ascii="Times New Roman" w:eastAsia="Times New Roman" w:hAnsi="Times New Roman" w:cs="Times New Roman"/>
                <w:b w:val="0"/>
                <w:color w:val="auto"/>
                <w:sz w:val="20"/>
                <w:szCs w:val="20"/>
                <w:lang w:eastAsia="lv-LV"/>
              </w:rPr>
              <w:t>Izdevumi ārvalstu finanšu palīdzības projektiem, kas atbilst saņemtajiem ārvalstu finanšu palīdzības ieņēmumiem</w:t>
            </w:r>
          </w:p>
        </w:tc>
        <w:tc>
          <w:tcPr>
            <w:tcW w:w="742"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365,0</w:t>
            </w:r>
          </w:p>
        </w:tc>
        <w:tc>
          <w:tcPr>
            <w:tcW w:w="704"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1,4</w:t>
            </w:r>
          </w:p>
        </w:tc>
        <w:tc>
          <w:tcPr>
            <w:tcW w:w="851"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1,6</w:t>
            </w:r>
          </w:p>
        </w:tc>
        <w:tc>
          <w:tcPr>
            <w:tcW w:w="708"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1,6</w:t>
            </w:r>
          </w:p>
        </w:tc>
        <w:tc>
          <w:tcPr>
            <w:tcW w:w="709"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1,6</w:t>
            </w:r>
          </w:p>
        </w:tc>
        <w:tc>
          <w:tcPr>
            <w:tcW w:w="709"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1,3</w:t>
            </w:r>
          </w:p>
        </w:tc>
      </w:tr>
      <w:tr w:rsidR="00B11ACB" w:rsidRPr="0061493E" w:rsidTr="005C3D64">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3970" w:type="dxa"/>
            <w:hideMark/>
          </w:tcPr>
          <w:p w:rsidR="00B11ACB" w:rsidRPr="0061493E" w:rsidRDefault="00B11ACB" w:rsidP="00393D5A">
            <w:pPr>
              <w:ind w:firstLineChars="100" w:firstLine="200"/>
              <w:jc w:val="both"/>
              <w:rPr>
                <w:rFonts w:ascii="Times New Roman" w:eastAsia="Times New Roman" w:hAnsi="Times New Roman" w:cs="Times New Roman"/>
                <w:b w:val="0"/>
                <w:color w:val="auto"/>
                <w:sz w:val="20"/>
                <w:szCs w:val="20"/>
                <w:lang w:eastAsia="lv-LV"/>
              </w:rPr>
            </w:pPr>
            <w:r w:rsidRPr="0061493E">
              <w:rPr>
                <w:rFonts w:ascii="Times New Roman" w:eastAsia="Times New Roman" w:hAnsi="Times New Roman" w:cs="Times New Roman"/>
                <w:b w:val="0"/>
                <w:color w:val="auto"/>
                <w:sz w:val="20"/>
                <w:szCs w:val="20"/>
                <w:lang w:eastAsia="lv-LV"/>
              </w:rPr>
              <w:t>1.a no kuriem kapitālie izdevumi (bruto pamatkapitāla veidošana), kas atbilst saņemtajiem ārvalstu finanšu palīdzības ieņēmumiem</w:t>
            </w:r>
          </w:p>
        </w:tc>
        <w:tc>
          <w:tcPr>
            <w:tcW w:w="742"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240,6</w:t>
            </w:r>
          </w:p>
        </w:tc>
        <w:tc>
          <w:tcPr>
            <w:tcW w:w="704"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0,9</w:t>
            </w:r>
          </w:p>
        </w:tc>
        <w:tc>
          <w:tcPr>
            <w:tcW w:w="851"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1,1</w:t>
            </w:r>
          </w:p>
        </w:tc>
        <w:tc>
          <w:tcPr>
            <w:tcW w:w="708"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1,1</w:t>
            </w:r>
          </w:p>
        </w:tc>
        <w:tc>
          <w:tcPr>
            <w:tcW w:w="709"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1,1</w:t>
            </w:r>
          </w:p>
        </w:tc>
        <w:tc>
          <w:tcPr>
            <w:tcW w:w="709"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0,9</w:t>
            </w:r>
          </w:p>
        </w:tc>
      </w:tr>
      <w:tr w:rsidR="00B11ACB" w:rsidRPr="0061493E" w:rsidTr="005C3D64">
        <w:trPr>
          <w:trHeight w:val="330"/>
        </w:trPr>
        <w:tc>
          <w:tcPr>
            <w:cnfStyle w:val="001000000000" w:firstRow="0" w:lastRow="0" w:firstColumn="1" w:lastColumn="0" w:oddVBand="0" w:evenVBand="0" w:oddHBand="0" w:evenHBand="0" w:firstRowFirstColumn="0" w:firstRowLastColumn="0" w:lastRowFirstColumn="0" w:lastRowLastColumn="0"/>
            <w:tcW w:w="3970" w:type="dxa"/>
            <w:hideMark/>
          </w:tcPr>
          <w:p w:rsidR="00B11ACB" w:rsidRPr="0061493E" w:rsidRDefault="00FC55D0" w:rsidP="00B11ACB">
            <w:pPr>
              <w:jc w:val="both"/>
              <w:rPr>
                <w:rFonts w:ascii="Times New Roman" w:eastAsia="Times New Roman" w:hAnsi="Times New Roman" w:cs="Times New Roman"/>
                <w:b w:val="0"/>
                <w:color w:val="auto"/>
                <w:sz w:val="20"/>
                <w:szCs w:val="20"/>
                <w:lang w:eastAsia="lv-LV"/>
              </w:rPr>
            </w:pPr>
            <w:r>
              <w:rPr>
                <w:rFonts w:ascii="Times New Roman" w:eastAsia="Times New Roman" w:hAnsi="Times New Roman" w:cs="Times New Roman"/>
                <w:b w:val="0"/>
                <w:color w:val="auto"/>
                <w:sz w:val="20"/>
                <w:szCs w:val="20"/>
                <w:lang w:eastAsia="lv-LV"/>
              </w:rPr>
              <w:t>2.</w:t>
            </w:r>
            <w:r w:rsidR="00B11ACB" w:rsidRPr="0061493E">
              <w:rPr>
                <w:rFonts w:ascii="Times New Roman" w:eastAsia="Times New Roman" w:hAnsi="Times New Roman" w:cs="Times New Roman"/>
                <w:b w:val="0"/>
                <w:color w:val="auto"/>
                <w:sz w:val="20"/>
                <w:szCs w:val="20"/>
                <w:lang w:eastAsia="lv-LV"/>
              </w:rPr>
              <w:t>Cikliskie izdevumi bezdarbnieku pabalstiem</w:t>
            </w:r>
          </w:p>
        </w:tc>
        <w:tc>
          <w:tcPr>
            <w:tcW w:w="742"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-20,7</w:t>
            </w:r>
          </w:p>
        </w:tc>
        <w:tc>
          <w:tcPr>
            <w:tcW w:w="704"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-0,1</w:t>
            </w:r>
          </w:p>
        </w:tc>
        <w:tc>
          <w:tcPr>
            <w:tcW w:w="851"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-0,1</w:t>
            </w:r>
          </w:p>
        </w:tc>
        <w:tc>
          <w:tcPr>
            <w:tcW w:w="708"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-0,1</w:t>
            </w:r>
          </w:p>
        </w:tc>
        <w:tc>
          <w:tcPr>
            <w:tcW w:w="709"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-0,1</w:t>
            </w:r>
          </w:p>
        </w:tc>
        <w:tc>
          <w:tcPr>
            <w:tcW w:w="709"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-0,1</w:t>
            </w:r>
          </w:p>
        </w:tc>
      </w:tr>
      <w:tr w:rsidR="00B11ACB" w:rsidRPr="0061493E" w:rsidTr="005C3D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70" w:type="dxa"/>
            <w:hideMark/>
          </w:tcPr>
          <w:p w:rsidR="00B11ACB" w:rsidRPr="0061493E" w:rsidRDefault="00FC55D0" w:rsidP="00B11ACB">
            <w:pPr>
              <w:jc w:val="both"/>
              <w:rPr>
                <w:rFonts w:ascii="Times New Roman" w:eastAsia="Times New Roman" w:hAnsi="Times New Roman" w:cs="Times New Roman"/>
                <w:b w:val="0"/>
                <w:color w:val="auto"/>
                <w:sz w:val="20"/>
                <w:szCs w:val="20"/>
                <w:lang w:eastAsia="lv-LV"/>
              </w:rPr>
            </w:pPr>
            <w:r>
              <w:rPr>
                <w:rFonts w:ascii="Times New Roman" w:eastAsia="Times New Roman" w:hAnsi="Times New Roman" w:cs="Times New Roman"/>
                <w:b w:val="0"/>
                <w:color w:val="auto"/>
                <w:sz w:val="20"/>
                <w:szCs w:val="20"/>
                <w:lang w:eastAsia="lv-LV"/>
              </w:rPr>
              <w:t>3.</w:t>
            </w:r>
            <w:r w:rsidR="00B11ACB" w:rsidRPr="0061493E">
              <w:rPr>
                <w:rFonts w:ascii="Times New Roman" w:eastAsia="Times New Roman" w:hAnsi="Times New Roman" w:cs="Times New Roman"/>
                <w:b w:val="0"/>
                <w:color w:val="auto"/>
                <w:sz w:val="20"/>
                <w:szCs w:val="20"/>
                <w:lang w:eastAsia="lv-LV"/>
              </w:rPr>
              <w:t>Diskrecionāri ieņēmumu pasākumi</w:t>
            </w:r>
          </w:p>
        </w:tc>
        <w:tc>
          <w:tcPr>
            <w:tcW w:w="742"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214,8</w:t>
            </w:r>
          </w:p>
        </w:tc>
        <w:tc>
          <w:tcPr>
            <w:tcW w:w="704"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0,8</w:t>
            </w:r>
          </w:p>
        </w:tc>
        <w:tc>
          <w:tcPr>
            <w:tcW w:w="851"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0,1</w:t>
            </w:r>
          </w:p>
        </w:tc>
        <w:tc>
          <w:tcPr>
            <w:tcW w:w="708"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-0,2</w:t>
            </w:r>
          </w:p>
        </w:tc>
        <w:tc>
          <w:tcPr>
            <w:tcW w:w="709"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-0,2</w:t>
            </w:r>
          </w:p>
        </w:tc>
        <w:tc>
          <w:tcPr>
            <w:tcW w:w="709" w:type="dxa"/>
            <w:vAlign w:val="center"/>
            <w:hideMark/>
          </w:tcPr>
          <w:p w:rsidR="00B11ACB" w:rsidRPr="0061493E" w:rsidRDefault="00B11ACB"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61493E">
              <w:rPr>
                <w:rFonts w:ascii="Times New Roman" w:eastAsia="Times New Roman" w:hAnsi="Times New Roman" w:cs="Times New Roman"/>
                <w:bCs/>
                <w:color w:val="auto"/>
                <w:sz w:val="20"/>
                <w:szCs w:val="20"/>
                <w:lang w:eastAsia="lv-LV"/>
              </w:rPr>
              <w:t>0,0</w:t>
            </w:r>
          </w:p>
        </w:tc>
      </w:tr>
      <w:tr w:rsidR="00B11ACB" w:rsidRPr="0061493E" w:rsidTr="005C3D64">
        <w:trPr>
          <w:trHeight w:val="525"/>
        </w:trPr>
        <w:tc>
          <w:tcPr>
            <w:cnfStyle w:val="001000000000" w:firstRow="0" w:lastRow="0" w:firstColumn="1" w:lastColumn="0" w:oddVBand="0" w:evenVBand="0" w:oddHBand="0" w:evenHBand="0" w:firstRowFirstColumn="0" w:firstRowLastColumn="0" w:lastRowFirstColumn="0" w:lastRowLastColumn="0"/>
            <w:tcW w:w="3970" w:type="dxa"/>
            <w:hideMark/>
          </w:tcPr>
          <w:p w:rsidR="00B11ACB" w:rsidRPr="0061493E" w:rsidRDefault="00FC55D0" w:rsidP="00B11ACB">
            <w:pPr>
              <w:jc w:val="both"/>
              <w:rPr>
                <w:rFonts w:ascii="Times New Roman" w:eastAsia="Times New Roman" w:hAnsi="Times New Roman" w:cs="Times New Roman"/>
                <w:b w:val="0"/>
                <w:color w:val="auto"/>
                <w:sz w:val="20"/>
                <w:szCs w:val="20"/>
                <w:lang w:eastAsia="lv-LV"/>
              </w:rPr>
            </w:pPr>
            <w:r>
              <w:rPr>
                <w:rFonts w:ascii="Times New Roman" w:eastAsia="Times New Roman" w:hAnsi="Times New Roman" w:cs="Times New Roman"/>
                <w:b w:val="0"/>
                <w:color w:val="auto"/>
                <w:sz w:val="20"/>
                <w:szCs w:val="20"/>
                <w:lang w:eastAsia="lv-LV"/>
              </w:rPr>
              <w:t>4.</w:t>
            </w:r>
            <w:r w:rsidR="00B11ACB" w:rsidRPr="0061493E">
              <w:rPr>
                <w:rFonts w:ascii="Times New Roman" w:eastAsia="Times New Roman" w:hAnsi="Times New Roman" w:cs="Times New Roman"/>
                <w:b w:val="0"/>
                <w:color w:val="auto"/>
                <w:sz w:val="20"/>
                <w:szCs w:val="20"/>
                <w:lang w:eastAsia="lv-LV"/>
              </w:rPr>
              <w:t>Ieņēmumu palielinājums, kas apstiprināts ar likumu</w:t>
            </w:r>
          </w:p>
        </w:tc>
        <w:tc>
          <w:tcPr>
            <w:tcW w:w="742"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4"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1"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8"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709" w:type="dxa"/>
            <w:vAlign w:val="center"/>
            <w:hideMark/>
          </w:tcPr>
          <w:p w:rsidR="00B11ACB" w:rsidRPr="0061493E" w:rsidRDefault="00B11ACB"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bl>
    <w:p w:rsidR="00ED4215" w:rsidRPr="00F51615" w:rsidRDefault="00ED4215" w:rsidP="00393D5A">
      <w:pPr>
        <w:spacing w:after="0" w:line="240" w:lineRule="auto"/>
        <w:rPr>
          <w:rFonts w:ascii="Times New Roman" w:hAnsi="Times New Roman" w:cs="Times New Roman"/>
          <w:b/>
          <w:szCs w:val="24"/>
        </w:rPr>
      </w:pPr>
    </w:p>
    <w:p w:rsidR="00094C88" w:rsidRPr="00C81719" w:rsidRDefault="00C81719" w:rsidP="00393D5A">
      <w:pPr>
        <w:spacing w:after="0" w:line="240" w:lineRule="auto"/>
        <w:rPr>
          <w:sz w:val="24"/>
        </w:rPr>
      </w:pPr>
      <w:r>
        <w:rPr>
          <w:rFonts w:ascii="Times New Roman" w:hAnsi="Times New Roman" w:cs="Times New Roman"/>
          <w:b/>
          <w:sz w:val="24"/>
          <w:szCs w:val="24"/>
        </w:rPr>
        <w:t>3.</w:t>
      </w:r>
      <w:r w:rsidR="00F51615" w:rsidRPr="00C81719">
        <w:rPr>
          <w:rFonts w:ascii="Times New Roman" w:hAnsi="Times New Roman" w:cs="Times New Roman"/>
          <w:b/>
          <w:sz w:val="24"/>
          <w:szCs w:val="24"/>
        </w:rPr>
        <w:t>tabula. Vispārējās valdības izdevumi funkciju sadalījumā</w:t>
      </w:r>
    </w:p>
    <w:tbl>
      <w:tblPr>
        <w:tblStyle w:val="GridTable6Colorful-Accent11"/>
        <w:tblW w:w="6752" w:type="dxa"/>
        <w:tblInd w:w="-176" w:type="dxa"/>
        <w:tblLook w:val="04A0" w:firstRow="1" w:lastRow="0" w:firstColumn="1" w:lastColumn="0" w:noHBand="0" w:noVBand="1"/>
      </w:tblPr>
      <w:tblGrid>
        <w:gridCol w:w="4140"/>
        <w:gridCol w:w="1023"/>
        <w:gridCol w:w="794"/>
        <w:gridCol w:w="795"/>
      </w:tblGrid>
      <w:tr w:rsidR="003E3615" w:rsidRPr="003E3615" w:rsidTr="00FC55D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140" w:type="dxa"/>
            <w:vAlign w:val="center"/>
            <w:hideMark/>
          </w:tcPr>
          <w:p w:rsidR="003E3615" w:rsidRPr="003E3615" w:rsidRDefault="003E3615" w:rsidP="00393D5A">
            <w:pPr>
              <w:jc w:val="center"/>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 no IKP</w:t>
            </w:r>
          </w:p>
        </w:tc>
        <w:tc>
          <w:tcPr>
            <w:tcW w:w="1023" w:type="dxa"/>
            <w:vAlign w:val="center"/>
            <w:hideMark/>
          </w:tcPr>
          <w:p w:rsidR="003E3615" w:rsidRPr="003E3615" w:rsidRDefault="003E3615" w:rsidP="00393D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COFOG kods</w:t>
            </w:r>
          </w:p>
        </w:tc>
        <w:tc>
          <w:tcPr>
            <w:tcW w:w="794" w:type="dxa"/>
            <w:vAlign w:val="center"/>
            <w:hideMark/>
          </w:tcPr>
          <w:p w:rsidR="003E3615" w:rsidRPr="003E3615" w:rsidRDefault="003E3615" w:rsidP="00393D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2016</w:t>
            </w:r>
          </w:p>
        </w:tc>
        <w:tc>
          <w:tcPr>
            <w:tcW w:w="795" w:type="dxa"/>
            <w:vAlign w:val="center"/>
            <w:hideMark/>
          </w:tcPr>
          <w:p w:rsidR="003E3615" w:rsidRPr="003E3615" w:rsidRDefault="003E3615" w:rsidP="00393D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2021</w:t>
            </w:r>
          </w:p>
        </w:tc>
      </w:tr>
      <w:tr w:rsidR="003E3615" w:rsidRPr="003E3615" w:rsidTr="00FC55D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1. Vispārējie sabiedriskie pakalpojumi*</w:t>
            </w:r>
          </w:p>
        </w:tc>
        <w:tc>
          <w:tcPr>
            <w:tcW w:w="1023"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1</w:t>
            </w:r>
          </w:p>
        </w:tc>
        <w:tc>
          <w:tcPr>
            <w:tcW w:w="794"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4,4</w:t>
            </w:r>
          </w:p>
        </w:tc>
        <w:tc>
          <w:tcPr>
            <w:tcW w:w="795"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4,3</w:t>
            </w:r>
          </w:p>
        </w:tc>
      </w:tr>
      <w:tr w:rsidR="003E3615" w:rsidRPr="003E3615" w:rsidTr="00FC55D0">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2. Aizsardzība</w:t>
            </w:r>
          </w:p>
        </w:tc>
        <w:tc>
          <w:tcPr>
            <w:tcW w:w="1023"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2</w:t>
            </w:r>
          </w:p>
        </w:tc>
        <w:tc>
          <w:tcPr>
            <w:tcW w:w="794"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1,6</w:t>
            </w:r>
          </w:p>
        </w:tc>
        <w:tc>
          <w:tcPr>
            <w:tcW w:w="795"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2,0</w:t>
            </w:r>
          </w:p>
        </w:tc>
      </w:tr>
      <w:tr w:rsidR="003E3615" w:rsidRPr="003E3615" w:rsidTr="00FC55D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3. Sabiedriskā kārtība un drošība</w:t>
            </w:r>
          </w:p>
        </w:tc>
        <w:tc>
          <w:tcPr>
            <w:tcW w:w="1023"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3</w:t>
            </w:r>
          </w:p>
        </w:tc>
        <w:tc>
          <w:tcPr>
            <w:tcW w:w="794"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2,2</w:t>
            </w:r>
          </w:p>
        </w:tc>
        <w:tc>
          <w:tcPr>
            <w:tcW w:w="795"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2,0</w:t>
            </w:r>
          </w:p>
        </w:tc>
      </w:tr>
      <w:tr w:rsidR="003E3615" w:rsidRPr="003E3615" w:rsidTr="00FC55D0">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4. Ekonomiskā darbība</w:t>
            </w:r>
          </w:p>
        </w:tc>
        <w:tc>
          <w:tcPr>
            <w:tcW w:w="1023"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4</w:t>
            </w:r>
          </w:p>
        </w:tc>
        <w:tc>
          <w:tcPr>
            <w:tcW w:w="794"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4,9</w:t>
            </w:r>
          </w:p>
        </w:tc>
        <w:tc>
          <w:tcPr>
            <w:tcW w:w="795"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4,6</w:t>
            </w:r>
          </w:p>
        </w:tc>
      </w:tr>
      <w:tr w:rsidR="003E3615" w:rsidRPr="003E3615" w:rsidTr="00FC55D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5. Vides aizsardzība</w:t>
            </w:r>
          </w:p>
        </w:tc>
        <w:tc>
          <w:tcPr>
            <w:tcW w:w="1023"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5</w:t>
            </w:r>
          </w:p>
        </w:tc>
        <w:tc>
          <w:tcPr>
            <w:tcW w:w="794"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0,5</w:t>
            </w:r>
          </w:p>
        </w:tc>
        <w:tc>
          <w:tcPr>
            <w:tcW w:w="795"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0,5</w:t>
            </w:r>
          </w:p>
        </w:tc>
      </w:tr>
      <w:tr w:rsidR="003E3615" w:rsidRPr="003E3615" w:rsidTr="00FC55D0">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6. Mājoklis un komunālā saimniecība</w:t>
            </w:r>
          </w:p>
        </w:tc>
        <w:tc>
          <w:tcPr>
            <w:tcW w:w="1023"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6</w:t>
            </w:r>
          </w:p>
        </w:tc>
        <w:tc>
          <w:tcPr>
            <w:tcW w:w="794"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0,9</w:t>
            </w:r>
          </w:p>
        </w:tc>
        <w:tc>
          <w:tcPr>
            <w:tcW w:w="795"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0,8</w:t>
            </w:r>
          </w:p>
        </w:tc>
      </w:tr>
      <w:tr w:rsidR="003E3615" w:rsidRPr="003E3615" w:rsidTr="00FC55D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7. Veselība</w:t>
            </w:r>
          </w:p>
        </w:tc>
        <w:tc>
          <w:tcPr>
            <w:tcW w:w="1023"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7</w:t>
            </w:r>
          </w:p>
        </w:tc>
        <w:tc>
          <w:tcPr>
            <w:tcW w:w="794"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3,7</w:t>
            </w:r>
          </w:p>
        </w:tc>
        <w:tc>
          <w:tcPr>
            <w:tcW w:w="795"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3,7</w:t>
            </w:r>
          </w:p>
        </w:tc>
      </w:tr>
      <w:tr w:rsidR="003E3615" w:rsidRPr="003E3615" w:rsidTr="00FC55D0">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8. Atpūta, kultūra un reliģija</w:t>
            </w:r>
          </w:p>
        </w:tc>
        <w:tc>
          <w:tcPr>
            <w:tcW w:w="1023"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8</w:t>
            </w:r>
          </w:p>
        </w:tc>
        <w:tc>
          <w:tcPr>
            <w:tcW w:w="794"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1,4</w:t>
            </w:r>
          </w:p>
        </w:tc>
        <w:tc>
          <w:tcPr>
            <w:tcW w:w="795"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1,4</w:t>
            </w:r>
          </w:p>
        </w:tc>
      </w:tr>
      <w:tr w:rsidR="003E3615" w:rsidRPr="003E3615" w:rsidTr="00FC55D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9. Izglītība</w:t>
            </w:r>
          </w:p>
        </w:tc>
        <w:tc>
          <w:tcPr>
            <w:tcW w:w="1023"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9</w:t>
            </w:r>
          </w:p>
        </w:tc>
        <w:tc>
          <w:tcPr>
            <w:tcW w:w="794"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5,5</w:t>
            </w:r>
          </w:p>
        </w:tc>
        <w:tc>
          <w:tcPr>
            <w:tcW w:w="795"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5,1</w:t>
            </w:r>
          </w:p>
        </w:tc>
      </w:tr>
      <w:tr w:rsidR="003E3615" w:rsidRPr="003E3615" w:rsidTr="00FC55D0">
        <w:trPr>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10. Sociālā aizsardzība</w:t>
            </w:r>
          </w:p>
        </w:tc>
        <w:tc>
          <w:tcPr>
            <w:tcW w:w="1023"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10</w:t>
            </w:r>
          </w:p>
        </w:tc>
        <w:tc>
          <w:tcPr>
            <w:tcW w:w="794"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12,0</w:t>
            </w:r>
          </w:p>
        </w:tc>
        <w:tc>
          <w:tcPr>
            <w:tcW w:w="795" w:type="dxa"/>
            <w:vAlign w:val="center"/>
            <w:hideMark/>
          </w:tcPr>
          <w:p w:rsidR="003E3615" w:rsidRPr="003E3615" w:rsidRDefault="003E3615" w:rsidP="00A831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v-LV"/>
              </w:rPr>
            </w:pPr>
            <w:r w:rsidRPr="003E3615">
              <w:rPr>
                <w:rFonts w:ascii="Times New Roman" w:eastAsia="Times New Roman" w:hAnsi="Times New Roman" w:cs="Times New Roman"/>
                <w:color w:val="000000"/>
                <w:sz w:val="20"/>
                <w:szCs w:val="20"/>
                <w:lang w:eastAsia="lv-LV"/>
              </w:rPr>
              <w:t>11,2</w:t>
            </w:r>
          </w:p>
        </w:tc>
      </w:tr>
      <w:tr w:rsidR="003E3615" w:rsidRPr="003E3615" w:rsidTr="00FC55D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0" w:type="dxa"/>
            <w:hideMark/>
          </w:tcPr>
          <w:p w:rsidR="003E3615" w:rsidRPr="00393D5A" w:rsidRDefault="003E3615" w:rsidP="003E3615">
            <w:pPr>
              <w:rPr>
                <w:rFonts w:ascii="Times New Roman" w:eastAsia="Times New Roman" w:hAnsi="Times New Roman" w:cs="Times New Roman"/>
                <w:b w:val="0"/>
                <w:color w:val="000000"/>
                <w:sz w:val="20"/>
                <w:szCs w:val="20"/>
                <w:lang w:eastAsia="lv-LV"/>
              </w:rPr>
            </w:pPr>
            <w:r w:rsidRPr="00393D5A">
              <w:rPr>
                <w:rFonts w:ascii="Times New Roman" w:eastAsia="Times New Roman" w:hAnsi="Times New Roman" w:cs="Times New Roman"/>
                <w:b w:val="0"/>
                <w:color w:val="000000"/>
                <w:sz w:val="20"/>
                <w:szCs w:val="20"/>
                <w:lang w:eastAsia="lv-LV"/>
              </w:rPr>
              <w:t>11. Kopējie izdevumi**</w:t>
            </w:r>
          </w:p>
        </w:tc>
        <w:tc>
          <w:tcPr>
            <w:tcW w:w="1023"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3E3615">
              <w:rPr>
                <w:rFonts w:ascii="Times New Roman" w:eastAsia="Times New Roman" w:hAnsi="Times New Roman" w:cs="Times New Roman"/>
                <w:b/>
                <w:bCs/>
                <w:color w:val="000000"/>
                <w:sz w:val="20"/>
                <w:szCs w:val="20"/>
                <w:lang w:eastAsia="lv-LV"/>
              </w:rPr>
              <w:t>TE</w:t>
            </w:r>
          </w:p>
        </w:tc>
        <w:tc>
          <w:tcPr>
            <w:tcW w:w="794"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3E3615">
              <w:rPr>
                <w:rFonts w:ascii="Times New Roman" w:eastAsia="Times New Roman" w:hAnsi="Times New Roman" w:cs="Times New Roman"/>
                <w:b/>
                <w:bCs/>
                <w:color w:val="000000"/>
                <w:sz w:val="20"/>
                <w:szCs w:val="20"/>
                <w:lang w:eastAsia="lv-LV"/>
              </w:rPr>
              <w:t>37,3</w:t>
            </w:r>
          </w:p>
        </w:tc>
        <w:tc>
          <w:tcPr>
            <w:tcW w:w="795" w:type="dxa"/>
            <w:vAlign w:val="center"/>
            <w:hideMark/>
          </w:tcPr>
          <w:p w:rsidR="003E3615" w:rsidRPr="003E3615" w:rsidRDefault="003E3615" w:rsidP="00A831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v-LV"/>
              </w:rPr>
            </w:pPr>
            <w:r w:rsidRPr="003E3615">
              <w:rPr>
                <w:rFonts w:ascii="Times New Roman" w:eastAsia="Times New Roman" w:hAnsi="Times New Roman" w:cs="Times New Roman"/>
                <w:b/>
                <w:bCs/>
                <w:color w:val="000000"/>
                <w:sz w:val="20"/>
                <w:szCs w:val="20"/>
                <w:lang w:eastAsia="lv-LV"/>
              </w:rPr>
              <w:t>35,7</w:t>
            </w:r>
          </w:p>
        </w:tc>
      </w:tr>
    </w:tbl>
    <w:p w:rsidR="003E3615" w:rsidRPr="00393D5A" w:rsidRDefault="003E3615" w:rsidP="00393D5A">
      <w:pPr>
        <w:spacing w:after="0" w:line="240" w:lineRule="auto"/>
        <w:rPr>
          <w:rFonts w:ascii="Times New Roman" w:hAnsi="Times New Roman" w:cs="Times New Roman"/>
          <w:sz w:val="20"/>
        </w:rPr>
      </w:pPr>
      <w:r w:rsidRPr="00393D5A">
        <w:rPr>
          <w:rFonts w:ascii="Times New Roman" w:hAnsi="Times New Roman" w:cs="Times New Roman"/>
          <w:sz w:val="20"/>
        </w:rPr>
        <w:t>*ieskaitot fiskālā nodrošinājuma rezervi (0,1% no IKP)</w:t>
      </w:r>
      <w:r w:rsidRPr="00393D5A">
        <w:rPr>
          <w:rFonts w:ascii="Times New Roman" w:hAnsi="Times New Roman" w:cs="Times New Roman"/>
          <w:sz w:val="20"/>
        </w:rPr>
        <w:br/>
        <w:t>** ieskaitot fiskālā nodrošinājuma rezervi (0,1% no IKP) un fiskālo telpu</w:t>
      </w:r>
    </w:p>
    <w:p w:rsidR="005C3D64" w:rsidRDefault="005C3D64" w:rsidP="00393D5A">
      <w:pPr>
        <w:spacing w:after="0" w:line="240" w:lineRule="auto"/>
        <w:rPr>
          <w:rFonts w:ascii="Times New Roman" w:hAnsi="Times New Roman" w:cs="Times New Roman"/>
          <w:b/>
          <w:bCs/>
          <w:sz w:val="24"/>
          <w:szCs w:val="32"/>
          <w:lang w:eastAsia="lv-LV"/>
        </w:rPr>
      </w:pPr>
    </w:p>
    <w:p w:rsidR="0009609E" w:rsidRPr="00F51615" w:rsidRDefault="00C81719" w:rsidP="00393D5A">
      <w:pPr>
        <w:spacing w:after="0" w:line="240" w:lineRule="auto"/>
        <w:rPr>
          <w:rFonts w:ascii="Times New Roman" w:hAnsi="Times New Roman" w:cs="Times New Roman"/>
          <w:b/>
          <w:bCs/>
          <w:szCs w:val="32"/>
          <w:lang w:eastAsia="lv-LV"/>
        </w:rPr>
      </w:pPr>
      <w:r>
        <w:rPr>
          <w:rFonts w:ascii="Times New Roman" w:hAnsi="Times New Roman" w:cs="Times New Roman"/>
          <w:b/>
          <w:bCs/>
          <w:sz w:val="24"/>
          <w:szCs w:val="32"/>
          <w:lang w:eastAsia="lv-LV"/>
        </w:rPr>
        <w:lastRenderedPageBreak/>
        <w:t>4.</w:t>
      </w:r>
      <w:r w:rsidR="00F51615" w:rsidRPr="00C81719">
        <w:rPr>
          <w:rFonts w:ascii="Times New Roman" w:hAnsi="Times New Roman" w:cs="Times New Roman"/>
          <w:b/>
          <w:bCs/>
          <w:sz w:val="24"/>
          <w:szCs w:val="32"/>
          <w:lang w:eastAsia="lv-LV"/>
        </w:rPr>
        <w:t>tabula. Vispārējās valdības parāda attīstība un parāda izmaiņas ietekmējošie faktori 201</w:t>
      </w:r>
      <w:r w:rsidR="00FD5100">
        <w:rPr>
          <w:rFonts w:ascii="Times New Roman" w:hAnsi="Times New Roman" w:cs="Times New Roman"/>
          <w:b/>
          <w:bCs/>
          <w:sz w:val="24"/>
          <w:szCs w:val="32"/>
          <w:lang w:eastAsia="lv-LV"/>
        </w:rPr>
        <w:t>7.</w:t>
      </w:r>
      <w:r w:rsidR="00FC55D0" w:rsidRPr="00FC55D0">
        <w:t xml:space="preserve"> </w:t>
      </w:r>
      <w:r w:rsidR="00FC55D0" w:rsidRPr="00FC55D0">
        <w:rPr>
          <w:rFonts w:ascii="Times New Roman" w:hAnsi="Times New Roman" w:cs="Times New Roman"/>
          <w:b/>
          <w:bCs/>
          <w:sz w:val="24"/>
          <w:szCs w:val="32"/>
          <w:lang w:eastAsia="lv-LV"/>
        </w:rPr>
        <w:t>–</w:t>
      </w:r>
      <w:r w:rsidR="00FC55D0">
        <w:rPr>
          <w:rFonts w:ascii="Times New Roman" w:hAnsi="Times New Roman" w:cs="Times New Roman"/>
          <w:b/>
          <w:bCs/>
          <w:sz w:val="24"/>
          <w:szCs w:val="32"/>
          <w:lang w:eastAsia="lv-LV"/>
        </w:rPr>
        <w:t xml:space="preserve"> </w:t>
      </w:r>
      <w:r w:rsidR="00FD5100">
        <w:rPr>
          <w:rFonts w:ascii="Times New Roman" w:hAnsi="Times New Roman" w:cs="Times New Roman"/>
          <w:b/>
          <w:bCs/>
          <w:sz w:val="24"/>
          <w:szCs w:val="32"/>
          <w:lang w:eastAsia="lv-LV"/>
        </w:rPr>
        <w:t>2021</w:t>
      </w:r>
      <w:r w:rsidR="00F51615" w:rsidRPr="00C81719">
        <w:rPr>
          <w:rFonts w:ascii="Times New Roman" w:hAnsi="Times New Roman" w:cs="Times New Roman"/>
          <w:b/>
          <w:bCs/>
          <w:sz w:val="24"/>
          <w:szCs w:val="32"/>
          <w:lang w:eastAsia="lv-LV"/>
        </w:rPr>
        <w:t>.gadā</w:t>
      </w:r>
    </w:p>
    <w:tbl>
      <w:tblPr>
        <w:tblStyle w:val="GridTable6Colorful-Accent11"/>
        <w:tblW w:w="8926" w:type="dxa"/>
        <w:tblLayout w:type="fixed"/>
        <w:tblLook w:val="04A0" w:firstRow="1" w:lastRow="0" w:firstColumn="1" w:lastColumn="0" w:noHBand="0" w:noVBand="1"/>
      </w:tblPr>
      <w:tblGrid>
        <w:gridCol w:w="3539"/>
        <w:gridCol w:w="1134"/>
        <w:gridCol w:w="851"/>
        <w:gridCol w:w="850"/>
        <w:gridCol w:w="851"/>
        <w:gridCol w:w="850"/>
        <w:gridCol w:w="851"/>
      </w:tblGrid>
      <w:tr w:rsidR="00DB1E82" w:rsidRPr="003028D0" w:rsidTr="00393D5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jc w:val="cente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color w:val="auto"/>
                <w:sz w:val="20"/>
                <w:szCs w:val="20"/>
                <w:lang w:eastAsia="lv-LV"/>
              </w:rPr>
              <w:t>% no IKP</w:t>
            </w:r>
          </w:p>
        </w:tc>
        <w:tc>
          <w:tcPr>
            <w:tcW w:w="1134" w:type="dxa"/>
            <w:hideMark/>
          </w:tcPr>
          <w:p w:rsidR="00DB1E82" w:rsidRPr="003028D0" w:rsidRDefault="00DB1E82" w:rsidP="00DB1E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E</w:t>
            </w:r>
            <w:r>
              <w:rPr>
                <w:rFonts w:ascii="Times New Roman" w:eastAsia="Times New Roman" w:hAnsi="Times New Roman" w:cs="Times New Roman"/>
                <w:color w:val="auto"/>
                <w:sz w:val="20"/>
                <w:szCs w:val="20"/>
                <w:lang w:eastAsia="lv-LV"/>
              </w:rPr>
              <w:t>KS</w:t>
            </w:r>
            <w:r w:rsidRPr="003028D0">
              <w:rPr>
                <w:rFonts w:ascii="Times New Roman" w:eastAsia="Times New Roman" w:hAnsi="Times New Roman" w:cs="Times New Roman"/>
                <w:color w:val="auto"/>
                <w:sz w:val="20"/>
                <w:szCs w:val="20"/>
                <w:lang w:eastAsia="lv-LV"/>
              </w:rPr>
              <w:t xml:space="preserve"> </w:t>
            </w:r>
            <w:r>
              <w:rPr>
                <w:rFonts w:ascii="Times New Roman" w:eastAsia="Times New Roman" w:hAnsi="Times New Roman" w:cs="Times New Roman"/>
                <w:color w:val="auto"/>
                <w:sz w:val="20"/>
                <w:szCs w:val="20"/>
                <w:lang w:eastAsia="lv-LV"/>
              </w:rPr>
              <w:t>K</w:t>
            </w:r>
            <w:r w:rsidRPr="003028D0">
              <w:rPr>
                <w:rFonts w:ascii="Times New Roman" w:eastAsia="Times New Roman" w:hAnsi="Times New Roman" w:cs="Times New Roman"/>
                <w:color w:val="auto"/>
                <w:sz w:val="20"/>
                <w:szCs w:val="20"/>
                <w:lang w:eastAsia="lv-LV"/>
              </w:rPr>
              <w:t>ods</w:t>
            </w:r>
          </w:p>
        </w:tc>
        <w:tc>
          <w:tcPr>
            <w:tcW w:w="851" w:type="dxa"/>
            <w:noWrap/>
          </w:tcPr>
          <w:p w:rsidR="00DB1E82" w:rsidRPr="00DB1E82" w:rsidRDefault="00DB1E82" w:rsidP="00DB1E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B1E82">
              <w:rPr>
                <w:rFonts w:ascii="Times New Roman" w:eastAsia="Times New Roman" w:hAnsi="Times New Roman" w:cs="Times New Roman"/>
                <w:color w:val="auto"/>
                <w:sz w:val="20"/>
                <w:szCs w:val="20"/>
                <w:lang w:eastAsia="lv-LV"/>
              </w:rPr>
              <w:t>2017</w:t>
            </w:r>
          </w:p>
        </w:tc>
        <w:tc>
          <w:tcPr>
            <w:tcW w:w="850" w:type="dxa"/>
            <w:noWrap/>
          </w:tcPr>
          <w:p w:rsidR="00DB1E82" w:rsidRPr="00DB1E82" w:rsidRDefault="00DB1E82" w:rsidP="00DB1E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B1E82">
              <w:rPr>
                <w:rFonts w:ascii="Times New Roman" w:eastAsia="Times New Roman" w:hAnsi="Times New Roman" w:cs="Times New Roman"/>
                <w:color w:val="auto"/>
                <w:sz w:val="20"/>
                <w:szCs w:val="20"/>
                <w:lang w:eastAsia="lv-LV"/>
              </w:rPr>
              <w:t>2018</w:t>
            </w:r>
          </w:p>
        </w:tc>
        <w:tc>
          <w:tcPr>
            <w:tcW w:w="851" w:type="dxa"/>
            <w:noWrap/>
          </w:tcPr>
          <w:p w:rsidR="00DB1E82" w:rsidRPr="00DB1E82" w:rsidRDefault="00DB1E82" w:rsidP="00DB1E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B1E82">
              <w:rPr>
                <w:rFonts w:ascii="Times New Roman" w:eastAsia="Times New Roman" w:hAnsi="Times New Roman" w:cs="Times New Roman"/>
                <w:color w:val="auto"/>
                <w:sz w:val="20"/>
                <w:szCs w:val="20"/>
                <w:lang w:eastAsia="lv-LV"/>
              </w:rPr>
              <w:t>2019</w:t>
            </w:r>
          </w:p>
        </w:tc>
        <w:tc>
          <w:tcPr>
            <w:tcW w:w="850" w:type="dxa"/>
            <w:noWrap/>
          </w:tcPr>
          <w:p w:rsidR="00DB1E82" w:rsidRPr="00DB1E82" w:rsidRDefault="00DB1E82" w:rsidP="00DB1E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B1E82">
              <w:rPr>
                <w:rFonts w:ascii="Times New Roman" w:eastAsia="Times New Roman" w:hAnsi="Times New Roman" w:cs="Times New Roman"/>
                <w:color w:val="auto"/>
                <w:sz w:val="20"/>
                <w:szCs w:val="20"/>
                <w:lang w:eastAsia="lv-LV"/>
              </w:rPr>
              <w:t>2020</w:t>
            </w:r>
          </w:p>
        </w:tc>
        <w:tc>
          <w:tcPr>
            <w:tcW w:w="851" w:type="dxa"/>
            <w:noWrap/>
          </w:tcPr>
          <w:p w:rsidR="00DB1E82" w:rsidRPr="00DB1E82" w:rsidRDefault="00DB1E82" w:rsidP="00DB1E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DB1E82">
              <w:rPr>
                <w:rFonts w:ascii="Times New Roman" w:eastAsia="Times New Roman" w:hAnsi="Times New Roman" w:cs="Times New Roman"/>
                <w:color w:val="auto"/>
                <w:sz w:val="20"/>
                <w:szCs w:val="20"/>
                <w:lang w:eastAsia="lv-LV"/>
              </w:rPr>
              <w:t>2021</w:t>
            </w:r>
          </w:p>
        </w:tc>
      </w:tr>
      <w:tr w:rsidR="00DB1E82" w:rsidRPr="003028D0" w:rsidTr="00393D5A">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1. Bruto parāds</w:t>
            </w:r>
          </w:p>
        </w:tc>
        <w:tc>
          <w:tcPr>
            <w:tcW w:w="1134" w:type="dxa"/>
            <w:noWrap/>
            <w:hideMark/>
          </w:tcPr>
          <w:p w:rsidR="00DB1E82" w:rsidRPr="003028D0" w:rsidRDefault="00DB1E82" w:rsidP="00DB1E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40,2%</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38,4%</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37,4%</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38,0%</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35,6%</w:t>
            </w:r>
          </w:p>
        </w:tc>
      </w:tr>
      <w:tr w:rsidR="00DB1E82" w:rsidRPr="003028D0" w:rsidTr="00393D5A">
        <w:trPr>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2. Bruto parāda izmaiņas</w:t>
            </w:r>
          </w:p>
        </w:tc>
        <w:tc>
          <w:tcPr>
            <w:tcW w:w="1134" w:type="dxa"/>
            <w:noWrap/>
            <w:hideMark/>
          </w:tcPr>
          <w:p w:rsidR="00DB1E82" w:rsidRPr="003028D0" w:rsidRDefault="00DB1E82" w:rsidP="00DB1E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-0,3%</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-1,7%</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-1,1%</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0,6%</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-2,4%</w:t>
            </w:r>
          </w:p>
        </w:tc>
      </w:tr>
      <w:tr w:rsidR="00DB1E82" w:rsidRPr="003028D0" w:rsidTr="00393D5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075" w:type="dxa"/>
            <w:gridSpan w:val="6"/>
            <w:hideMark/>
          </w:tcPr>
          <w:p w:rsidR="00DB1E82" w:rsidRPr="00DB1E82" w:rsidRDefault="00DB1E82" w:rsidP="00DB1E82">
            <w:pPr>
              <w:jc w:val="center"/>
              <w:rPr>
                <w:rFonts w:ascii="Times New Roman" w:eastAsia="Times New Roman" w:hAnsi="Times New Roman" w:cs="Times New Roman"/>
                <w:b w:val="0"/>
                <w:color w:val="auto"/>
                <w:sz w:val="20"/>
                <w:szCs w:val="20"/>
                <w:lang w:eastAsia="lv-LV"/>
              </w:rPr>
            </w:pPr>
            <w:r w:rsidRPr="00DB1E82">
              <w:rPr>
                <w:rFonts w:ascii="Times New Roman" w:eastAsia="Times New Roman" w:hAnsi="Times New Roman" w:cs="Times New Roman"/>
                <w:b w:val="0"/>
                <w:color w:val="auto"/>
                <w:sz w:val="20"/>
                <w:szCs w:val="20"/>
                <w:lang w:eastAsia="lv-LV"/>
              </w:rPr>
              <w:t>Kopējā parāda izmaiņas ietekmējošie faktori</w:t>
            </w:r>
          </w:p>
        </w:tc>
        <w:tc>
          <w:tcPr>
            <w:tcW w:w="851" w:type="dxa"/>
            <w:hideMark/>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DB1E82" w:rsidRPr="003028D0" w:rsidTr="00393D5A">
        <w:trPr>
          <w:trHeight w:val="267"/>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3. Primārā bilance</w:t>
            </w:r>
          </w:p>
        </w:tc>
        <w:tc>
          <w:tcPr>
            <w:tcW w:w="1134" w:type="dxa"/>
            <w:noWrap/>
            <w:hideMark/>
          </w:tcPr>
          <w:p w:rsidR="00DB1E82" w:rsidRPr="003028D0" w:rsidRDefault="00DB1E82" w:rsidP="00DB1E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0,5%</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-0,1%</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0,0%</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0,5%</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0,4%</w:t>
            </w:r>
          </w:p>
        </w:tc>
      </w:tr>
      <w:tr w:rsidR="00DB1E82" w:rsidRPr="003028D0" w:rsidTr="00393D5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4. Procentu maksājumi</w:t>
            </w:r>
          </w:p>
        </w:tc>
        <w:tc>
          <w:tcPr>
            <w:tcW w:w="1134" w:type="dxa"/>
            <w:hideMark/>
          </w:tcPr>
          <w:p w:rsidR="00DB1E82" w:rsidRPr="003028D0" w:rsidRDefault="00DB1E82" w:rsidP="00DB1E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EDP D.41</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1,0%</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0,8%</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0,9%</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0,9%</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0,8%</w:t>
            </w:r>
          </w:p>
        </w:tc>
      </w:tr>
      <w:tr w:rsidR="00DB1E82" w:rsidRPr="003028D0" w:rsidTr="00393D5A">
        <w:trPr>
          <w:trHeight w:val="261"/>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5. Krājumu izmaiņas, t.sk.</w:t>
            </w:r>
          </w:p>
        </w:tc>
        <w:tc>
          <w:tcPr>
            <w:tcW w:w="1134" w:type="dxa"/>
            <w:hideMark/>
          </w:tcPr>
          <w:p w:rsidR="00DB1E82" w:rsidRPr="003028D0" w:rsidRDefault="00DB1E82" w:rsidP="00DB1E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-0,8%</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-2,7%</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-2,0%</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0,2%</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-2,8%</w:t>
            </w:r>
          </w:p>
        </w:tc>
      </w:tr>
      <w:tr w:rsidR="00DB1E82" w:rsidRPr="003028D0" w:rsidTr="00393D5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539" w:type="dxa"/>
            <w:hideMark/>
          </w:tcPr>
          <w:p w:rsidR="00DB1E82" w:rsidRPr="003028D0" w:rsidRDefault="00DB1E82" w:rsidP="00DB1E82">
            <w:pPr>
              <w:rPr>
                <w:rFonts w:ascii="Times New Roman" w:eastAsia="Times New Roman" w:hAnsi="Times New Roman" w:cs="Times New Roman"/>
                <w:b w:val="0"/>
                <w:bCs w:val="0"/>
                <w:color w:val="auto"/>
                <w:sz w:val="20"/>
                <w:szCs w:val="20"/>
                <w:lang w:eastAsia="lv-LV"/>
              </w:rPr>
            </w:pPr>
            <w:r w:rsidRPr="003028D0">
              <w:rPr>
                <w:rFonts w:ascii="Times New Roman" w:eastAsia="Times New Roman" w:hAnsi="Times New Roman" w:cs="Times New Roman"/>
                <w:b w:val="0"/>
                <w:color w:val="auto"/>
                <w:sz w:val="20"/>
                <w:szCs w:val="20"/>
                <w:lang w:eastAsia="lv-LV"/>
              </w:rPr>
              <w:t>Valsts parāda netiešā procentu likme</w:t>
            </w:r>
          </w:p>
        </w:tc>
        <w:tc>
          <w:tcPr>
            <w:tcW w:w="1134" w:type="dxa"/>
            <w:noWrap/>
            <w:hideMark/>
          </w:tcPr>
          <w:p w:rsidR="00DB1E82" w:rsidRPr="003028D0" w:rsidRDefault="00DB1E82" w:rsidP="00DB1E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3028D0">
              <w:rPr>
                <w:rFonts w:ascii="Times New Roman" w:eastAsia="Times New Roman" w:hAnsi="Times New Roman" w:cs="Times New Roman"/>
                <w:bCs/>
                <w:color w:val="auto"/>
                <w:sz w:val="20"/>
                <w:szCs w:val="20"/>
                <w:lang w:eastAsia="lv-LV"/>
              </w:rPr>
              <w:t> </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2,6%</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2,2%</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2,4%</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2,6%</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2,2%</w:t>
            </w:r>
          </w:p>
        </w:tc>
      </w:tr>
      <w:tr w:rsidR="00DB1E82" w:rsidRPr="003028D0" w:rsidTr="00393D5A">
        <w:trPr>
          <w:trHeight w:val="255"/>
        </w:trPr>
        <w:tc>
          <w:tcPr>
            <w:cnfStyle w:val="001000000000" w:firstRow="0" w:lastRow="0" w:firstColumn="1" w:lastColumn="0" w:oddVBand="0" w:evenVBand="0" w:oddHBand="0" w:evenHBand="0" w:firstRowFirstColumn="0" w:firstRowLastColumn="0" w:lastRowFirstColumn="0" w:lastRowLastColumn="0"/>
            <w:tcW w:w="8075" w:type="dxa"/>
            <w:gridSpan w:val="6"/>
            <w:hideMark/>
          </w:tcPr>
          <w:p w:rsidR="00DB1E82" w:rsidRPr="00DB1E82" w:rsidRDefault="00DB1E82" w:rsidP="00DB1E82">
            <w:pPr>
              <w:jc w:val="center"/>
              <w:rPr>
                <w:rFonts w:ascii="Times New Roman" w:eastAsia="Times New Roman" w:hAnsi="Times New Roman" w:cs="Times New Roman"/>
                <w:b w:val="0"/>
                <w:color w:val="auto"/>
                <w:sz w:val="20"/>
                <w:szCs w:val="20"/>
                <w:lang w:eastAsia="lv-LV"/>
              </w:rPr>
            </w:pPr>
            <w:r w:rsidRPr="00DB1E82">
              <w:rPr>
                <w:rFonts w:ascii="Times New Roman" w:eastAsia="Times New Roman" w:hAnsi="Times New Roman" w:cs="Times New Roman"/>
                <w:b w:val="0"/>
                <w:color w:val="auto"/>
                <w:sz w:val="20"/>
                <w:szCs w:val="20"/>
                <w:lang w:eastAsia="lv-LV"/>
              </w:rPr>
              <w:t>Citi mainīgie</w:t>
            </w:r>
          </w:p>
        </w:tc>
        <w:tc>
          <w:tcPr>
            <w:tcW w:w="851" w:type="dxa"/>
            <w:hideMark/>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DB1E82" w:rsidRPr="003028D0" w:rsidTr="00393D5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6. Likvīdi finanšu aktīvi</w:t>
            </w:r>
          </w:p>
        </w:tc>
        <w:tc>
          <w:tcPr>
            <w:tcW w:w="1134" w:type="dxa"/>
            <w:noWrap/>
            <w:hideMark/>
          </w:tcPr>
          <w:p w:rsidR="00DB1E82" w:rsidRPr="003028D0" w:rsidRDefault="00DB1E82" w:rsidP="00DB1E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8,2%</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DB1E82" w:rsidRPr="003028D0" w:rsidTr="00393D5A">
        <w:trPr>
          <w:trHeight w:val="252"/>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7. Neto finansiālais parāds (7=1-6)</w:t>
            </w:r>
          </w:p>
        </w:tc>
        <w:tc>
          <w:tcPr>
            <w:tcW w:w="1134" w:type="dxa"/>
            <w:noWrap/>
            <w:hideMark/>
          </w:tcPr>
          <w:p w:rsidR="00DB1E82" w:rsidRPr="003028D0" w:rsidRDefault="00DB1E82" w:rsidP="00DB1E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31,9%</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r w:rsidR="00DB1E82" w:rsidRPr="003028D0" w:rsidTr="00393D5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39" w:type="dxa"/>
            <w:hideMark/>
          </w:tcPr>
          <w:p w:rsidR="00DB1E82" w:rsidRPr="003028D0" w:rsidRDefault="00DB1E82" w:rsidP="00DB1E82">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8. Parāda amortizācija</w:t>
            </w:r>
          </w:p>
        </w:tc>
        <w:tc>
          <w:tcPr>
            <w:tcW w:w="1134" w:type="dxa"/>
            <w:noWrap/>
            <w:hideMark/>
          </w:tcPr>
          <w:p w:rsidR="00DB1E82" w:rsidRPr="003028D0" w:rsidRDefault="00DB1E82" w:rsidP="00DB1E8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3,8%</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2,7%</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1,2%</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3,8%</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4,2%</w:t>
            </w:r>
          </w:p>
        </w:tc>
      </w:tr>
      <w:tr w:rsidR="00DB1E82" w:rsidRPr="003028D0" w:rsidTr="00393D5A">
        <w:trPr>
          <w:trHeight w:val="415"/>
        </w:trPr>
        <w:tc>
          <w:tcPr>
            <w:cnfStyle w:val="001000000000" w:firstRow="0" w:lastRow="0" w:firstColumn="1" w:lastColumn="0" w:oddVBand="0" w:evenVBand="0" w:oddHBand="0" w:evenHBand="0" w:firstRowFirstColumn="0" w:firstRowLastColumn="0" w:lastRowFirstColumn="0" w:lastRowLastColumn="0"/>
            <w:tcW w:w="3539" w:type="dxa"/>
            <w:hideMark/>
          </w:tcPr>
          <w:p w:rsidR="00DB1E82" w:rsidRPr="003028D0" w:rsidRDefault="00DB1E82" w:rsidP="00DB1E82">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9. Ārvalstu valūtā denominētā parāda īpatsvars</w:t>
            </w:r>
          </w:p>
        </w:tc>
        <w:tc>
          <w:tcPr>
            <w:tcW w:w="1134" w:type="dxa"/>
            <w:noWrap/>
            <w:hideMark/>
          </w:tcPr>
          <w:p w:rsidR="00DB1E82" w:rsidRPr="003028D0" w:rsidRDefault="00DB1E82" w:rsidP="00DB1E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10,5%</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10,0%</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7,4%</w:t>
            </w:r>
          </w:p>
        </w:tc>
        <w:tc>
          <w:tcPr>
            <w:tcW w:w="850"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4,2%</w:t>
            </w:r>
          </w:p>
        </w:tc>
        <w:tc>
          <w:tcPr>
            <w:tcW w:w="851" w:type="dxa"/>
            <w:noWrap/>
          </w:tcPr>
          <w:p w:rsidR="00DB1E82" w:rsidRPr="00DB1E82" w:rsidRDefault="00DB1E82"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0,9%</w:t>
            </w:r>
          </w:p>
        </w:tc>
      </w:tr>
      <w:tr w:rsidR="00DB1E82" w:rsidRPr="003028D0" w:rsidTr="00393D5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39" w:type="dxa"/>
            <w:noWrap/>
            <w:hideMark/>
          </w:tcPr>
          <w:p w:rsidR="00DB1E82" w:rsidRPr="003028D0" w:rsidRDefault="00DB1E82" w:rsidP="00DB1E82">
            <w:pPr>
              <w:rPr>
                <w:rFonts w:ascii="Times New Roman" w:eastAsia="Times New Roman" w:hAnsi="Times New Roman" w:cs="Times New Roman"/>
                <w:b w:val="0"/>
                <w:color w:val="auto"/>
                <w:sz w:val="20"/>
                <w:szCs w:val="20"/>
                <w:lang w:eastAsia="lv-LV"/>
              </w:rPr>
            </w:pPr>
            <w:r w:rsidRPr="003028D0">
              <w:rPr>
                <w:rFonts w:ascii="Times New Roman" w:eastAsia="Times New Roman" w:hAnsi="Times New Roman" w:cs="Times New Roman"/>
                <w:b w:val="0"/>
                <w:color w:val="auto"/>
                <w:sz w:val="20"/>
                <w:szCs w:val="20"/>
                <w:lang w:eastAsia="lv-LV"/>
              </w:rPr>
              <w:t>10. Vidējā dzēšana</w:t>
            </w:r>
          </w:p>
        </w:tc>
        <w:tc>
          <w:tcPr>
            <w:tcW w:w="1134" w:type="dxa"/>
            <w:noWrap/>
            <w:hideMark/>
          </w:tcPr>
          <w:p w:rsidR="00DB1E82" w:rsidRPr="003028D0" w:rsidRDefault="00DB1E82" w:rsidP="00DB1E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lv-LV"/>
              </w:rPr>
            </w:pPr>
            <w:r w:rsidRPr="003028D0">
              <w:rPr>
                <w:rFonts w:ascii="Times New Roman" w:eastAsia="Times New Roman" w:hAnsi="Times New Roman" w:cs="Times New Roman"/>
                <w:color w:val="auto"/>
                <w:sz w:val="20"/>
                <w:szCs w:val="20"/>
                <w:lang w:eastAsia="lv-LV"/>
              </w:rPr>
              <w:t> </w:t>
            </w: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r w:rsidRPr="00DB1E82">
              <w:rPr>
                <w:rFonts w:ascii="Times New Roman" w:eastAsia="Times New Roman" w:hAnsi="Times New Roman" w:cs="Times New Roman"/>
                <w:bCs/>
                <w:color w:val="auto"/>
                <w:sz w:val="20"/>
                <w:szCs w:val="20"/>
                <w:lang w:eastAsia="lv-LV"/>
              </w:rPr>
              <w:t>6.88 gadi</w:t>
            </w: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0"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c>
          <w:tcPr>
            <w:tcW w:w="851" w:type="dxa"/>
            <w:noWrap/>
          </w:tcPr>
          <w:p w:rsidR="00DB1E82" w:rsidRPr="00DB1E82" w:rsidRDefault="00DB1E82"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lv-LV"/>
              </w:rPr>
            </w:pPr>
          </w:p>
        </w:tc>
      </w:tr>
    </w:tbl>
    <w:p w:rsidR="006D382A" w:rsidRDefault="006D382A" w:rsidP="00FC55D0">
      <w:pPr>
        <w:pStyle w:val="T"/>
        <w:spacing w:after="0"/>
        <w:ind w:left="0"/>
        <w:jc w:val="both"/>
        <w:rPr>
          <w:rFonts w:ascii="Times New Roman" w:hAnsi="Times New Roman"/>
          <w:color w:val="000000"/>
          <w:szCs w:val="24"/>
        </w:rPr>
      </w:pPr>
    </w:p>
    <w:p w:rsidR="00F51615" w:rsidRDefault="00C81719" w:rsidP="00FC55D0">
      <w:pPr>
        <w:pStyle w:val="T"/>
        <w:spacing w:after="0"/>
        <w:ind w:left="0"/>
        <w:jc w:val="both"/>
        <w:rPr>
          <w:rFonts w:ascii="Times New Roman" w:hAnsi="Times New Roman"/>
          <w:color w:val="000000"/>
          <w:szCs w:val="24"/>
        </w:rPr>
      </w:pPr>
      <w:r>
        <w:rPr>
          <w:rFonts w:ascii="Times New Roman" w:hAnsi="Times New Roman"/>
          <w:color w:val="000000"/>
          <w:szCs w:val="24"/>
        </w:rPr>
        <w:t>5.</w:t>
      </w:r>
      <w:r w:rsidR="00F51615" w:rsidRPr="00F51615">
        <w:rPr>
          <w:rFonts w:ascii="Times New Roman" w:hAnsi="Times New Roman"/>
          <w:color w:val="000000"/>
          <w:szCs w:val="24"/>
        </w:rPr>
        <w:t>tabula. Cikliskā attīstība</w:t>
      </w:r>
    </w:p>
    <w:tbl>
      <w:tblPr>
        <w:tblStyle w:val="GridTable6Colorful-Accent11"/>
        <w:tblW w:w="9352" w:type="dxa"/>
        <w:jc w:val="center"/>
        <w:tblLook w:val="04A0" w:firstRow="1" w:lastRow="0" w:firstColumn="1" w:lastColumn="0" w:noHBand="0" w:noVBand="1"/>
      </w:tblPr>
      <w:tblGrid>
        <w:gridCol w:w="3681"/>
        <w:gridCol w:w="840"/>
        <w:gridCol w:w="803"/>
        <w:gridCol w:w="1007"/>
        <w:gridCol w:w="1007"/>
        <w:gridCol w:w="1007"/>
        <w:gridCol w:w="1007"/>
      </w:tblGrid>
      <w:tr w:rsidR="003E3615" w:rsidRPr="00094C88" w:rsidTr="00916F9A">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rsidR="003E3615" w:rsidRPr="003E3615" w:rsidRDefault="003E3615" w:rsidP="003E3615">
            <w:pPr>
              <w:jc w:val="center"/>
              <w:rPr>
                <w:rFonts w:ascii="Times New Roman" w:hAnsi="Times New Roman" w:cs="Times New Roman"/>
                <w:color w:val="000000" w:themeColor="text1"/>
                <w:sz w:val="20"/>
                <w:szCs w:val="20"/>
              </w:rPr>
            </w:pPr>
            <w:r w:rsidRPr="003E3615">
              <w:rPr>
                <w:rFonts w:ascii="Times New Roman" w:hAnsi="Times New Roman" w:cs="Times New Roman"/>
                <w:color w:val="000000" w:themeColor="text1"/>
                <w:sz w:val="20"/>
                <w:szCs w:val="20"/>
              </w:rPr>
              <w:t xml:space="preserve">% no IKP </w:t>
            </w:r>
          </w:p>
        </w:tc>
        <w:tc>
          <w:tcPr>
            <w:tcW w:w="840" w:type="dxa"/>
            <w:vAlign w:val="center"/>
            <w:hideMark/>
          </w:tcPr>
          <w:p w:rsidR="003E3615" w:rsidRPr="003E3615" w:rsidRDefault="003E3615"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3E3615">
              <w:rPr>
                <w:rFonts w:ascii="Times New Roman" w:hAnsi="Times New Roman" w:cs="Times New Roman"/>
                <w:color w:val="000000" w:themeColor="text1"/>
                <w:sz w:val="20"/>
                <w:szCs w:val="20"/>
              </w:rPr>
              <w:t>EKS Kods</w:t>
            </w:r>
          </w:p>
        </w:tc>
        <w:tc>
          <w:tcPr>
            <w:tcW w:w="803" w:type="dxa"/>
            <w:noWrap/>
            <w:vAlign w:val="center"/>
            <w:hideMark/>
          </w:tcPr>
          <w:p w:rsidR="003E3615" w:rsidRPr="003E3615" w:rsidRDefault="003E3615"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highlight w:val="yellow"/>
              </w:rPr>
            </w:pPr>
            <w:r w:rsidRPr="003E3615">
              <w:rPr>
                <w:rFonts w:ascii="Times New Roman" w:hAnsi="Times New Roman" w:cs="Times New Roman"/>
                <w:b w:val="0"/>
                <w:bCs w:val="0"/>
                <w:color w:val="000000" w:themeColor="text1"/>
                <w:sz w:val="20"/>
                <w:szCs w:val="20"/>
              </w:rPr>
              <w:t>2017</w:t>
            </w:r>
          </w:p>
        </w:tc>
        <w:tc>
          <w:tcPr>
            <w:tcW w:w="1007" w:type="dxa"/>
            <w:noWrap/>
            <w:vAlign w:val="center"/>
            <w:hideMark/>
          </w:tcPr>
          <w:p w:rsidR="003E3615" w:rsidRPr="003E3615" w:rsidRDefault="003E3615"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highlight w:val="yellow"/>
              </w:rPr>
            </w:pPr>
            <w:r w:rsidRPr="003E3615">
              <w:rPr>
                <w:rFonts w:ascii="Times New Roman" w:hAnsi="Times New Roman" w:cs="Times New Roman"/>
                <w:b w:val="0"/>
                <w:bCs w:val="0"/>
                <w:color w:val="000000" w:themeColor="text1"/>
                <w:sz w:val="20"/>
                <w:szCs w:val="20"/>
              </w:rPr>
              <w:t>2018</w:t>
            </w:r>
          </w:p>
        </w:tc>
        <w:tc>
          <w:tcPr>
            <w:tcW w:w="1007" w:type="dxa"/>
            <w:noWrap/>
            <w:vAlign w:val="center"/>
            <w:hideMark/>
          </w:tcPr>
          <w:p w:rsidR="003E3615" w:rsidRPr="003E3615" w:rsidRDefault="003E3615"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highlight w:val="yellow"/>
              </w:rPr>
            </w:pPr>
            <w:r w:rsidRPr="003E3615">
              <w:rPr>
                <w:rFonts w:ascii="Times New Roman" w:hAnsi="Times New Roman" w:cs="Times New Roman"/>
                <w:b w:val="0"/>
                <w:bCs w:val="0"/>
                <w:color w:val="000000" w:themeColor="text1"/>
                <w:sz w:val="20"/>
                <w:szCs w:val="20"/>
              </w:rPr>
              <w:t>2019</w:t>
            </w:r>
          </w:p>
        </w:tc>
        <w:tc>
          <w:tcPr>
            <w:tcW w:w="1007" w:type="dxa"/>
            <w:noWrap/>
            <w:vAlign w:val="center"/>
            <w:hideMark/>
          </w:tcPr>
          <w:p w:rsidR="003E3615" w:rsidRPr="003E3615" w:rsidRDefault="003E3615"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highlight w:val="yellow"/>
              </w:rPr>
            </w:pPr>
            <w:r w:rsidRPr="003E3615">
              <w:rPr>
                <w:rFonts w:ascii="Times New Roman" w:hAnsi="Times New Roman" w:cs="Times New Roman"/>
                <w:b w:val="0"/>
                <w:bCs w:val="0"/>
                <w:color w:val="000000" w:themeColor="text1"/>
                <w:sz w:val="20"/>
                <w:szCs w:val="20"/>
              </w:rPr>
              <w:t>2020</w:t>
            </w:r>
          </w:p>
        </w:tc>
        <w:tc>
          <w:tcPr>
            <w:tcW w:w="1007" w:type="dxa"/>
            <w:noWrap/>
            <w:vAlign w:val="center"/>
            <w:hideMark/>
          </w:tcPr>
          <w:p w:rsidR="003E3615" w:rsidRPr="003E3615" w:rsidRDefault="003E3615"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highlight w:val="yellow"/>
              </w:rPr>
            </w:pPr>
            <w:r w:rsidRPr="003E3615">
              <w:rPr>
                <w:rFonts w:ascii="Times New Roman" w:hAnsi="Times New Roman" w:cs="Times New Roman"/>
                <w:b w:val="0"/>
                <w:bCs w:val="0"/>
                <w:color w:val="000000" w:themeColor="text1"/>
                <w:sz w:val="20"/>
                <w:szCs w:val="20"/>
              </w:rPr>
              <w:t>2021</w:t>
            </w:r>
          </w:p>
        </w:tc>
      </w:tr>
      <w:tr w:rsidR="003E3615" w:rsidRPr="00094C88" w:rsidTr="00916F9A">
        <w:trPr>
          <w:cnfStyle w:val="000000100000" w:firstRow="0" w:lastRow="0" w:firstColumn="0" w:lastColumn="0" w:oddVBand="0" w:evenVBand="0" w:oddHBand="1" w:evenHBand="0" w:firstRowFirstColumn="0" w:firstRowLastColumn="0" w:lastRowFirstColumn="0" w:lastRowLastColumn="0"/>
          <w:trHeight w:val="5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1. IKP pieaugums salīdzināmās cenās (%)</w:t>
            </w:r>
          </w:p>
        </w:tc>
        <w:tc>
          <w:tcPr>
            <w:tcW w:w="840" w:type="dxa"/>
            <w:noWrap/>
            <w:vAlign w:val="center"/>
            <w:hideMark/>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E3615">
              <w:rPr>
                <w:rFonts w:ascii="Times New Roman" w:hAnsi="Times New Roman" w:cs="Times New Roman"/>
                <w:color w:val="000000" w:themeColor="text1"/>
                <w:sz w:val="20"/>
                <w:szCs w:val="20"/>
              </w:rPr>
              <w:t>B1g</w:t>
            </w:r>
          </w:p>
        </w:tc>
        <w:tc>
          <w:tcPr>
            <w:tcW w:w="803"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4,5</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4,0</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3,4</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3,0</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2,9</w:t>
            </w:r>
          </w:p>
        </w:tc>
      </w:tr>
      <w:tr w:rsidR="003E3615" w:rsidRPr="00094C88" w:rsidTr="00916F9A">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2. Faktiskā budžeta bilance</w:t>
            </w:r>
          </w:p>
        </w:tc>
        <w:tc>
          <w:tcPr>
            <w:tcW w:w="840" w:type="dxa"/>
            <w:noWrap/>
            <w:vAlign w:val="center"/>
            <w:hideMark/>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3E3615">
              <w:rPr>
                <w:rFonts w:ascii="Times New Roman" w:hAnsi="Times New Roman" w:cs="Times New Roman"/>
                <w:color w:val="000000" w:themeColor="text1"/>
                <w:sz w:val="20"/>
                <w:szCs w:val="20"/>
              </w:rPr>
              <w:t>B.9</w:t>
            </w:r>
          </w:p>
        </w:tc>
        <w:tc>
          <w:tcPr>
            <w:tcW w:w="803"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-0,5</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-0,9</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-0,9</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-0,4</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-0,4</w:t>
            </w:r>
          </w:p>
        </w:tc>
      </w:tr>
      <w:tr w:rsidR="003E3615" w:rsidRPr="00094C88" w:rsidTr="00916F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FC55D0" w:rsidP="003E3615">
            <w:pP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 Procentu izdevumi</w:t>
            </w:r>
          </w:p>
        </w:tc>
        <w:tc>
          <w:tcPr>
            <w:tcW w:w="840" w:type="dxa"/>
            <w:noWrap/>
            <w:vAlign w:val="center"/>
            <w:hideMark/>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E3615">
              <w:rPr>
                <w:rFonts w:ascii="Times New Roman" w:hAnsi="Times New Roman" w:cs="Times New Roman"/>
                <w:color w:val="000000" w:themeColor="text1"/>
                <w:sz w:val="20"/>
                <w:szCs w:val="20"/>
              </w:rPr>
              <w:t>D.41</w:t>
            </w:r>
          </w:p>
        </w:tc>
        <w:tc>
          <w:tcPr>
            <w:tcW w:w="803"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1,0</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0,8</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0,9</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0,9</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0,8</w:t>
            </w:r>
          </w:p>
        </w:tc>
      </w:tr>
      <w:tr w:rsidR="003E3615" w:rsidRPr="00094C88" w:rsidTr="00916F9A">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4. Vienreizēji un citi īslaicīgi pasākumi</w:t>
            </w:r>
          </w:p>
        </w:tc>
        <w:tc>
          <w:tcPr>
            <w:tcW w:w="840" w:type="dxa"/>
            <w:noWrap/>
            <w:vAlign w:val="center"/>
            <w:hideMark/>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r>
      <w:tr w:rsidR="003E3615" w:rsidRPr="00094C88" w:rsidTr="00916F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5. Potenciālā IKP pieaugums (%)</w:t>
            </w:r>
          </w:p>
        </w:tc>
        <w:tc>
          <w:tcPr>
            <w:tcW w:w="840" w:type="dxa"/>
            <w:noWrap/>
            <w:vAlign w:val="center"/>
            <w:hideMark/>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3,3</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3,4</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3,4</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3,3</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3,2</w:t>
            </w:r>
          </w:p>
        </w:tc>
      </w:tr>
      <w:tr w:rsidR="003E3615" w:rsidRPr="00094C88" w:rsidTr="00916F9A">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ind w:firstLineChars="100" w:firstLine="200"/>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ieguldījums:</w:t>
            </w:r>
          </w:p>
        </w:tc>
        <w:tc>
          <w:tcPr>
            <w:tcW w:w="840" w:type="dxa"/>
            <w:noWrap/>
            <w:vAlign w:val="center"/>
            <w:hideMark/>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p>
        </w:tc>
      </w:tr>
      <w:tr w:rsidR="003E3615" w:rsidRPr="00094C88" w:rsidTr="00916F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ind w:firstLineChars="200" w:firstLine="400"/>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 xml:space="preserve"> - nodarbinātības</w:t>
            </w:r>
          </w:p>
        </w:tc>
        <w:tc>
          <w:tcPr>
            <w:tcW w:w="840" w:type="dxa"/>
            <w:noWrap/>
            <w:vAlign w:val="center"/>
            <w:hideMark/>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0,0</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0,0</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0,0</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0,0</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0,0</w:t>
            </w:r>
          </w:p>
        </w:tc>
      </w:tr>
      <w:tr w:rsidR="003E3615" w:rsidRPr="00094C88" w:rsidTr="00916F9A">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ind w:firstLineChars="200" w:firstLine="400"/>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 xml:space="preserve"> - kapitāla</w:t>
            </w:r>
          </w:p>
        </w:tc>
        <w:tc>
          <w:tcPr>
            <w:tcW w:w="840" w:type="dxa"/>
            <w:noWrap/>
            <w:vAlign w:val="center"/>
            <w:hideMark/>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2,1</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2,2</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2,2</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2,1</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2,0</w:t>
            </w:r>
          </w:p>
        </w:tc>
      </w:tr>
      <w:tr w:rsidR="003E3615" w:rsidRPr="00094C88" w:rsidTr="00916F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ind w:firstLineChars="200" w:firstLine="400"/>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 xml:space="preserve"> - kopējās ražošanas faktoru produktivitātes</w:t>
            </w:r>
          </w:p>
        </w:tc>
        <w:tc>
          <w:tcPr>
            <w:tcW w:w="840" w:type="dxa"/>
            <w:noWrap/>
            <w:vAlign w:val="center"/>
            <w:hideMark/>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1,2</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1,2</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1,3</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1,2</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1,2</w:t>
            </w:r>
          </w:p>
        </w:tc>
      </w:tr>
      <w:tr w:rsidR="003E3615" w:rsidRPr="00094C88" w:rsidTr="00916F9A">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 xml:space="preserve">6. Starpība starp faktisko un potenciālo IKP </w:t>
            </w:r>
            <w:r w:rsidRPr="00916F9A">
              <w:rPr>
                <w:rFonts w:ascii="Times New Roman" w:hAnsi="Times New Roman" w:cs="Times New Roman"/>
                <w:b w:val="0"/>
                <w:color w:val="000000" w:themeColor="text1"/>
                <w:sz w:val="20"/>
                <w:szCs w:val="20"/>
              </w:rPr>
              <w:br/>
              <w:t>(% no potenciālā IKP)</w:t>
            </w:r>
          </w:p>
        </w:tc>
        <w:tc>
          <w:tcPr>
            <w:tcW w:w="840" w:type="dxa"/>
            <w:noWrap/>
            <w:vAlign w:val="center"/>
            <w:hideMark/>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0,5</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1,1</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1,0</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0,7</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0,3</w:t>
            </w:r>
          </w:p>
        </w:tc>
      </w:tr>
      <w:tr w:rsidR="003E3615" w:rsidRPr="00094C88" w:rsidTr="00916F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7. Budžeta bilances cikliskā komponente</w:t>
            </w:r>
          </w:p>
        </w:tc>
        <w:tc>
          <w:tcPr>
            <w:tcW w:w="840" w:type="dxa"/>
            <w:noWrap/>
            <w:vAlign w:val="center"/>
            <w:hideMark/>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0,2</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0,4</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0,4</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0,3</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0,1</w:t>
            </w:r>
          </w:p>
        </w:tc>
      </w:tr>
      <w:tr w:rsidR="003E3615" w:rsidRPr="00094C88" w:rsidTr="00916F9A">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8. Cikliski koriģētā bilance (2</w:t>
            </w:r>
            <w:r w:rsidR="00FC55D0" w:rsidRPr="00FC55D0">
              <w:rPr>
                <w:rFonts w:ascii="Times New Roman" w:hAnsi="Times New Roman" w:cs="Times New Roman"/>
                <w:b w:val="0"/>
                <w:color w:val="000000" w:themeColor="text1"/>
                <w:sz w:val="20"/>
                <w:szCs w:val="20"/>
              </w:rPr>
              <w:t>–</w:t>
            </w:r>
            <w:r w:rsidRPr="00916F9A">
              <w:rPr>
                <w:rFonts w:ascii="Times New Roman" w:hAnsi="Times New Roman" w:cs="Times New Roman"/>
                <w:b w:val="0"/>
                <w:color w:val="000000" w:themeColor="text1"/>
                <w:sz w:val="20"/>
                <w:szCs w:val="20"/>
              </w:rPr>
              <w:t>7)</w:t>
            </w:r>
          </w:p>
        </w:tc>
        <w:tc>
          <w:tcPr>
            <w:tcW w:w="840" w:type="dxa"/>
            <w:noWrap/>
            <w:vAlign w:val="center"/>
            <w:hideMark/>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-0,7</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-1,4</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-1,3</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-0,7</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-0,5</w:t>
            </w:r>
          </w:p>
        </w:tc>
      </w:tr>
      <w:tr w:rsidR="003E3615" w:rsidRPr="00094C88" w:rsidTr="00916F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9. Cikliski koriģētā primārā bilance (8+3)</w:t>
            </w:r>
          </w:p>
        </w:tc>
        <w:tc>
          <w:tcPr>
            <w:tcW w:w="840" w:type="dxa"/>
            <w:noWrap/>
            <w:vAlign w:val="center"/>
            <w:hideMark/>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0,3</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-0,5</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-0,4</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0,2</w:t>
            </w:r>
          </w:p>
        </w:tc>
        <w:tc>
          <w:tcPr>
            <w:tcW w:w="1007" w:type="dxa"/>
            <w:noWrap/>
            <w:vAlign w:val="center"/>
          </w:tcPr>
          <w:p w:rsidR="003E3615" w:rsidRPr="003E3615" w:rsidRDefault="003E3615"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0,3</w:t>
            </w:r>
          </w:p>
        </w:tc>
      </w:tr>
      <w:tr w:rsidR="003E3615" w:rsidRPr="00094C88" w:rsidTr="00916F9A">
        <w:trPr>
          <w:trHeight w:val="63"/>
          <w:jc w:val="center"/>
        </w:trPr>
        <w:tc>
          <w:tcPr>
            <w:cnfStyle w:val="001000000000" w:firstRow="0" w:lastRow="0" w:firstColumn="1" w:lastColumn="0" w:oddVBand="0" w:evenVBand="0" w:oddHBand="0" w:evenHBand="0" w:firstRowFirstColumn="0" w:firstRowLastColumn="0" w:lastRowFirstColumn="0" w:lastRowLastColumn="0"/>
            <w:tcW w:w="3681" w:type="dxa"/>
            <w:noWrap/>
            <w:vAlign w:val="bottom"/>
            <w:hideMark/>
          </w:tcPr>
          <w:p w:rsidR="003E3615" w:rsidRPr="00916F9A" w:rsidRDefault="003E3615" w:rsidP="003E3615">
            <w:pPr>
              <w:rPr>
                <w:rFonts w:ascii="Times New Roman" w:hAnsi="Times New Roman" w:cs="Times New Roman"/>
                <w:b w:val="0"/>
                <w:color w:val="000000" w:themeColor="text1"/>
                <w:sz w:val="20"/>
                <w:szCs w:val="20"/>
              </w:rPr>
            </w:pPr>
            <w:r w:rsidRPr="00916F9A">
              <w:rPr>
                <w:rFonts w:ascii="Times New Roman" w:hAnsi="Times New Roman" w:cs="Times New Roman"/>
                <w:b w:val="0"/>
                <w:color w:val="000000" w:themeColor="text1"/>
                <w:sz w:val="20"/>
                <w:szCs w:val="20"/>
              </w:rPr>
              <w:t>10. Strukturālā bilance (8</w:t>
            </w:r>
            <w:r w:rsidR="00FC55D0" w:rsidRPr="00FC55D0">
              <w:rPr>
                <w:rFonts w:ascii="Times New Roman" w:hAnsi="Times New Roman" w:cs="Times New Roman"/>
                <w:b w:val="0"/>
                <w:color w:val="000000" w:themeColor="text1"/>
                <w:sz w:val="20"/>
                <w:szCs w:val="20"/>
              </w:rPr>
              <w:t>–</w:t>
            </w:r>
            <w:r w:rsidRPr="00916F9A">
              <w:rPr>
                <w:rFonts w:ascii="Times New Roman" w:hAnsi="Times New Roman" w:cs="Times New Roman"/>
                <w:b w:val="0"/>
                <w:color w:val="000000" w:themeColor="text1"/>
                <w:sz w:val="20"/>
                <w:szCs w:val="20"/>
              </w:rPr>
              <w:t>4)</w:t>
            </w:r>
          </w:p>
        </w:tc>
        <w:tc>
          <w:tcPr>
            <w:tcW w:w="840" w:type="dxa"/>
            <w:noWrap/>
            <w:vAlign w:val="center"/>
            <w:hideMark/>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03"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-0,7</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rPr>
            </w:pPr>
            <w:r w:rsidRPr="003E3615">
              <w:rPr>
                <w:rFonts w:ascii="Times New Roman" w:hAnsi="Times New Roman" w:cs="Times New Roman"/>
                <w:color w:val="000000" w:themeColor="text1"/>
                <w:sz w:val="20"/>
                <w:szCs w:val="20"/>
              </w:rPr>
              <w:t>-1,4</w:t>
            </w:r>
          </w:p>
        </w:tc>
        <w:tc>
          <w:tcPr>
            <w:tcW w:w="1007" w:type="dxa"/>
            <w:noWrap/>
            <w:vAlign w:val="center"/>
          </w:tcPr>
          <w:p w:rsidR="003E3615" w:rsidRPr="003E3615" w:rsidRDefault="003E3615" w:rsidP="00B803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w:t>
            </w:r>
            <w:r w:rsidR="00B80396">
              <w:rPr>
                <w:rFonts w:ascii="Times New Roman" w:hAnsi="Times New Roman" w:cs="Times New Roman"/>
                <w:color w:val="000000" w:themeColor="text1"/>
                <w:sz w:val="20"/>
                <w:szCs w:val="20"/>
              </w:rPr>
              <w:t>1,3</w:t>
            </w:r>
          </w:p>
        </w:tc>
        <w:tc>
          <w:tcPr>
            <w:tcW w:w="1007" w:type="dxa"/>
            <w:noWrap/>
            <w:vAlign w:val="center"/>
          </w:tcPr>
          <w:p w:rsidR="003E3615" w:rsidRPr="003E3615" w:rsidRDefault="003E3615" w:rsidP="00B803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-0,</w:t>
            </w:r>
            <w:r w:rsidR="00B80396">
              <w:rPr>
                <w:rFonts w:ascii="Times New Roman" w:hAnsi="Times New Roman" w:cs="Times New Roman"/>
                <w:color w:val="000000" w:themeColor="text1"/>
                <w:sz w:val="20"/>
                <w:szCs w:val="20"/>
              </w:rPr>
              <w:t>7</w:t>
            </w:r>
          </w:p>
        </w:tc>
        <w:tc>
          <w:tcPr>
            <w:tcW w:w="1007" w:type="dxa"/>
            <w:noWrap/>
            <w:vAlign w:val="center"/>
          </w:tcPr>
          <w:p w:rsidR="003E3615" w:rsidRPr="003E3615" w:rsidRDefault="003E3615"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highlight w:val="yellow"/>
                <w:lang w:eastAsia="lv-LV"/>
              </w:rPr>
            </w:pPr>
            <w:r w:rsidRPr="003E3615">
              <w:rPr>
                <w:rFonts w:ascii="Times New Roman" w:hAnsi="Times New Roman" w:cs="Times New Roman"/>
                <w:color w:val="000000" w:themeColor="text1"/>
                <w:sz w:val="20"/>
                <w:szCs w:val="20"/>
              </w:rPr>
              <w:t>-0,5</w:t>
            </w:r>
          </w:p>
        </w:tc>
      </w:tr>
    </w:tbl>
    <w:p w:rsidR="009B498D" w:rsidRDefault="00735212" w:rsidP="00393D5A">
      <w:pPr>
        <w:pStyle w:val="T"/>
        <w:keepNext w:val="0"/>
        <w:spacing w:after="0"/>
        <w:ind w:left="-142" w:right="-142"/>
        <w:jc w:val="both"/>
        <w:rPr>
          <w:rFonts w:ascii="Times New Roman" w:hAnsi="Times New Roman"/>
          <w:b w:val="0"/>
          <w:color w:val="000000"/>
          <w:szCs w:val="24"/>
        </w:rPr>
      </w:pPr>
      <w:r>
        <w:rPr>
          <w:rFonts w:ascii="Times New Roman" w:hAnsi="Times New Roman"/>
          <w:color w:val="000000"/>
          <w:sz w:val="20"/>
          <w:szCs w:val="24"/>
        </w:rPr>
        <w:t xml:space="preserve">* </w:t>
      </w:r>
      <w:r w:rsidRPr="00BA7E71">
        <w:rPr>
          <w:rFonts w:ascii="Times New Roman" w:hAnsi="Times New Roman"/>
          <w:b w:val="0"/>
          <w:color w:val="000000"/>
          <w:sz w:val="20"/>
        </w:rPr>
        <w:t xml:space="preserve">strukturālā bilance uzrādīta, tajā iekļaujot vienreizējo pasākumu - nodokļu reformas izsaukto bilances </w:t>
      </w:r>
      <w:r>
        <w:rPr>
          <w:rFonts w:ascii="Times New Roman" w:hAnsi="Times New Roman"/>
          <w:b w:val="0"/>
          <w:color w:val="000000"/>
          <w:sz w:val="20"/>
        </w:rPr>
        <w:t>īstermiņa</w:t>
      </w:r>
      <w:r w:rsidRPr="00BA7E71">
        <w:rPr>
          <w:rFonts w:ascii="Times New Roman" w:hAnsi="Times New Roman"/>
          <w:b w:val="0"/>
          <w:color w:val="000000"/>
          <w:sz w:val="20"/>
        </w:rPr>
        <w:t xml:space="preserve"> samazinājumu, jo saskaņā ar SIP noteikumu piemērošanas  praksi, EK to neatzīs par vienreizēj</w:t>
      </w:r>
      <w:r>
        <w:rPr>
          <w:rFonts w:ascii="Times New Roman" w:hAnsi="Times New Roman"/>
          <w:b w:val="0"/>
          <w:color w:val="000000"/>
          <w:sz w:val="20"/>
        </w:rPr>
        <w:t>u</w:t>
      </w:r>
      <w:r w:rsidRPr="00BA7E71">
        <w:rPr>
          <w:rFonts w:ascii="Times New Roman" w:hAnsi="Times New Roman"/>
          <w:b w:val="0"/>
          <w:color w:val="000000"/>
          <w:sz w:val="20"/>
        </w:rPr>
        <w:t xml:space="preserve"> pasākumu (</w:t>
      </w:r>
      <w:r w:rsidRPr="00735212">
        <w:rPr>
          <w:rFonts w:ascii="Times New Roman" w:hAnsi="Times New Roman"/>
          <w:b w:val="0"/>
          <w:i/>
          <w:color w:val="000000"/>
          <w:sz w:val="20"/>
        </w:rPr>
        <w:t>one-off</w:t>
      </w:r>
      <w:r w:rsidRPr="00BA7E71">
        <w:rPr>
          <w:rFonts w:ascii="Times New Roman" w:hAnsi="Times New Roman"/>
          <w:b w:val="0"/>
          <w:color w:val="000000"/>
          <w:sz w:val="20"/>
        </w:rPr>
        <w:t>).</w:t>
      </w:r>
    </w:p>
    <w:p w:rsidR="00916F9A" w:rsidRPr="00A97BBE" w:rsidRDefault="00916F9A" w:rsidP="00FC55D0">
      <w:pPr>
        <w:pStyle w:val="T"/>
        <w:keepNext w:val="0"/>
        <w:spacing w:after="0"/>
        <w:ind w:left="0"/>
        <w:jc w:val="both"/>
        <w:rPr>
          <w:rFonts w:ascii="Times New Roman" w:hAnsi="Times New Roman"/>
          <w:b w:val="0"/>
          <w:color w:val="000000"/>
          <w:szCs w:val="24"/>
        </w:rPr>
      </w:pPr>
    </w:p>
    <w:p w:rsidR="00094C88" w:rsidRDefault="00C81719" w:rsidP="00FC55D0">
      <w:pPr>
        <w:pStyle w:val="T"/>
        <w:spacing w:after="0"/>
        <w:ind w:left="0"/>
        <w:rPr>
          <w:rFonts w:ascii="Times New Roman" w:hAnsi="Times New Roman"/>
          <w:color w:val="000000"/>
          <w:szCs w:val="24"/>
        </w:rPr>
      </w:pPr>
      <w:r>
        <w:rPr>
          <w:rFonts w:ascii="Times New Roman" w:hAnsi="Times New Roman"/>
          <w:color w:val="000000"/>
          <w:szCs w:val="24"/>
        </w:rPr>
        <w:t>6.</w:t>
      </w:r>
      <w:r w:rsidR="00F51615" w:rsidRPr="00F51615">
        <w:rPr>
          <w:rFonts w:ascii="Times New Roman" w:hAnsi="Times New Roman"/>
          <w:color w:val="000000"/>
          <w:szCs w:val="24"/>
        </w:rPr>
        <w:t xml:space="preserve">tabula. Salīdzinājums ar </w:t>
      </w:r>
      <w:r w:rsidR="003D38BE">
        <w:rPr>
          <w:rFonts w:ascii="Times New Roman" w:hAnsi="Times New Roman"/>
          <w:color w:val="000000"/>
          <w:szCs w:val="24"/>
        </w:rPr>
        <w:t>Stabilitātes programmas 201</w:t>
      </w:r>
      <w:r w:rsidR="00FD5100">
        <w:rPr>
          <w:rFonts w:ascii="Times New Roman" w:hAnsi="Times New Roman"/>
          <w:color w:val="000000"/>
          <w:szCs w:val="24"/>
        </w:rPr>
        <w:t>7</w:t>
      </w:r>
      <w:r w:rsidR="003D38BE">
        <w:rPr>
          <w:rFonts w:ascii="Times New Roman" w:hAnsi="Times New Roman"/>
          <w:color w:val="000000"/>
          <w:szCs w:val="24"/>
        </w:rPr>
        <w:t>.</w:t>
      </w:r>
      <w:r w:rsidR="00FC55D0" w:rsidRPr="00FC55D0">
        <w:rPr>
          <w:rFonts w:eastAsia="Calibri"/>
        </w:rPr>
        <w:t xml:space="preserve"> </w:t>
      </w:r>
      <w:r w:rsidR="00FC55D0" w:rsidRPr="00FC55D0">
        <w:rPr>
          <w:rFonts w:ascii="Times New Roman" w:hAnsi="Times New Roman"/>
          <w:color w:val="000000"/>
          <w:szCs w:val="24"/>
        </w:rPr>
        <w:t>–</w:t>
      </w:r>
      <w:r w:rsidR="00FC55D0">
        <w:rPr>
          <w:rFonts w:ascii="Times New Roman" w:hAnsi="Times New Roman"/>
          <w:color w:val="000000"/>
          <w:szCs w:val="24"/>
        </w:rPr>
        <w:t xml:space="preserve"> </w:t>
      </w:r>
      <w:r w:rsidR="003D38BE">
        <w:rPr>
          <w:rFonts w:ascii="Times New Roman" w:hAnsi="Times New Roman"/>
          <w:color w:val="000000"/>
          <w:szCs w:val="24"/>
        </w:rPr>
        <w:t>20</w:t>
      </w:r>
      <w:r w:rsidR="00FD5100">
        <w:rPr>
          <w:rFonts w:ascii="Times New Roman" w:hAnsi="Times New Roman"/>
          <w:color w:val="000000"/>
          <w:szCs w:val="24"/>
        </w:rPr>
        <w:t>20</w:t>
      </w:r>
      <w:r w:rsidR="00F51615" w:rsidRPr="00F51615">
        <w:rPr>
          <w:rFonts w:ascii="Times New Roman" w:hAnsi="Times New Roman"/>
          <w:color w:val="000000"/>
          <w:szCs w:val="24"/>
        </w:rPr>
        <w:t>.gadam prognozēm</w:t>
      </w:r>
    </w:p>
    <w:tbl>
      <w:tblPr>
        <w:tblStyle w:val="GridTable6Colorful-Accent11"/>
        <w:tblW w:w="8992" w:type="dxa"/>
        <w:jc w:val="center"/>
        <w:tblLayout w:type="fixed"/>
        <w:tblLook w:val="04A0" w:firstRow="1" w:lastRow="0" w:firstColumn="1" w:lastColumn="0" w:noHBand="0" w:noVBand="1"/>
      </w:tblPr>
      <w:tblGrid>
        <w:gridCol w:w="4046"/>
        <w:gridCol w:w="694"/>
        <w:gridCol w:w="850"/>
        <w:gridCol w:w="851"/>
        <w:gridCol w:w="850"/>
        <w:gridCol w:w="851"/>
        <w:gridCol w:w="850"/>
      </w:tblGrid>
      <w:tr w:rsidR="006F03FE" w:rsidRPr="00094C88" w:rsidTr="00DB1E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6F03FE">
            <w:pPr>
              <w:jc w:val="center"/>
              <w:rPr>
                <w:rFonts w:ascii="Times New Roman" w:hAnsi="Times New Roman" w:cs="Times New Roman"/>
                <w:color w:val="000000" w:themeColor="text1"/>
                <w:sz w:val="20"/>
                <w:szCs w:val="20"/>
              </w:rPr>
            </w:pPr>
            <w:r w:rsidRPr="006F03FE">
              <w:rPr>
                <w:rFonts w:ascii="Times New Roman" w:hAnsi="Times New Roman" w:cs="Times New Roman"/>
                <w:color w:val="000000" w:themeColor="text1"/>
                <w:sz w:val="20"/>
                <w:szCs w:val="20"/>
              </w:rPr>
              <w:t> </w:t>
            </w:r>
          </w:p>
        </w:tc>
        <w:tc>
          <w:tcPr>
            <w:tcW w:w="694" w:type="dxa"/>
            <w:vAlign w:val="center"/>
          </w:tcPr>
          <w:p w:rsidR="006F03FE" w:rsidRPr="006F03FE" w:rsidRDefault="006F03FE"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F03FE">
              <w:rPr>
                <w:rFonts w:ascii="Times New Roman" w:hAnsi="Times New Roman" w:cs="Times New Roman"/>
                <w:color w:val="000000" w:themeColor="text1"/>
                <w:sz w:val="20"/>
                <w:szCs w:val="20"/>
              </w:rPr>
              <w:t>EKS Kods</w:t>
            </w:r>
          </w:p>
        </w:tc>
        <w:tc>
          <w:tcPr>
            <w:tcW w:w="850" w:type="dxa"/>
            <w:vAlign w:val="center"/>
          </w:tcPr>
          <w:p w:rsidR="006F03FE" w:rsidRPr="006F03FE" w:rsidRDefault="006F03FE"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highlight w:val="yellow"/>
              </w:rPr>
            </w:pPr>
            <w:r w:rsidRPr="006F03FE">
              <w:rPr>
                <w:rFonts w:ascii="Times New Roman" w:hAnsi="Times New Roman" w:cs="Times New Roman"/>
                <w:b w:val="0"/>
                <w:bCs w:val="0"/>
                <w:color w:val="000000" w:themeColor="text1"/>
                <w:sz w:val="20"/>
                <w:szCs w:val="20"/>
              </w:rPr>
              <w:t>2017</w:t>
            </w:r>
          </w:p>
        </w:tc>
        <w:tc>
          <w:tcPr>
            <w:tcW w:w="851" w:type="dxa"/>
            <w:vAlign w:val="center"/>
          </w:tcPr>
          <w:p w:rsidR="006F03FE" w:rsidRPr="006F03FE" w:rsidRDefault="006F03FE"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highlight w:val="yellow"/>
              </w:rPr>
            </w:pPr>
            <w:r w:rsidRPr="006F03FE">
              <w:rPr>
                <w:rFonts w:ascii="Times New Roman" w:hAnsi="Times New Roman" w:cs="Times New Roman"/>
                <w:b w:val="0"/>
                <w:bCs w:val="0"/>
                <w:color w:val="000000" w:themeColor="text1"/>
                <w:sz w:val="20"/>
                <w:szCs w:val="20"/>
              </w:rPr>
              <w:t>2018</w:t>
            </w:r>
          </w:p>
        </w:tc>
        <w:tc>
          <w:tcPr>
            <w:tcW w:w="850" w:type="dxa"/>
            <w:vAlign w:val="center"/>
          </w:tcPr>
          <w:p w:rsidR="006F03FE" w:rsidRPr="006F03FE" w:rsidRDefault="006F03FE"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highlight w:val="yellow"/>
              </w:rPr>
            </w:pPr>
            <w:r w:rsidRPr="006F03FE">
              <w:rPr>
                <w:rFonts w:ascii="Times New Roman" w:hAnsi="Times New Roman" w:cs="Times New Roman"/>
                <w:b w:val="0"/>
                <w:bCs w:val="0"/>
                <w:color w:val="000000" w:themeColor="text1"/>
                <w:sz w:val="20"/>
                <w:szCs w:val="20"/>
              </w:rPr>
              <w:t>2019</w:t>
            </w:r>
          </w:p>
        </w:tc>
        <w:tc>
          <w:tcPr>
            <w:tcW w:w="851" w:type="dxa"/>
            <w:vAlign w:val="center"/>
          </w:tcPr>
          <w:p w:rsidR="006F03FE" w:rsidRPr="006F03FE" w:rsidRDefault="006F03FE"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highlight w:val="yellow"/>
              </w:rPr>
            </w:pPr>
            <w:r w:rsidRPr="006F03FE">
              <w:rPr>
                <w:rFonts w:ascii="Times New Roman" w:hAnsi="Times New Roman" w:cs="Times New Roman"/>
                <w:b w:val="0"/>
                <w:bCs w:val="0"/>
                <w:color w:val="000000" w:themeColor="text1"/>
                <w:sz w:val="20"/>
                <w:szCs w:val="20"/>
              </w:rPr>
              <w:t>2020</w:t>
            </w:r>
          </w:p>
        </w:tc>
        <w:tc>
          <w:tcPr>
            <w:tcW w:w="850" w:type="dxa"/>
            <w:vAlign w:val="center"/>
          </w:tcPr>
          <w:p w:rsidR="006F03FE" w:rsidRPr="006F03FE" w:rsidRDefault="006F03FE" w:rsidP="00DB1E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highlight w:val="yellow"/>
              </w:rPr>
            </w:pPr>
            <w:r w:rsidRPr="006F03FE">
              <w:rPr>
                <w:rFonts w:ascii="Times New Roman" w:hAnsi="Times New Roman" w:cs="Times New Roman"/>
                <w:b w:val="0"/>
                <w:bCs w:val="0"/>
                <w:color w:val="000000" w:themeColor="text1"/>
                <w:sz w:val="20"/>
                <w:szCs w:val="20"/>
              </w:rPr>
              <w:t>2021</w:t>
            </w:r>
          </w:p>
        </w:tc>
      </w:tr>
      <w:tr w:rsidR="006F03FE" w:rsidRPr="00094C88" w:rsidTr="00916F9A">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rPr>
                <w:rFonts w:ascii="Times New Roman" w:hAnsi="Times New Roman" w:cs="Times New Roman"/>
                <w:snapToGrid w:val="0"/>
                <w:color w:val="000000" w:themeColor="text1"/>
                <w:sz w:val="20"/>
                <w:szCs w:val="20"/>
              </w:rPr>
            </w:pPr>
            <w:r w:rsidRPr="006F03FE">
              <w:rPr>
                <w:rFonts w:ascii="Times New Roman" w:hAnsi="Times New Roman" w:cs="Times New Roman"/>
                <w:color w:val="000000" w:themeColor="text1"/>
                <w:sz w:val="20"/>
                <w:szCs w:val="20"/>
              </w:rPr>
              <w:t>IKP pieaugums (%)</w:t>
            </w:r>
          </w:p>
        </w:tc>
        <w:tc>
          <w:tcPr>
            <w:tcW w:w="694"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F03FE">
              <w:rPr>
                <w:rFonts w:ascii="Times New Roman" w:hAnsi="Times New Roman" w:cs="Times New Roman"/>
                <w:color w:val="000000" w:themeColor="text1"/>
                <w:sz w:val="20"/>
                <w:szCs w:val="20"/>
              </w:rPr>
              <w:t>B1g</w:t>
            </w:r>
          </w:p>
        </w:tc>
        <w:tc>
          <w:tcPr>
            <w:tcW w:w="850"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1"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0"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p>
        </w:tc>
        <w:tc>
          <w:tcPr>
            <w:tcW w:w="851"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0"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r>
      <w:tr w:rsidR="006F03FE" w:rsidRPr="00094C88" w:rsidTr="00916F9A">
        <w:trPr>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jc w:val="right"/>
              <w:rPr>
                <w:rFonts w:ascii="Times New Roman" w:hAnsi="Times New Roman" w:cs="Times New Roman"/>
                <w:b w:val="0"/>
                <w:color w:val="000000" w:themeColor="text1"/>
                <w:sz w:val="20"/>
                <w:szCs w:val="20"/>
              </w:rPr>
            </w:pPr>
            <w:r w:rsidRPr="006F03FE">
              <w:rPr>
                <w:rFonts w:ascii="Times New Roman" w:hAnsi="Times New Roman" w:cs="Times New Roman"/>
                <w:color w:val="000000" w:themeColor="text1"/>
                <w:sz w:val="20"/>
                <w:szCs w:val="20"/>
              </w:rPr>
              <w:t>2017.gads</w:t>
            </w:r>
          </w:p>
        </w:tc>
        <w:tc>
          <w:tcPr>
            <w:tcW w:w="694" w:type="dxa"/>
            <w:vAlign w:val="center"/>
          </w:tcPr>
          <w:p w:rsidR="006F03FE" w:rsidRPr="006F03FE"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3,2</w:t>
            </w:r>
          </w:p>
        </w:tc>
        <w:tc>
          <w:tcPr>
            <w:tcW w:w="851"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3,4</w:t>
            </w: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3,2</w:t>
            </w:r>
          </w:p>
        </w:tc>
        <w:tc>
          <w:tcPr>
            <w:tcW w:w="851"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3,0</w:t>
            </w: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w:t>
            </w:r>
          </w:p>
        </w:tc>
      </w:tr>
      <w:tr w:rsidR="006F03FE" w:rsidRPr="00094C88" w:rsidTr="0091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jc w:val="right"/>
              <w:rPr>
                <w:rFonts w:ascii="Times New Roman" w:hAnsi="Times New Roman" w:cs="Times New Roman"/>
                <w:b w:val="0"/>
                <w:color w:val="000000" w:themeColor="text1"/>
                <w:sz w:val="20"/>
                <w:szCs w:val="20"/>
              </w:rPr>
            </w:pPr>
            <w:r w:rsidRPr="006F03FE">
              <w:rPr>
                <w:rFonts w:ascii="Times New Roman" w:hAnsi="Times New Roman" w:cs="Times New Roman"/>
                <w:color w:val="000000" w:themeColor="text1"/>
                <w:sz w:val="20"/>
                <w:szCs w:val="20"/>
              </w:rPr>
              <w:t>2018.gads</w:t>
            </w:r>
          </w:p>
        </w:tc>
        <w:tc>
          <w:tcPr>
            <w:tcW w:w="694"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4,5</w:t>
            </w:r>
          </w:p>
        </w:tc>
        <w:tc>
          <w:tcPr>
            <w:tcW w:w="851"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4,0</w:t>
            </w:r>
          </w:p>
        </w:tc>
        <w:tc>
          <w:tcPr>
            <w:tcW w:w="850"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3,4</w:t>
            </w:r>
          </w:p>
        </w:tc>
        <w:tc>
          <w:tcPr>
            <w:tcW w:w="851"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3,0</w:t>
            </w:r>
          </w:p>
        </w:tc>
        <w:tc>
          <w:tcPr>
            <w:tcW w:w="850"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2,9</w:t>
            </w:r>
          </w:p>
        </w:tc>
      </w:tr>
      <w:tr w:rsidR="006F03FE" w:rsidRPr="00094C88" w:rsidTr="00916F9A">
        <w:trPr>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jc w:val="right"/>
              <w:rPr>
                <w:rFonts w:ascii="Times New Roman" w:hAnsi="Times New Roman" w:cs="Times New Roman"/>
                <w:b w:val="0"/>
                <w:snapToGrid w:val="0"/>
                <w:color w:val="000000" w:themeColor="text1"/>
                <w:sz w:val="20"/>
                <w:szCs w:val="20"/>
              </w:rPr>
            </w:pPr>
            <w:r w:rsidRPr="006F03FE">
              <w:rPr>
                <w:rFonts w:ascii="Times New Roman" w:hAnsi="Times New Roman" w:cs="Times New Roman"/>
                <w:color w:val="000000" w:themeColor="text1"/>
                <w:sz w:val="20"/>
                <w:szCs w:val="20"/>
              </w:rPr>
              <w:t>Izmaiņas</w:t>
            </w:r>
          </w:p>
        </w:tc>
        <w:tc>
          <w:tcPr>
            <w:tcW w:w="694" w:type="dxa"/>
            <w:vAlign w:val="center"/>
          </w:tcPr>
          <w:p w:rsidR="006F03FE" w:rsidRPr="006F03FE"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1,3</w:t>
            </w:r>
          </w:p>
        </w:tc>
        <w:tc>
          <w:tcPr>
            <w:tcW w:w="851"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0,6</w:t>
            </w: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0,2</w:t>
            </w:r>
          </w:p>
        </w:tc>
        <w:tc>
          <w:tcPr>
            <w:tcW w:w="851"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0,0</w:t>
            </w: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w:t>
            </w:r>
          </w:p>
        </w:tc>
      </w:tr>
      <w:tr w:rsidR="006F03FE" w:rsidRPr="00094C88" w:rsidTr="0091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rPr>
                <w:rFonts w:ascii="Times New Roman" w:hAnsi="Times New Roman" w:cs="Times New Roman"/>
                <w:snapToGrid w:val="0"/>
                <w:color w:val="000000" w:themeColor="text1"/>
                <w:sz w:val="20"/>
                <w:szCs w:val="20"/>
              </w:rPr>
            </w:pPr>
            <w:r w:rsidRPr="006F03FE">
              <w:rPr>
                <w:rFonts w:ascii="Times New Roman" w:hAnsi="Times New Roman" w:cs="Times New Roman"/>
                <w:color w:val="000000" w:themeColor="text1"/>
                <w:sz w:val="20"/>
                <w:szCs w:val="20"/>
              </w:rPr>
              <w:t>Faktiskā budžeta bilance (% no IKP)</w:t>
            </w:r>
          </w:p>
        </w:tc>
        <w:tc>
          <w:tcPr>
            <w:tcW w:w="694"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F03FE">
              <w:rPr>
                <w:rFonts w:ascii="Times New Roman" w:hAnsi="Times New Roman" w:cs="Times New Roman"/>
                <w:color w:val="000000" w:themeColor="text1"/>
                <w:sz w:val="20"/>
                <w:szCs w:val="20"/>
              </w:rPr>
              <w:t>B.9</w:t>
            </w:r>
          </w:p>
        </w:tc>
        <w:tc>
          <w:tcPr>
            <w:tcW w:w="850"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1"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0"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1"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p>
        </w:tc>
        <w:tc>
          <w:tcPr>
            <w:tcW w:w="850"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r>
      <w:tr w:rsidR="006F03FE" w:rsidRPr="00094C88" w:rsidTr="00916F9A">
        <w:trPr>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jc w:val="right"/>
              <w:rPr>
                <w:rFonts w:ascii="Times New Roman" w:hAnsi="Times New Roman" w:cs="Times New Roman"/>
                <w:b w:val="0"/>
                <w:color w:val="000000" w:themeColor="text1"/>
                <w:sz w:val="20"/>
                <w:szCs w:val="20"/>
              </w:rPr>
            </w:pPr>
            <w:r w:rsidRPr="006F03FE">
              <w:rPr>
                <w:rFonts w:ascii="Times New Roman" w:hAnsi="Times New Roman" w:cs="Times New Roman"/>
                <w:color w:val="000000" w:themeColor="text1"/>
                <w:sz w:val="20"/>
                <w:szCs w:val="20"/>
              </w:rPr>
              <w:t>2017.gads</w:t>
            </w:r>
          </w:p>
        </w:tc>
        <w:tc>
          <w:tcPr>
            <w:tcW w:w="694" w:type="dxa"/>
            <w:vAlign w:val="center"/>
          </w:tcPr>
          <w:p w:rsidR="006F03FE" w:rsidRPr="006F03FE"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-0,8</w:t>
            </w:r>
          </w:p>
        </w:tc>
        <w:tc>
          <w:tcPr>
            <w:tcW w:w="851"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-1,6</w:t>
            </w: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-1,2</w:t>
            </w:r>
          </w:p>
        </w:tc>
        <w:tc>
          <w:tcPr>
            <w:tcW w:w="851"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-0,5</w:t>
            </w: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w:t>
            </w:r>
          </w:p>
        </w:tc>
      </w:tr>
      <w:tr w:rsidR="006F03FE" w:rsidRPr="00094C88" w:rsidTr="0091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jc w:val="right"/>
              <w:rPr>
                <w:rFonts w:ascii="Times New Roman" w:hAnsi="Times New Roman" w:cs="Times New Roman"/>
                <w:b w:val="0"/>
                <w:color w:val="000000" w:themeColor="text1"/>
                <w:sz w:val="20"/>
                <w:szCs w:val="20"/>
              </w:rPr>
            </w:pPr>
            <w:r w:rsidRPr="006F03FE">
              <w:rPr>
                <w:rFonts w:ascii="Times New Roman" w:hAnsi="Times New Roman" w:cs="Times New Roman"/>
                <w:color w:val="000000" w:themeColor="text1"/>
                <w:sz w:val="20"/>
                <w:szCs w:val="20"/>
              </w:rPr>
              <w:t>2018.gads</w:t>
            </w:r>
          </w:p>
        </w:tc>
        <w:tc>
          <w:tcPr>
            <w:tcW w:w="694"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-0,5</w:t>
            </w:r>
          </w:p>
        </w:tc>
        <w:tc>
          <w:tcPr>
            <w:tcW w:w="851"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-0,9</w:t>
            </w:r>
          </w:p>
        </w:tc>
        <w:tc>
          <w:tcPr>
            <w:tcW w:w="850"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-0,9</w:t>
            </w:r>
          </w:p>
        </w:tc>
        <w:tc>
          <w:tcPr>
            <w:tcW w:w="851"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-0,4</w:t>
            </w:r>
          </w:p>
        </w:tc>
        <w:tc>
          <w:tcPr>
            <w:tcW w:w="850"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-0,4</w:t>
            </w:r>
          </w:p>
        </w:tc>
      </w:tr>
      <w:tr w:rsidR="006F03FE" w:rsidRPr="00094C88" w:rsidTr="00916F9A">
        <w:trPr>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jc w:val="right"/>
              <w:rPr>
                <w:rFonts w:ascii="Times New Roman" w:hAnsi="Times New Roman" w:cs="Times New Roman"/>
                <w:b w:val="0"/>
                <w:snapToGrid w:val="0"/>
                <w:color w:val="000000" w:themeColor="text1"/>
                <w:sz w:val="20"/>
                <w:szCs w:val="20"/>
              </w:rPr>
            </w:pPr>
            <w:r w:rsidRPr="006F03FE">
              <w:rPr>
                <w:rFonts w:ascii="Times New Roman" w:hAnsi="Times New Roman" w:cs="Times New Roman"/>
                <w:color w:val="000000" w:themeColor="text1"/>
                <w:sz w:val="20"/>
                <w:szCs w:val="20"/>
              </w:rPr>
              <w:t>Izmaiņas</w:t>
            </w:r>
          </w:p>
        </w:tc>
        <w:tc>
          <w:tcPr>
            <w:tcW w:w="694" w:type="dxa"/>
            <w:vAlign w:val="center"/>
          </w:tcPr>
          <w:p w:rsidR="006F03FE" w:rsidRPr="006F03FE"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0,3</w:t>
            </w:r>
          </w:p>
        </w:tc>
        <w:tc>
          <w:tcPr>
            <w:tcW w:w="851"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0,7</w:t>
            </w: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0,3</w:t>
            </w:r>
          </w:p>
        </w:tc>
        <w:tc>
          <w:tcPr>
            <w:tcW w:w="851"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0,1</w:t>
            </w:r>
          </w:p>
        </w:tc>
        <w:tc>
          <w:tcPr>
            <w:tcW w:w="850" w:type="dxa"/>
            <w:vAlign w:val="center"/>
          </w:tcPr>
          <w:p w:rsidR="006F03FE" w:rsidRPr="006F03FE" w:rsidRDefault="006F03FE"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r w:rsidRPr="006F03FE">
              <w:rPr>
                <w:rFonts w:ascii="Times New Roman" w:hAnsi="Times New Roman" w:cs="Times New Roman"/>
                <w:color w:val="000000" w:themeColor="text1"/>
                <w:sz w:val="20"/>
                <w:szCs w:val="20"/>
              </w:rPr>
              <w:t>-</w:t>
            </w:r>
          </w:p>
        </w:tc>
      </w:tr>
      <w:tr w:rsidR="006F03FE" w:rsidRPr="00094C88" w:rsidTr="00916F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6F03FE" w:rsidRPr="006F03FE" w:rsidRDefault="006F03FE" w:rsidP="00916F9A">
            <w:pPr>
              <w:rPr>
                <w:rFonts w:ascii="Times New Roman" w:hAnsi="Times New Roman" w:cs="Times New Roman"/>
                <w:snapToGrid w:val="0"/>
                <w:color w:val="000000" w:themeColor="text1"/>
                <w:sz w:val="20"/>
                <w:szCs w:val="20"/>
              </w:rPr>
            </w:pPr>
            <w:r w:rsidRPr="006F03FE">
              <w:rPr>
                <w:rFonts w:ascii="Times New Roman" w:hAnsi="Times New Roman" w:cs="Times New Roman"/>
                <w:color w:val="000000" w:themeColor="text1"/>
                <w:sz w:val="20"/>
                <w:szCs w:val="20"/>
              </w:rPr>
              <w:lastRenderedPageBreak/>
              <w:t>Vispārējās valdības kopējais parāds (% no IKP)</w:t>
            </w:r>
          </w:p>
        </w:tc>
        <w:tc>
          <w:tcPr>
            <w:tcW w:w="694" w:type="dxa"/>
            <w:vAlign w:val="center"/>
          </w:tcPr>
          <w:p w:rsidR="006F03FE" w:rsidRPr="006F03FE"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1"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0"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c>
          <w:tcPr>
            <w:tcW w:w="851" w:type="dxa"/>
            <w:vAlign w:val="center"/>
          </w:tcPr>
          <w:p w:rsidR="006F03FE" w:rsidRPr="006F03FE" w:rsidRDefault="006F03FE" w:rsidP="00916F9A">
            <w:pPr>
              <w:tabs>
                <w:tab w:val="decimal" w:pos="330"/>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themeColor="text1"/>
                <w:sz w:val="20"/>
                <w:szCs w:val="20"/>
                <w:highlight w:val="yellow"/>
              </w:rPr>
            </w:pPr>
          </w:p>
        </w:tc>
        <w:tc>
          <w:tcPr>
            <w:tcW w:w="850" w:type="dxa"/>
            <w:vAlign w:val="center"/>
          </w:tcPr>
          <w:p w:rsidR="006F03FE" w:rsidRPr="006F03FE" w:rsidRDefault="006F03FE"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p>
        </w:tc>
      </w:tr>
      <w:tr w:rsidR="00916F9A" w:rsidRPr="00094C88" w:rsidTr="00916F9A">
        <w:trPr>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916F9A" w:rsidRPr="006F03FE" w:rsidRDefault="00916F9A" w:rsidP="00916F9A">
            <w:pPr>
              <w:jc w:val="right"/>
              <w:rPr>
                <w:rFonts w:ascii="Times New Roman" w:hAnsi="Times New Roman" w:cs="Times New Roman"/>
                <w:b w:val="0"/>
                <w:color w:val="000000" w:themeColor="text1"/>
                <w:sz w:val="20"/>
                <w:szCs w:val="20"/>
              </w:rPr>
            </w:pPr>
            <w:r w:rsidRPr="006F03FE">
              <w:rPr>
                <w:rFonts w:ascii="Times New Roman" w:hAnsi="Times New Roman" w:cs="Times New Roman"/>
                <w:color w:val="000000" w:themeColor="text1"/>
                <w:sz w:val="20"/>
                <w:szCs w:val="20"/>
              </w:rPr>
              <w:t>2017.gads</w:t>
            </w:r>
          </w:p>
        </w:tc>
        <w:tc>
          <w:tcPr>
            <w:tcW w:w="694" w:type="dxa"/>
            <w:vAlign w:val="center"/>
          </w:tcPr>
          <w:p w:rsidR="00916F9A" w:rsidRPr="006F03FE" w:rsidRDefault="00916F9A" w:rsidP="00916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916F9A" w:rsidRPr="00916F9A" w:rsidRDefault="00916F9A"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39,2</w:t>
            </w:r>
          </w:p>
        </w:tc>
        <w:tc>
          <w:tcPr>
            <w:tcW w:w="851" w:type="dxa"/>
            <w:vAlign w:val="center"/>
          </w:tcPr>
          <w:p w:rsidR="00916F9A" w:rsidRPr="00916F9A" w:rsidRDefault="00916F9A"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38,2</w:t>
            </w:r>
          </w:p>
        </w:tc>
        <w:tc>
          <w:tcPr>
            <w:tcW w:w="850" w:type="dxa"/>
            <w:vAlign w:val="center"/>
          </w:tcPr>
          <w:p w:rsidR="00916F9A" w:rsidRPr="00916F9A" w:rsidRDefault="00916F9A"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39,4</w:t>
            </w:r>
          </w:p>
        </w:tc>
        <w:tc>
          <w:tcPr>
            <w:tcW w:w="851" w:type="dxa"/>
            <w:vAlign w:val="center"/>
          </w:tcPr>
          <w:p w:rsidR="00916F9A" w:rsidRPr="00916F9A" w:rsidRDefault="00916F9A" w:rsidP="00916F9A">
            <w:pPr>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40,4</w:t>
            </w:r>
          </w:p>
        </w:tc>
        <w:tc>
          <w:tcPr>
            <w:tcW w:w="850" w:type="dxa"/>
            <w:vAlign w:val="center"/>
          </w:tcPr>
          <w:p w:rsidR="00916F9A" w:rsidRPr="00916F9A" w:rsidRDefault="00916F9A" w:rsidP="00916F9A">
            <w:pPr>
              <w:tabs>
                <w:tab w:val="decimal" w:pos="330"/>
              </w:tabs>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w:t>
            </w:r>
          </w:p>
        </w:tc>
      </w:tr>
      <w:tr w:rsidR="00916F9A" w:rsidRPr="00094C88" w:rsidTr="00916F9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916F9A" w:rsidRPr="006F03FE" w:rsidRDefault="00916F9A" w:rsidP="00916F9A">
            <w:pPr>
              <w:jc w:val="right"/>
              <w:rPr>
                <w:rFonts w:ascii="Times New Roman" w:hAnsi="Times New Roman" w:cs="Times New Roman"/>
                <w:b w:val="0"/>
                <w:color w:val="000000" w:themeColor="text1"/>
                <w:sz w:val="20"/>
                <w:szCs w:val="20"/>
              </w:rPr>
            </w:pPr>
            <w:r w:rsidRPr="006F03FE">
              <w:rPr>
                <w:rFonts w:ascii="Times New Roman" w:hAnsi="Times New Roman" w:cs="Times New Roman"/>
                <w:color w:val="000000" w:themeColor="text1"/>
                <w:sz w:val="20"/>
                <w:szCs w:val="20"/>
              </w:rPr>
              <w:t>2018.gads</w:t>
            </w:r>
          </w:p>
        </w:tc>
        <w:tc>
          <w:tcPr>
            <w:tcW w:w="694" w:type="dxa"/>
            <w:vAlign w:val="center"/>
          </w:tcPr>
          <w:p w:rsidR="00916F9A" w:rsidRPr="006F03FE" w:rsidRDefault="00916F9A" w:rsidP="00916F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916F9A" w:rsidRPr="00916F9A" w:rsidRDefault="00916F9A" w:rsidP="00916F9A">
            <w:pPr>
              <w:tabs>
                <w:tab w:val="decimal" w:pos="-31"/>
              </w:tabs>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40,2</w:t>
            </w:r>
          </w:p>
        </w:tc>
        <w:tc>
          <w:tcPr>
            <w:tcW w:w="851" w:type="dxa"/>
            <w:vAlign w:val="center"/>
          </w:tcPr>
          <w:p w:rsidR="00916F9A" w:rsidRPr="00916F9A" w:rsidRDefault="00916F9A"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38,4</w:t>
            </w:r>
          </w:p>
        </w:tc>
        <w:tc>
          <w:tcPr>
            <w:tcW w:w="850" w:type="dxa"/>
            <w:vAlign w:val="center"/>
          </w:tcPr>
          <w:p w:rsidR="00916F9A" w:rsidRPr="00916F9A" w:rsidRDefault="00916F9A"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37,4</w:t>
            </w:r>
          </w:p>
        </w:tc>
        <w:tc>
          <w:tcPr>
            <w:tcW w:w="851" w:type="dxa"/>
            <w:vAlign w:val="center"/>
          </w:tcPr>
          <w:p w:rsidR="00916F9A" w:rsidRPr="00916F9A" w:rsidRDefault="00916F9A"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38,0</w:t>
            </w:r>
          </w:p>
        </w:tc>
        <w:tc>
          <w:tcPr>
            <w:tcW w:w="850" w:type="dxa"/>
            <w:vAlign w:val="center"/>
          </w:tcPr>
          <w:p w:rsidR="00916F9A" w:rsidRPr="00916F9A" w:rsidRDefault="00916F9A" w:rsidP="00916F9A">
            <w:pPr>
              <w:ind w:left="-31"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35,6</w:t>
            </w:r>
          </w:p>
        </w:tc>
      </w:tr>
      <w:tr w:rsidR="00916F9A" w:rsidRPr="00094C88" w:rsidTr="00916F9A">
        <w:trPr>
          <w:jc w:val="center"/>
        </w:trPr>
        <w:tc>
          <w:tcPr>
            <w:cnfStyle w:val="001000000000" w:firstRow="0" w:lastRow="0" w:firstColumn="1" w:lastColumn="0" w:oddVBand="0" w:evenVBand="0" w:oddHBand="0" w:evenHBand="0" w:firstRowFirstColumn="0" w:firstRowLastColumn="0" w:lastRowFirstColumn="0" w:lastRowLastColumn="0"/>
            <w:tcW w:w="4046" w:type="dxa"/>
            <w:vAlign w:val="center"/>
          </w:tcPr>
          <w:p w:rsidR="00916F9A" w:rsidRPr="006F03FE" w:rsidRDefault="00916F9A" w:rsidP="00916F9A">
            <w:pPr>
              <w:jc w:val="right"/>
              <w:rPr>
                <w:rFonts w:ascii="Times New Roman" w:hAnsi="Times New Roman" w:cs="Times New Roman"/>
                <w:b w:val="0"/>
                <w:snapToGrid w:val="0"/>
                <w:color w:val="000000" w:themeColor="text1"/>
                <w:sz w:val="20"/>
                <w:szCs w:val="20"/>
              </w:rPr>
            </w:pPr>
            <w:r w:rsidRPr="006F03FE">
              <w:rPr>
                <w:rFonts w:ascii="Times New Roman" w:hAnsi="Times New Roman" w:cs="Times New Roman"/>
                <w:color w:val="000000" w:themeColor="text1"/>
                <w:sz w:val="20"/>
                <w:szCs w:val="20"/>
              </w:rPr>
              <w:t>Izmaiņas</w:t>
            </w:r>
          </w:p>
        </w:tc>
        <w:tc>
          <w:tcPr>
            <w:tcW w:w="694" w:type="dxa"/>
            <w:vAlign w:val="center"/>
          </w:tcPr>
          <w:p w:rsidR="00916F9A" w:rsidRPr="006F03FE" w:rsidRDefault="00916F9A" w:rsidP="00916F9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850" w:type="dxa"/>
            <w:vAlign w:val="center"/>
          </w:tcPr>
          <w:p w:rsidR="00916F9A" w:rsidRPr="00916F9A" w:rsidRDefault="00916F9A" w:rsidP="00916F9A">
            <w:pPr>
              <w:tabs>
                <w:tab w:val="decimal" w:pos="-31"/>
              </w:tabs>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+1,0</w:t>
            </w:r>
          </w:p>
        </w:tc>
        <w:tc>
          <w:tcPr>
            <w:tcW w:w="851" w:type="dxa"/>
            <w:vAlign w:val="center"/>
          </w:tcPr>
          <w:p w:rsidR="00916F9A" w:rsidRPr="00916F9A" w:rsidRDefault="00916F9A" w:rsidP="00916F9A">
            <w:pPr>
              <w:tabs>
                <w:tab w:val="decimal" w:pos="-31"/>
              </w:tabs>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+0,2</w:t>
            </w:r>
          </w:p>
        </w:tc>
        <w:tc>
          <w:tcPr>
            <w:tcW w:w="850" w:type="dxa"/>
            <w:vAlign w:val="center"/>
          </w:tcPr>
          <w:p w:rsidR="00916F9A" w:rsidRPr="00916F9A" w:rsidRDefault="00916F9A" w:rsidP="00916F9A">
            <w:pPr>
              <w:tabs>
                <w:tab w:val="decimal" w:pos="-31"/>
              </w:tabs>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-2,0</w:t>
            </w:r>
          </w:p>
        </w:tc>
        <w:tc>
          <w:tcPr>
            <w:tcW w:w="851" w:type="dxa"/>
            <w:vAlign w:val="center"/>
          </w:tcPr>
          <w:p w:rsidR="00916F9A" w:rsidRPr="00916F9A" w:rsidRDefault="00916F9A" w:rsidP="00916F9A">
            <w:pPr>
              <w:tabs>
                <w:tab w:val="decimal" w:pos="-31"/>
              </w:tabs>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-2,4</w:t>
            </w:r>
          </w:p>
        </w:tc>
        <w:tc>
          <w:tcPr>
            <w:tcW w:w="850" w:type="dxa"/>
            <w:vAlign w:val="center"/>
          </w:tcPr>
          <w:p w:rsidR="00916F9A" w:rsidRPr="00916F9A" w:rsidRDefault="00916F9A" w:rsidP="00916F9A">
            <w:pPr>
              <w:tabs>
                <w:tab w:val="decimal" w:pos="330"/>
              </w:tabs>
              <w:ind w:left="-31"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highlight w:val="yellow"/>
              </w:rPr>
            </w:pPr>
            <w:r w:rsidRPr="00916F9A">
              <w:rPr>
                <w:rFonts w:ascii="Times New Roman" w:hAnsi="Times New Roman" w:cs="Times New Roman"/>
                <w:color w:val="000000" w:themeColor="text1"/>
                <w:sz w:val="20"/>
              </w:rPr>
              <w:t>-</w:t>
            </w:r>
          </w:p>
        </w:tc>
      </w:tr>
    </w:tbl>
    <w:p w:rsidR="00527227" w:rsidRDefault="00527227" w:rsidP="00FC55D0">
      <w:pPr>
        <w:pStyle w:val="T"/>
        <w:spacing w:after="0"/>
        <w:ind w:left="0"/>
        <w:rPr>
          <w:rFonts w:ascii="Times New Roman" w:hAnsi="Times New Roman"/>
          <w:color w:val="000000"/>
          <w:szCs w:val="24"/>
        </w:rPr>
      </w:pPr>
    </w:p>
    <w:p w:rsidR="00F51615" w:rsidRDefault="00C81719" w:rsidP="00FC55D0">
      <w:pPr>
        <w:spacing w:after="0"/>
        <w:rPr>
          <w:rFonts w:ascii="Times New Roman" w:hAnsi="Times New Roman" w:cs="Times New Roman"/>
          <w:b/>
          <w:sz w:val="24"/>
          <w:szCs w:val="24"/>
        </w:rPr>
      </w:pPr>
      <w:r w:rsidRPr="00142441">
        <w:rPr>
          <w:rFonts w:ascii="Times New Roman" w:hAnsi="Times New Roman" w:cs="Times New Roman"/>
          <w:b/>
          <w:sz w:val="24"/>
          <w:szCs w:val="24"/>
        </w:rPr>
        <w:t>7.</w:t>
      </w:r>
      <w:r w:rsidR="00F51615" w:rsidRPr="00142441">
        <w:rPr>
          <w:rFonts w:ascii="Times New Roman" w:hAnsi="Times New Roman" w:cs="Times New Roman"/>
          <w:b/>
          <w:sz w:val="24"/>
          <w:szCs w:val="24"/>
        </w:rPr>
        <w:t>tabula. Publisko finanšu ilgtspēja</w:t>
      </w:r>
      <w:r w:rsidR="003028D0" w:rsidRPr="00142441">
        <w:rPr>
          <w:rStyle w:val="FootnoteReference"/>
          <w:rFonts w:ascii="Times New Roman" w:hAnsi="Times New Roman" w:cs="Times New Roman"/>
          <w:b/>
          <w:sz w:val="24"/>
          <w:szCs w:val="24"/>
        </w:rPr>
        <w:footnoteReference w:id="37"/>
      </w:r>
    </w:p>
    <w:tbl>
      <w:tblPr>
        <w:tblStyle w:val="GridTable6Colorful-Accent11"/>
        <w:tblW w:w="9039" w:type="dxa"/>
        <w:tblLook w:val="04A0" w:firstRow="1" w:lastRow="0" w:firstColumn="1" w:lastColumn="0" w:noHBand="0" w:noVBand="1"/>
      </w:tblPr>
      <w:tblGrid>
        <w:gridCol w:w="4023"/>
        <w:gridCol w:w="691"/>
        <w:gridCol w:w="727"/>
        <w:gridCol w:w="709"/>
        <w:gridCol w:w="708"/>
        <w:gridCol w:w="709"/>
        <w:gridCol w:w="709"/>
        <w:gridCol w:w="763"/>
      </w:tblGrid>
      <w:tr w:rsidR="001B37E9" w:rsidRPr="001B37E9" w:rsidTr="005C3D6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1B37E9" w:rsidRDefault="006F03FE" w:rsidP="001B37E9">
            <w:pPr>
              <w:jc w:val="both"/>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 no IKP</w:t>
            </w:r>
          </w:p>
        </w:tc>
        <w:tc>
          <w:tcPr>
            <w:tcW w:w="691" w:type="dxa"/>
            <w:noWrap/>
            <w:vAlign w:val="center"/>
            <w:hideMark/>
          </w:tcPr>
          <w:p w:rsidR="006F03FE" w:rsidRPr="001B37E9" w:rsidRDefault="006F03FE"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2016</w:t>
            </w:r>
          </w:p>
        </w:tc>
        <w:tc>
          <w:tcPr>
            <w:tcW w:w="727" w:type="dxa"/>
            <w:noWrap/>
            <w:vAlign w:val="center"/>
            <w:hideMark/>
          </w:tcPr>
          <w:p w:rsidR="006F03FE" w:rsidRPr="001B37E9" w:rsidRDefault="006F03FE"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2020</w:t>
            </w:r>
          </w:p>
        </w:tc>
        <w:tc>
          <w:tcPr>
            <w:tcW w:w="709" w:type="dxa"/>
            <w:noWrap/>
            <w:vAlign w:val="center"/>
            <w:hideMark/>
          </w:tcPr>
          <w:p w:rsidR="006F03FE" w:rsidRPr="001B37E9" w:rsidRDefault="006F03FE"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2030</w:t>
            </w:r>
          </w:p>
        </w:tc>
        <w:tc>
          <w:tcPr>
            <w:tcW w:w="708" w:type="dxa"/>
            <w:noWrap/>
            <w:vAlign w:val="center"/>
            <w:hideMark/>
          </w:tcPr>
          <w:p w:rsidR="006F03FE" w:rsidRPr="001B37E9" w:rsidRDefault="006F03FE"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2040</w:t>
            </w:r>
          </w:p>
        </w:tc>
        <w:tc>
          <w:tcPr>
            <w:tcW w:w="709" w:type="dxa"/>
            <w:noWrap/>
            <w:vAlign w:val="center"/>
            <w:hideMark/>
          </w:tcPr>
          <w:p w:rsidR="006F03FE" w:rsidRPr="001B37E9" w:rsidRDefault="006F03FE"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2050</w:t>
            </w:r>
          </w:p>
        </w:tc>
        <w:tc>
          <w:tcPr>
            <w:tcW w:w="709" w:type="dxa"/>
            <w:noWrap/>
            <w:vAlign w:val="center"/>
            <w:hideMark/>
          </w:tcPr>
          <w:p w:rsidR="006F03FE" w:rsidRPr="001B37E9" w:rsidRDefault="006F03FE"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2060</w:t>
            </w:r>
          </w:p>
        </w:tc>
        <w:tc>
          <w:tcPr>
            <w:tcW w:w="763" w:type="dxa"/>
            <w:noWrap/>
            <w:vAlign w:val="center"/>
            <w:hideMark/>
          </w:tcPr>
          <w:p w:rsidR="006F03FE" w:rsidRPr="001B37E9" w:rsidRDefault="006F03FE" w:rsidP="005C3D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2070</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Ar vecumu saistītie vispārējās valdības budžeta izdevumi</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lv-LV"/>
              </w:rPr>
            </w:pPr>
            <w:r w:rsidRPr="001B37E9">
              <w:rPr>
                <w:rFonts w:ascii="Times New Roman" w:eastAsia="Times New Roman" w:hAnsi="Times New Roman" w:cs="Times New Roman"/>
                <w:b/>
                <w:bCs/>
                <w:color w:val="000000" w:themeColor="text1"/>
                <w:sz w:val="20"/>
                <w:szCs w:val="20"/>
                <w:lang w:eastAsia="lv-LV"/>
              </w:rPr>
              <w:t>16,4</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lv-LV"/>
              </w:rPr>
            </w:pPr>
            <w:r w:rsidRPr="001B37E9">
              <w:rPr>
                <w:rFonts w:ascii="Times New Roman" w:eastAsia="Times New Roman" w:hAnsi="Times New Roman" w:cs="Times New Roman"/>
                <w:b/>
                <w:bCs/>
                <w:color w:val="000000" w:themeColor="text1"/>
                <w:sz w:val="20"/>
                <w:szCs w:val="20"/>
                <w:lang w:eastAsia="lv-LV"/>
              </w:rPr>
              <w:t>15,7</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lv-LV"/>
              </w:rPr>
            </w:pPr>
            <w:r w:rsidRPr="001B37E9">
              <w:rPr>
                <w:rFonts w:ascii="Times New Roman" w:eastAsia="Times New Roman" w:hAnsi="Times New Roman" w:cs="Times New Roman"/>
                <w:b/>
                <w:bCs/>
                <w:color w:val="000000" w:themeColor="text1"/>
                <w:sz w:val="20"/>
                <w:szCs w:val="20"/>
                <w:lang w:eastAsia="lv-LV"/>
              </w:rPr>
              <w:t>16,1</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lv-LV"/>
              </w:rPr>
            </w:pPr>
            <w:r w:rsidRPr="001B37E9">
              <w:rPr>
                <w:rFonts w:ascii="Times New Roman" w:eastAsia="Times New Roman" w:hAnsi="Times New Roman" w:cs="Times New Roman"/>
                <w:b/>
                <w:bCs/>
                <w:color w:val="000000" w:themeColor="text1"/>
                <w:sz w:val="20"/>
                <w:szCs w:val="20"/>
                <w:lang w:eastAsia="lv-LV"/>
              </w:rPr>
              <w:t>16,2</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lv-LV"/>
              </w:rPr>
            </w:pPr>
            <w:r w:rsidRPr="001B37E9">
              <w:rPr>
                <w:rFonts w:ascii="Times New Roman" w:eastAsia="Times New Roman" w:hAnsi="Times New Roman" w:cs="Times New Roman"/>
                <w:b/>
                <w:bCs/>
                <w:color w:val="000000" w:themeColor="text1"/>
                <w:sz w:val="20"/>
                <w:szCs w:val="20"/>
                <w:lang w:eastAsia="lv-LV"/>
              </w:rPr>
              <w:t>15,9</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lv-LV"/>
              </w:rPr>
            </w:pPr>
            <w:r w:rsidRPr="001B37E9">
              <w:rPr>
                <w:rFonts w:ascii="Times New Roman" w:eastAsia="Times New Roman" w:hAnsi="Times New Roman" w:cs="Times New Roman"/>
                <w:b/>
                <w:bCs/>
                <w:color w:val="000000" w:themeColor="text1"/>
                <w:sz w:val="20"/>
                <w:szCs w:val="20"/>
                <w:lang w:eastAsia="lv-LV"/>
              </w:rPr>
              <w:t>16,2</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lv-LV"/>
              </w:rPr>
            </w:pPr>
            <w:r w:rsidRPr="001B37E9">
              <w:rPr>
                <w:rFonts w:ascii="Times New Roman" w:eastAsia="Times New Roman" w:hAnsi="Times New Roman" w:cs="Times New Roman"/>
                <w:b/>
                <w:bCs/>
                <w:color w:val="000000" w:themeColor="text1"/>
                <w:sz w:val="20"/>
                <w:szCs w:val="20"/>
                <w:lang w:eastAsia="lv-LV"/>
              </w:rPr>
              <w:t>15,0</w:t>
            </w:r>
          </w:p>
        </w:tc>
      </w:tr>
      <w:tr w:rsidR="001B37E9" w:rsidRPr="001B37E9" w:rsidTr="00FC55D0">
        <w:trPr>
          <w:trHeight w:val="9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 xml:space="preserve">Pensiju izdevumi (valsts pensijām), </w:t>
            </w:r>
            <w:r w:rsidRPr="00A82ADD">
              <w:rPr>
                <w:rFonts w:ascii="Times New Roman" w:eastAsia="Times New Roman" w:hAnsi="Times New Roman" w:cs="Times New Roman"/>
                <w:b w:val="0"/>
                <w:color w:val="000000" w:themeColor="text1"/>
                <w:sz w:val="20"/>
                <w:szCs w:val="20"/>
                <w:lang w:eastAsia="lv-LV"/>
              </w:rPr>
              <w:br/>
              <w:t>ieskaitot valsts sociālā nodrošinājuma pabalstu, bet neieskaitot 2.pensiju līmeni, no tām:</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7,4</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6,8</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6,2</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6,3</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6,1</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5,6</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4,7</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 xml:space="preserve">Vecuma un priekšlaicīgās pensijas </w:t>
            </w:r>
            <w:r w:rsidR="00FC55D0" w:rsidRPr="00FC55D0">
              <w:rPr>
                <w:rFonts w:ascii="Times New Roman" w:eastAsia="Times New Roman" w:hAnsi="Times New Roman" w:cs="Times New Roman"/>
                <w:b w:val="0"/>
                <w:color w:val="000000" w:themeColor="text1"/>
                <w:sz w:val="20"/>
                <w:szCs w:val="20"/>
                <w:lang w:eastAsia="lv-LV"/>
              </w:rPr>
              <w:t>–</w:t>
            </w:r>
            <w:r w:rsidRPr="00A82ADD">
              <w:rPr>
                <w:rFonts w:ascii="Times New Roman" w:eastAsia="Times New Roman" w:hAnsi="Times New Roman" w:cs="Times New Roman"/>
                <w:b w:val="0"/>
                <w:color w:val="000000" w:themeColor="text1"/>
                <w:sz w:val="20"/>
                <w:szCs w:val="20"/>
                <w:lang w:eastAsia="lv-LV"/>
              </w:rPr>
              <w:t xml:space="preserve"> uz iemaksām balstītās</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6,6</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6,1</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5,6</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5,8</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5,6</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5,2</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4,2</w:t>
            </w:r>
          </w:p>
        </w:tc>
      </w:tr>
      <w:tr w:rsidR="001B37E9" w:rsidRPr="001B37E9" w:rsidTr="00FC55D0">
        <w:trPr>
          <w:trHeight w:val="6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1B37E9"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 xml:space="preserve">Citas pensijas </w:t>
            </w:r>
            <w:r w:rsidR="006F03FE" w:rsidRPr="00A82ADD">
              <w:rPr>
                <w:rFonts w:ascii="Times New Roman" w:eastAsia="Times New Roman" w:hAnsi="Times New Roman" w:cs="Times New Roman"/>
                <w:b w:val="0"/>
                <w:color w:val="000000" w:themeColor="text1"/>
                <w:sz w:val="20"/>
                <w:szCs w:val="20"/>
                <w:lang w:eastAsia="lv-LV"/>
              </w:rPr>
              <w:t>(t.sk. invaliditātes, apgādnieka zaudējuma gadījumā)</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0,8</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0,7</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0,6</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0,5</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0,5</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0,5</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0,5</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Ne-sociālās apdrošināšanas pensijas</w:t>
            </w:r>
            <w:r w:rsidRPr="00A82ADD">
              <w:rPr>
                <w:rFonts w:ascii="Times New Roman" w:eastAsia="Times New Roman" w:hAnsi="Times New Roman" w:cs="Times New Roman"/>
                <w:b w:val="0"/>
                <w:color w:val="000000" w:themeColor="text1"/>
                <w:sz w:val="20"/>
                <w:szCs w:val="20"/>
                <w:lang w:eastAsia="lv-LV"/>
              </w:rPr>
              <w:br/>
              <w:t>(iesk. minimālās pensijas un minimālā ienākuma nodrošināšanu)</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0,0</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0,0</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0,0</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0,0</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0,0</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0,0</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0,0</w:t>
            </w:r>
          </w:p>
        </w:tc>
      </w:tr>
      <w:tr w:rsidR="001B37E9" w:rsidRPr="001B37E9" w:rsidTr="00FC55D0">
        <w:trPr>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Veselības aprūpes izdevumi</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3,7</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3,9</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4,2</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4,4</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4,5</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4,4</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4,3</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Ilglaicīgās aprūpes izdevumi</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0,4</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0,4</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0,5</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0,5</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0,6</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0,6</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0,6</w:t>
            </w:r>
          </w:p>
        </w:tc>
      </w:tr>
      <w:tr w:rsidR="001B37E9" w:rsidRPr="001B37E9" w:rsidTr="00FC55D0">
        <w:trPr>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Izglītības izdevumi</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4,5</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4,2</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4,8</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4,6</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4,5</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5,2</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5,0</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Izdevumi bezdarbnieku pabalstiem</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0,4</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0,3</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0,4</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0,3</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0,3</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0,3</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0,3</w:t>
            </w:r>
          </w:p>
        </w:tc>
      </w:tr>
      <w:tr w:rsidR="001B37E9" w:rsidRPr="001B37E9" w:rsidTr="00FC55D0">
        <w:trPr>
          <w:trHeight w:val="96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Sociālās apdrošināšanas iemaksas valsts pensiju speciālajā budžetā, tai skaitā iemaksas invaliditātes apdrošināšanai un citi ieņēmumi pensiju budžetā</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6,8</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7,5</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6,7</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6,6</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6,5</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6,5</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6,5</w:t>
            </w:r>
          </w:p>
        </w:tc>
      </w:tr>
      <w:tr w:rsidR="001B37E9" w:rsidRPr="001B37E9" w:rsidTr="00FC55D0">
        <w:trPr>
          <w:gridAfter w:val="7"/>
          <w:cnfStyle w:val="000000100000" w:firstRow="0" w:lastRow="0" w:firstColumn="0" w:lastColumn="0" w:oddVBand="0" w:evenVBand="0" w:oddHBand="1" w:evenHBand="0" w:firstRowFirstColumn="0" w:firstRowLastColumn="0" w:lastRowFirstColumn="0" w:lastRowLastColumn="0"/>
          <w:wAfter w:w="5016" w:type="dxa"/>
          <w:trHeight w:val="315"/>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 xml:space="preserve">Sistēmiskas pensiju reformas </w:t>
            </w:r>
          </w:p>
        </w:tc>
      </w:tr>
      <w:tr w:rsidR="001B37E9" w:rsidRPr="001B37E9" w:rsidTr="00FC55D0">
        <w:trPr>
          <w:trHeight w:val="33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Sociālās apdrošināšanas iemaksas valsts fondēto pensiju shēmā</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1,7</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1,9</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1,9</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1,9</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1,9</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1,9</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1,9</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Pensiju izdevumi no valsts fondēto pensiju shēmas</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0,0</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0,3</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0,7</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1,5</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2,3</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2,6</w:t>
            </w:r>
          </w:p>
        </w:tc>
      </w:tr>
      <w:tr w:rsidR="001B37E9" w:rsidRPr="001B37E9" w:rsidTr="00FC55D0">
        <w:trPr>
          <w:gridAfter w:val="7"/>
          <w:wAfter w:w="5016" w:type="dxa"/>
          <w:trHeight w:val="285"/>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Pieņēmumi</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Darba produktivitātes (stundā) pieaugums, %</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1,6</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4,8</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3,9</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2,4</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1,8</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1,5</w:t>
            </w:r>
          </w:p>
        </w:tc>
      </w:tr>
      <w:tr w:rsidR="001B37E9" w:rsidRPr="001B37E9" w:rsidTr="00FC55D0">
        <w:trPr>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Potenciālā IKP pieaugums, % salīdzināmās cenās</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1,4</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4,2</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2,7</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1,7</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0,9</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1,2</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1,5</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Līdzdalības līmenis, vīrieši (vecuma grupa 20</w:t>
            </w:r>
            <w:r w:rsidR="00FC55D0" w:rsidRPr="00FC55D0">
              <w:rPr>
                <w:rFonts w:ascii="Times New Roman" w:eastAsia="Times New Roman" w:hAnsi="Times New Roman" w:cs="Times New Roman"/>
                <w:b w:val="0"/>
                <w:color w:val="000000" w:themeColor="text1"/>
                <w:sz w:val="20"/>
                <w:szCs w:val="20"/>
                <w:lang w:eastAsia="lv-LV"/>
              </w:rPr>
              <w:t>–</w:t>
            </w:r>
            <w:r w:rsidRPr="00A82ADD">
              <w:rPr>
                <w:rFonts w:ascii="Times New Roman" w:eastAsia="Times New Roman" w:hAnsi="Times New Roman" w:cs="Times New Roman"/>
                <w:b w:val="0"/>
                <w:color w:val="000000" w:themeColor="text1"/>
                <w:sz w:val="20"/>
                <w:szCs w:val="20"/>
                <w:lang w:eastAsia="lv-LV"/>
              </w:rPr>
              <w:t>64)</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83,8</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82,9</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83,3</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83,8</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84,2</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86,3</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85,0</w:t>
            </w:r>
          </w:p>
        </w:tc>
      </w:tr>
      <w:tr w:rsidR="001B37E9" w:rsidRPr="001B37E9" w:rsidTr="00FC55D0">
        <w:trPr>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Līdzdalības līmenis, sievietes (vecuma grupa 20</w:t>
            </w:r>
            <w:r w:rsidR="00FC55D0" w:rsidRPr="00FC55D0">
              <w:rPr>
                <w:rFonts w:ascii="Times New Roman" w:eastAsia="Times New Roman" w:hAnsi="Times New Roman" w:cs="Times New Roman"/>
                <w:b w:val="0"/>
                <w:color w:val="000000" w:themeColor="text1"/>
                <w:sz w:val="20"/>
                <w:szCs w:val="20"/>
                <w:lang w:eastAsia="lv-LV"/>
              </w:rPr>
              <w:t>–</w:t>
            </w:r>
            <w:r w:rsidRPr="00A82ADD">
              <w:rPr>
                <w:rFonts w:ascii="Times New Roman" w:eastAsia="Times New Roman" w:hAnsi="Times New Roman" w:cs="Times New Roman"/>
                <w:b w:val="0"/>
                <w:color w:val="000000" w:themeColor="text1"/>
                <w:sz w:val="20"/>
                <w:szCs w:val="20"/>
                <w:lang w:eastAsia="lv-LV"/>
              </w:rPr>
              <w:t>64)</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78,6</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79,2</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81,2</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81,4</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82,3</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84,7</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83,3</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Līdzdalības līmenis, kopā (vecuma grupa 20</w:t>
            </w:r>
            <w:r w:rsidR="00FC55D0" w:rsidRPr="00FC55D0">
              <w:rPr>
                <w:rFonts w:ascii="Times New Roman" w:eastAsia="Times New Roman" w:hAnsi="Times New Roman" w:cs="Times New Roman"/>
                <w:b w:val="0"/>
                <w:color w:val="000000" w:themeColor="text1"/>
                <w:sz w:val="20"/>
                <w:szCs w:val="20"/>
                <w:lang w:eastAsia="lv-LV"/>
              </w:rPr>
              <w:t>–</w:t>
            </w:r>
            <w:r w:rsidRPr="00A82ADD">
              <w:rPr>
                <w:rFonts w:ascii="Times New Roman" w:eastAsia="Times New Roman" w:hAnsi="Times New Roman" w:cs="Times New Roman"/>
                <w:b w:val="0"/>
                <w:color w:val="000000" w:themeColor="text1"/>
                <w:sz w:val="20"/>
                <w:szCs w:val="20"/>
                <w:lang w:eastAsia="lv-LV"/>
              </w:rPr>
              <w:t>64)</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81,2</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81,0</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82,2</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82,6</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83,3</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85,5</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84,2</w:t>
            </w:r>
          </w:p>
        </w:tc>
      </w:tr>
      <w:tr w:rsidR="001B37E9" w:rsidRPr="001B37E9" w:rsidTr="00FC55D0">
        <w:trPr>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Bezdarba līmenis (vecuma grupa 20</w:t>
            </w:r>
            <w:r w:rsidR="00FC55D0" w:rsidRPr="00FC55D0">
              <w:rPr>
                <w:rFonts w:ascii="Times New Roman" w:eastAsia="Times New Roman" w:hAnsi="Times New Roman" w:cs="Times New Roman"/>
                <w:b w:val="0"/>
                <w:color w:val="000000" w:themeColor="text1"/>
                <w:sz w:val="20"/>
                <w:szCs w:val="20"/>
                <w:lang w:eastAsia="lv-LV"/>
              </w:rPr>
              <w:t>–</w:t>
            </w:r>
            <w:r w:rsidRPr="00A82ADD">
              <w:rPr>
                <w:rFonts w:ascii="Times New Roman" w:eastAsia="Times New Roman" w:hAnsi="Times New Roman" w:cs="Times New Roman"/>
                <w:b w:val="0"/>
                <w:color w:val="000000" w:themeColor="text1"/>
                <w:sz w:val="20"/>
                <w:szCs w:val="20"/>
                <w:lang w:eastAsia="lv-LV"/>
              </w:rPr>
              <w:t>64)</w:t>
            </w:r>
          </w:p>
        </w:tc>
        <w:tc>
          <w:tcPr>
            <w:tcW w:w="691"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9,8</w:t>
            </w:r>
          </w:p>
        </w:tc>
        <w:tc>
          <w:tcPr>
            <w:tcW w:w="727"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9,0</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9,7</w:t>
            </w:r>
          </w:p>
        </w:tc>
        <w:tc>
          <w:tcPr>
            <w:tcW w:w="708"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8,8</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7,9</w:t>
            </w:r>
          </w:p>
        </w:tc>
        <w:tc>
          <w:tcPr>
            <w:tcW w:w="709"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7,9</w:t>
            </w:r>
          </w:p>
        </w:tc>
        <w:tc>
          <w:tcPr>
            <w:tcW w:w="763" w:type="dxa"/>
            <w:noWrap/>
            <w:vAlign w:val="center"/>
            <w:hideMark/>
          </w:tcPr>
          <w:p w:rsidR="006F03FE" w:rsidRPr="001B37E9" w:rsidRDefault="006F03FE" w:rsidP="00DB1E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7,9</w:t>
            </w:r>
          </w:p>
        </w:tc>
      </w:tr>
      <w:tr w:rsidR="001B37E9" w:rsidRPr="001B37E9" w:rsidTr="00FC55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3" w:type="dxa"/>
            <w:hideMark/>
          </w:tcPr>
          <w:p w:rsidR="006F03FE" w:rsidRPr="00A82ADD" w:rsidRDefault="006F03FE" w:rsidP="001B37E9">
            <w:pPr>
              <w:jc w:val="both"/>
              <w:rPr>
                <w:rFonts w:ascii="Times New Roman" w:eastAsia="Times New Roman" w:hAnsi="Times New Roman" w:cs="Times New Roman"/>
                <w:b w:val="0"/>
                <w:color w:val="000000" w:themeColor="text1"/>
                <w:sz w:val="20"/>
                <w:szCs w:val="20"/>
                <w:lang w:eastAsia="lv-LV"/>
              </w:rPr>
            </w:pPr>
            <w:r w:rsidRPr="00A82ADD">
              <w:rPr>
                <w:rFonts w:ascii="Times New Roman" w:eastAsia="Times New Roman" w:hAnsi="Times New Roman" w:cs="Times New Roman"/>
                <w:b w:val="0"/>
                <w:color w:val="000000" w:themeColor="text1"/>
                <w:sz w:val="20"/>
                <w:szCs w:val="20"/>
                <w:lang w:eastAsia="lv-LV"/>
              </w:rPr>
              <w:t>Iedzīvotāji (vecuma grupa 65+), % no kopējā iedzīvotāju skaita</w:t>
            </w:r>
          </w:p>
        </w:tc>
        <w:tc>
          <w:tcPr>
            <w:tcW w:w="691"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19,8</w:t>
            </w:r>
          </w:p>
        </w:tc>
        <w:tc>
          <w:tcPr>
            <w:tcW w:w="727"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20,8</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25,4</w:t>
            </w:r>
          </w:p>
        </w:tc>
        <w:tc>
          <w:tcPr>
            <w:tcW w:w="708"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29,2</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31,6</w:t>
            </w:r>
          </w:p>
        </w:tc>
        <w:tc>
          <w:tcPr>
            <w:tcW w:w="709"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33,1</w:t>
            </w:r>
          </w:p>
        </w:tc>
        <w:tc>
          <w:tcPr>
            <w:tcW w:w="763" w:type="dxa"/>
            <w:noWrap/>
            <w:vAlign w:val="center"/>
            <w:hideMark/>
          </w:tcPr>
          <w:p w:rsidR="006F03FE" w:rsidRPr="001B37E9" w:rsidRDefault="006F03FE" w:rsidP="00DB1E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lv-LV"/>
              </w:rPr>
            </w:pPr>
            <w:r w:rsidRPr="001B37E9">
              <w:rPr>
                <w:rFonts w:ascii="Times New Roman" w:eastAsia="Times New Roman" w:hAnsi="Times New Roman" w:cs="Times New Roman"/>
                <w:color w:val="000000" w:themeColor="text1"/>
                <w:sz w:val="20"/>
                <w:szCs w:val="20"/>
                <w:lang w:eastAsia="lv-LV"/>
              </w:rPr>
              <w:t>29,6</w:t>
            </w:r>
          </w:p>
        </w:tc>
      </w:tr>
    </w:tbl>
    <w:p w:rsidR="00FC55D0" w:rsidRDefault="00FC55D0" w:rsidP="00F51615">
      <w:pPr>
        <w:rPr>
          <w:rFonts w:ascii="Times New Roman" w:hAnsi="Times New Roman" w:cs="Times New Roman"/>
          <w:b/>
          <w:bCs/>
          <w:color w:val="000000"/>
          <w:sz w:val="24"/>
          <w:szCs w:val="24"/>
        </w:rPr>
      </w:pPr>
    </w:p>
    <w:p w:rsidR="003666E9" w:rsidRPr="00C81719" w:rsidRDefault="005A7265" w:rsidP="00FC55D0">
      <w:pPr>
        <w:spacing w:after="0"/>
        <w:rPr>
          <w:rFonts w:ascii="Times New Roman" w:hAnsi="Times New Roman" w:cs="Times New Roman"/>
          <w:sz w:val="24"/>
        </w:rPr>
      </w:pPr>
      <w:r w:rsidRPr="00C81719">
        <w:rPr>
          <w:rFonts w:ascii="Times New Roman" w:hAnsi="Times New Roman" w:cs="Times New Roman"/>
          <w:b/>
          <w:bCs/>
          <w:color w:val="000000"/>
          <w:sz w:val="24"/>
          <w:szCs w:val="24"/>
        </w:rPr>
        <w:lastRenderedPageBreak/>
        <w:t>7a.tabula</w:t>
      </w:r>
      <w:r w:rsidR="003666E9" w:rsidRPr="00C81719">
        <w:rPr>
          <w:rFonts w:ascii="Times New Roman" w:hAnsi="Times New Roman" w:cs="Times New Roman"/>
          <w:b/>
          <w:bCs/>
          <w:color w:val="000000"/>
          <w:sz w:val="24"/>
          <w:szCs w:val="24"/>
        </w:rPr>
        <w:t xml:space="preserve"> Netiešās saistības</w:t>
      </w:r>
    </w:p>
    <w:tbl>
      <w:tblPr>
        <w:tblStyle w:val="GridTable6Colorful-Accent11"/>
        <w:tblW w:w="0" w:type="auto"/>
        <w:tblLayout w:type="fixed"/>
        <w:tblLook w:val="04A0" w:firstRow="1" w:lastRow="0" w:firstColumn="1" w:lastColumn="0" w:noHBand="0" w:noVBand="1"/>
      </w:tblPr>
      <w:tblGrid>
        <w:gridCol w:w="3387"/>
        <w:gridCol w:w="993"/>
      </w:tblGrid>
      <w:tr w:rsidR="00F51615" w:rsidRPr="003028D0" w:rsidTr="003028D0">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387" w:type="dxa"/>
            <w:vAlign w:val="center"/>
          </w:tcPr>
          <w:p w:rsidR="00F51615" w:rsidRPr="003028D0" w:rsidRDefault="00F51615" w:rsidP="003028D0">
            <w:pPr>
              <w:autoSpaceDE w:val="0"/>
              <w:autoSpaceDN w:val="0"/>
              <w:adjustRightInd w:val="0"/>
              <w:jc w:val="center"/>
              <w:rPr>
                <w:rFonts w:ascii="Times New Roman" w:hAnsi="Times New Roman" w:cs="Times New Roman"/>
                <w:color w:val="000000"/>
                <w:sz w:val="20"/>
                <w:szCs w:val="20"/>
              </w:rPr>
            </w:pPr>
            <w:r w:rsidRPr="003028D0">
              <w:rPr>
                <w:rFonts w:ascii="Times New Roman" w:hAnsi="Times New Roman" w:cs="Times New Roman"/>
                <w:color w:val="000000"/>
                <w:sz w:val="20"/>
                <w:szCs w:val="20"/>
              </w:rPr>
              <w:t>% no IKP</w:t>
            </w:r>
          </w:p>
        </w:tc>
        <w:tc>
          <w:tcPr>
            <w:tcW w:w="993" w:type="dxa"/>
            <w:vAlign w:val="center"/>
          </w:tcPr>
          <w:p w:rsidR="00F51615" w:rsidRPr="00DB1E82" w:rsidRDefault="00DB1E82" w:rsidP="00DB1E8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rPr>
            </w:pPr>
            <w:r w:rsidRPr="00DB1E82">
              <w:rPr>
                <w:rFonts w:ascii="Times New Roman" w:hAnsi="Times New Roman"/>
                <w:b w:val="0"/>
                <w:color w:val="000000"/>
                <w:sz w:val="20"/>
              </w:rPr>
              <w:t>2017</w:t>
            </w:r>
          </w:p>
        </w:tc>
      </w:tr>
      <w:tr w:rsidR="00F51615" w:rsidRPr="003028D0" w:rsidTr="00FB129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387" w:type="dxa"/>
          </w:tcPr>
          <w:p w:rsidR="00F51615" w:rsidRPr="003028D0" w:rsidRDefault="00FA4740" w:rsidP="003E2559">
            <w:pPr>
              <w:rPr>
                <w:rFonts w:ascii="Times New Roman" w:hAnsi="Times New Roman" w:cs="Times New Roman"/>
                <w:b w:val="0"/>
                <w:bCs w:val="0"/>
                <w:color w:val="000000"/>
                <w:sz w:val="20"/>
                <w:szCs w:val="20"/>
              </w:rPr>
            </w:pPr>
            <w:r w:rsidRPr="003028D0">
              <w:rPr>
                <w:rFonts w:ascii="Times New Roman" w:hAnsi="Times New Roman" w:cs="Times New Roman"/>
                <w:b w:val="0"/>
                <w:color w:val="000000"/>
                <w:sz w:val="20"/>
                <w:szCs w:val="20"/>
              </w:rPr>
              <w:t xml:space="preserve">Valsts un pašvaldību </w:t>
            </w:r>
            <w:r w:rsidR="003E2559">
              <w:rPr>
                <w:rFonts w:ascii="Times New Roman" w:hAnsi="Times New Roman" w:cs="Times New Roman"/>
                <w:b w:val="0"/>
                <w:color w:val="000000"/>
                <w:sz w:val="20"/>
                <w:szCs w:val="20"/>
              </w:rPr>
              <w:t>galvojumi</w:t>
            </w:r>
          </w:p>
        </w:tc>
        <w:tc>
          <w:tcPr>
            <w:tcW w:w="993" w:type="dxa"/>
            <w:vAlign w:val="center"/>
          </w:tcPr>
          <w:p w:rsidR="00F51615" w:rsidRPr="00DB1E82" w:rsidRDefault="00DB1E82" w:rsidP="00DB1E8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rPr>
            </w:pPr>
            <w:r w:rsidRPr="00DB1E82">
              <w:rPr>
                <w:rFonts w:ascii="Times New Roman" w:hAnsi="Times New Roman"/>
                <w:color w:val="000000"/>
                <w:sz w:val="20"/>
              </w:rPr>
              <w:t>1,4%</w:t>
            </w:r>
          </w:p>
        </w:tc>
      </w:tr>
      <w:tr w:rsidR="00F51615" w:rsidRPr="003028D0" w:rsidTr="00FB1293">
        <w:trPr>
          <w:trHeight w:val="133"/>
        </w:trPr>
        <w:tc>
          <w:tcPr>
            <w:cnfStyle w:val="001000000000" w:firstRow="0" w:lastRow="0" w:firstColumn="1" w:lastColumn="0" w:oddVBand="0" w:evenVBand="0" w:oddHBand="0" w:evenHBand="0" w:firstRowFirstColumn="0" w:firstRowLastColumn="0" w:lastRowFirstColumn="0" w:lastRowLastColumn="0"/>
            <w:tcW w:w="3387" w:type="dxa"/>
          </w:tcPr>
          <w:p w:rsidR="00F51615" w:rsidRPr="003028D0" w:rsidRDefault="00B74A90" w:rsidP="00FA4740">
            <w:pPr>
              <w:rPr>
                <w:rFonts w:ascii="Times New Roman" w:hAnsi="Times New Roman" w:cs="Times New Roman"/>
                <w:b w:val="0"/>
                <w:i/>
                <w:iCs/>
                <w:color w:val="000000"/>
                <w:sz w:val="20"/>
                <w:szCs w:val="20"/>
              </w:rPr>
            </w:pPr>
            <w:r>
              <w:rPr>
                <w:rFonts w:ascii="Times New Roman" w:hAnsi="Times New Roman" w:cs="Times New Roman"/>
                <w:b w:val="0"/>
                <w:i/>
                <w:iCs/>
                <w:color w:val="000000"/>
                <w:sz w:val="20"/>
                <w:szCs w:val="20"/>
              </w:rPr>
              <w:t>No kurām saistīti</w:t>
            </w:r>
            <w:r w:rsidR="00F51615" w:rsidRPr="003028D0">
              <w:rPr>
                <w:rFonts w:ascii="Times New Roman" w:hAnsi="Times New Roman" w:cs="Times New Roman"/>
                <w:b w:val="0"/>
                <w:i/>
                <w:iCs/>
                <w:color w:val="000000"/>
                <w:sz w:val="20"/>
                <w:szCs w:val="20"/>
              </w:rPr>
              <w:t xml:space="preserve"> ar finanšu sektoru </w:t>
            </w:r>
          </w:p>
        </w:tc>
        <w:tc>
          <w:tcPr>
            <w:tcW w:w="993" w:type="dxa"/>
            <w:vAlign w:val="center"/>
          </w:tcPr>
          <w:p w:rsidR="00F51615" w:rsidRPr="00DB1E82" w:rsidRDefault="00DB1E82" w:rsidP="00DB1E8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sidRPr="00DB1E82">
              <w:rPr>
                <w:rFonts w:ascii="Times New Roman" w:hAnsi="Times New Roman"/>
                <w:color w:val="000000"/>
                <w:sz w:val="20"/>
              </w:rPr>
              <w:t>0,7%</w:t>
            </w:r>
          </w:p>
        </w:tc>
      </w:tr>
    </w:tbl>
    <w:p w:rsidR="00A82ADD" w:rsidRDefault="00A82ADD" w:rsidP="00FC55D0">
      <w:pPr>
        <w:pStyle w:val="T"/>
        <w:keepNext w:val="0"/>
        <w:spacing w:after="0"/>
        <w:ind w:left="0"/>
        <w:rPr>
          <w:rFonts w:ascii="Times New Roman" w:hAnsi="Times New Roman"/>
          <w:color w:val="000000"/>
          <w:szCs w:val="24"/>
        </w:rPr>
      </w:pPr>
    </w:p>
    <w:p w:rsidR="00CC4C28" w:rsidRDefault="00CC4C28" w:rsidP="00FC55D0">
      <w:pPr>
        <w:pStyle w:val="T"/>
        <w:spacing w:after="0"/>
        <w:ind w:left="0"/>
        <w:rPr>
          <w:rFonts w:ascii="Times New Roman" w:hAnsi="Times New Roman"/>
          <w:color w:val="000000"/>
          <w:szCs w:val="24"/>
        </w:rPr>
      </w:pPr>
      <w:r w:rsidRPr="00B20730">
        <w:rPr>
          <w:rFonts w:ascii="Times New Roman" w:hAnsi="Times New Roman"/>
          <w:color w:val="000000"/>
          <w:szCs w:val="24"/>
        </w:rPr>
        <w:t>8.tabula. Ārējās vides pamata pieņēmumi</w:t>
      </w:r>
    </w:p>
    <w:tbl>
      <w:tblPr>
        <w:tblStyle w:val="GridTable6Colorful-Accent11"/>
        <w:tblW w:w="9493" w:type="dxa"/>
        <w:jc w:val="center"/>
        <w:tblLook w:val="04A0" w:firstRow="1" w:lastRow="0" w:firstColumn="1" w:lastColumn="0" w:noHBand="0" w:noVBand="1"/>
      </w:tblPr>
      <w:tblGrid>
        <w:gridCol w:w="5240"/>
        <w:gridCol w:w="850"/>
        <w:gridCol w:w="851"/>
        <w:gridCol w:w="850"/>
        <w:gridCol w:w="851"/>
        <w:gridCol w:w="851"/>
      </w:tblGrid>
      <w:tr w:rsidR="00CC4C28" w:rsidRPr="003028D0" w:rsidTr="00150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rsidR="00CC4C28" w:rsidRPr="003028D0" w:rsidRDefault="00CC4C28" w:rsidP="001509AF">
            <w:pPr>
              <w:rPr>
                <w:rFonts w:ascii="Times New Roman" w:eastAsia="Calibri" w:hAnsi="Times New Roman" w:cs="Times New Roman"/>
                <w:color w:val="auto"/>
                <w:sz w:val="20"/>
                <w:szCs w:val="20"/>
              </w:rPr>
            </w:pPr>
          </w:p>
        </w:tc>
        <w:tc>
          <w:tcPr>
            <w:tcW w:w="850" w:type="dxa"/>
            <w:vAlign w:val="center"/>
            <w:hideMark/>
          </w:tcPr>
          <w:p w:rsidR="00CC4C28" w:rsidRPr="003028D0" w:rsidRDefault="00CC4C28" w:rsidP="001509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2017</w:t>
            </w:r>
          </w:p>
        </w:tc>
        <w:tc>
          <w:tcPr>
            <w:tcW w:w="851" w:type="dxa"/>
            <w:vAlign w:val="center"/>
            <w:hideMark/>
          </w:tcPr>
          <w:p w:rsidR="00CC4C28" w:rsidRPr="003028D0" w:rsidRDefault="00CC4C28" w:rsidP="001509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2018</w:t>
            </w:r>
          </w:p>
        </w:tc>
        <w:tc>
          <w:tcPr>
            <w:tcW w:w="850" w:type="dxa"/>
            <w:vAlign w:val="center"/>
            <w:hideMark/>
          </w:tcPr>
          <w:p w:rsidR="00CC4C28" w:rsidRPr="003028D0" w:rsidRDefault="00CC4C28" w:rsidP="001509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2019</w:t>
            </w:r>
          </w:p>
        </w:tc>
        <w:tc>
          <w:tcPr>
            <w:tcW w:w="851" w:type="dxa"/>
            <w:vAlign w:val="center"/>
            <w:hideMark/>
          </w:tcPr>
          <w:p w:rsidR="00CC4C28" w:rsidRPr="003028D0" w:rsidRDefault="00CC4C28" w:rsidP="001509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2020</w:t>
            </w:r>
          </w:p>
        </w:tc>
        <w:tc>
          <w:tcPr>
            <w:tcW w:w="851" w:type="dxa"/>
            <w:vAlign w:val="center"/>
            <w:hideMark/>
          </w:tcPr>
          <w:p w:rsidR="00CC4C28" w:rsidRPr="003028D0" w:rsidRDefault="00CC4C28" w:rsidP="001509A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Pr>
                <w:rFonts w:ascii="Times New Roman" w:eastAsia="Times New Roman" w:hAnsi="Times New Roman" w:cs="Times New Roman"/>
                <w:color w:val="auto"/>
                <w:sz w:val="20"/>
                <w:szCs w:val="20"/>
              </w:rPr>
              <w:t>2021</w:t>
            </w:r>
          </w:p>
        </w:tc>
      </w:tr>
      <w:tr w:rsidR="00CC4C28" w:rsidRPr="003028D0" w:rsidTr="005C3D6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 xml:space="preserve">Īstermiņa procentu likme </w:t>
            </w:r>
            <w:r w:rsidRPr="003028D0">
              <w:rPr>
                <w:rFonts w:ascii="Times New Roman" w:eastAsia="Calibri" w:hAnsi="Times New Roman" w:cs="Times New Roman"/>
                <w:b w:val="0"/>
                <w:i/>
                <w:color w:val="auto"/>
                <w:sz w:val="20"/>
                <w:szCs w:val="20"/>
                <w:lang w:eastAsia="lv-LV"/>
              </w:rPr>
              <w:t>euro</w:t>
            </w:r>
            <w:r w:rsidRPr="003028D0">
              <w:rPr>
                <w:rFonts w:ascii="Times New Roman" w:eastAsia="Calibri" w:hAnsi="Times New Roman" w:cs="Times New Roman"/>
                <w:b w:val="0"/>
                <w:color w:val="auto"/>
                <w:sz w:val="20"/>
                <w:szCs w:val="20"/>
                <w:lang w:eastAsia="lv-LV"/>
              </w:rPr>
              <w:t xml:space="preserve"> zonā (gada vidējā)</w:t>
            </w:r>
          </w:p>
        </w:tc>
        <w:tc>
          <w:tcPr>
            <w:tcW w:w="850"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851"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-0,3</w:t>
            </w:r>
          </w:p>
        </w:tc>
        <w:tc>
          <w:tcPr>
            <w:tcW w:w="850"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Arial Unicode MS" w:hAnsi="Times New Roman" w:cs="Times New Roman"/>
                <w:color w:val="auto"/>
                <w:sz w:val="20"/>
              </w:rPr>
              <w:t>0,0</w:t>
            </w:r>
          </w:p>
        </w:tc>
        <w:tc>
          <w:tcPr>
            <w:tcW w:w="851"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Arial Unicode MS" w:hAnsi="Times New Roman" w:cs="Times New Roman"/>
                <w:color w:val="auto"/>
                <w:sz w:val="20"/>
              </w:rPr>
              <w:t>0,1</w:t>
            </w:r>
          </w:p>
        </w:tc>
        <w:tc>
          <w:tcPr>
            <w:tcW w:w="851"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0,1</w:t>
            </w:r>
          </w:p>
        </w:tc>
      </w:tr>
      <w:tr w:rsidR="00CC4C28" w:rsidRPr="003028D0" w:rsidTr="005C3D64">
        <w:trPr>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 xml:space="preserve">Ilgtermiņa procentu likme </w:t>
            </w:r>
            <w:r w:rsidRPr="003028D0">
              <w:rPr>
                <w:rFonts w:ascii="Times New Roman" w:eastAsia="Calibri" w:hAnsi="Times New Roman" w:cs="Times New Roman"/>
                <w:b w:val="0"/>
                <w:i/>
                <w:color w:val="auto"/>
                <w:sz w:val="20"/>
                <w:szCs w:val="20"/>
                <w:lang w:eastAsia="lv-LV"/>
              </w:rPr>
              <w:t>euro</w:t>
            </w:r>
            <w:r w:rsidRPr="003028D0">
              <w:rPr>
                <w:rFonts w:ascii="Times New Roman" w:eastAsia="Calibri" w:hAnsi="Times New Roman" w:cs="Times New Roman"/>
                <w:b w:val="0"/>
                <w:color w:val="auto"/>
                <w:sz w:val="20"/>
                <w:szCs w:val="20"/>
                <w:lang w:eastAsia="lv-LV"/>
              </w:rPr>
              <w:t xml:space="preserve"> zonā (gada vidējā)</w:t>
            </w:r>
          </w:p>
        </w:tc>
        <w:tc>
          <w:tcPr>
            <w:tcW w:w="850" w:type="dxa"/>
            <w:vAlign w:val="center"/>
          </w:tcPr>
          <w:p w:rsidR="00CC4C28" w:rsidRPr="00DD2914"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tcW w:w="851" w:type="dxa"/>
            <w:vAlign w:val="center"/>
          </w:tcPr>
          <w:p w:rsidR="00CC4C28" w:rsidRPr="00DD2914"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Arial Unicode MS" w:hAnsi="Times New Roman" w:cs="Times New Roman"/>
                <w:color w:val="auto"/>
                <w:sz w:val="20"/>
              </w:rPr>
              <w:t>0,7</w:t>
            </w:r>
          </w:p>
        </w:tc>
        <w:tc>
          <w:tcPr>
            <w:tcW w:w="850" w:type="dxa"/>
            <w:vAlign w:val="center"/>
          </w:tcPr>
          <w:p w:rsidR="00CC4C28" w:rsidRPr="00DD2914"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Arial Unicode MS" w:hAnsi="Times New Roman" w:cs="Times New Roman"/>
                <w:color w:val="auto"/>
                <w:sz w:val="20"/>
              </w:rPr>
              <w:t>0,9</w:t>
            </w:r>
          </w:p>
        </w:tc>
        <w:tc>
          <w:tcPr>
            <w:tcW w:w="851" w:type="dxa"/>
            <w:vAlign w:val="center"/>
          </w:tcPr>
          <w:p w:rsidR="00CC4C28" w:rsidRPr="00DD2914"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Arial Unicode MS" w:hAnsi="Times New Roman" w:cs="Times New Roman"/>
                <w:color w:val="auto"/>
                <w:sz w:val="20"/>
              </w:rPr>
              <w:t>1,0</w:t>
            </w:r>
          </w:p>
        </w:tc>
        <w:tc>
          <w:tcPr>
            <w:tcW w:w="851" w:type="dxa"/>
            <w:vAlign w:val="center"/>
          </w:tcPr>
          <w:p w:rsidR="00CC4C28" w:rsidRPr="00DD2914"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43434">
              <w:rPr>
                <w:rFonts w:ascii="Times New Roman" w:eastAsia="Arial Unicode MS" w:hAnsi="Times New Roman" w:cs="Times New Roman"/>
                <w:color w:val="auto"/>
                <w:sz w:val="20"/>
              </w:rPr>
              <w:t>1,0</w:t>
            </w:r>
          </w:p>
        </w:tc>
      </w:tr>
      <w:tr w:rsidR="00CC4C28" w:rsidRPr="003028D0" w:rsidTr="005C3D6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highlight w:val="yellow"/>
              </w:rPr>
            </w:pPr>
            <w:r w:rsidRPr="003028D0">
              <w:rPr>
                <w:rFonts w:ascii="Times New Roman" w:eastAsia="Calibri" w:hAnsi="Times New Roman" w:cs="Times New Roman"/>
                <w:b w:val="0"/>
                <w:color w:val="auto"/>
                <w:sz w:val="20"/>
                <w:szCs w:val="20"/>
                <w:lang w:eastAsia="lv-LV"/>
              </w:rPr>
              <w:t>EUR/USD kurss (gada vidējais)</w:t>
            </w:r>
          </w:p>
        </w:tc>
        <w:tc>
          <w:tcPr>
            <w:tcW w:w="850" w:type="dxa"/>
            <w:vAlign w:val="center"/>
          </w:tcPr>
          <w:p w:rsidR="00CC4C28" w:rsidRPr="000122AF"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0122AF">
              <w:rPr>
                <w:rFonts w:ascii="Times New Roman" w:eastAsia="Arial Unicode MS" w:hAnsi="Times New Roman" w:cs="Times New Roman"/>
                <w:color w:val="auto"/>
                <w:sz w:val="20"/>
              </w:rPr>
              <w:t>1,13</w:t>
            </w:r>
          </w:p>
        </w:tc>
        <w:tc>
          <w:tcPr>
            <w:tcW w:w="851" w:type="dxa"/>
            <w:vAlign w:val="center"/>
          </w:tcPr>
          <w:p w:rsidR="00CC4C28" w:rsidRPr="000122AF"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0122AF">
              <w:rPr>
                <w:rFonts w:ascii="Times New Roman" w:eastAsia="Arial Unicode MS" w:hAnsi="Times New Roman" w:cs="Times New Roman"/>
                <w:color w:val="auto"/>
                <w:sz w:val="20"/>
              </w:rPr>
              <w:t>1,23</w:t>
            </w:r>
          </w:p>
        </w:tc>
        <w:tc>
          <w:tcPr>
            <w:tcW w:w="850" w:type="dxa"/>
            <w:vAlign w:val="center"/>
          </w:tcPr>
          <w:p w:rsidR="00CC4C28" w:rsidRPr="000122AF"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0122AF">
              <w:rPr>
                <w:rFonts w:ascii="Times New Roman" w:eastAsia="Arial Unicode MS" w:hAnsi="Times New Roman" w:cs="Times New Roman"/>
                <w:color w:val="auto"/>
                <w:sz w:val="20"/>
              </w:rPr>
              <w:t>1,23</w:t>
            </w:r>
          </w:p>
        </w:tc>
        <w:tc>
          <w:tcPr>
            <w:tcW w:w="851" w:type="dxa"/>
            <w:vAlign w:val="center"/>
          </w:tcPr>
          <w:p w:rsidR="00CC4C28" w:rsidRPr="000122AF"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0122AF">
              <w:rPr>
                <w:rFonts w:ascii="Times New Roman" w:eastAsia="Arial Unicode MS" w:hAnsi="Times New Roman" w:cs="Times New Roman"/>
                <w:color w:val="auto"/>
                <w:sz w:val="20"/>
              </w:rPr>
              <w:t>1,23</w:t>
            </w:r>
          </w:p>
        </w:tc>
        <w:tc>
          <w:tcPr>
            <w:tcW w:w="851" w:type="dxa"/>
            <w:vAlign w:val="center"/>
          </w:tcPr>
          <w:p w:rsidR="00CC4C28" w:rsidRPr="000122AF"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0122AF">
              <w:rPr>
                <w:rFonts w:ascii="Times New Roman" w:eastAsia="Arial Unicode MS" w:hAnsi="Times New Roman" w:cs="Times New Roman"/>
                <w:color w:val="auto"/>
                <w:sz w:val="20"/>
              </w:rPr>
              <w:t>1,23</w:t>
            </w:r>
          </w:p>
        </w:tc>
      </w:tr>
      <w:tr w:rsidR="00CC4C28" w:rsidRPr="003028D0" w:rsidTr="005C3D64">
        <w:trPr>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Nominālais efektīvais maiņas kurss ES</w:t>
            </w:r>
          </w:p>
        </w:tc>
        <w:tc>
          <w:tcPr>
            <w:tcW w:w="850" w:type="dxa"/>
            <w:vAlign w:val="center"/>
          </w:tcPr>
          <w:p w:rsidR="00CC4C28" w:rsidRPr="008A7A05"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A7A05">
              <w:rPr>
                <w:rFonts w:ascii="Times New Roman" w:eastAsia="Arial Unicode MS" w:hAnsi="Times New Roman" w:cs="Times New Roman"/>
                <w:color w:val="auto"/>
                <w:sz w:val="20"/>
              </w:rPr>
              <w:t>3,5</w:t>
            </w:r>
          </w:p>
        </w:tc>
        <w:tc>
          <w:tcPr>
            <w:tcW w:w="851" w:type="dxa"/>
            <w:vAlign w:val="center"/>
          </w:tcPr>
          <w:p w:rsidR="00CC4C28" w:rsidRPr="008A7A05"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A7A05">
              <w:rPr>
                <w:rFonts w:ascii="Times New Roman" w:eastAsia="Arial Unicode MS" w:hAnsi="Times New Roman" w:cs="Times New Roman"/>
                <w:color w:val="auto"/>
                <w:sz w:val="20"/>
              </w:rPr>
              <w:t>3,9</w:t>
            </w:r>
          </w:p>
        </w:tc>
        <w:tc>
          <w:tcPr>
            <w:tcW w:w="850" w:type="dxa"/>
            <w:vAlign w:val="center"/>
          </w:tcPr>
          <w:p w:rsidR="00CC4C28" w:rsidRPr="008A7A05"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A7A05">
              <w:rPr>
                <w:rFonts w:ascii="Times New Roman" w:eastAsia="Arial Unicode MS" w:hAnsi="Times New Roman" w:cs="Times New Roman"/>
                <w:color w:val="auto"/>
                <w:sz w:val="20"/>
              </w:rPr>
              <w:t>0,0</w:t>
            </w:r>
          </w:p>
        </w:tc>
        <w:tc>
          <w:tcPr>
            <w:tcW w:w="851" w:type="dxa"/>
            <w:vAlign w:val="center"/>
          </w:tcPr>
          <w:p w:rsidR="00CC4C28" w:rsidRPr="008A7A05"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A7A05">
              <w:rPr>
                <w:rFonts w:ascii="Times New Roman" w:eastAsia="Arial Unicode MS" w:hAnsi="Times New Roman" w:cs="Times New Roman"/>
                <w:color w:val="auto"/>
                <w:sz w:val="20"/>
              </w:rPr>
              <w:t>0,0</w:t>
            </w:r>
          </w:p>
        </w:tc>
        <w:tc>
          <w:tcPr>
            <w:tcW w:w="851" w:type="dxa"/>
            <w:vAlign w:val="center"/>
          </w:tcPr>
          <w:p w:rsidR="00CC4C28" w:rsidRPr="008A7A05"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8A7A05">
              <w:rPr>
                <w:rFonts w:ascii="Times New Roman" w:eastAsia="Arial Unicode MS" w:hAnsi="Times New Roman" w:cs="Times New Roman"/>
                <w:color w:val="auto"/>
                <w:sz w:val="20"/>
              </w:rPr>
              <w:t>0,0</w:t>
            </w:r>
          </w:p>
        </w:tc>
      </w:tr>
      <w:tr w:rsidR="00CC4C28" w:rsidRPr="003028D0" w:rsidTr="005C3D6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Pasaules IKP, izņemot ES, pieaugums salīdzināmās cenās, %</w:t>
            </w:r>
          </w:p>
        </w:tc>
        <w:tc>
          <w:tcPr>
            <w:tcW w:w="850" w:type="dxa"/>
            <w:vAlign w:val="center"/>
          </w:tcPr>
          <w:p w:rsidR="00CC4C28" w:rsidRPr="008A7A05"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8A7A05">
              <w:rPr>
                <w:rFonts w:ascii="Times New Roman" w:eastAsia="Arial Unicode MS" w:hAnsi="Times New Roman" w:cs="Times New Roman"/>
                <w:color w:val="auto"/>
                <w:sz w:val="20"/>
              </w:rPr>
              <w:t>3,5</w:t>
            </w:r>
          </w:p>
        </w:tc>
        <w:tc>
          <w:tcPr>
            <w:tcW w:w="851" w:type="dxa"/>
            <w:vAlign w:val="center"/>
          </w:tcPr>
          <w:p w:rsidR="00CC4C28" w:rsidRPr="008A7A05"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8A7A05">
              <w:rPr>
                <w:rFonts w:ascii="Times New Roman" w:eastAsia="Arial Unicode MS" w:hAnsi="Times New Roman" w:cs="Times New Roman"/>
                <w:color w:val="auto"/>
                <w:sz w:val="20"/>
              </w:rPr>
              <w:t>3,7</w:t>
            </w:r>
          </w:p>
        </w:tc>
        <w:tc>
          <w:tcPr>
            <w:tcW w:w="850" w:type="dxa"/>
            <w:vAlign w:val="center"/>
          </w:tcPr>
          <w:p w:rsidR="00CC4C28" w:rsidRPr="008A7A05"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8A7A05">
              <w:rPr>
                <w:rFonts w:ascii="Times New Roman" w:eastAsia="Arial Unicode MS" w:hAnsi="Times New Roman" w:cs="Times New Roman"/>
                <w:color w:val="auto"/>
                <w:sz w:val="20"/>
              </w:rPr>
              <w:t>3,7</w:t>
            </w:r>
          </w:p>
        </w:tc>
        <w:tc>
          <w:tcPr>
            <w:tcW w:w="851" w:type="dxa"/>
            <w:vAlign w:val="center"/>
          </w:tcPr>
          <w:p w:rsidR="00CC4C28" w:rsidRPr="008A7A05"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8A7A05">
              <w:rPr>
                <w:rFonts w:ascii="Times New Roman" w:eastAsia="Arial Unicode MS" w:hAnsi="Times New Roman" w:cs="Times New Roman"/>
                <w:color w:val="auto"/>
                <w:sz w:val="20"/>
              </w:rPr>
              <w:t>3,7</w:t>
            </w:r>
          </w:p>
        </w:tc>
        <w:tc>
          <w:tcPr>
            <w:tcW w:w="851" w:type="dxa"/>
            <w:vAlign w:val="center"/>
          </w:tcPr>
          <w:p w:rsidR="00CC4C28" w:rsidRPr="008A7A05"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0"/>
              </w:rPr>
            </w:pPr>
            <w:r w:rsidRPr="008A7A05">
              <w:rPr>
                <w:rFonts w:ascii="Times New Roman" w:eastAsia="Arial Unicode MS" w:hAnsi="Times New Roman" w:cs="Times New Roman"/>
                <w:color w:val="auto"/>
                <w:sz w:val="20"/>
              </w:rPr>
              <w:t>3,7</w:t>
            </w:r>
          </w:p>
        </w:tc>
      </w:tr>
      <w:tr w:rsidR="00CC4C28" w:rsidRPr="003028D0" w:rsidTr="005C3D64">
        <w:trPr>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ES IKP pieaugums salīdzināmās cenās, %</w:t>
            </w:r>
          </w:p>
        </w:tc>
        <w:tc>
          <w:tcPr>
            <w:tcW w:w="850" w:type="dxa"/>
            <w:vAlign w:val="center"/>
          </w:tcPr>
          <w:p w:rsidR="00CC4C28" w:rsidRPr="00C254BE"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C254BE">
              <w:rPr>
                <w:rFonts w:ascii="Times New Roman" w:eastAsia="Arial Unicode MS" w:hAnsi="Times New Roman" w:cs="Times New Roman"/>
                <w:color w:val="auto"/>
                <w:sz w:val="20"/>
              </w:rPr>
              <w:t>2,4</w:t>
            </w:r>
          </w:p>
        </w:tc>
        <w:tc>
          <w:tcPr>
            <w:tcW w:w="851" w:type="dxa"/>
            <w:vAlign w:val="center"/>
          </w:tcPr>
          <w:p w:rsidR="00CC4C28" w:rsidRPr="00C254BE"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C254BE">
              <w:rPr>
                <w:rFonts w:ascii="Times New Roman" w:eastAsia="Arial Unicode MS" w:hAnsi="Times New Roman" w:cs="Times New Roman"/>
                <w:color w:val="auto"/>
                <w:sz w:val="20"/>
              </w:rPr>
              <w:t>2,3</w:t>
            </w:r>
          </w:p>
        </w:tc>
        <w:tc>
          <w:tcPr>
            <w:tcW w:w="850" w:type="dxa"/>
            <w:vAlign w:val="center"/>
          </w:tcPr>
          <w:p w:rsidR="00CC4C28" w:rsidRPr="00C254BE"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C254BE">
              <w:rPr>
                <w:rFonts w:ascii="Times New Roman" w:eastAsia="Arial Unicode MS" w:hAnsi="Times New Roman" w:cs="Times New Roman"/>
                <w:color w:val="auto"/>
                <w:sz w:val="20"/>
              </w:rPr>
              <w:t>2,0</w:t>
            </w:r>
          </w:p>
        </w:tc>
        <w:tc>
          <w:tcPr>
            <w:tcW w:w="851" w:type="dxa"/>
            <w:vAlign w:val="center"/>
          </w:tcPr>
          <w:p w:rsidR="00CC4C28" w:rsidRPr="00C254BE"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C254BE">
              <w:rPr>
                <w:rFonts w:ascii="Times New Roman" w:eastAsia="Arial Unicode MS" w:hAnsi="Times New Roman" w:cs="Times New Roman"/>
                <w:color w:val="auto"/>
                <w:sz w:val="20"/>
              </w:rPr>
              <w:t>2,0</w:t>
            </w:r>
          </w:p>
        </w:tc>
        <w:tc>
          <w:tcPr>
            <w:tcW w:w="851" w:type="dxa"/>
            <w:vAlign w:val="center"/>
          </w:tcPr>
          <w:p w:rsidR="00CC4C28" w:rsidRPr="00C254BE"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C254BE">
              <w:rPr>
                <w:rFonts w:ascii="Times New Roman" w:eastAsia="Arial Unicode MS" w:hAnsi="Times New Roman" w:cs="Times New Roman"/>
                <w:color w:val="auto"/>
                <w:sz w:val="20"/>
              </w:rPr>
              <w:t>2,0</w:t>
            </w:r>
          </w:p>
        </w:tc>
      </w:tr>
      <w:tr w:rsidR="00CC4C28" w:rsidRPr="003028D0" w:rsidTr="005C3D6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lang w:eastAsia="lv-LV"/>
              </w:rPr>
            </w:pPr>
            <w:r w:rsidRPr="003028D0">
              <w:rPr>
                <w:rFonts w:ascii="Times New Roman" w:eastAsia="Calibri" w:hAnsi="Times New Roman" w:cs="Times New Roman"/>
                <w:b w:val="0"/>
                <w:color w:val="auto"/>
                <w:sz w:val="20"/>
                <w:szCs w:val="20"/>
                <w:lang w:eastAsia="lv-LV"/>
              </w:rPr>
              <w:t>Pasaules preču un pakalpojumu tirdzniecības apjomu izmaiņas ES eksporta tirgos, izslēdzot ES, %</w:t>
            </w:r>
          </w:p>
        </w:tc>
        <w:tc>
          <w:tcPr>
            <w:tcW w:w="850" w:type="dxa"/>
            <w:vAlign w:val="center"/>
          </w:tcPr>
          <w:p w:rsidR="00CC4C28" w:rsidRPr="00B20730"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4,0</w:t>
            </w:r>
          </w:p>
        </w:tc>
        <w:tc>
          <w:tcPr>
            <w:tcW w:w="851" w:type="dxa"/>
            <w:vAlign w:val="center"/>
          </w:tcPr>
          <w:p w:rsidR="00CC4C28" w:rsidRPr="00B20730"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3,8</w:t>
            </w:r>
          </w:p>
        </w:tc>
        <w:tc>
          <w:tcPr>
            <w:tcW w:w="850" w:type="dxa"/>
            <w:vAlign w:val="center"/>
          </w:tcPr>
          <w:p w:rsidR="00CC4C28" w:rsidRPr="00B20730"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3,8</w:t>
            </w:r>
          </w:p>
        </w:tc>
        <w:tc>
          <w:tcPr>
            <w:tcW w:w="851" w:type="dxa"/>
            <w:vAlign w:val="center"/>
          </w:tcPr>
          <w:p w:rsidR="00CC4C28" w:rsidRPr="00B20730"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3,8</w:t>
            </w:r>
          </w:p>
        </w:tc>
        <w:tc>
          <w:tcPr>
            <w:tcW w:w="851" w:type="dxa"/>
            <w:vAlign w:val="center"/>
          </w:tcPr>
          <w:p w:rsidR="00CC4C28" w:rsidRPr="00B20730"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3,8</w:t>
            </w:r>
          </w:p>
        </w:tc>
      </w:tr>
      <w:tr w:rsidR="00CC4C28" w:rsidRPr="003028D0" w:rsidTr="005C3D64">
        <w:trPr>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Pasaules preču un pakalpojumu importa apjomu izmaiņas, izslēdzot ES, %</w:t>
            </w:r>
          </w:p>
        </w:tc>
        <w:tc>
          <w:tcPr>
            <w:tcW w:w="850" w:type="dxa"/>
            <w:vAlign w:val="center"/>
          </w:tcPr>
          <w:p w:rsidR="00CC4C28" w:rsidRPr="00B20730"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4,2</w:t>
            </w:r>
          </w:p>
        </w:tc>
        <w:tc>
          <w:tcPr>
            <w:tcW w:w="851" w:type="dxa"/>
            <w:vAlign w:val="center"/>
          </w:tcPr>
          <w:p w:rsidR="00CC4C28" w:rsidRPr="00B20730"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4,1</w:t>
            </w:r>
          </w:p>
        </w:tc>
        <w:tc>
          <w:tcPr>
            <w:tcW w:w="850" w:type="dxa"/>
            <w:vAlign w:val="center"/>
          </w:tcPr>
          <w:p w:rsidR="00CC4C28" w:rsidRPr="00B20730"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4,1</w:t>
            </w:r>
          </w:p>
        </w:tc>
        <w:tc>
          <w:tcPr>
            <w:tcW w:w="851" w:type="dxa"/>
            <w:vAlign w:val="center"/>
          </w:tcPr>
          <w:p w:rsidR="00CC4C28" w:rsidRPr="00B20730"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4,1</w:t>
            </w:r>
          </w:p>
        </w:tc>
        <w:tc>
          <w:tcPr>
            <w:tcW w:w="851" w:type="dxa"/>
            <w:vAlign w:val="center"/>
          </w:tcPr>
          <w:p w:rsidR="00CC4C28" w:rsidRPr="00B20730" w:rsidRDefault="00CC4C28" w:rsidP="005C3D6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B20730">
              <w:rPr>
                <w:rFonts w:ascii="Times New Roman" w:eastAsia="Arial Unicode MS" w:hAnsi="Times New Roman" w:cs="Times New Roman"/>
                <w:color w:val="auto"/>
                <w:sz w:val="20"/>
              </w:rPr>
              <w:t>4,1</w:t>
            </w:r>
          </w:p>
        </w:tc>
      </w:tr>
      <w:tr w:rsidR="00CC4C28" w:rsidRPr="003028D0" w:rsidTr="005C3D6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40" w:type="dxa"/>
            <w:hideMark/>
          </w:tcPr>
          <w:p w:rsidR="00CC4C28" w:rsidRPr="003028D0" w:rsidRDefault="00CC4C28" w:rsidP="00FC55D0">
            <w:pPr>
              <w:jc w:val="both"/>
              <w:rPr>
                <w:rFonts w:ascii="Times New Roman" w:eastAsia="Calibri" w:hAnsi="Times New Roman" w:cs="Times New Roman"/>
                <w:b w:val="0"/>
                <w:color w:val="auto"/>
                <w:sz w:val="20"/>
                <w:szCs w:val="20"/>
              </w:rPr>
            </w:pPr>
            <w:r w:rsidRPr="003028D0">
              <w:rPr>
                <w:rFonts w:ascii="Times New Roman" w:eastAsia="Calibri" w:hAnsi="Times New Roman" w:cs="Times New Roman"/>
                <w:b w:val="0"/>
                <w:color w:val="auto"/>
                <w:sz w:val="20"/>
                <w:szCs w:val="20"/>
                <w:lang w:eastAsia="lv-LV"/>
              </w:rPr>
              <w:t>Naftas cena (</w:t>
            </w:r>
            <w:r w:rsidRPr="002F508C">
              <w:rPr>
                <w:rFonts w:ascii="Times New Roman" w:eastAsia="Calibri" w:hAnsi="Times New Roman" w:cs="Times New Roman"/>
                <w:b w:val="0"/>
                <w:i/>
                <w:color w:val="auto"/>
                <w:sz w:val="20"/>
                <w:szCs w:val="20"/>
                <w:lang w:eastAsia="lv-LV"/>
              </w:rPr>
              <w:t>Brent</w:t>
            </w:r>
            <w:r w:rsidRPr="003028D0">
              <w:rPr>
                <w:rFonts w:ascii="Times New Roman" w:eastAsia="Calibri" w:hAnsi="Times New Roman" w:cs="Times New Roman"/>
                <w:b w:val="0"/>
                <w:color w:val="auto"/>
                <w:sz w:val="20"/>
                <w:szCs w:val="20"/>
                <w:lang w:eastAsia="lv-LV"/>
              </w:rPr>
              <w:t>, USD par barelu)</w:t>
            </w:r>
          </w:p>
        </w:tc>
        <w:tc>
          <w:tcPr>
            <w:tcW w:w="850"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54,6</w:t>
            </w:r>
          </w:p>
        </w:tc>
        <w:tc>
          <w:tcPr>
            <w:tcW w:w="851"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68,3</w:t>
            </w:r>
          </w:p>
        </w:tc>
        <w:tc>
          <w:tcPr>
            <w:tcW w:w="850"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64,2</w:t>
            </w:r>
          </w:p>
        </w:tc>
        <w:tc>
          <w:tcPr>
            <w:tcW w:w="851"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63,0</w:t>
            </w:r>
          </w:p>
        </w:tc>
        <w:tc>
          <w:tcPr>
            <w:tcW w:w="851" w:type="dxa"/>
            <w:vAlign w:val="center"/>
          </w:tcPr>
          <w:p w:rsidR="00CC4C28" w:rsidRPr="00DD2914" w:rsidRDefault="00CC4C28" w:rsidP="005C3D6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63,0</w:t>
            </w:r>
          </w:p>
        </w:tc>
      </w:tr>
    </w:tbl>
    <w:p w:rsidR="00CC4C28" w:rsidRDefault="00CC4C28" w:rsidP="00CC4C28">
      <w:pPr>
        <w:autoSpaceDE w:val="0"/>
        <w:autoSpaceDN w:val="0"/>
        <w:adjustRightInd w:val="0"/>
        <w:spacing w:before="120" w:after="0" w:line="240" w:lineRule="auto"/>
        <w:ind w:firstLine="720"/>
        <w:jc w:val="both"/>
        <w:rPr>
          <w:rFonts w:ascii="Times New Roman" w:eastAsia="Times New Roman" w:hAnsi="Times New Roman" w:cs="Times New Roman"/>
          <w:color w:val="000000"/>
          <w:sz w:val="24"/>
          <w:szCs w:val="24"/>
          <w:lang w:eastAsia="lv-LV"/>
        </w:rPr>
      </w:pPr>
    </w:p>
    <w:p w:rsidR="0024257A" w:rsidRDefault="0024257A" w:rsidP="003E2FE0">
      <w:pPr>
        <w:tabs>
          <w:tab w:val="left" w:pos="988"/>
        </w:tabs>
        <w:rPr>
          <w:rFonts w:ascii="Times New Roman" w:hAnsi="Times New Roman" w:cs="Times New Roman"/>
          <w:sz w:val="20"/>
        </w:rPr>
      </w:pPr>
    </w:p>
    <w:p w:rsidR="0024257A" w:rsidRDefault="0024257A" w:rsidP="003E2FE0">
      <w:pPr>
        <w:tabs>
          <w:tab w:val="left" w:pos="988"/>
        </w:tabs>
        <w:rPr>
          <w:rFonts w:ascii="Times New Roman" w:hAnsi="Times New Roman" w:cs="Times New Roman"/>
          <w:sz w:val="20"/>
        </w:rPr>
      </w:pPr>
    </w:p>
    <w:p w:rsidR="0024257A" w:rsidRDefault="0024257A" w:rsidP="00FC55D0">
      <w:pPr>
        <w:tabs>
          <w:tab w:val="left" w:pos="988"/>
        </w:tabs>
        <w:jc w:val="both"/>
        <w:rPr>
          <w:rFonts w:ascii="Times New Roman" w:hAnsi="Times New Roman" w:cs="Times New Roman"/>
          <w:sz w:val="24"/>
        </w:rPr>
      </w:pPr>
      <w:r w:rsidRPr="0024257A">
        <w:rPr>
          <w:rFonts w:ascii="Times New Roman" w:hAnsi="Times New Roman" w:cs="Times New Roman"/>
          <w:sz w:val="24"/>
        </w:rPr>
        <w:t>Finanšu ministre</w:t>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r>
      <w:r w:rsidRPr="0024257A">
        <w:rPr>
          <w:rFonts w:ascii="Times New Roman" w:hAnsi="Times New Roman" w:cs="Times New Roman"/>
          <w:sz w:val="24"/>
        </w:rPr>
        <w:tab/>
        <w:t>D.Reizniece</w:t>
      </w:r>
      <w:r w:rsidR="00FC55D0" w:rsidRPr="00FC55D0">
        <w:rPr>
          <w:rFonts w:ascii="Times New Roman" w:hAnsi="Times New Roman" w:cs="Times New Roman"/>
          <w:sz w:val="24"/>
        </w:rPr>
        <w:t>–</w:t>
      </w:r>
      <w:r w:rsidRPr="0024257A">
        <w:rPr>
          <w:rFonts w:ascii="Times New Roman" w:hAnsi="Times New Roman" w:cs="Times New Roman"/>
          <w:sz w:val="24"/>
        </w:rPr>
        <w:t>Ozola</w:t>
      </w:r>
    </w:p>
    <w:p w:rsidR="0024257A" w:rsidRDefault="0024257A" w:rsidP="003E2FE0">
      <w:pPr>
        <w:tabs>
          <w:tab w:val="left" w:pos="988"/>
        </w:tabs>
        <w:rPr>
          <w:rFonts w:ascii="Times New Roman" w:hAnsi="Times New Roman" w:cs="Times New Roman"/>
          <w:sz w:val="24"/>
        </w:rPr>
      </w:pPr>
    </w:p>
    <w:p w:rsidR="0024257A" w:rsidRDefault="0024257A" w:rsidP="003E2FE0">
      <w:pPr>
        <w:tabs>
          <w:tab w:val="left" w:pos="988"/>
        </w:tabs>
        <w:rPr>
          <w:rFonts w:ascii="Times New Roman" w:hAnsi="Times New Roman" w:cs="Times New Roman"/>
          <w:sz w:val="24"/>
        </w:rPr>
      </w:pPr>
    </w:p>
    <w:p w:rsidR="00037763" w:rsidRDefault="00037763" w:rsidP="003E2FE0">
      <w:pPr>
        <w:tabs>
          <w:tab w:val="left" w:pos="988"/>
        </w:tabs>
        <w:rPr>
          <w:rFonts w:ascii="Times New Roman" w:hAnsi="Times New Roman" w:cs="Times New Roman"/>
          <w:sz w:val="24"/>
        </w:rPr>
      </w:pPr>
    </w:p>
    <w:p w:rsidR="00037763" w:rsidRDefault="00037763" w:rsidP="003E2FE0">
      <w:pPr>
        <w:tabs>
          <w:tab w:val="left" w:pos="988"/>
        </w:tabs>
        <w:rPr>
          <w:rFonts w:ascii="Times New Roman" w:hAnsi="Times New Roman" w:cs="Times New Roman"/>
          <w:sz w:val="24"/>
        </w:rPr>
      </w:pPr>
    </w:p>
    <w:p w:rsidR="00393D5A" w:rsidRDefault="00393D5A" w:rsidP="003E2FE0">
      <w:pPr>
        <w:tabs>
          <w:tab w:val="left" w:pos="988"/>
        </w:tabs>
        <w:rPr>
          <w:rFonts w:ascii="Times New Roman" w:hAnsi="Times New Roman" w:cs="Times New Roman"/>
          <w:sz w:val="24"/>
        </w:rPr>
      </w:pPr>
    </w:p>
    <w:p w:rsidR="00393D5A" w:rsidRDefault="00393D5A" w:rsidP="003E2FE0">
      <w:pPr>
        <w:tabs>
          <w:tab w:val="left" w:pos="988"/>
        </w:tabs>
        <w:rPr>
          <w:rFonts w:ascii="Times New Roman" w:hAnsi="Times New Roman" w:cs="Times New Roman"/>
          <w:sz w:val="24"/>
        </w:rPr>
      </w:pPr>
    </w:p>
    <w:p w:rsidR="00393D5A" w:rsidRDefault="00393D5A" w:rsidP="003E2FE0">
      <w:pPr>
        <w:tabs>
          <w:tab w:val="left" w:pos="988"/>
        </w:tabs>
        <w:rPr>
          <w:rFonts w:ascii="Times New Roman" w:hAnsi="Times New Roman" w:cs="Times New Roman"/>
          <w:sz w:val="24"/>
        </w:rPr>
      </w:pPr>
    </w:p>
    <w:p w:rsidR="00393D5A" w:rsidRDefault="00393D5A" w:rsidP="003E2FE0">
      <w:pPr>
        <w:tabs>
          <w:tab w:val="left" w:pos="988"/>
        </w:tabs>
        <w:rPr>
          <w:rFonts w:ascii="Times New Roman" w:hAnsi="Times New Roman" w:cs="Times New Roman"/>
          <w:sz w:val="24"/>
        </w:rPr>
      </w:pPr>
    </w:p>
    <w:p w:rsidR="00393D5A" w:rsidRDefault="00393D5A" w:rsidP="003E2FE0">
      <w:pPr>
        <w:tabs>
          <w:tab w:val="left" w:pos="988"/>
        </w:tabs>
        <w:rPr>
          <w:rFonts w:ascii="Times New Roman" w:hAnsi="Times New Roman" w:cs="Times New Roman"/>
          <w:sz w:val="24"/>
        </w:rPr>
      </w:pPr>
    </w:p>
    <w:p w:rsidR="00393D5A" w:rsidRDefault="00393D5A" w:rsidP="003E2FE0">
      <w:pPr>
        <w:tabs>
          <w:tab w:val="left" w:pos="988"/>
        </w:tabs>
        <w:rPr>
          <w:rFonts w:ascii="Times New Roman" w:hAnsi="Times New Roman" w:cs="Times New Roman"/>
          <w:sz w:val="24"/>
        </w:rPr>
      </w:pPr>
    </w:p>
    <w:p w:rsidR="00393D5A" w:rsidRDefault="00393D5A" w:rsidP="003E2FE0">
      <w:pPr>
        <w:tabs>
          <w:tab w:val="left" w:pos="988"/>
        </w:tabs>
        <w:rPr>
          <w:rFonts w:ascii="Times New Roman" w:hAnsi="Times New Roman" w:cs="Times New Roman"/>
          <w:sz w:val="24"/>
        </w:rPr>
      </w:pPr>
    </w:p>
    <w:p w:rsidR="00037763" w:rsidRDefault="00037763" w:rsidP="003E2FE0">
      <w:pPr>
        <w:tabs>
          <w:tab w:val="left" w:pos="988"/>
        </w:tabs>
        <w:rPr>
          <w:rFonts w:ascii="Times New Roman" w:hAnsi="Times New Roman" w:cs="Times New Roman"/>
          <w:sz w:val="24"/>
        </w:rPr>
      </w:pPr>
    </w:p>
    <w:p w:rsidR="0024257A" w:rsidRPr="0024257A" w:rsidRDefault="00FD5100" w:rsidP="0024257A">
      <w:pPr>
        <w:tabs>
          <w:tab w:val="left" w:pos="988"/>
        </w:tabs>
        <w:spacing w:after="0" w:line="240" w:lineRule="auto"/>
        <w:rPr>
          <w:rFonts w:ascii="Times New Roman" w:hAnsi="Times New Roman" w:cs="Times New Roman"/>
          <w:sz w:val="20"/>
        </w:rPr>
      </w:pPr>
      <w:r>
        <w:rPr>
          <w:rFonts w:ascii="Times New Roman" w:hAnsi="Times New Roman" w:cs="Times New Roman"/>
          <w:sz w:val="20"/>
        </w:rPr>
        <w:t>Gusāre</w:t>
      </w:r>
      <w:r w:rsidR="00CC4C28">
        <w:rPr>
          <w:rFonts w:ascii="Times New Roman" w:hAnsi="Times New Roman" w:cs="Times New Roman"/>
          <w:sz w:val="20"/>
        </w:rPr>
        <w:t xml:space="preserve"> </w:t>
      </w:r>
      <w:r w:rsidR="00CC4C28" w:rsidRPr="00CC4C28">
        <w:rPr>
          <w:rFonts w:ascii="Times New Roman" w:hAnsi="Times New Roman" w:cs="Times New Roman"/>
          <w:sz w:val="20"/>
        </w:rPr>
        <w:t>670</w:t>
      </w:r>
      <w:r w:rsidR="002525FA">
        <w:rPr>
          <w:rFonts w:ascii="Times New Roman" w:hAnsi="Times New Roman" w:cs="Times New Roman"/>
          <w:sz w:val="20"/>
        </w:rPr>
        <w:t>839</w:t>
      </w:r>
      <w:r w:rsidR="00CC4C28" w:rsidRPr="00CC4C28">
        <w:rPr>
          <w:rFonts w:ascii="Times New Roman" w:hAnsi="Times New Roman" w:cs="Times New Roman"/>
          <w:sz w:val="20"/>
        </w:rPr>
        <w:t>11</w:t>
      </w:r>
    </w:p>
    <w:p w:rsidR="0024257A" w:rsidRPr="0024257A" w:rsidRDefault="00D81AF8" w:rsidP="0024257A">
      <w:pPr>
        <w:tabs>
          <w:tab w:val="left" w:pos="988"/>
        </w:tabs>
        <w:spacing w:after="0" w:line="240" w:lineRule="auto"/>
        <w:rPr>
          <w:rFonts w:ascii="Times New Roman" w:hAnsi="Times New Roman" w:cs="Times New Roman"/>
          <w:sz w:val="20"/>
        </w:rPr>
      </w:pPr>
      <w:hyperlink r:id="rId36" w:history="1">
        <w:r w:rsidR="00254666" w:rsidRPr="00AF6B4D">
          <w:rPr>
            <w:rStyle w:val="Hyperlink"/>
            <w:rFonts w:ascii="Times New Roman" w:hAnsi="Times New Roman" w:cs="Times New Roman"/>
            <w:sz w:val="20"/>
          </w:rPr>
          <w:t>elina.gusare@fm.gov.lv</w:t>
        </w:r>
      </w:hyperlink>
    </w:p>
    <w:p w:rsidR="0024257A" w:rsidRPr="0024257A" w:rsidRDefault="0024257A">
      <w:pPr>
        <w:tabs>
          <w:tab w:val="left" w:pos="988"/>
        </w:tabs>
        <w:spacing w:after="0" w:line="240" w:lineRule="auto"/>
        <w:rPr>
          <w:rFonts w:ascii="Times New Roman" w:hAnsi="Times New Roman" w:cs="Times New Roman"/>
          <w:sz w:val="20"/>
        </w:rPr>
      </w:pPr>
    </w:p>
    <w:sectPr w:rsidR="0024257A" w:rsidRPr="0024257A" w:rsidSect="00165BF6">
      <w:footerReference w:type="default" r:id="rId37"/>
      <w:pgSz w:w="11906" w:h="16838"/>
      <w:pgMar w:top="1418" w:right="1134" w:bottom="709" w:left="1701"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AF8" w:rsidRDefault="00D81AF8" w:rsidP="00623757">
      <w:pPr>
        <w:spacing w:after="0" w:line="240" w:lineRule="auto"/>
      </w:pPr>
      <w:r>
        <w:separator/>
      </w:r>
    </w:p>
  </w:endnote>
  <w:endnote w:type="continuationSeparator" w:id="0">
    <w:p w:rsidR="00D81AF8" w:rsidRDefault="00D81AF8" w:rsidP="00623757">
      <w:pPr>
        <w:spacing w:after="0" w:line="240" w:lineRule="auto"/>
      </w:pPr>
      <w:r>
        <w:continuationSeparator/>
      </w:r>
    </w:p>
  </w:endnote>
  <w:endnote w:type="continuationNotice" w:id="1">
    <w:p w:rsidR="00D81AF8" w:rsidRDefault="00D81A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Helvetica">
    <w:panose1 w:val="020B0604020202020204"/>
    <w:charset w:val="BA"/>
    <w:family w:val="swiss"/>
    <w:pitch w:val="variable"/>
    <w:sig w:usb0="E0002EFF" w:usb1="C0007843" w:usb2="00000009" w:usb3="00000000" w:csb0="000001FF"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446761671"/>
      <w:docPartObj>
        <w:docPartGallery w:val="Page Numbers (Bottom of Page)"/>
        <w:docPartUnique/>
      </w:docPartObj>
    </w:sdtPr>
    <w:sdtEndPr>
      <w:rPr>
        <w:noProof/>
      </w:rPr>
    </w:sdtEndPr>
    <w:sdtContent>
      <w:p w:rsidR="00D81AF8" w:rsidRPr="00E829CD" w:rsidRDefault="00D81AF8" w:rsidP="00492A61">
        <w:pPr>
          <w:pStyle w:val="Footer"/>
          <w:spacing w:before="120"/>
          <w:rPr>
            <w:rFonts w:ascii="Times New Roman" w:hAnsi="Times New Roman" w:cs="Times New Roman"/>
            <w:noProof/>
            <w:sz w:val="20"/>
          </w:rPr>
        </w:pPr>
        <w:fldSimple w:instr=" FILENAME   \* MERGEFORMAT ">
          <w:r w:rsidRPr="00D81AF8">
            <w:rPr>
              <w:rFonts w:ascii="Times New Roman" w:hAnsi="Times New Roman" w:cs="Times New Roman"/>
              <w:noProof/>
              <w:sz w:val="20"/>
            </w:rPr>
            <w:t>FMInfo_09042018_SP.docx</w:t>
          </w:r>
        </w:fldSimple>
        <w:r w:rsidRPr="00B71182">
          <w:rPr>
            <w:rFonts w:ascii="Times New Roman" w:hAnsi="Times New Roman" w:cs="Times New Roman"/>
            <w:sz w:val="20"/>
          </w:rPr>
          <w:t xml:space="preserve">; </w:t>
        </w:r>
      </w:p>
      <w:p w:rsidR="00D81AF8" w:rsidRPr="002D4AED" w:rsidRDefault="00D81AF8" w:rsidP="00FB1293">
        <w:pPr>
          <w:pStyle w:val="Footer"/>
          <w:tabs>
            <w:tab w:val="right" w:pos="9071"/>
          </w:tabs>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2D4AED">
          <w:rPr>
            <w:rFonts w:ascii="Times New Roman" w:hAnsi="Times New Roman" w:cs="Times New Roman"/>
            <w:sz w:val="24"/>
          </w:rPr>
          <w:fldChar w:fldCharType="begin"/>
        </w:r>
        <w:r w:rsidRPr="002D4AED">
          <w:rPr>
            <w:rFonts w:ascii="Times New Roman" w:hAnsi="Times New Roman" w:cs="Times New Roman"/>
            <w:sz w:val="24"/>
          </w:rPr>
          <w:instrText xml:space="preserve"> PAGE   \* MERGEFORMAT </w:instrText>
        </w:r>
        <w:r w:rsidRPr="002D4AED">
          <w:rPr>
            <w:rFonts w:ascii="Times New Roman" w:hAnsi="Times New Roman" w:cs="Times New Roman"/>
            <w:sz w:val="24"/>
          </w:rPr>
          <w:fldChar w:fldCharType="separate"/>
        </w:r>
        <w:r w:rsidR="00E07294">
          <w:rPr>
            <w:rFonts w:ascii="Times New Roman" w:hAnsi="Times New Roman" w:cs="Times New Roman"/>
            <w:noProof/>
            <w:sz w:val="24"/>
          </w:rPr>
          <w:t>2</w:t>
        </w:r>
        <w:r w:rsidRPr="002D4AED">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AF8" w:rsidRDefault="00D81AF8" w:rsidP="00623757">
      <w:pPr>
        <w:spacing w:after="0" w:line="240" w:lineRule="auto"/>
      </w:pPr>
      <w:r>
        <w:separator/>
      </w:r>
    </w:p>
  </w:footnote>
  <w:footnote w:type="continuationSeparator" w:id="0">
    <w:p w:rsidR="00D81AF8" w:rsidRDefault="00D81AF8" w:rsidP="00623757">
      <w:pPr>
        <w:spacing w:after="0" w:line="240" w:lineRule="auto"/>
      </w:pPr>
      <w:r>
        <w:continuationSeparator/>
      </w:r>
    </w:p>
  </w:footnote>
  <w:footnote w:type="continuationNotice" w:id="1">
    <w:p w:rsidR="00D81AF8" w:rsidRDefault="00D81AF8">
      <w:pPr>
        <w:spacing w:after="0" w:line="240" w:lineRule="auto"/>
      </w:pPr>
    </w:p>
  </w:footnote>
  <w:footnote w:id="2">
    <w:p w:rsidR="00D81AF8" w:rsidRPr="00D316B2" w:rsidRDefault="00D81AF8" w:rsidP="00B45C68">
      <w:pPr>
        <w:pStyle w:val="FootnoteText"/>
      </w:pPr>
      <w:r w:rsidRPr="00D316B2">
        <w:rPr>
          <w:rStyle w:val="FootnoteReference"/>
        </w:rPr>
        <w:footnoteRef/>
      </w:r>
      <w:r w:rsidRPr="00D316B2">
        <w:t xml:space="preserve"> World Economic Outlook (WEO) Update, January 2018, IMF</w:t>
      </w:r>
    </w:p>
  </w:footnote>
  <w:footnote w:id="3">
    <w:p w:rsidR="00D81AF8" w:rsidRPr="00D316B2" w:rsidRDefault="00D81AF8" w:rsidP="003F0A9C">
      <w:pPr>
        <w:pStyle w:val="FootnoteText"/>
        <w:ind w:left="0" w:firstLine="0"/>
        <w:jc w:val="both"/>
      </w:pPr>
      <w:r w:rsidRPr="00D316B2">
        <w:rPr>
          <w:rStyle w:val="FootnoteReference"/>
        </w:rPr>
        <w:footnoteRef/>
      </w:r>
      <w:r w:rsidRPr="00D316B2">
        <w:t xml:space="preserve"> Latvijas ārējās tirdzniecības galveno partnervalstu (Lietuva, Igaunija, Krievija, Vācija, Zviedrija, Lielbritānija, Polija) vidējā izaugsme, svērta ar vidējo eksporta īpatsvaru uz konkrēto valsti 2017.gadā. Datu avots: </w:t>
      </w:r>
      <w:r w:rsidRPr="00D316B2">
        <w:rPr>
          <w:i/>
        </w:rPr>
        <w:t>Eurostat; European Economic Forecast - Winter 2018, European Commission</w:t>
      </w:r>
      <w:r w:rsidRPr="00D316B2">
        <w:t>; FM aprēķini.</w:t>
      </w:r>
    </w:p>
  </w:footnote>
  <w:footnote w:id="4">
    <w:p w:rsidR="00D81AF8" w:rsidRPr="006367D1" w:rsidRDefault="00D81AF8" w:rsidP="00B45C68">
      <w:pPr>
        <w:pStyle w:val="FootnoteText"/>
      </w:pPr>
      <w:r w:rsidRPr="006367D1">
        <w:rPr>
          <w:rStyle w:val="FootnoteReference"/>
        </w:rPr>
        <w:footnoteRef/>
      </w:r>
      <w:r w:rsidRPr="006367D1">
        <w:t xml:space="preserve"> Datu avots: Latvijas Banka un Finanšu ministrijas aprēķini. </w:t>
      </w:r>
    </w:p>
  </w:footnote>
  <w:footnote w:id="5">
    <w:p w:rsidR="00D81AF8" w:rsidRPr="00596F16" w:rsidRDefault="00D81AF8">
      <w:pPr>
        <w:pStyle w:val="FootnoteText"/>
      </w:pPr>
      <w:r>
        <w:rPr>
          <w:rStyle w:val="FootnoteReference"/>
        </w:rPr>
        <w:footnoteRef/>
      </w:r>
      <w:r>
        <w:t xml:space="preserve"> </w:t>
      </w:r>
      <w:r w:rsidRPr="00596F16">
        <w:rPr>
          <w:color w:val="000000" w:themeColor="text1"/>
        </w:rPr>
        <w:t>Dati publicēti līdz 28.02.2018.</w:t>
      </w:r>
    </w:p>
  </w:footnote>
  <w:footnote w:id="6">
    <w:p w:rsidR="00D81AF8" w:rsidRDefault="00D81AF8" w:rsidP="00B45C68">
      <w:pPr>
        <w:pStyle w:val="FootnoteText"/>
      </w:pPr>
      <w:r w:rsidRPr="00D316B2">
        <w:rPr>
          <w:rStyle w:val="FootnoteReference"/>
        </w:rPr>
        <w:footnoteRef/>
      </w:r>
      <w:r>
        <w:t xml:space="preserve"> Datu avots: CSP, FM aprēķini </w:t>
      </w:r>
    </w:p>
  </w:footnote>
  <w:footnote w:id="7">
    <w:p w:rsidR="00D81AF8" w:rsidRPr="001762B5" w:rsidRDefault="00D81AF8">
      <w:pPr>
        <w:pStyle w:val="FootnoteText"/>
      </w:pPr>
      <w:r>
        <w:rPr>
          <w:rStyle w:val="FootnoteReference"/>
        </w:rPr>
        <w:footnoteRef/>
      </w:r>
      <w:r>
        <w:t xml:space="preserve"> </w:t>
      </w:r>
      <w:r w:rsidRPr="001762B5">
        <w:rPr>
          <w:i/>
        </w:rPr>
        <w:t>Plaucibility tool</w:t>
      </w:r>
    </w:p>
  </w:footnote>
  <w:footnote w:id="8">
    <w:p w:rsidR="00D81AF8" w:rsidRPr="00D100D2" w:rsidRDefault="00D81AF8" w:rsidP="00125819">
      <w:pPr>
        <w:pStyle w:val="FootnoteText"/>
      </w:pPr>
      <w:r>
        <w:rPr>
          <w:rStyle w:val="FootnoteReference"/>
          <w:rFonts w:eastAsiaTheme="majorEastAsia"/>
        </w:rPr>
        <w:footnoteRef/>
      </w:r>
      <w:r>
        <w:t xml:space="preserve"> 2018.gada marta Finanšu ministrijas novērtējums</w:t>
      </w:r>
    </w:p>
  </w:footnote>
  <w:footnote w:id="9">
    <w:p w:rsidR="00D81AF8" w:rsidRPr="00DD350B" w:rsidRDefault="00D81AF8" w:rsidP="00234A68">
      <w:pPr>
        <w:pStyle w:val="FootnoteText"/>
        <w:ind w:left="0" w:firstLine="0"/>
        <w:jc w:val="both"/>
      </w:pPr>
      <w:r w:rsidRPr="00FF70C3">
        <w:rPr>
          <w:rStyle w:val="FootnoteReference"/>
          <w:rFonts w:eastAsiaTheme="majorEastAsia"/>
        </w:rPr>
        <w:footnoteRef/>
      </w:r>
      <w:r w:rsidRPr="00FF70C3">
        <w:t xml:space="preserve"> </w:t>
      </w:r>
      <w:r w:rsidRPr="008354B1">
        <w:t>Datu avots: 201</w:t>
      </w:r>
      <w:r>
        <w:t>7.</w:t>
      </w:r>
      <w:r w:rsidRPr="008354B1">
        <w:t>gada oktobra vispārējās valdības budžeta deficīta un parāda notifikācija (</w:t>
      </w:r>
      <w:r w:rsidRPr="00DD350B">
        <w:t>2008. – 2016.gadam) un Finanšu ministrijas š.g. marta novērtējums 2017.gadam.</w:t>
      </w:r>
    </w:p>
  </w:footnote>
  <w:footnote w:id="10">
    <w:p w:rsidR="00D81AF8" w:rsidRPr="00311C16" w:rsidRDefault="00D81AF8" w:rsidP="00234A68">
      <w:pPr>
        <w:pStyle w:val="FootnoteText"/>
        <w:ind w:left="0" w:firstLine="0"/>
        <w:jc w:val="both"/>
      </w:pPr>
      <w:r w:rsidRPr="00E10321">
        <w:rPr>
          <w:rStyle w:val="FootnoteReference"/>
          <w:rFonts w:eastAsiaTheme="majorEastAsia"/>
        </w:rPr>
        <w:footnoteRef/>
      </w:r>
      <w:r>
        <w:t xml:space="preserve"> </w:t>
      </w:r>
      <w:r w:rsidRPr="00E10321">
        <w:t>Datu avots: 201</w:t>
      </w:r>
      <w:r>
        <w:t>7.</w:t>
      </w:r>
      <w:r w:rsidRPr="00E10321">
        <w:t>gada oktobra vispārējās valdības budžeta deficīta un parāda notifikācija (200</w:t>
      </w:r>
      <w:r>
        <w:t>8</w:t>
      </w:r>
      <w:r w:rsidRPr="00E10321">
        <w:t>. – 201</w:t>
      </w:r>
      <w:r>
        <w:t>8.</w:t>
      </w:r>
      <w:r w:rsidRPr="00E10321">
        <w:t xml:space="preserve">gadam) un </w:t>
      </w:r>
      <w:r w:rsidRPr="008354B1">
        <w:t xml:space="preserve">Finanšu ministrijas </w:t>
      </w:r>
      <w:r>
        <w:t>š.g. marta</w:t>
      </w:r>
      <w:r w:rsidRPr="008354B1">
        <w:t xml:space="preserve"> novērtējums 201</w:t>
      </w:r>
      <w:r>
        <w:t>7.</w:t>
      </w:r>
      <w:r w:rsidRPr="008354B1">
        <w:t>gadam</w:t>
      </w:r>
      <w:r w:rsidRPr="00E10321">
        <w:t>.</w:t>
      </w:r>
    </w:p>
  </w:footnote>
  <w:footnote w:id="11">
    <w:p w:rsidR="00D81AF8" w:rsidRPr="00FF70C3" w:rsidRDefault="00D81AF8" w:rsidP="00234A68">
      <w:pPr>
        <w:pStyle w:val="FootnoteText"/>
        <w:ind w:left="0" w:firstLine="0"/>
        <w:jc w:val="both"/>
      </w:pPr>
      <w:r w:rsidRPr="00FF70C3">
        <w:rPr>
          <w:rStyle w:val="FootnoteReference"/>
          <w:rFonts w:eastAsiaTheme="majorEastAsia"/>
        </w:rPr>
        <w:footnoteRef/>
      </w:r>
      <w:r>
        <w:t xml:space="preserve"> </w:t>
      </w:r>
      <w:r w:rsidRPr="00FF70C3">
        <w:t xml:space="preserve">Vispārējās valdības sektora dalījums </w:t>
      </w:r>
      <w:r w:rsidRPr="00FF70C3">
        <w:rPr>
          <w:noProof/>
        </w:rPr>
        <w:t>apakšsektoros</w:t>
      </w:r>
      <w:r w:rsidRPr="00FF70C3">
        <w:t xml:space="preserve"> definēts </w:t>
      </w:r>
      <w:r w:rsidRPr="00FF70C3">
        <w:rPr>
          <w:lang w:eastAsia="lv-LV"/>
        </w:rPr>
        <w:t xml:space="preserve">saskaņā ar </w:t>
      </w:r>
      <w:r>
        <w:rPr>
          <w:lang w:eastAsia="lv-LV"/>
        </w:rPr>
        <w:t>ESA 2010</w:t>
      </w:r>
      <w:r w:rsidRPr="00FF70C3">
        <w:rPr>
          <w:lang w:eastAsia="lv-LV"/>
        </w:rPr>
        <w:t>. Konsolidētā kopbudžeta nacionālajā uzskaites metodoloģijā ar centrālo valdību identificē valsts pamatbudžetu, no valsts budžeta daļēji finansēto atvasināto publisko personu budžetus un budžeta nefinansēto iestāžu budžetus; sociālās nodrošināšanas fondi – valsts sociālās apdrošināšanas speciālais budžets; vietējā valdība – pašvaldību budžeti.</w:t>
      </w:r>
      <w:r w:rsidRPr="00FF70C3">
        <w:rPr>
          <w:rFonts w:ascii="Arial" w:hAnsi="Arial" w:cs="Arial"/>
          <w:color w:val="0D3051"/>
          <w:sz w:val="18"/>
          <w:szCs w:val="18"/>
        </w:rPr>
        <w:t xml:space="preserve"> </w:t>
      </w:r>
    </w:p>
    <w:p w:rsidR="00D81AF8" w:rsidRPr="00FF70C3" w:rsidRDefault="00D81AF8" w:rsidP="00125819">
      <w:pPr>
        <w:pStyle w:val="FootnoteText"/>
        <w:jc w:val="both"/>
      </w:pPr>
    </w:p>
  </w:footnote>
  <w:footnote w:id="12">
    <w:p w:rsidR="00D81AF8" w:rsidRPr="00B40952" w:rsidRDefault="00D81AF8" w:rsidP="00B40952">
      <w:pPr>
        <w:pStyle w:val="FootnoteText"/>
        <w:jc w:val="both"/>
      </w:pPr>
      <w:r w:rsidRPr="00B40952">
        <w:rPr>
          <w:rStyle w:val="FootnoteReference"/>
        </w:rPr>
        <w:footnoteRef/>
      </w:r>
      <w:r w:rsidRPr="00B40952">
        <w:t xml:space="preserve"> Latvijai šis rādītājs ir noteikts 1,7% no IKP.</w:t>
      </w:r>
    </w:p>
  </w:footnote>
  <w:footnote w:id="13">
    <w:p w:rsidR="00D81AF8" w:rsidRPr="00B40952" w:rsidRDefault="00D81AF8" w:rsidP="00B40952">
      <w:pPr>
        <w:pStyle w:val="FootnoteText"/>
        <w:jc w:val="both"/>
      </w:pPr>
      <w:r w:rsidRPr="00B40952">
        <w:rPr>
          <w:rStyle w:val="FootnoteReference"/>
        </w:rPr>
        <w:footnoteRef/>
      </w:r>
      <w:r w:rsidRPr="00B40952">
        <w:t xml:space="preserve"> Pasaules veselības organizācija; dati par 2015.gadu.</w:t>
      </w:r>
    </w:p>
  </w:footnote>
  <w:footnote w:id="14">
    <w:p w:rsidR="00D81AF8" w:rsidRPr="00784F48" w:rsidRDefault="00D81AF8" w:rsidP="00B40952">
      <w:pPr>
        <w:pStyle w:val="FootnoteText"/>
      </w:pPr>
      <w:r>
        <w:rPr>
          <w:rStyle w:val="FootnoteReference"/>
        </w:rPr>
        <w:footnoteRef/>
      </w:r>
      <w:r>
        <w:t xml:space="preserve"> Datu avots: Slimību profilakses un kontroles centrs.</w:t>
      </w:r>
    </w:p>
  </w:footnote>
  <w:footnote w:id="15">
    <w:p w:rsidR="00D81AF8" w:rsidRPr="00B40952" w:rsidRDefault="00D81AF8" w:rsidP="00B40952">
      <w:pPr>
        <w:pStyle w:val="FootnoteText"/>
        <w:rPr>
          <w:i/>
        </w:rPr>
      </w:pPr>
      <w:r w:rsidRPr="00B40952">
        <w:rPr>
          <w:rStyle w:val="FootnoteReference"/>
        </w:rPr>
        <w:footnoteRef/>
      </w:r>
      <w:r w:rsidRPr="00B40952">
        <w:t xml:space="preserve"> Datu avots: </w:t>
      </w:r>
      <w:r w:rsidRPr="00B40952">
        <w:rPr>
          <w:i/>
        </w:rPr>
        <w:t>Eurostat</w:t>
      </w:r>
    </w:p>
  </w:footnote>
  <w:footnote w:id="16">
    <w:p w:rsidR="00D81AF8" w:rsidRPr="00784F48" w:rsidRDefault="00D81AF8" w:rsidP="00B40952">
      <w:pPr>
        <w:pStyle w:val="FootnoteText"/>
        <w:ind w:left="0" w:firstLine="0"/>
        <w:jc w:val="both"/>
      </w:pPr>
      <w:r>
        <w:rPr>
          <w:rStyle w:val="FootnoteReference"/>
        </w:rPr>
        <w:footnoteRef/>
      </w:r>
      <w:r>
        <w:t xml:space="preserve"> Rekomendācijas apstiprinātas 2017.gada 11.jūlijā. Rekomendācijas neņem vērā 2018.gadā papildu piešķirto finansējumu un panākto progresu veselības reformas īstenošanā 2017.gada otrajā pusē un 2018.gada pirmajā ceturksnī.</w:t>
      </w:r>
    </w:p>
  </w:footnote>
  <w:footnote w:id="17">
    <w:p w:rsidR="00D81AF8" w:rsidRPr="00B40952" w:rsidRDefault="00D81AF8" w:rsidP="00B40952">
      <w:pPr>
        <w:pStyle w:val="FootnoteText"/>
        <w:ind w:left="0" w:firstLine="0"/>
        <w:jc w:val="both"/>
      </w:pPr>
      <w:r w:rsidRPr="00B40952">
        <w:rPr>
          <w:rStyle w:val="FootnoteReference"/>
        </w:rPr>
        <w:footnoteRef/>
      </w:r>
      <w:r w:rsidRPr="00B40952">
        <w:t xml:space="preserve"> Ieguvumu apmērs, pieņemot, ka tiek izpildīts NAP 2020 mērķis samazināt PZDG (līdz 64 g.v.) rādītāju līdz 5300 uz 100 000 iedzīvotāju 2020.gadā.</w:t>
      </w:r>
    </w:p>
  </w:footnote>
  <w:footnote w:id="18">
    <w:p w:rsidR="00D81AF8" w:rsidRPr="00B40952" w:rsidRDefault="00D81AF8" w:rsidP="00B40952">
      <w:pPr>
        <w:pStyle w:val="FootnoteText"/>
        <w:ind w:left="0" w:firstLine="0"/>
        <w:jc w:val="both"/>
      </w:pPr>
      <w:r w:rsidRPr="00B40952">
        <w:rPr>
          <w:rStyle w:val="FootnoteReference"/>
        </w:rPr>
        <w:footnoteRef/>
      </w:r>
      <w:r w:rsidRPr="00B40952">
        <w:t xml:space="preserve"> Ieguvumu apmērs, pieņemot, ka tiek sasniegts Slimību profilakses un kontroles centra prognozēto PZDG samazinājums līdz 4</w:t>
      </w:r>
      <w:r>
        <w:t> </w:t>
      </w:r>
      <w:r w:rsidRPr="00B40952">
        <w:t>786 gadiem uz 100 000 iedzīvotājiem 2020.gadā.</w:t>
      </w:r>
    </w:p>
  </w:footnote>
  <w:footnote w:id="19">
    <w:p w:rsidR="00D81AF8" w:rsidRPr="00533787" w:rsidRDefault="00D81AF8" w:rsidP="00B40952">
      <w:pPr>
        <w:pStyle w:val="FootnoteText"/>
        <w:ind w:left="0" w:firstLine="0"/>
        <w:jc w:val="both"/>
        <w:rPr>
          <w:bCs/>
          <w:kern w:val="36"/>
        </w:rPr>
      </w:pPr>
      <w:r w:rsidRPr="00533787">
        <w:rPr>
          <w:rStyle w:val="FootnoteReference"/>
          <w:rFonts w:ascii="Times New Roman" w:hAnsi="Times New Roman"/>
        </w:rPr>
        <w:footnoteRef/>
      </w:r>
      <w:r w:rsidRPr="00533787">
        <w:t xml:space="preserve"> </w:t>
      </w:r>
      <w:r w:rsidRPr="00533787">
        <w:rPr>
          <w:bCs/>
          <w:kern w:val="36"/>
        </w:rPr>
        <w:t xml:space="preserve">Kopējais VM budžets pamatfunkcijām, milj. </w:t>
      </w:r>
      <w:r w:rsidRPr="00533787">
        <w:rPr>
          <w:bCs/>
          <w:i/>
          <w:kern w:val="36"/>
        </w:rPr>
        <w:t>euro</w:t>
      </w:r>
      <w:r w:rsidRPr="00533787">
        <w:rPr>
          <w:bCs/>
          <w:kern w:val="36"/>
        </w:rPr>
        <w:t>, 0</w:t>
      </w:r>
      <w:r w:rsidRPr="00F14E08">
        <w:rPr>
          <w:rFonts w:eastAsia="Calibri"/>
          <w:sz w:val="24"/>
          <w:szCs w:val="24"/>
        </w:rPr>
        <w:t>–</w:t>
      </w:r>
      <w:r w:rsidRPr="00533787">
        <w:rPr>
          <w:bCs/>
          <w:kern w:val="36"/>
        </w:rPr>
        <w:t xml:space="preserve">64 gadi: scenārijs atbilstoši Latvijas Universitātes pētījumam: “Izvērtējums Sabiedrības veselības pamatnostādņu 2014.–2020.gadam izstrādei” un faktiskais finansējums minētajai mērķa grupai ieskaitot deficīta atkāpes finansējumu. </w:t>
      </w:r>
    </w:p>
  </w:footnote>
  <w:footnote w:id="20">
    <w:p w:rsidR="00D81AF8" w:rsidRPr="00EF346C" w:rsidRDefault="00D81AF8" w:rsidP="00793734">
      <w:pPr>
        <w:pStyle w:val="FootnoteText"/>
        <w:jc w:val="both"/>
      </w:pPr>
      <w:r w:rsidRPr="00EF346C">
        <w:rPr>
          <w:rStyle w:val="FootnoteReference"/>
          <w:rFonts w:ascii="Times New Roman" w:hAnsi="Times New Roman"/>
        </w:rPr>
        <w:footnoteRef/>
      </w:r>
      <w:r w:rsidRPr="00EF346C">
        <w:t xml:space="preserve"> Diskontēts 2014.gada vērtībās; kumulatīvais efekts.</w:t>
      </w:r>
    </w:p>
  </w:footnote>
  <w:footnote w:id="21">
    <w:p w:rsidR="00D81AF8" w:rsidRPr="00EF346C" w:rsidRDefault="00D81AF8" w:rsidP="00793734">
      <w:pPr>
        <w:pStyle w:val="FootnoteText"/>
        <w:jc w:val="both"/>
      </w:pPr>
      <w:r w:rsidRPr="00EF346C">
        <w:rPr>
          <w:rStyle w:val="FootnoteReference"/>
          <w:rFonts w:ascii="Times New Roman" w:hAnsi="Times New Roman"/>
        </w:rPr>
        <w:footnoteRef/>
      </w:r>
      <w:r w:rsidRPr="00EF346C">
        <w:t xml:space="preserve"> X apzīmē 2013.gadu. </w:t>
      </w:r>
    </w:p>
  </w:footnote>
  <w:footnote w:id="22">
    <w:p w:rsidR="00D81AF8" w:rsidRPr="00EF346C" w:rsidRDefault="00D81AF8" w:rsidP="00793734">
      <w:pPr>
        <w:pStyle w:val="FootnoteText"/>
        <w:jc w:val="both"/>
      </w:pPr>
      <w:r w:rsidRPr="00EF346C">
        <w:rPr>
          <w:rStyle w:val="FootnoteReference"/>
          <w:rFonts w:ascii="Times New Roman" w:hAnsi="Times New Roman"/>
        </w:rPr>
        <w:footnoteRef/>
      </w:r>
      <w:r w:rsidRPr="00EF346C">
        <w:t xml:space="preserve"> Tautsaimniecības izlaide dalīta ar 2014.gada IKP faktiskajās cenās.</w:t>
      </w:r>
    </w:p>
  </w:footnote>
  <w:footnote w:id="23">
    <w:p w:rsidR="00D81AF8" w:rsidRPr="00EF346C" w:rsidRDefault="00D81AF8" w:rsidP="00793734">
      <w:pPr>
        <w:pStyle w:val="FootnoteText"/>
        <w:jc w:val="both"/>
      </w:pPr>
      <w:r w:rsidRPr="00685E75">
        <w:footnoteRef/>
      </w:r>
      <w:r w:rsidRPr="00EF346C">
        <w:t xml:space="preserve"> Nodarbinātības pieaugums dalīts ar nodarbināto skaitu vecuma grupā 15</w:t>
      </w:r>
      <w:r w:rsidRPr="00685E75">
        <w:t>–</w:t>
      </w:r>
      <w:r w:rsidRPr="00EF346C">
        <w:t>64 gadi (2012.gadā).</w:t>
      </w:r>
    </w:p>
  </w:footnote>
  <w:footnote w:id="24">
    <w:p w:rsidR="00D81AF8" w:rsidRPr="00EF346C" w:rsidRDefault="00D81AF8" w:rsidP="00793734">
      <w:pPr>
        <w:pStyle w:val="FootnoteText"/>
        <w:jc w:val="both"/>
      </w:pPr>
      <w:r w:rsidRPr="00685E75">
        <w:footnoteRef/>
      </w:r>
      <w:r w:rsidRPr="00EF346C">
        <w:t xml:space="preserve"> Tiešā fiskālā ietekme, kas attiecināma uz vecuma grupu – 0</w:t>
      </w:r>
      <w:r w:rsidRPr="00685E75">
        <w:t>–</w:t>
      </w:r>
      <w:r w:rsidRPr="00EF346C">
        <w:t>64 gadi.</w:t>
      </w:r>
    </w:p>
  </w:footnote>
  <w:footnote w:id="25">
    <w:p w:rsidR="00D81AF8" w:rsidRPr="00B40952" w:rsidRDefault="00D81AF8" w:rsidP="00EF346C">
      <w:pPr>
        <w:pStyle w:val="FootnoteText"/>
        <w:ind w:left="0" w:firstLine="0"/>
        <w:jc w:val="both"/>
      </w:pPr>
      <w:r w:rsidRPr="00685E75">
        <w:footnoteRef/>
      </w:r>
      <w:r w:rsidRPr="00EF346C">
        <w:t xml:space="preserve"> Novērtējot netiešo ietekmi uz budžetu, tiek izmantota budžeta bilances elastība 0,43 (5 gadiem) un 0,41 (10 gadi un vairāk.</w:t>
      </w:r>
    </w:p>
  </w:footnote>
  <w:footnote w:id="26">
    <w:p w:rsidR="00D81AF8" w:rsidRPr="00883A9E" w:rsidRDefault="00D81AF8" w:rsidP="00883A9E">
      <w:pPr>
        <w:pStyle w:val="FootnoteText"/>
        <w:spacing w:after="240"/>
        <w:ind w:left="0" w:firstLine="0"/>
        <w:jc w:val="both"/>
      </w:pPr>
      <w:r w:rsidRPr="00883A9E">
        <w:rPr>
          <w:rStyle w:val="FootnoteReference"/>
          <w:rFonts w:ascii="Times New Roman" w:eastAsiaTheme="majorEastAsia" w:hAnsi="Times New Roman"/>
        </w:rPr>
        <w:footnoteRef/>
      </w:r>
      <w:r w:rsidRPr="00883A9E">
        <w:t xml:space="preserve"> Budžeta bilances cikliskās komponentes aprēķinā izmantota budžeta pus</w:t>
      </w:r>
      <w:r w:rsidRPr="00B9413F">
        <w:t>–</w:t>
      </w:r>
      <w:r w:rsidRPr="00883A9E">
        <w:t>elastība (semi</w:t>
      </w:r>
      <w:r w:rsidRPr="00B9413F">
        <w:t>–</w:t>
      </w:r>
      <w:r w:rsidRPr="00883A9E">
        <w:t xml:space="preserve">elasticity) 0,38 (Datu avots: </w:t>
      </w:r>
      <w:r w:rsidRPr="00883A9E">
        <w:rPr>
          <w:lang w:val="en-GB"/>
        </w:rPr>
        <w:t>Adjusting the budget balance for the business cycle: the EU methodology</w:t>
      </w:r>
      <w:r w:rsidRPr="00883A9E">
        <w:rPr>
          <w:noProof/>
          <w:szCs w:val="24"/>
          <w:lang w:val="en-GB"/>
        </w:rPr>
        <w:t>, Economic Papers 536, November 2014).</w:t>
      </w:r>
    </w:p>
  </w:footnote>
  <w:footnote w:id="27">
    <w:p w:rsidR="00D81AF8" w:rsidRDefault="00D81AF8" w:rsidP="00C869E3">
      <w:pPr>
        <w:pStyle w:val="FootnoteText"/>
        <w:ind w:firstLine="0"/>
      </w:pPr>
      <w:r>
        <w:rPr>
          <w:rStyle w:val="FootnoteReference"/>
        </w:rPr>
        <w:footnoteRef/>
      </w:r>
      <w:r>
        <w:t xml:space="preserve"> Ņemot vērā </w:t>
      </w:r>
      <w:r w:rsidRPr="0060070B">
        <w:t>Valsts kases administrētajiem ārējiem aizņēmumiem un parāda vērtspapīriem piesaistīto atvasināto finanšu instrumentu valūtas rezultāt</w:t>
      </w:r>
      <w:r>
        <w:t>u</w:t>
      </w:r>
    </w:p>
  </w:footnote>
  <w:footnote w:id="28">
    <w:p w:rsidR="00D81AF8" w:rsidRPr="00461783" w:rsidRDefault="00D81AF8" w:rsidP="00095171">
      <w:pPr>
        <w:pStyle w:val="FootnoteText"/>
      </w:pPr>
      <w:r>
        <w:rPr>
          <w:rStyle w:val="FootnoteReference"/>
        </w:rPr>
        <w:footnoteRef/>
      </w:r>
      <w:r>
        <w:t xml:space="preserve"> Atskaitot iemaksas valsts fondēto pensiju shēmā un iemaksas 3.pensiju līmenī</w:t>
      </w:r>
    </w:p>
  </w:footnote>
  <w:footnote w:id="29">
    <w:p w:rsidR="00D81AF8" w:rsidRPr="00386491" w:rsidRDefault="00D81AF8" w:rsidP="00095171">
      <w:pPr>
        <w:pStyle w:val="FootnoteText"/>
      </w:pPr>
      <w:r>
        <w:rPr>
          <w:rStyle w:val="FootnoteReference"/>
        </w:rPr>
        <w:footnoteRef/>
      </w:r>
      <w:r>
        <w:t xml:space="preserve"> Izmaiņas pieauguma tempos salīdzinājumā ar bāzes scenāriju, procentpunktos (%)</w:t>
      </w:r>
    </w:p>
  </w:footnote>
  <w:footnote w:id="30">
    <w:p w:rsidR="00D81AF8" w:rsidRPr="00461783" w:rsidRDefault="00D81AF8" w:rsidP="00095171">
      <w:pPr>
        <w:pStyle w:val="FootnoteText"/>
      </w:pPr>
      <w:r>
        <w:rPr>
          <w:rStyle w:val="FootnoteReference"/>
        </w:rPr>
        <w:footnoteRef/>
      </w:r>
      <w:r>
        <w:t xml:space="preserve"> Atskaitot iemaksas valsts fondēto pensiju shēmā un iemaksas 3.pensiju līmenī</w:t>
      </w:r>
    </w:p>
  </w:footnote>
  <w:footnote w:id="31">
    <w:p w:rsidR="00D81AF8" w:rsidRPr="00386491" w:rsidRDefault="00D81AF8" w:rsidP="00095171">
      <w:pPr>
        <w:pStyle w:val="FootnoteText"/>
      </w:pPr>
      <w:r>
        <w:rPr>
          <w:rStyle w:val="FootnoteReference"/>
        </w:rPr>
        <w:footnoteRef/>
      </w:r>
      <w:r>
        <w:t xml:space="preserve"> Izmaiņas pieauguma tempos salīdzinājumā ar bāzes scenāriju, procentpunktos (%)</w:t>
      </w:r>
    </w:p>
  </w:footnote>
  <w:footnote w:id="32">
    <w:p w:rsidR="00D81AF8" w:rsidRPr="00492A61" w:rsidRDefault="00D81AF8" w:rsidP="00747DC7">
      <w:pPr>
        <w:pStyle w:val="FootnoteText"/>
        <w:rPr>
          <w:color w:val="000000" w:themeColor="text1"/>
        </w:rPr>
      </w:pPr>
      <w:r w:rsidRPr="00492A61">
        <w:rPr>
          <w:rStyle w:val="FootnoteReference"/>
          <w:rFonts w:ascii="Times New Roman" w:hAnsi="Times New Roman"/>
          <w:color w:val="000000" w:themeColor="text1"/>
        </w:rPr>
        <w:footnoteRef/>
      </w:r>
      <w:r w:rsidRPr="00492A61">
        <w:rPr>
          <w:color w:val="000000" w:themeColor="text1"/>
        </w:rPr>
        <w:t xml:space="preserve"> Šeit un turpmākajās nodokļu politikas izmaiņu ietekmes tabulās atspoguļota ieviešanas gada ietekme</w:t>
      </w:r>
    </w:p>
  </w:footnote>
  <w:footnote w:id="33">
    <w:p w:rsidR="00D81AF8" w:rsidRPr="00492A61" w:rsidRDefault="00D81AF8" w:rsidP="00747DC7">
      <w:pPr>
        <w:pStyle w:val="FootnoteText"/>
        <w:rPr>
          <w:color w:val="000000" w:themeColor="text1"/>
        </w:rPr>
      </w:pPr>
      <w:r w:rsidRPr="00492A61">
        <w:rPr>
          <w:rStyle w:val="FootnoteReference"/>
          <w:rFonts w:ascii="Times New Roman" w:hAnsi="Times New Roman"/>
          <w:color w:val="000000" w:themeColor="text1"/>
        </w:rPr>
        <w:footnoteRef/>
      </w:r>
      <w:r w:rsidRPr="00492A61">
        <w:rPr>
          <w:color w:val="000000" w:themeColor="text1"/>
        </w:rPr>
        <w:t xml:space="preserve"> Neskaitot iemaksas valsts fondēto pensiju shēmā</w:t>
      </w:r>
      <w:r>
        <w:rPr>
          <w:color w:val="000000" w:themeColor="text1"/>
        </w:rPr>
        <w:t xml:space="preserve"> un maksājumu </w:t>
      </w:r>
      <w:r w:rsidRPr="004A729B">
        <w:rPr>
          <w:color w:val="000000" w:themeColor="text1"/>
        </w:rPr>
        <w:t>pamatbudžetā veselības aprūpes finansēšanai</w:t>
      </w:r>
      <w:r w:rsidRPr="00492A61">
        <w:rPr>
          <w:color w:val="000000" w:themeColor="text1"/>
        </w:rPr>
        <w:t>.</w:t>
      </w:r>
    </w:p>
  </w:footnote>
  <w:footnote w:id="34">
    <w:p w:rsidR="00D81AF8" w:rsidRPr="00492A61" w:rsidRDefault="00D81AF8" w:rsidP="00747DC7">
      <w:pPr>
        <w:pStyle w:val="FootnoteText"/>
        <w:rPr>
          <w:color w:val="000000" w:themeColor="text1"/>
        </w:rPr>
      </w:pPr>
      <w:r w:rsidRPr="00492A61">
        <w:rPr>
          <w:rStyle w:val="FootnoteReference"/>
          <w:rFonts w:ascii="Times New Roman" w:hAnsi="Times New Roman"/>
          <w:color w:val="000000" w:themeColor="text1"/>
        </w:rPr>
        <w:footnoteRef/>
      </w:r>
      <w:r w:rsidRPr="00492A61">
        <w:rPr>
          <w:color w:val="000000" w:themeColor="text1"/>
        </w:rPr>
        <w:t xml:space="preserve"> Neskaitot iemaksas valsts fondēto pensiju shēmā</w:t>
      </w:r>
      <w:r w:rsidRPr="004A729B">
        <w:rPr>
          <w:color w:val="000000" w:themeColor="text1"/>
        </w:rPr>
        <w:t xml:space="preserve"> </w:t>
      </w:r>
      <w:r>
        <w:rPr>
          <w:color w:val="000000" w:themeColor="text1"/>
        </w:rPr>
        <w:t xml:space="preserve">un maksājumu </w:t>
      </w:r>
      <w:r w:rsidRPr="004A729B">
        <w:rPr>
          <w:color w:val="000000" w:themeColor="text1"/>
        </w:rPr>
        <w:t>pamatbudžetā veselības aprūpes finansēšanai</w:t>
      </w:r>
      <w:r w:rsidRPr="00492A61">
        <w:rPr>
          <w:color w:val="000000" w:themeColor="text1"/>
        </w:rPr>
        <w:t>.</w:t>
      </w:r>
    </w:p>
  </w:footnote>
  <w:footnote w:id="35">
    <w:p w:rsidR="00D81AF8" w:rsidRPr="0042488E" w:rsidRDefault="00D81AF8" w:rsidP="0042488E">
      <w:pPr>
        <w:pStyle w:val="FootnoteText"/>
        <w:ind w:left="0" w:firstLine="0"/>
      </w:pPr>
      <w:r>
        <w:rPr>
          <w:rStyle w:val="FootnoteReference"/>
        </w:rPr>
        <w:footnoteRef/>
      </w:r>
      <w:r>
        <w:t xml:space="preserve"> Darba tirgus, ko raksturo īstermiņa darba līgumu un pašnodarbināto īpatsvara dominance pār beztermiņa darba līgumiem.</w:t>
      </w:r>
    </w:p>
  </w:footnote>
  <w:footnote w:id="36">
    <w:p w:rsidR="00D81AF8" w:rsidRPr="00736241" w:rsidRDefault="00D81AF8">
      <w:pPr>
        <w:pStyle w:val="FootnoteText"/>
      </w:pPr>
      <w:r>
        <w:rPr>
          <w:rStyle w:val="FootnoteReference"/>
        </w:rPr>
        <w:footnoteRef/>
      </w:r>
      <w:r>
        <w:t xml:space="preserve"> </w:t>
      </w:r>
      <w:r w:rsidRPr="00736241">
        <w:t>Dati publicēti līdz 28.02.2018</w:t>
      </w:r>
      <w:r>
        <w:t>.</w:t>
      </w:r>
    </w:p>
  </w:footnote>
  <w:footnote w:id="37">
    <w:p w:rsidR="00D81AF8" w:rsidRPr="00492A61" w:rsidRDefault="00D81AF8" w:rsidP="00766D30">
      <w:pPr>
        <w:spacing w:after="0" w:line="240" w:lineRule="auto"/>
        <w:jc w:val="both"/>
        <w:rPr>
          <w:rFonts w:ascii="Times New Roman" w:hAnsi="Times New Roman" w:cs="Times New Roman"/>
          <w:color w:val="000000" w:themeColor="text1"/>
          <w:sz w:val="20"/>
          <w:szCs w:val="20"/>
          <w:lang w:val="en-GB"/>
        </w:rPr>
      </w:pPr>
      <w:r w:rsidRPr="002525FA">
        <w:rPr>
          <w:rStyle w:val="FootnoteReference"/>
          <w:rFonts w:ascii="Times New Roman" w:hAnsi="Times New Roman" w:cs="Times New Roman"/>
          <w:color w:val="000000" w:themeColor="text1"/>
          <w:szCs w:val="20"/>
          <w:lang w:val="en-GB"/>
        </w:rPr>
        <w:footnoteRef/>
      </w:r>
      <w:r w:rsidRPr="002525FA">
        <w:rPr>
          <w:rFonts w:ascii="Times New Roman" w:hAnsi="Times New Roman" w:cs="Times New Roman"/>
          <w:color w:val="000000" w:themeColor="text1"/>
          <w:sz w:val="20"/>
          <w:szCs w:val="20"/>
          <w:lang w:val="en-GB"/>
        </w:rPr>
        <w:t xml:space="preserve"> </w:t>
      </w:r>
      <w:r w:rsidRPr="002525FA">
        <w:rPr>
          <w:rFonts w:ascii="Times New Roman" w:eastAsia="Times New Roman" w:hAnsi="Times New Roman" w:cs="Times New Roman"/>
          <w:color w:val="000000" w:themeColor="text1"/>
          <w:sz w:val="20"/>
          <w:szCs w:val="20"/>
          <w:lang w:eastAsia="lv-LV"/>
        </w:rPr>
        <w:t>Datu avots: AWG, The 2015 Ageing Report: Underlying Assumptions and Projection Methodologies, 2014; The 2015 Ageing Report: Economic and budgetary</w:t>
      </w:r>
      <w:r>
        <w:rPr>
          <w:rFonts w:ascii="Times New Roman" w:eastAsia="Times New Roman" w:hAnsi="Times New Roman" w:cs="Times New Roman"/>
          <w:color w:val="000000" w:themeColor="text1"/>
          <w:sz w:val="20"/>
          <w:szCs w:val="20"/>
          <w:lang w:eastAsia="lv-LV"/>
        </w:rPr>
        <w:t xml:space="preserve"> </w:t>
      </w:r>
      <w:r w:rsidRPr="002525FA">
        <w:rPr>
          <w:rFonts w:ascii="Times New Roman" w:eastAsia="Times New Roman" w:hAnsi="Times New Roman" w:cs="Times New Roman"/>
          <w:color w:val="000000" w:themeColor="text1"/>
          <w:sz w:val="20"/>
          <w:szCs w:val="20"/>
          <w:lang w:eastAsia="lv-LV"/>
        </w:rPr>
        <w:t>projections for the 28 EU Member States (2013-2060)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7AC"/>
    <w:multiLevelType w:val="hybridMultilevel"/>
    <w:tmpl w:val="8A9AC17A"/>
    <w:lvl w:ilvl="0" w:tplc="04260001">
      <w:start w:val="1"/>
      <w:numFmt w:val="bullet"/>
      <w:lvlText w:val=""/>
      <w:lvlJc w:val="left"/>
      <w:pPr>
        <w:ind w:left="2289" w:hanging="360"/>
      </w:pPr>
      <w:rPr>
        <w:rFonts w:ascii="Symbol" w:hAnsi="Symbol" w:hint="default"/>
      </w:rPr>
    </w:lvl>
    <w:lvl w:ilvl="1" w:tplc="04260003">
      <w:start w:val="1"/>
      <w:numFmt w:val="bullet"/>
      <w:lvlText w:val="o"/>
      <w:lvlJc w:val="left"/>
      <w:pPr>
        <w:ind w:left="3009" w:hanging="360"/>
      </w:pPr>
      <w:rPr>
        <w:rFonts w:ascii="Courier New" w:hAnsi="Courier New" w:cs="Courier New" w:hint="default"/>
      </w:rPr>
    </w:lvl>
    <w:lvl w:ilvl="2" w:tplc="04260005" w:tentative="1">
      <w:start w:val="1"/>
      <w:numFmt w:val="bullet"/>
      <w:lvlText w:val=""/>
      <w:lvlJc w:val="left"/>
      <w:pPr>
        <w:ind w:left="3729" w:hanging="360"/>
      </w:pPr>
      <w:rPr>
        <w:rFonts w:ascii="Wingdings" w:hAnsi="Wingdings" w:hint="default"/>
      </w:rPr>
    </w:lvl>
    <w:lvl w:ilvl="3" w:tplc="04260001" w:tentative="1">
      <w:start w:val="1"/>
      <w:numFmt w:val="bullet"/>
      <w:lvlText w:val=""/>
      <w:lvlJc w:val="left"/>
      <w:pPr>
        <w:ind w:left="4449" w:hanging="360"/>
      </w:pPr>
      <w:rPr>
        <w:rFonts w:ascii="Symbol" w:hAnsi="Symbol" w:hint="default"/>
      </w:rPr>
    </w:lvl>
    <w:lvl w:ilvl="4" w:tplc="04260003" w:tentative="1">
      <w:start w:val="1"/>
      <w:numFmt w:val="bullet"/>
      <w:lvlText w:val="o"/>
      <w:lvlJc w:val="left"/>
      <w:pPr>
        <w:ind w:left="5169" w:hanging="360"/>
      </w:pPr>
      <w:rPr>
        <w:rFonts w:ascii="Courier New" w:hAnsi="Courier New" w:cs="Courier New" w:hint="default"/>
      </w:rPr>
    </w:lvl>
    <w:lvl w:ilvl="5" w:tplc="04260005" w:tentative="1">
      <w:start w:val="1"/>
      <w:numFmt w:val="bullet"/>
      <w:lvlText w:val=""/>
      <w:lvlJc w:val="left"/>
      <w:pPr>
        <w:ind w:left="5889" w:hanging="360"/>
      </w:pPr>
      <w:rPr>
        <w:rFonts w:ascii="Wingdings" w:hAnsi="Wingdings" w:hint="default"/>
      </w:rPr>
    </w:lvl>
    <w:lvl w:ilvl="6" w:tplc="04260001" w:tentative="1">
      <w:start w:val="1"/>
      <w:numFmt w:val="bullet"/>
      <w:lvlText w:val=""/>
      <w:lvlJc w:val="left"/>
      <w:pPr>
        <w:ind w:left="6609" w:hanging="360"/>
      </w:pPr>
      <w:rPr>
        <w:rFonts w:ascii="Symbol" w:hAnsi="Symbol" w:hint="default"/>
      </w:rPr>
    </w:lvl>
    <w:lvl w:ilvl="7" w:tplc="04260003" w:tentative="1">
      <w:start w:val="1"/>
      <w:numFmt w:val="bullet"/>
      <w:lvlText w:val="o"/>
      <w:lvlJc w:val="left"/>
      <w:pPr>
        <w:ind w:left="7329" w:hanging="360"/>
      </w:pPr>
      <w:rPr>
        <w:rFonts w:ascii="Courier New" w:hAnsi="Courier New" w:cs="Courier New" w:hint="default"/>
      </w:rPr>
    </w:lvl>
    <w:lvl w:ilvl="8" w:tplc="04260005" w:tentative="1">
      <w:start w:val="1"/>
      <w:numFmt w:val="bullet"/>
      <w:lvlText w:val=""/>
      <w:lvlJc w:val="left"/>
      <w:pPr>
        <w:ind w:left="8049" w:hanging="360"/>
      </w:pPr>
      <w:rPr>
        <w:rFonts w:ascii="Wingdings" w:hAnsi="Wingdings" w:hint="default"/>
      </w:rPr>
    </w:lvl>
  </w:abstractNum>
  <w:abstractNum w:abstractNumId="1" w15:restartNumberingAfterBreak="0">
    <w:nsid w:val="04835821"/>
    <w:multiLevelType w:val="hybridMultilevel"/>
    <w:tmpl w:val="769481F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64F3879"/>
    <w:multiLevelType w:val="hybridMultilevel"/>
    <w:tmpl w:val="98488F72"/>
    <w:lvl w:ilvl="0" w:tplc="04260001">
      <w:start w:val="1"/>
      <w:numFmt w:val="bullet"/>
      <w:lvlText w:val=""/>
      <w:lvlJc w:val="left"/>
      <w:pPr>
        <w:ind w:left="363" w:hanging="360"/>
      </w:pPr>
      <w:rPr>
        <w:rFonts w:ascii="Symbol" w:hAnsi="Symbol" w:hint="default"/>
      </w:rPr>
    </w:lvl>
    <w:lvl w:ilvl="1" w:tplc="04260003" w:tentative="1">
      <w:start w:val="1"/>
      <w:numFmt w:val="bullet"/>
      <w:lvlText w:val="o"/>
      <w:lvlJc w:val="left"/>
      <w:pPr>
        <w:ind w:left="1083" w:hanging="360"/>
      </w:pPr>
      <w:rPr>
        <w:rFonts w:ascii="Courier New" w:hAnsi="Courier New" w:cs="Courier New" w:hint="default"/>
      </w:rPr>
    </w:lvl>
    <w:lvl w:ilvl="2" w:tplc="04260005" w:tentative="1">
      <w:start w:val="1"/>
      <w:numFmt w:val="bullet"/>
      <w:lvlText w:val=""/>
      <w:lvlJc w:val="left"/>
      <w:pPr>
        <w:ind w:left="1803" w:hanging="360"/>
      </w:pPr>
      <w:rPr>
        <w:rFonts w:ascii="Wingdings" w:hAnsi="Wingdings" w:hint="default"/>
      </w:rPr>
    </w:lvl>
    <w:lvl w:ilvl="3" w:tplc="04260001" w:tentative="1">
      <w:start w:val="1"/>
      <w:numFmt w:val="bullet"/>
      <w:lvlText w:val=""/>
      <w:lvlJc w:val="left"/>
      <w:pPr>
        <w:ind w:left="2523" w:hanging="360"/>
      </w:pPr>
      <w:rPr>
        <w:rFonts w:ascii="Symbol" w:hAnsi="Symbol" w:hint="default"/>
      </w:rPr>
    </w:lvl>
    <w:lvl w:ilvl="4" w:tplc="04260003" w:tentative="1">
      <w:start w:val="1"/>
      <w:numFmt w:val="bullet"/>
      <w:lvlText w:val="o"/>
      <w:lvlJc w:val="left"/>
      <w:pPr>
        <w:ind w:left="3243" w:hanging="360"/>
      </w:pPr>
      <w:rPr>
        <w:rFonts w:ascii="Courier New" w:hAnsi="Courier New" w:cs="Courier New" w:hint="default"/>
      </w:rPr>
    </w:lvl>
    <w:lvl w:ilvl="5" w:tplc="04260005" w:tentative="1">
      <w:start w:val="1"/>
      <w:numFmt w:val="bullet"/>
      <w:lvlText w:val=""/>
      <w:lvlJc w:val="left"/>
      <w:pPr>
        <w:ind w:left="3963" w:hanging="360"/>
      </w:pPr>
      <w:rPr>
        <w:rFonts w:ascii="Wingdings" w:hAnsi="Wingdings" w:hint="default"/>
      </w:rPr>
    </w:lvl>
    <w:lvl w:ilvl="6" w:tplc="04260001" w:tentative="1">
      <w:start w:val="1"/>
      <w:numFmt w:val="bullet"/>
      <w:lvlText w:val=""/>
      <w:lvlJc w:val="left"/>
      <w:pPr>
        <w:ind w:left="4683" w:hanging="360"/>
      </w:pPr>
      <w:rPr>
        <w:rFonts w:ascii="Symbol" w:hAnsi="Symbol" w:hint="default"/>
      </w:rPr>
    </w:lvl>
    <w:lvl w:ilvl="7" w:tplc="04260003" w:tentative="1">
      <w:start w:val="1"/>
      <w:numFmt w:val="bullet"/>
      <w:lvlText w:val="o"/>
      <w:lvlJc w:val="left"/>
      <w:pPr>
        <w:ind w:left="5403" w:hanging="360"/>
      </w:pPr>
      <w:rPr>
        <w:rFonts w:ascii="Courier New" w:hAnsi="Courier New" w:cs="Courier New" w:hint="default"/>
      </w:rPr>
    </w:lvl>
    <w:lvl w:ilvl="8" w:tplc="04260005" w:tentative="1">
      <w:start w:val="1"/>
      <w:numFmt w:val="bullet"/>
      <w:lvlText w:val=""/>
      <w:lvlJc w:val="left"/>
      <w:pPr>
        <w:ind w:left="6123" w:hanging="360"/>
      </w:pPr>
      <w:rPr>
        <w:rFonts w:ascii="Wingdings" w:hAnsi="Wingdings" w:hint="default"/>
      </w:rPr>
    </w:lvl>
  </w:abstractNum>
  <w:abstractNum w:abstractNumId="3" w15:restartNumberingAfterBreak="0">
    <w:nsid w:val="0A214073"/>
    <w:multiLevelType w:val="hybridMultilevel"/>
    <w:tmpl w:val="C0DC39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A225EFC"/>
    <w:multiLevelType w:val="hybridMultilevel"/>
    <w:tmpl w:val="8C341A4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0B305630"/>
    <w:multiLevelType w:val="hybridMultilevel"/>
    <w:tmpl w:val="586A5AFE"/>
    <w:lvl w:ilvl="0" w:tplc="35E61B94">
      <w:start w:val="1"/>
      <w:numFmt w:val="bullet"/>
      <w:lvlText w:val=""/>
      <w:lvlJc w:val="left"/>
      <w:pPr>
        <w:ind w:left="72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16D4125"/>
    <w:multiLevelType w:val="hybridMultilevel"/>
    <w:tmpl w:val="7D520EDE"/>
    <w:lvl w:ilvl="0" w:tplc="B694E9AE">
      <w:start w:val="1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105CA9"/>
    <w:multiLevelType w:val="hybridMultilevel"/>
    <w:tmpl w:val="D89EE4A2"/>
    <w:lvl w:ilvl="0" w:tplc="BD841C0E">
      <w:start w:val="1"/>
      <w:numFmt w:val="decimal"/>
      <w:pStyle w:val="ParagraphNumbering"/>
      <w:lvlText w:val="%1.     "/>
      <w:lvlJc w:val="left"/>
      <w:pPr>
        <w:tabs>
          <w:tab w:val="num" w:pos="720"/>
        </w:tabs>
        <w:ind w:left="0" w:firstLine="0"/>
      </w:pPr>
      <w:rPr>
        <w:rFonts w:hint="default"/>
        <w:b/>
        <w: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82775B"/>
    <w:multiLevelType w:val="multilevel"/>
    <w:tmpl w:val="61E4D4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7CE7097"/>
    <w:multiLevelType w:val="hybridMultilevel"/>
    <w:tmpl w:val="D2B86E3E"/>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0" w15:restartNumberingAfterBreak="0">
    <w:nsid w:val="17F25368"/>
    <w:multiLevelType w:val="hybridMultilevel"/>
    <w:tmpl w:val="251CFC1E"/>
    <w:lvl w:ilvl="0" w:tplc="D02820F2">
      <w:start w:val="1"/>
      <w:numFmt w:val="decimal"/>
      <w:lvlText w:val="%1)"/>
      <w:lvlJc w:val="left"/>
      <w:pPr>
        <w:ind w:left="1800" w:hanging="360"/>
      </w:pPr>
      <w:rPr>
        <w:rFonts w:ascii="Times New Roman" w:hAnsi="Times New Roman" w:cs="Times New Roman" w:hint="default"/>
        <w:sz w:val="24"/>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1" w15:restartNumberingAfterBreak="0">
    <w:nsid w:val="18E30368"/>
    <w:multiLevelType w:val="hybridMultilevel"/>
    <w:tmpl w:val="3CD8BCF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A9E467D"/>
    <w:multiLevelType w:val="hybridMultilevel"/>
    <w:tmpl w:val="758E2392"/>
    <w:lvl w:ilvl="0" w:tplc="9B4C19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C080CE6"/>
    <w:multiLevelType w:val="hybridMultilevel"/>
    <w:tmpl w:val="EA38E6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CE3652A"/>
    <w:multiLevelType w:val="multilevel"/>
    <w:tmpl w:val="B3DCB02A"/>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5" w15:restartNumberingAfterBreak="0">
    <w:nsid w:val="202F6EBD"/>
    <w:multiLevelType w:val="hybridMultilevel"/>
    <w:tmpl w:val="2C0C0BF6"/>
    <w:lvl w:ilvl="0" w:tplc="04260001">
      <w:start w:val="1"/>
      <w:numFmt w:val="bullet"/>
      <w:lvlText w:val=""/>
      <w:lvlJc w:val="left"/>
      <w:pPr>
        <w:ind w:left="1495"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25654417"/>
    <w:multiLevelType w:val="hybridMultilevel"/>
    <w:tmpl w:val="482AEDAE"/>
    <w:lvl w:ilvl="0" w:tplc="126C1576">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311B02A4"/>
    <w:multiLevelType w:val="hybridMultilevel"/>
    <w:tmpl w:val="EC704792"/>
    <w:lvl w:ilvl="0" w:tplc="04260001">
      <w:start w:val="1"/>
      <w:numFmt w:val="bullet"/>
      <w:lvlText w:val=""/>
      <w:lvlJc w:val="left"/>
      <w:pPr>
        <w:ind w:left="2520" w:hanging="360"/>
      </w:pPr>
      <w:rPr>
        <w:rFonts w:ascii="Symbol" w:hAnsi="Symbol"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18" w15:restartNumberingAfterBreak="0">
    <w:nsid w:val="36261EC1"/>
    <w:multiLevelType w:val="hybridMultilevel"/>
    <w:tmpl w:val="2BC820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1A87B02"/>
    <w:multiLevelType w:val="hybridMultilevel"/>
    <w:tmpl w:val="1EE20C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2F45CC4"/>
    <w:multiLevelType w:val="hybridMultilevel"/>
    <w:tmpl w:val="2C8AF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B3567C6"/>
    <w:multiLevelType w:val="hybridMultilevel"/>
    <w:tmpl w:val="B2C2687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CF93443"/>
    <w:multiLevelType w:val="multilevel"/>
    <w:tmpl w:val="34F283AC"/>
    <w:lvl w:ilvl="0">
      <w:start w:val="4"/>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3" w15:restartNumberingAfterBreak="0">
    <w:nsid w:val="4D823B26"/>
    <w:multiLevelType w:val="hybridMultilevel"/>
    <w:tmpl w:val="AE928E5E"/>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24" w15:restartNumberingAfterBreak="0">
    <w:nsid w:val="4DC66F6D"/>
    <w:multiLevelType w:val="hybridMultilevel"/>
    <w:tmpl w:val="DE5286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1974980"/>
    <w:multiLevelType w:val="hybridMultilevel"/>
    <w:tmpl w:val="768AFFEC"/>
    <w:lvl w:ilvl="0" w:tplc="84842E00">
      <w:start w:val="1"/>
      <w:numFmt w:val="bullet"/>
      <w:lvlText w:val=""/>
      <w:lvlJc w:val="left"/>
      <w:pPr>
        <w:ind w:left="1080" w:hanging="360"/>
      </w:pPr>
      <w:rPr>
        <w:rFonts w:ascii="Symbol" w:hAnsi="Symbol" w:hint="default"/>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56025B98"/>
    <w:multiLevelType w:val="hybridMultilevel"/>
    <w:tmpl w:val="41060226"/>
    <w:lvl w:ilvl="0" w:tplc="04260005">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591011F8"/>
    <w:multiLevelType w:val="hybridMultilevel"/>
    <w:tmpl w:val="758E2392"/>
    <w:lvl w:ilvl="0" w:tplc="9B4C19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D8B5B57"/>
    <w:multiLevelType w:val="hybridMultilevel"/>
    <w:tmpl w:val="A9A6DF88"/>
    <w:lvl w:ilvl="0" w:tplc="04260005">
      <w:start w:val="1"/>
      <w:numFmt w:val="bullet"/>
      <w:lvlText w:val=""/>
      <w:lvlJc w:val="left"/>
      <w:pPr>
        <w:ind w:left="1080" w:hanging="360"/>
      </w:pPr>
      <w:rPr>
        <w:rFonts w:ascii="Wingdings" w:hAnsi="Wingdings" w:hint="default"/>
      </w:rPr>
    </w:lvl>
    <w:lvl w:ilvl="1" w:tplc="DCE832EE">
      <w:numFmt w:val="bullet"/>
      <w:lvlText w:val="•"/>
      <w:lvlJc w:val="left"/>
      <w:pPr>
        <w:ind w:left="2160" w:hanging="720"/>
      </w:pPr>
      <w:rPr>
        <w:rFonts w:ascii="Times New Roman" w:eastAsia="Calibri" w:hAnsi="Times New Roman" w:cs="Times New Roman"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63B55768"/>
    <w:multiLevelType w:val="hybridMultilevel"/>
    <w:tmpl w:val="CE182AE6"/>
    <w:lvl w:ilvl="0" w:tplc="C47C3E98">
      <w:start w:val="1"/>
      <w:numFmt w:val="decimal"/>
      <w:lvlText w:val="%1."/>
      <w:lvlJc w:val="left"/>
      <w:pPr>
        <w:ind w:left="1129" w:hanging="360"/>
      </w:pPr>
      <w:rPr>
        <w:rFonts w:hint="default"/>
        <w:color w:val="000000"/>
      </w:rPr>
    </w:lvl>
    <w:lvl w:ilvl="1" w:tplc="04260019" w:tentative="1">
      <w:start w:val="1"/>
      <w:numFmt w:val="lowerLetter"/>
      <w:lvlText w:val="%2."/>
      <w:lvlJc w:val="left"/>
      <w:pPr>
        <w:ind w:left="1849" w:hanging="360"/>
      </w:pPr>
    </w:lvl>
    <w:lvl w:ilvl="2" w:tplc="0426001B" w:tentative="1">
      <w:start w:val="1"/>
      <w:numFmt w:val="lowerRoman"/>
      <w:lvlText w:val="%3."/>
      <w:lvlJc w:val="right"/>
      <w:pPr>
        <w:ind w:left="2569" w:hanging="180"/>
      </w:pPr>
    </w:lvl>
    <w:lvl w:ilvl="3" w:tplc="0426000F" w:tentative="1">
      <w:start w:val="1"/>
      <w:numFmt w:val="decimal"/>
      <w:lvlText w:val="%4."/>
      <w:lvlJc w:val="left"/>
      <w:pPr>
        <w:ind w:left="3289" w:hanging="360"/>
      </w:pPr>
    </w:lvl>
    <w:lvl w:ilvl="4" w:tplc="04260019" w:tentative="1">
      <w:start w:val="1"/>
      <w:numFmt w:val="lowerLetter"/>
      <w:lvlText w:val="%5."/>
      <w:lvlJc w:val="left"/>
      <w:pPr>
        <w:ind w:left="4009" w:hanging="360"/>
      </w:pPr>
    </w:lvl>
    <w:lvl w:ilvl="5" w:tplc="0426001B" w:tentative="1">
      <w:start w:val="1"/>
      <w:numFmt w:val="lowerRoman"/>
      <w:lvlText w:val="%6."/>
      <w:lvlJc w:val="right"/>
      <w:pPr>
        <w:ind w:left="4729" w:hanging="180"/>
      </w:pPr>
    </w:lvl>
    <w:lvl w:ilvl="6" w:tplc="0426000F" w:tentative="1">
      <w:start w:val="1"/>
      <w:numFmt w:val="decimal"/>
      <w:lvlText w:val="%7."/>
      <w:lvlJc w:val="left"/>
      <w:pPr>
        <w:ind w:left="5449" w:hanging="360"/>
      </w:pPr>
    </w:lvl>
    <w:lvl w:ilvl="7" w:tplc="04260019" w:tentative="1">
      <w:start w:val="1"/>
      <w:numFmt w:val="lowerLetter"/>
      <w:lvlText w:val="%8."/>
      <w:lvlJc w:val="left"/>
      <w:pPr>
        <w:ind w:left="6169" w:hanging="360"/>
      </w:pPr>
    </w:lvl>
    <w:lvl w:ilvl="8" w:tplc="0426001B" w:tentative="1">
      <w:start w:val="1"/>
      <w:numFmt w:val="lowerRoman"/>
      <w:lvlText w:val="%9."/>
      <w:lvlJc w:val="right"/>
      <w:pPr>
        <w:ind w:left="6889" w:hanging="180"/>
      </w:pPr>
    </w:lvl>
  </w:abstractNum>
  <w:abstractNum w:abstractNumId="30" w15:restartNumberingAfterBreak="0">
    <w:nsid w:val="66383BBB"/>
    <w:multiLevelType w:val="hybridMultilevel"/>
    <w:tmpl w:val="8C52C8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CEC725C"/>
    <w:multiLevelType w:val="hybridMultilevel"/>
    <w:tmpl w:val="E7646FD6"/>
    <w:lvl w:ilvl="0" w:tplc="04260001">
      <w:start w:val="1"/>
      <w:numFmt w:val="bullet"/>
      <w:lvlText w:val=""/>
      <w:lvlJc w:val="left"/>
      <w:pPr>
        <w:ind w:left="1080" w:hanging="360"/>
      </w:pPr>
      <w:rPr>
        <w:rFonts w:ascii="Symbol" w:hAnsi="Symbol" w:hint="default"/>
      </w:rPr>
    </w:lvl>
    <w:lvl w:ilvl="1" w:tplc="DCE832EE">
      <w:numFmt w:val="bullet"/>
      <w:lvlText w:val="•"/>
      <w:lvlJc w:val="left"/>
      <w:pPr>
        <w:ind w:left="2160" w:hanging="720"/>
      </w:pPr>
      <w:rPr>
        <w:rFonts w:ascii="Times New Roman" w:eastAsia="Calibri" w:hAnsi="Times New Roman" w:cs="Times New Roman"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76141E9A"/>
    <w:multiLevelType w:val="hybridMultilevel"/>
    <w:tmpl w:val="90DA61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791595E"/>
    <w:multiLevelType w:val="hybridMultilevel"/>
    <w:tmpl w:val="B96268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ACC2972"/>
    <w:multiLevelType w:val="hybridMultilevel"/>
    <w:tmpl w:val="8BB05AF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7B511985"/>
    <w:multiLevelType w:val="multilevel"/>
    <w:tmpl w:val="FCFC10EC"/>
    <w:lvl w:ilvl="0">
      <w:start w:val="1"/>
      <w:numFmt w:val="decimal"/>
      <w:lvlText w:val="%1."/>
      <w:lvlJc w:val="left"/>
      <w:pPr>
        <w:ind w:left="9432" w:hanging="360"/>
      </w:pPr>
      <w:rPr>
        <w:rFonts w:hint="default"/>
        <w:sz w:val="32"/>
      </w:rPr>
    </w:lvl>
    <w:lvl w:ilvl="1">
      <w:start w:val="1"/>
      <w:numFmt w:val="decimal"/>
      <w:isLgl/>
      <w:lvlText w:val="%1.%2."/>
      <w:lvlJc w:val="left"/>
      <w:pPr>
        <w:ind w:left="1296" w:hanging="720"/>
      </w:pPr>
      <w:rPr>
        <w:rFonts w:ascii="Times New Roman" w:hAnsi="Times New Roman" w:cs="Times New Roman" w:hint="default"/>
        <w:sz w:val="24"/>
      </w:rPr>
    </w:lvl>
    <w:lvl w:ilvl="2">
      <w:start w:val="1"/>
      <w:numFmt w:val="decimal"/>
      <w:isLgl/>
      <w:lvlText w:val="%1.%2.%3."/>
      <w:lvlJc w:val="left"/>
      <w:pPr>
        <w:ind w:left="4264" w:hanging="720"/>
      </w:pPr>
      <w:rPr>
        <w:rFonts w:hint="default"/>
        <w:b/>
      </w:rPr>
    </w:lvl>
    <w:lvl w:ilvl="3">
      <w:start w:val="1"/>
      <w:numFmt w:val="decimal"/>
      <w:isLgl/>
      <w:lvlText w:val="%1.%2.%3.%4."/>
      <w:lvlJc w:val="left"/>
      <w:pPr>
        <w:ind w:left="2088" w:hanging="1080"/>
      </w:pPr>
      <w:rPr>
        <w:rFonts w:hint="default"/>
        <w:b/>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36" w15:restartNumberingAfterBreak="0">
    <w:nsid w:val="7BB05D1E"/>
    <w:multiLevelType w:val="hybridMultilevel"/>
    <w:tmpl w:val="921000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DEB6A0E"/>
    <w:multiLevelType w:val="hybridMultilevel"/>
    <w:tmpl w:val="926EECD4"/>
    <w:lvl w:ilvl="0" w:tplc="35E61B94">
      <w:start w:val="1"/>
      <w:numFmt w:val="bullet"/>
      <w:lvlText w:val=""/>
      <w:lvlJc w:val="left"/>
      <w:pPr>
        <w:ind w:left="360" w:hanging="360"/>
      </w:pPr>
      <w:rPr>
        <w:rFonts w:ascii="Symbol" w:hAnsi="Symbo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5"/>
  </w:num>
  <w:num w:numId="2">
    <w:abstractNumId w:val="8"/>
  </w:num>
  <w:num w:numId="3">
    <w:abstractNumId w:val="7"/>
  </w:num>
  <w:num w:numId="4">
    <w:abstractNumId w:val="19"/>
  </w:num>
  <w:num w:numId="5">
    <w:abstractNumId w:val="0"/>
  </w:num>
  <w:num w:numId="6">
    <w:abstractNumId w:val="1"/>
  </w:num>
  <w:num w:numId="7">
    <w:abstractNumId w:val="20"/>
  </w:num>
  <w:num w:numId="8">
    <w:abstractNumId w:val="25"/>
  </w:num>
  <w:num w:numId="9">
    <w:abstractNumId w:val="11"/>
  </w:num>
  <w:num w:numId="10">
    <w:abstractNumId w:val="37"/>
  </w:num>
  <w:num w:numId="11">
    <w:abstractNumId w:val="33"/>
  </w:num>
  <w:num w:numId="12">
    <w:abstractNumId w:val="5"/>
  </w:num>
  <w:num w:numId="13">
    <w:abstractNumId w:val="34"/>
  </w:num>
  <w:num w:numId="14">
    <w:abstractNumId w:val="2"/>
  </w:num>
  <w:num w:numId="15">
    <w:abstractNumId w:val="36"/>
  </w:num>
  <w:num w:numId="16">
    <w:abstractNumId w:val="18"/>
  </w:num>
  <w:num w:numId="17">
    <w:abstractNumId w:val="24"/>
  </w:num>
  <w:num w:numId="18">
    <w:abstractNumId w:val="30"/>
  </w:num>
  <w:num w:numId="19">
    <w:abstractNumId w:val="3"/>
  </w:num>
  <w:num w:numId="20">
    <w:abstractNumId w:val="14"/>
  </w:num>
  <w:num w:numId="21">
    <w:abstractNumId w:val="16"/>
  </w:num>
  <w:num w:numId="22">
    <w:abstractNumId w:val="22"/>
  </w:num>
  <w:num w:numId="23">
    <w:abstractNumId w:val="10"/>
  </w:num>
  <w:num w:numId="24">
    <w:abstractNumId w:val="23"/>
  </w:num>
  <w:num w:numId="25">
    <w:abstractNumId w:val="9"/>
  </w:num>
  <w:num w:numId="26">
    <w:abstractNumId w:val="26"/>
  </w:num>
  <w:num w:numId="27">
    <w:abstractNumId w:val="28"/>
  </w:num>
  <w:num w:numId="28">
    <w:abstractNumId w:val="15"/>
  </w:num>
  <w:num w:numId="29">
    <w:abstractNumId w:val="31"/>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3"/>
  </w:num>
  <w:num w:numId="33">
    <w:abstractNumId w:val="17"/>
  </w:num>
  <w:num w:numId="34">
    <w:abstractNumId w:val="4"/>
  </w:num>
  <w:num w:numId="35">
    <w:abstractNumId w:val="21"/>
  </w:num>
  <w:num w:numId="36">
    <w:abstractNumId w:val="32"/>
  </w:num>
  <w:num w:numId="37">
    <w:abstractNumId w:val="12"/>
  </w:num>
  <w:num w:numId="38">
    <w:abstractNumId w:val="27"/>
  </w:num>
  <w:num w:numId="39">
    <w:abstractNumId w:val="29"/>
  </w:num>
  <w:num w:numId="4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044011"/>
    <w:rsid w:val="00002EF2"/>
    <w:rsid w:val="00003729"/>
    <w:rsid w:val="00003899"/>
    <w:rsid w:val="000039CF"/>
    <w:rsid w:val="000047C9"/>
    <w:rsid w:val="0001142F"/>
    <w:rsid w:val="00013566"/>
    <w:rsid w:val="00013692"/>
    <w:rsid w:val="000144E7"/>
    <w:rsid w:val="00015238"/>
    <w:rsid w:val="00016A6C"/>
    <w:rsid w:val="00025AC5"/>
    <w:rsid w:val="00026CD7"/>
    <w:rsid w:val="00031110"/>
    <w:rsid w:val="000314D9"/>
    <w:rsid w:val="0003162E"/>
    <w:rsid w:val="00032403"/>
    <w:rsid w:val="00032492"/>
    <w:rsid w:val="00034117"/>
    <w:rsid w:val="0003523D"/>
    <w:rsid w:val="00037763"/>
    <w:rsid w:val="00042C35"/>
    <w:rsid w:val="00044011"/>
    <w:rsid w:val="00044053"/>
    <w:rsid w:val="00044653"/>
    <w:rsid w:val="00044EB5"/>
    <w:rsid w:val="000465FF"/>
    <w:rsid w:val="00046D47"/>
    <w:rsid w:val="00057716"/>
    <w:rsid w:val="00057E3E"/>
    <w:rsid w:val="00062B19"/>
    <w:rsid w:val="0006534D"/>
    <w:rsid w:val="000662BF"/>
    <w:rsid w:val="0007049D"/>
    <w:rsid w:val="00072378"/>
    <w:rsid w:val="00075AE8"/>
    <w:rsid w:val="00075DEB"/>
    <w:rsid w:val="00083997"/>
    <w:rsid w:val="00094C88"/>
    <w:rsid w:val="00095171"/>
    <w:rsid w:val="000958F5"/>
    <w:rsid w:val="0009609E"/>
    <w:rsid w:val="000A1CB2"/>
    <w:rsid w:val="000A334F"/>
    <w:rsid w:val="000B207A"/>
    <w:rsid w:val="000B2F72"/>
    <w:rsid w:val="000B76F4"/>
    <w:rsid w:val="000B788C"/>
    <w:rsid w:val="000C3005"/>
    <w:rsid w:val="000C4685"/>
    <w:rsid w:val="000C5841"/>
    <w:rsid w:val="000C5D4A"/>
    <w:rsid w:val="000C79BD"/>
    <w:rsid w:val="000D2789"/>
    <w:rsid w:val="000D2F49"/>
    <w:rsid w:val="000D3317"/>
    <w:rsid w:val="000D3EB3"/>
    <w:rsid w:val="000D55E0"/>
    <w:rsid w:val="000E03C6"/>
    <w:rsid w:val="000F0BAA"/>
    <w:rsid w:val="000F77B8"/>
    <w:rsid w:val="00103DD2"/>
    <w:rsid w:val="00104BB9"/>
    <w:rsid w:val="00105474"/>
    <w:rsid w:val="001058C2"/>
    <w:rsid w:val="001106C6"/>
    <w:rsid w:val="00112D9A"/>
    <w:rsid w:val="00116EF0"/>
    <w:rsid w:val="00117EEF"/>
    <w:rsid w:val="001210E9"/>
    <w:rsid w:val="00122059"/>
    <w:rsid w:val="001240B6"/>
    <w:rsid w:val="00125819"/>
    <w:rsid w:val="0013151B"/>
    <w:rsid w:val="0013333A"/>
    <w:rsid w:val="00133521"/>
    <w:rsid w:val="001361E8"/>
    <w:rsid w:val="00136AB2"/>
    <w:rsid w:val="001423A2"/>
    <w:rsid w:val="00142441"/>
    <w:rsid w:val="00142A2C"/>
    <w:rsid w:val="00143084"/>
    <w:rsid w:val="00143321"/>
    <w:rsid w:val="00147F39"/>
    <w:rsid w:val="001509AF"/>
    <w:rsid w:val="001537FA"/>
    <w:rsid w:val="00154249"/>
    <w:rsid w:val="001556DD"/>
    <w:rsid w:val="0016171F"/>
    <w:rsid w:val="00163C55"/>
    <w:rsid w:val="00164B03"/>
    <w:rsid w:val="00165BF6"/>
    <w:rsid w:val="00173E64"/>
    <w:rsid w:val="001762B5"/>
    <w:rsid w:val="001877F8"/>
    <w:rsid w:val="001940D5"/>
    <w:rsid w:val="00194D03"/>
    <w:rsid w:val="001968FB"/>
    <w:rsid w:val="00197051"/>
    <w:rsid w:val="00197E00"/>
    <w:rsid w:val="001A0D9C"/>
    <w:rsid w:val="001A4E85"/>
    <w:rsid w:val="001A63E8"/>
    <w:rsid w:val="001B37E9"/>
    <w:rsid w:val="001B484A"/>
    <w:rsid w:val="001B606F"/>
    <w:rsid w:val="001C0691"/>
    <w:rsid w:val="001C2D6F"/>
    <w:rsid w:val="001C4856"/>
    <w:rsid w:val="001C4ED3"/>
    <w:rsid w:val="001C7FA4"/>
    <w:rsid w:val="001D6752"/>
    <w:rsid w:val="001D6D6D"/>
    <w:rsid w:val="001E0507"/>
    <w:rsid w:val="001E1858"/>
    <w:rsid w:val="001E2C89"/>
    <w:rsid w:val="001E2E7A"/>
    <w:rsid w:val="001E4063"/>
    <w:rsid w:val="001E5D9F"/>
    <w:rsid w:val="001F013A"/>
    <w:rsid w:val="001F01DA"/>
    <w:rsid w:val="001F5A0D"/>
    <w:rsid w:val="001F65E2"/>
    <w:rsid w:val="0020131C"/>
    <w:rsid w:val="0020442A"/>
    <w:rsid w:val="002046C8"/>
    <w:rsid w:val="00204EAE"/>
    <w:rsid w:val="0020740D"/>
    <w:rsid w:val="00207D71"/>
    <w:rsid w:val="002121E4"/>
    <w:rsid w:val="00215965"/>
    <w:rsid w:val="002230F0"/>
    <w:rsid w:val="00227E3E"/>
    <w:rsid w:val="00232B17"/>
    <w:rsid w:val="00232EE3"/>
    <w:rsid w:val="00234A68"/>
    <w:rsid w:val="002370DF"/>
    <w:rsid w:val="00241713"/>
    <w:rsid w:val="00242556"/>
    <w:rsid w:val="0024257A"/>
    <w:rsid w:val="002441F0"/>
    <w:rsid w:val="00245529"/>
    <w:rsid w:val="00245C37"/>
    <w:rsid w:val="0025180F"/>
    <w:rsid w:val="00251A5E"/>
    <w:rsid w:val="002525FA"/>
    <w:rsid w:val="00252E16"/>
    <w:rsid w:val="00254666"/>
    <w:rsid w:val="00257089"/>
    <w:rsid w:val="002605DD"/>
    <w:rsid w:val="00262343"/>
    <w:rsid w:val="0026238C"/>
    <w:rsid w:val="00262B9F"/>
    <w:rsid w:val="00263BB5"/>
    <w:rsid w:val="002664DE"/>
    <w:rsid w:val="002666BE"/>
    <w:rsid w:val="00273334"/>
    <w:rsid w:val="0027783C"/>
    <w:rsid w:val="0028110F"/>
    <w:rsid w:val="00281D1F"/>
    <w:rsid w:val="002827F8"/>
    <w:rsid w:val="00284480"/>
    <w:rsid w:val="00284643"/>
    <w:rsid w:val="002861A8"/>
    <w:rsid w:val="002941BE"/>
    <w:rsid w:val="0029761E"/>
    <w:rsid w:val="002A157E"/>
    <w:rsid w:val="002A4216"/>
    <w:rsid w:val="002B179B"/>
    <w:rsid w:val="002B4304"/>
    <w:rsid w:val="002B7AB6"/>
    <w:rsid w:val="002C10FB"/>
    <w:rsid w:val="002C2384"/>
    <w:rsid w:val="002C7C43"/>
    <w:rsid w:val="002D1B3E"/>
    <w:rsid w:val="002D4062"/>
    <w:rsid w:val="002D4066"/>
    <w:rsid w:val="002D4880"/>
    <w:rsid w:val="002D4AED"/>
    <w:rsid w:val="002D6792"/>
    <w:rsid w:val="002E4ECC"/>
    <w:rsid w:val="002E5EA2"/>
    <w:rsid w:val="002E7E06"/>
    <w:rsid w:val="002F2293"/>
    <w:rsid w:val="002F2779"/>
    <w:rsid w:val="002F508C"/>
    <w:rsid w:val="002F7CDB"/>
    <w:rsid w:val="003028D0"/>
    <w:rsid w:val="00304B94"/>
    <w:rsid w:val="00313EDD"/>
    <w:rsid w:val="003155C3"/>
    <w:rsid w:val="00316BFC"/>
    <w:rsid w:val="0032263D"/>
    <w:rsid w:val="00325295"/>
    <w:rsid w:val="00342AA7"/>
    <w:rsid w:val="00343B42"/>
    <w:rsid w:val="00345E20"/>
    <w:rsid w:val="00347278"/>
    <w:rsid w:val="0035052E"/>
    <w:rsid w:val="00352D89"/>
    <w:rsid w:val="00353DF1"/>
    <w:rsid w:val="00353DFF"/>
    <w:rsid w:val="0035708E"/>
    <w:rsid w:val="00360952"/>
    <w:rsid w:val="00362815"/>
    <w:rsid w:val="00364674"/>
    <w:rsid w:val="003666E9"/>
    <w:rsid w:val="00367553"/>
    <w:rsid w:val="003707B4"/>
    <w:rsid w:val="003714DA"/>
    <w:rsid w:val="0037345C"/>
    <w:rsid w:val="00377651"/>
    <w:rsid w:val="00383D09"/>
    <w:rsid w:val="00385B59"/>
    <w:rsid w:val="00393D5A"/>
    <w:rsid w:val="00394438"/>
    <w:rsid w:val="00397960"/>
    <w:rsid w:val="003A4BF5"/>
    <w:rsid w:val="003A534C"/>
    <w:rsid w:val="003A79E2"/>
    <w:rsid w:val="003B4685"/>
    <w:rsid w:val="003C1BF7"/>
    <w:rsid w:val="003C2897"/>
    <w:rsid w:val="003D1496"/>
    <w:rsid w:val="003D2CE1"/>
    <w:rsid w:val="003D38BE"/>
    <w:rsid w:val="003D4419"/>
    <w:rsid w:val="003D59FB"/>
    <w:rsid w:val="003E2559"/>
    <w:rsid w:val="003E2FE0"/>
    <w:rsid w:val="003E3615"/>
    <w:rsid w:val="003E3CB4"/>
    <w:rsid w:val="003E52A2"/>
    <w:rsid w:val="003E69FF"/>
    <w:rsid w:val="003F0437"/>
    <w:rsid w:val="003F0A9C"/>
    <w:rsid w:val="003F3595"/>
    <w:rsid w:val="003F78CC"/>
    <w:rsid w:val="003F7B43"/>
    <w:rsid w:val="00400D0D"/>
    <w:rsid w:val="0040143C"/>
    <w:rsid w:val="004044DA"/>
    <w:rsid w:val="00407782"/>
    <w:rsid w:val="00411073"/>
    <w:rsid w:val="00412FEC"/>
    <w:rsid w:val="00414267"/>
    <w:rsid w:val="00417CF3"/>
    <w:rsid w:val="00421D0B"/>
    <w:rsid w:val="00424181"/>
    <w:rsid w:val="0042488E"/>
    <w:rsid w:val="004301DE"/>
    <w:rsid w:val="0043197A"/>
    <w:rsid w:val="00435773"/>
    <w:rsid w:val="00436C53"/>
    <w:rsid w:val="004375A0"/>
    <w:rsid w:val="0044219A"/>
    <w:rsid w:val="00444581"/>
    <w:rsid w:val="00452390"/>
    <w:rsid w:val="00454AA3"/>
    <w:rsid w:val="00455171"/>
    <w:rsid w:val="00457572"/>
    <w:rsid w:val="00461360"/>
    <w:rsid w:val="00463011"/>
    <w:rsid w:val="00463232"/>
    <w:rsid w:val="00472D17"/>
    <w:rsid w:val="00475C4D"/>
    <w:rsid w:val="004773CC"/>
    <w:rsid w:val="00483774"/>
    <w:rsid w:val="00486064"/>
    <w:rsid w:val="00486AE7"/>
    <w:rsid w:val="00486BB4"/>
    <w:rsid w:val="00486E1F"/>
    <w:rsid w:val="00487842"/>
    <w:rsid w:val="0049031F"/>
    <w:rsid w:val="004903E4"/>
    <w:rsid w:val="0049289D"/>
    <w:rsid w:val="00492A61"/>
    <w:rsid w:val="00494769"/>
    <w:rsid w:val="00495C47"/>
    <w:rsid w:val="00497408"/>
    <w:rsid w:val="004A09BB"/>
    <w:rsid w:val="004A21CC"/>
    <w:rsid w:val="004A6B47"/>
    <w:rsid w:val="004B1067"/>
    <w:rsid w:val="004B569B"/>
    <w:rsid w:val="004C01D6"/>
    <w:rsid w:val="004C2EDB"/>
    <w:rsid w:val="004C44BC"/>
    <w:rsid w:val="004C4921"/>
    <w:rsid w:val="004C6CC5"/>
    <w:rsid w:val="004C7E0F"/>
    <w:rsid w:val="004D29CF"/>
    <w:rsid w:val="004D308F"/>
    <w:rsid w:val="004D3BBE"/>
    <w:rsid w:val="004D5182"/>
    <w:rsid w:val="004D5E99"/>
    <w:rsid w:val="004E0916"/>
    <w:rsid w:val="004E0A34"/>
    <w:rsid w:val="004E0D45"/>
    <w:rsid w:val="004E0F3F"/>
    <w:rsid w:val="004E10BA"/>
    <w:rsid w:val="004E36DB"/>
    <w:rsid w:val="004E3BE5"/>
    <w:rsid w:val="004E3EB2"/>
    <w:rsid w:val="004E4756"/>
    <w:rsid w:val="004E71AB"/>
    <w:rsid w:val="004E73E1"/>
    <w:rsid w:val="004F1374"/>
    <w:rsid w:val="004F1E5E"/>
    <w:rsid w:val="004F50CF"/>
    <w:rsid w:val="004F5D37"/>
    <w:rsid w:val="004F7910"/>
    <w:rsid w:val="00502866"/>
    <w:rsid w:val="00502AB5"/>
    <w:rsid w:val="00503163"/>
    <w:rsid w:val="005048C8"/>
    <w:rsid w:val="005056D1"/>
    <w:rsid w:val="00506FBF"/>
    <w:rsid w:val="005134D7"/>
    <w:rsid w:val="00525EFF"/>
    <w:rsid w:val="005265A2"/>
    <w:rsid w:val="00527227"/>
    <w:rsid w:val="00530C46"/>
    <w:rsid w:val="00530D80"/>
    <w:rsid w:val="00531951"/>
    <w:rsid w:val="0053259F"/>
    <w:rsid w:val="00533787"/>
    <w:rsid w:val="005352E9"/>
    <w:rsid w:val="00536198"/>
    <w:rsid w:val="00540C35"/>
    <w:rsid w:val="00540C4E"/>
    <w:rsid w:val="0054118E"/>
    <w:rsid w:val="005414FE"/>
    <w:rsid w:val="00542318"/>
    <w:rsid w:val="0054285A"/>
    <w:rsid w:val="00542988"/>
    <w:rsid w:val="005468AB"/>
    <w:rsid w:val="00546F18"/>
    <w:rsid w:val="0055057B"/>
    <w:rsid w:val="00551458"/>
    <w:rsid w:val="00552831"/>
    <w:rsid w:val="005536A9"/>
    <w:rsid w:val="005648C6"/>
    <w:rsid w:val="00566BC8"/>
    <w:rsid w:val="0057255A"/>
    <w:rsid w:val="0057432D"/>
    <w:rsid w:val="0057735F"/>
    <w:rsid w:val="0057754A"/>
    <w:rsid w:val="005811A2"/>
    <w:rsid w:val="005812B4"/>
    <w:rsid w:val="00590B28"/>
    <w:rsid w:val="005938B5"/>
    <w:rsid w:val="00593917"/>
    <w:rsid w:val="00594D63"/>
    <w:rsid w:val="00595A9A"/>
    <w:rsid w:val="00595C54"/>
    <w:rsid w:val="00596F16"/>
    <w:rsid w:val="00596F7E"/>
    <w:rsid w:val="005979A4"/>
    <w:rsid w:val="005A7265"/>
    <w:rsid w:val="005B370F"/>
    <w:rsid w:val="005B38F7"/>
    <w:rsid w:val="005B4791"/>
    <w:rsid w:val="005B6F28"/>
    <w:rsid w:val="005C03DF"/>
    <w:rsid w:val="005C368F"/>
    <w:rsid w:val="005C3D64"/>
    <w:rsid w:val="005C432D"/>
    <w:rsid w:val="005C4F32"/>
    <w:rsid w:val="005C55BA"/>
    <w:rsid w:val="005C7F03"/>
    <w:rsid w:val="005D20A1"/>
    <w:rsid w:val="005D26FE"/>
    <w:rsid w:val="005E0259"/>
    <w:rsid w:val="005E0704"/>
    <w:rsid w:val="005E30D9"/>
    <w:rsid w:val="005E474C"/>
    <w:rsid w:val="005E7359"/>
    <w:rsid w:val="005F2833"/>
    <w:rsid w:val="005F4A5A"/>
    <w:rsid w:val="005F4C67"/>
    <w:rsid w:val="005F5E31"/>
    <w:rsid w:val="005F6768"/>
    <w:rsid w:val="005F6B02"/>
    <w:rsid w:val="005F6C02"/>
    <w:rsid w:val="005F6E8B"/>
    <w:rsid w:val="005F7408"/>
    <w:rsid w:val="006042AA"/>
    <w:rsid w:val="0060517D"/>
    <w:rsid w:val="006118DF"/>
    <w:rsid w:val="00612F17"/>
    <w:rsid w:val="0061493E"/>
    <w:rsid w:val="006168F0"/>
    <w:rsid w:val="00616BA1"/>
    <w:rsid w:val="00617CEA"/>
    <w:rsid w:val="00620C43"/>
    <w:rsid w:val="00620D83"/>
    <w:rsid w:val="00621ADA"/>
    <w:rsid w:val="00623757"/>
    <w:rsid w:val="00623C3B"/>
    <w:rsid w:val="00624882"/>
    <w:rsid w:val="00627E0A"/>
    <w:rsid w:val="00630CBF"/>
    <w:rsid w:val="00633484"/>
    <w:rsid w:val="00635A94"/>
    <w:rsid w:val="00637E49"/>
    <w:rsid w:val="00644CDC"/>
    <w:rsid w:val="006453E6"/>
    <w:rsid w:val="006462D5"/>
    <w:rsid w:val="006534DE"/>
    <w:rsid w:val="00656A6E"/>
    <w:rsid w:val="00656E6E"/>
    <w:rsid w:val="006570BD"/>
    <w:rsid w:val="006573ED"/>
    <w:rsid w:val="0066059C"/>
    <w:rsid w:val="00660B76"/>
    <w:rsid w:val="00664FE5"/>
    <w:rsid w:val="00665E69"/>
    <w:rsid w:val="00666EDE"/>
    <w:rsid w:val="00671E97"/>
    <w:rsid w:val="00673749"/>
    <w:rsid w:val="006753E1"/>
    <w:rsid w:val="00676723"/>
    <w:rsid w:val="00676AF7"/>
    <w:rsid w:val="00677DFE"/>
    <w:rsid w:val="00680464"/>
    <w:rsid w:val="00682FA4"/>
    <w:rsid w:val="006854CF"/>
    <w:rsid w:val="00685E75"/>
    <w:rsid w:val="006968E9"/>
    <w:rsid w:val="00697FC6"/>
    <w:rsid w:val="006A28D4"/>
    <w:rsid w:val="006A42EE"/>
    <w:rsid w:val="006A4D1B"/>
    <w:rsid w:val="006A669A"/>
    <w:rsid w:val="006B0EBB"/>
    <w:rsid w:val="006B5CC5"/>
    <w:rsid w:val="006B6037"/>
    <w:rsid w:val="006C007F"/>
    <w:rsid w:val="006C4530"/>
    <w:rsid w:val="006C52BB"/>
    <w:rsid w:val="006C67E6"/>
    <w:rsid w:val="006C6F1C"/>
    <w:rsid w:val="006C76AB"/>
    <w:rsid w:val="006D2820"/>
    <w:rsid w:val="006D2EA2"/>
    <w:rsid w:val="006D382A"/>
    <w:rsid w:val="006D5FB6"/>
    <w:rsid w:val="006D6A17"/>
    <w:rsid w:val="006E3A48"/>
    <w:rsid w:val="006E5765"/>
    <w:rsid w:val="006E67FD"/>
    <w:rsid w:val="006E71BF"/>
    <w:rsid w:val="006E71E5"/>
    <w:rsid w:val="006F03FE"/>
    <w:rsid w:val="006F112D"/>
    <w:rsid w:val="006F6CA1"/>
    <w:rsid w:val="006F7522"/>
    <w:rsid w:val="007006EC"/>
    <w:rsid w:val="007022BB"/>
    <w:rsid w:val="00711AE1"/>
    <w:rsid w:val="00711F13"/>
    <w:rsid w:val="007127D8"/>
    <w:rsid w:val="00712C58"/>
    <w:rsid w:val="0071330B"/>
    <w:rsid w:val="00716665"/>
    <w:rsid w:val="00723877"/>
    <w:rsid w:val="0072464F"/>
    <w:rsid w:val="00730690"/>
    <w:rsid w:val="00730FA8"/>
    <w:rsid w:val="0073213D"/>
    <w:rsid w:val="007322C9"/>
    <w:rsid w:val="00735212"/>
    <w:rsid w:val="00736241"/>
    <w:rsid w:val="00741A3B"/>
    <w:rsid w:val="00747DC7"/>
    <w:rsid w:val="007515BC"/>
    <w:rsid w:val="0075185A"/>
    <w:rsid w:val="007524E5"/>
    <w:rsid w:val="007537BE"/>
    <w:rsid w:val="007556DA"/>
    <w:rsid w:val="00764013"/>
    <w:rsid w:val="00765EA4"/>
    <w:rsid w:val="00766D30"/>
    <w:rsid w:val="0076779E"/>
    <w:rsid w:val="007679E8"/>
    <w:rsid w:val="0077183B"/>
    <w:rsid w:val="007752B0"/>
    <w:rsid w:val="007765D8"/>
    <w:rsid w:val="00780B40"/>
    <w:rsid w:val="00781A6B"/>
    <w:rsid w:val="007822CC"/>
    <w:rsid w:val="007901FA"/>
    <w:rsid w:val="00792B66"/>
    <w:rsid w:val="00793734"/>
    <w:rsid w:val="00795349"/>
    <w:rsid w:val="007A09A8"/>
    <w:rsid w:val="007A117B"/>
    <w:rsid w:val="007A160A"/>
    <w:rsid w:val="007A22ED"/>
    <w:rsid w:val="007A24F9"/>
    <w:rsid w:val="007B4B84"/>
    <w:rsid w:val="007B6362"/>
    <w:rsid w:val="007B6377"/>
    <w:rsid w:val="007B6AFC"/>
    <w:rsid w:val="007B70FA"/>
    <w:rsid w:val="007B7965"/>
    <w:rsid w:val="007C132C"/>
    <w:rsid w:val="007C7D31"/>
    <w:rsid w:val="007D0A57"/>
    <w:rsid w:val="007D1AA5"/>
    <w:rsid w:val="007D1C4A"/>
    <w:rsid w:val="007D2978"/>
    <w:rsid w:val="007E26F6"/>
    <w:rsid w:val="007E5182"/>
    <w:rsid w:val="007E51A4"/>
    <w:rsid w:val="007E74E2"/>
    <w:rsid w:val="00800E14"/>
    <w:rsid w:val="008012ED"/>
    <w:rsid w:val="00803C34"/>
    <w:rsid w:val="008055B0"/>
    <w:rsid w:val="008116D6"/>
    <w:rsid w:val="00813193"/>
    <w:rsid w:val="00814F98"/>
    <w:rsid w:val="00815587"/>
    <w:rsid w:val="00815B9D"/>
    <w:rsid w:val="0081651E"/>
    <w:rsid w:val="0082142E"/>
    <w:rsid w:val="008214DD"/>
    <w:rsid w:val="008223F4"/>
    <w:rsid w:val="00822761"/>
    <w:rsid w:val="008238F4"/>
    <w:rsid w:val="00824FFC"/>
    <w:rsid w:val="00836881"/>
    <w:rsid w:val="00836D6A"/>
    <w:rsid w:val="00845AD9"/>
    <w:rsid w:val="00846B1F"/>
    <w:rsid w:val="00847835"/>
    <w:rsid w:val="008510DF"/>
    <w:rsid w:val="0085114A"/>
    <w:rsid w:val="00852D80"/>
    <w:rsid w:val="00852DC0"/>
    <w:rsid w:val="0085760F"/>
    <w:rsid w:val="0086294A"/>
    <w:rsid w:val="008644D5"/>
    <w:rsid w:val="0086655B"/>
    <w:rsid w:val="00871531"/>
    <w:rsid w:val="00871941"/>
    <w:rsid w:val="00872CED"/>
    <w:rsid w:val="0087329C"/>
    <w:rsid w:val="00873615"/>
    <w:rsid w:val="00874D93"/>
    <w:rsid w:val="0087695D"/>
    <w:rsid w:val="0087700E"/>
    <w:rsid w:val="008813BE"/>
    <w:rsid w:val="00882754"/>
    <w:rsid w:val="00883A9E"/>
    <w:rsid w:val="00890A27"/>
    <w:rsid w:val="008920E5"/>
    <w:rsid w:val="00895757"/>
    <w:rsid w:val="008A053E"/>
    <w:rsid w:val="008A0719"/>
    <w:rsid w:val="008A1455"/>
    <w:rsid w:val="008B2FEA"/>
    <w:rsid w:val="008B6A68"/>
    <w:rsid w:val="008B7372"/>
    <w:rsid w:val="008C58A9"/>
    <w:rsid w:val="008D2801"/>
    <w:rsid w:val="008D2CD3"/>
    <w:rsid w:val="008D3AE6"/>
    <w:rsid w:val="008D454E"/>
    <w:rsid w:val="008D4698"/>
    <w:rsid w:val="008D681C"/>
    <w:rsid w:val="008D7AE2"/>
    <w:rsid w:val="008E57FF"/>
    <w:rsid w:val="008F15A4"/>
    <w:rsid w:val="008F19FF"/>
    <w:rsid w:val="008F2A83"/>
    <w:rsid w:val="008F38D4"/>
    <w:rsid w:val="008F7460"/>
    <w:rsid w:val="008F7F0D"/>
    <w:rsid w:val="009009E5"/>
    <w:rsid w:val="00900BE0"/>
    <w:rsid w:val="00904A27"/>
    <w:rsid w:val="00904AE5"/>
    <w:rsid w:val="00906268"/>
    <w:rsid w:val="00907B96"/>
    <w:rsid w:val="009110EE"/>
    <w:rsid w:val="00912108"/>
    <w:rsid w:val="00912C6D"/>
    <w:rsid w:val="0091356D"/>
    <w:rsid w:val="009136E1"/>
    <w:rsid w:val="00916F9A"/>
    <w:rsid w:val="009214B7"/>
    <w:rsid w:val="00921E2D"/>
    <w:rsid w:val="00924BAD"/>
    <w:rsid w:val="009267FC"/>
    <w:rsid w:val="0092781F"/>
    <w:rsid w:val="0093108F"/>
    <w:rsid w:val="00931837"/>
    <w:rsid w:val="009338DB"/>
    <w:rsid w:val="00935B82"/>
    <w:rsid w:val="00936BFF"/>
    <w:rsid w:val="009408C2"/>
    <w:rsid w:val="00946603"/>
    <w:rsid w:val="00950097"/>
    <w:rsid w:val="0095481A"/>
    <w:rsid w:val="00955BEE"/>
    <w:rsid w:val="00957163"/>
    <w:rsid w:val="009606F9"/>
    <w:rsid w:val="00962DEF"/>
    <w:rsid w:val="00963696"/>
    <w:rsid w:val="009649F1"/>
    <w:rsid w:val="00966E08"/>
    <w:rsid w:val="009720A1"/>
    <w:rsid w:val="0097399B"/>
    <w:rsid w:val="009751C9"/>
    <w:rsid w:val="009764DD"/>
    <w:rsid w:val="00977D11"/>
    <w:rsid w:val="00982F1F"/>
    <w:rsid w:val="00986F3F"/>
    <w:rsid w:val="00990AC9"/>
    <w:rsid w:val="0099193B"/>
    <w:rsid w:val="009943C3"/>
    <w:rsid w:val="009944F6"/>
    <w:rsid w:val="00996613"/>
    <w:rsid w:val="00997D64"/>
    <w:rsid w:val="009A1351"/>
    <w:rsid w:val="009A650F"/>
    <w:rsid w:val="009A6CAC"/>
    <w:rsid w:val="009B0620"/>
    <w:rsid w:val="009B4404"/>
    <w:rsid w:val="009B498D"/>
    <w:rsid w:val="009B6D03"/>
    <w:rsid w:val="009C44D7"/>
    <w:rsid w:val="009C5694"/>
    <w:rsid w:val="009C5C07"/>
    <w:rsid w:val="009C70FA"/>
    <w:rsid w:val="009C7832"/>
    <w:rsid w:val="009C7F18"/>
    <w:rsid w:val="009D0D0E"/>
    <w:rsid w:val="009D199B"/>
    <w:rsid w:val="009D2D01"/>
    <w:rsid w:val="009D6690"/>
    <w:rsid w:val="009E368C"/>
    <w:rsid w:val="009E3CB9"/>
    <w:rsid w:val="009F2A3D"/>
    <w:rsid w:val="009F4CAE"/>
    <w:rsid w:val="009F5A79"/>
    <w:rsid w:val="009F71D0"/>
    <w:rsid w:val="00A02E4F"/>
    <w:rsid w:val="00A04FC6"/>
    <w:rsid w:val="00A056F8"/>
    <w:rsid w:val="00A07882"/>
    <w:rsid w:val="00A118B2"/>
    <w:rsid w:val="00A1425B"/>
    <w:rsid w:val="00A142DE"/>
    <w:rsid w:val="00A1520A"/>
    <w:rsid w:val="00A156DB"/>
    <w:rsid w:val="00A24A4C"/>
    <w:rsid w:val="00A26279"/>
    <w:rsid w:val="00A27DC0"/>
    <w:rsid w:val="00A30BF7"/>
    <w:rsid w:val="00A32ACF"/>
    <w:rsid w:val="00A34463"/>
    <w:rsid w:val="00A35E0B"/>
    <w:rsid w:val="00A41559"/>
    <w:rsid w:val="00A46C6A"/>
    <w:rsid w:val="00A47006"/>
    <w:rsid w:val="00A507C8"/>
    <w:rsid w:val="00A509FC"/>
    <w:rsid w:val="00A526C8"/>
    <w:rsid w:val="00A534DA"/>
    <w:rsid w:val="00A53FB4"/>
    <w:rsid w:val="00A54960"/>
    <w:rsid w:val="00A5655D"/>
    <w:rsid w:val="00A62844"/>
    <w:rsid w:val="00A63667"/>
    <w:rsid w:val="00A673F7"/>
    <w:rsid w:val="00A723FE"/>
    <w:rsid w:val="00A73178"/>
    <w:rsid w:val="00A73871"/>
    <w:rsid w:val="00A77F81"/>
    <w:rsid w:val="00A8142A"/>
    <w:rsid w:val="00A81504"/>
    <w:rsid w:val="00A82997"/>
    <w:rsid w:val="00A82ADD"/>
    <w:rsid w:val="00A8311B"/>
    <w:rsid w:val="00A837E7"/>
    <w:rsid w:val="00A93989"/>
    <w:rsid w:val="00A94EE8"/>
    <w:rsid w:val="00A95296"/>
    <w:rsid w:val="00A95879"/>
    <w:rsid w:val="00A96D71"/>
    <w:rsid w:val="00A96F32"/>
    <w:rsid w:val="00A97BBE"/>
    <w:rsid w:val="00AA1CA0"/>
    <w:rsid w:val="00AB2C05"/>
    <w:rsid w:val="00AB4877"/>
    <w:rsid w:val="00AC0BD0"/>
    <w:rsid w:val="00AC0EDD"/>
    <w:rsid w:val="00AC1747"/>
    <w:rsid w:val="00AC2F8B"/>
    <w:rsid w:val="00AC5B23"/>
    <w:rsid w:val="00AC62C2"/>
    <w:rsid w:val="00AC646D"/>
    <w:rsid w:val="00AC67D2"/>
    <w:rsid w:val="00AC764B"/>
    <w:rsid w:val="00AC7CAB"/>
    <w:rsid w:val="00AD5ADD"/>
    <w:rsid w:val="00AD738C"/>
    <w:rsid w:val="00AE3E6D"/>
    <w:rsid w:val="00AE4549"/>
    <w:rsid w:val="00AE4A09"/>
    <w:rsid w:val="00AE4E31"/>
    <w:rsid w:val="00AE4FE1"/>
    <w:rsid w:val="00AF0417"/>
    <w:rsid w:val="00AF0874"/>
    <w:rsid w:val="00AF6513"/>
    <w:rsid w:val="00AF7D1C"/>
    <w:rsid w:val="00B1197A"/>
    <w:rsid w:val="00B11ACB"/>
    <w:rsid w:val="00B22254"/>
    <w:rsid w:val="00B229E3"/>
    <w:rsid w:val="00B2482A"/>
    <w:rsid w:val="00B2570E"/>
    <w:rsid w:val="00B2729D"/>
    <w:rsid w:val="00B27659"/>
    <w:rsid w:val="00B3016A"/>
    <w:rsid w:val="00B31B1E"/>
    <w:rsid w:val="00B36A37"/>
    <w:rsid w:val="00B4033A"/>
    <w:rsid w:val="00B40952"/>
    <w:rsid w:val="00B45C68"/>
    <w:rsid w:val="00B47C8A"/>
    <w:rsid w:val="00B51086"/>
    <w:rsid w:val="00B51338"/>
    <w:rsid w:val="00B51617"/>
    <w:rsid w:val="00B51DE5"/>
    <w:rsid w:val="00B52022"/>
    <w:rsid w:val="00B5365D"/>
    <w:rsid w:val="00B557A0"/>
    <w:rsid w:val="00B60BE6"/>
    <w:rsid w:val="00B61F83"/>
    <w:rsid w:val="00B63BC3"/>
    <w:rsid w:val="00B672CB"/>
    <w:rsid w:val="00B70A8B"/>
    <w:rsid w:val="00B71182"/>
    <w:rsid w:val="00B74609"/>
    <w:rsid w:val="00B74A90"/>
    <w:rsid w:val="00B77911"/>
    <w:rsid w:val="00B77AD2"/>
    <w:rsid w:val="00B80396"/>
    <w:rsid w:val="00B81150"/>
    <w:rsid w:val="00B82B2D"/>
    <w:rsid w:val="00B83F8D"/>
    <w:rsid w:val="00B84C19"/>
    <w:rsid w:val="00B84C9D"/>
    <w:rsid w:val="00B866C1"/>
    <w:rsid w:val="00B92B72"/>
    <w:rsid w:val="00B93205"/>
    <w:rsid w:val="00B93C87"/>
    <w:rsid w:val="00B9413F"/>
    <w:rsid w:val="00B958AE"/>
    <w:rsid w:val="00BA3B19"/>
    <w:rsid w:val="00BA6CB1"/>
    <w:rsid w:val="00BA77C4"/>
    <w:rsid w:val="00BA78E6"/>
    <w:rsid w:val="00BB025E"/>
    <w:rsid w:val="00BB1064"/>
    <w:rsid w:val="00BB293D"/>
    <w:rsid w:val="00BB33B7"/>
    <w:rsid w:val="00BB3847"/>
    <w:rsid w:val="00BB6834"/>
    <w:rsid w:val="00BC15B8"/>
    <w:rsid w:val="00BC1EDB"/>
    <w:rsid w:val="00BC437F"/>
    <w:rsid w:val="00BC5F6B"/>
    <w:rsid w:val="00BD18E1"/>
    <w:rsid w:val="00BD27A6"/>
    <w:rsid w:val="00BD3877"/>
    <w:rsid w:val="00BD7D5E"/>
    <w:rsid w:val="00BE17DD"/>
    <w:rsid w:val="00BE2E77"/>
    <w:rsid w:val="00BE3E5B"/>
    <w:rsid w:val="00BE4B23"/>
    <w:rsid w:val="00BE6FBC"/>
    <w:rsid w:val="00BF0CF2"/>
    <w:rsid w:val="00BF324A"/>
    <w:rsid w:val="00BF4160"/>
    <w:rsid w:val="00BF41E1"/>
    <w:rsid w:val="00BF605D"/>
    <w:rsid w:val="00C0120B"/>
    <w:rsid w:val="00C027B2"/>
    <w:rsid w:val="00C03F0F"/>
    <w:rsid w:val="00C052C3"/>
    <w:rsid w:val="00C06444"/>
    <w:rsid w:val="00C10259"/>
    <w:rsid w:val="00C103E3"/>
    <w:rsid w:val="00C12F8D"/>
    <w:rsid w:val="00C149D0"/>
    <w:rsid w:val="00C1712E"/>
    <w:rsid w:val="00C21188"/>
    <w:rsid w:val="00C222F0"/>
    <w:rsid w:val="00C26791"/>
    <w:rsid w:val="00C27667"/>
    <w:rsid w:val="00C325E9"/>
    <w:rsid w:val="00C327A7"/>
    <w:rsid w:val="00C400AC"/>
    <w:rsid w:val="00C41AE0"/>
    <w:rsid w:val="00C46EA7"/>
    <w:rsid w:val="00C46F33"/>
    <w:rsid w:val="00C4725E"/>
    <w:rsid w:val="00C47B2B"/>
    <w:rsid w:val="00C47C4A"/>
    <w:rsid w:val="00C47E13"/>
    <w:rsid w:val="00C5460D"/>
    <w:rsid w:val="00C6773B"/>
    <w:rsid w:val="00C756E1"/>
    <w:rsid w:val="00C75A4E"/>
    <w:rsid w:val="00C77649"/>
    <w:rsid w:val="00C77A46"/>
    <w:rsid w:val="00C81719"/>
    <w:rsid w:val="00C82114"/>
    <w:rsid w:val="00C829B5"/>
    <w:rsid w:val="00C82CE7"/>
    <w:rsid w:val="00C83EAD"/>
    <w:rsid w:val="00C84F61"/>
    <w:rsid w:val="00C85FD7"/>
    <w:rsid w:val="00C869E3"/>
    <w:rsid w:val="00C92FE5"/>
    <w:rsid w:val="00C94235"/>
    <w:rsid w:val="00C9739D"/>
    <w:rsid w:val="00CA00DF"/>
    <w:rsid w:val="00CA58E5"/>
    <w:rsid w:val="00CA5A3C"/>
    <w:rsid w:val="00CB0323"/>
    <w:rsid w:val="00CB3583"/>
    <w:rsid w:val="00CB4393"/>
    <w:rsid w:val="00CB52C4"/>
    <w:rsid w:val="00CB58D4"/>
    <w:rsid w:val="00CB612C"/>
    <w:rsid w:val="00CC4C28"/>
    <w:rsid w:val="00CC516E"/>
    <w:rsid w:val="00CC6037"/>
    <w:rsid w:val="00CC6081"/>
    <w:rsid w:val="00CC6D93"/>
    <w:rsid w:val="00CD1F9B"/>
    <w:rsid w:val="00CD4EA3"/>
    <w:rsid w:val="00CD5EFC"/>
    <w:rsid w:val="00CD6AE0"/>
    <w:rsid w:val="00CE3B47"/>
    <w:rsid w:val="00CE4F37"/>
    <w:rsid w:val="00CE6BCD"/>
    <w:rsid w:val="00CF3D2B"/>
    <w:rsid w:val="00CF52E6"/>
    <w:rsid w:val="00CF5EB7"/>
    <w:rsid w:val="00CF6005"/>
    <w:rsid w:val="00CF610A"/>
    <w:rsid w:val="00CF68DE"/>
    <w:rsid w:val="00CF6961"/>
    <w:rsid w:val="00CF6F1B"/>
    <w:rsid w:val="00CF7805"/>
    <w:rsid w:val="00D0232C"/>
    <w:rsid w:val="00D04089"/>
    <w:rsid w:val="00D066EA"/>
    <w:rsid w:val="00D1007E"/>
    <w:rsid w:val="00D10C39"/>
    <w:rsid w:val="00D150F6"/>
    <w:rsid w:val="00D15EB0"/>
    <w:rsid w:val="00D17E80"/>
    <w:rsid w:val="00D21A87"/>
    <w:rsid w:val="00D227B4"/>
    <w:rsid w:val="00D25D45"/>
    <w:rsid w:val="00D31704"/>
    <w:rsid w:val="00D31AE5"/>
    <w:rsid w:val="00D31F35"/>
    <w:rsid w:val="00D32420"/>
    <w:rsid w:val="00D340C6"/>
    <w:rsid w:val="00D405FF"/>
    <w:rsid w:val="00D41078"/>
    <w:rsid w:val="00D41384"/>
    <w:rsid w:val="00D4339B"/>
    <w:rsid w:val="00D47B98"/>
    <w:rsid w:val="00D47E1F"/>
    <w:rsid w:val="00D50473"/>
    <w:rsid w:val="00D50F39"/>
    <w:rsid w:val="00D51057"/>
    <w:rsid w:val="00D51107"/>
    <w:rsid w:val="00D60E87"/>
    <w:rsid w:val="00D64D9E"/>
    <w:rsid w:val="00D65052"/>
    <w:rsid w:val="00D655B7"/>
    <w:rsid w:val="00D661A9"/>
    <w:rsid w:val="00D706B5"/>
    <w:rsid w:val="00D744D4"/>
    <w:rsid w:val="00D74886"/>
    <w:rsid w:val="00D7588B"/>
    <w:rsid w:val="00D759FF"/>
    <w:rsid w:val="00D801FC"/>
    <w:rsid w:val="00D811E2"/>
    <w:rsid w:val="00D81602"/>
    <w:rsid w:val="00D81AF8"/>
    <w:rsid w:val="00D8431F"/>
    <w:rsid w:val="00D87688"/>
    <w:rsid w:val="00D87F8D"/>
    <w:rsid w:val="00DA1222"/>
    <w:rsid w:val="00DA2131"/>
    <w:rsid w:val="00DA59F2"/>
    <w:rsid w:val="00DA5FEA"/>
    <w:rsid w:val="00DA674D"/>
    <w:rsid w:val="00DB1453"/>
    <w:rsid w:val="00DB1E82"/>
    <w:rsid w:val="00DB1EE8"/>
    <w:rsid w:val="00DB2217"/>
    <w:rsid w:val="00DB2B30"/>
    <w:rsid w:val="00DB3587"/>
    <w:rsid w:val="00DB504F"/>
    <w:rsid w:val="00DB53CF"/>
    <w:rsid w:val="00DB554A"/>
    <w:rsid w:val="00DB6FF0"/>
    <w:rsid w:val="00DC585E"/>
    <w:rsid w:val="00DD2914"/>
    <w:rsid w:val="00DD2E6A"/>
    <w:rsid w:val="00DD350B"/>
    <w:rsid w:val="00DD4F0C"/>
    <w:rsid w:val="00DE47F7"/>
    <w:rsid w:val="00DF16F6"/>
    <w:rsid w:val="00DF2AF3"/>
    <w:rsid w:val="00DF51E9"/>
    <w:rsid w:val="00DF5AF2"/>
    <w:rsid w:val="00DF74CD"/>
    <w:rsid w:val="00DF7813"/>
    <w:rsid w:val="00E034C8"/>
    <w:rsid w:val="00E04576"/>
    <w:rsid w:val="00E045E3"/>
    <w:rsid w:val="00E0526F"/>
    <w:rsid w:val="00E055A8"/>
    <w:rsid w:val="00E07294"/>
    <w:rsid w:val="00E10BBE"/>
    <w:rsid w:val="00E15858"/>
    <w:rsid w:val="00E16163"/>
    <w:rsid w:val="00E177E9"/>
    <w:rsid w:val="00E20DFB"/>
    <w:rsid w:val="00E22D3A"/>
    <w:rsid w:val="00E356FC"/>
    <w:rsid w:val="00E374B7"/>
    <w:rsid w:val="00E40A6D"/>
    <w:rsid w:val="00E40F95"/>
    <w:rsid w:val="00E42D7B"/>
    <w:rsid w:val="00E51D2E"/>
    <w:rsid w:val="00E53066"/>
    <w:rsid w:val="00E54E8C"/>
    <w:rsid w:val="00E55BF9"/>
    <w:rsid w:val="00E55DCE"/>
    <w:rsid w:val="00E60947"/>
    <w:rsid w:val="00E63B19"/>
    <w:rsid w:val="00E64B57"/>
    <w:rsid w:val="00E665F1"/>
    <w:rsid w:val="00E672E5"/>
    <w:rsid w:val="00E73C85"/>
    <w:rsid w:val="00E77096"/>
    <w:rsid w:val="00E773FD"/>
    <w:rsid w:val="00E829CD"/>
    <w:rsid w:val="00E86E44"/>
    <w:rsid w:val="00EA0DB0"/>
    <w:rsid w:val="00EA23AB"/>
    <w:rsid w:val="00EA252E"/>
    <w:rsid w:val="00EA2F8F"/>
    <w:rsid w:val="00EA6412"/>
    <w:rsid w:val="00EB2070"/>
    <w:rsid w:val="00EB3270"/>
    <w:rsid w:val="00EB43F6"/>
    <w:rsid w:val="00EB58F5"/>
    <w:rsid w:val="00EC1049"/>
    <w:rsid w:val="00EC1451"/>
    <w:rsid w:val="00EC2148"/>
    <w:rsid w:val="00EC224A"/>
    <w:rsid w:val="00EC27F9"/>
    <w:rsid w:val="00EC4D8C"/>
    <w:rsid w:val="00EC7FD3"/>
    <w:rsid w:val="00ED1F1C"/>
    <w:rsid w:val="00ED3CF7"/>
    <w:rsid w:val="00ED4215"/>
    <w:rsid w:val="00EE5443"/>
    <w:rsid w:val="00EE609D"/>
    <w:rsid w:val="00EE6662"/>
    <w:rsid w:val="00EE7F46"/>
    <w:rsid w:val="00EF18B1"/>
    <w:rsid w:val="00EF18F5"/>
    <w:rsid w:val="00EF3257"/>
    <w:rsid w:val="00EF346C"/>
    <w:rsid w:val="00EF6F09"/>
    <w:rsid w:val="00EF7759"/>
    <w:rsid w:val="00F00EDA"/>
    <w:rsid w:val="00F05D16"/>
    <w:rsid w:val="00F11D34"/>
    <w:rsid w:val="00F14E08"/>
    <w:rsid w:val="00F1620C"/>
    <w:rsid w:val="00F1691B"/>
    <w:rsid w:val="00F171EC"/>
    <w:rsid w:val="00F20A42"/>
    <w:rsid w:val="00F225E9"/>
    <w:rsid w:val="00F23308"/>
    <w:rsid w:val="00F27190"/>
    <w:rsid w:val="00F3030B"/>
    <w:rsid w:val="00F30F1A"/>
    <w:rsid w:val="00F31565"/>
    <w:rsid w:val="00F3248F"/>
    <w:rsid w:val="00F32B12"/>
    <w:rsid w:val="00F3471F"/>
    <w:rsid w:val="00F36649"/>
    <w:rsid w:val="00F3704D"/>
    <w:rsid w:val="00F4636D"/>
    <w:rsid w:val="00F50BBF"/>
    <w:rsid w:val="00F512CA"/>
    <w:rsid w:val="00F51615"/>
    <w:rsid w:val="00F54AC5"/>
    <w:rsid w:val="00F625DE"/>
    <w:rsid w:val="00F638E4"/>
    <w:rsid w:val="00F65896"/>
    <w:rsid w:val="00F67060"/>
    <w:rsid w:val="00F74C66"/>
    <w:rsid w:val="00F758A2"/>
    <w:rsid w:val="00F77032"/>
    <w:rsid w:val="00F87F41"/>
    <w:rsid w:val="00F902B3"/>
    <w:rsid w:val="00F925A1"/>
    <w:rsid w:val="00F93A85"/>
    <w:rsid w:val="00F952FE"/>
    <w:rsid w:val="00F95CAC"/>
    <w:rsid w:val="00FA4740"/>
    <w:rsid w:val="00FA4B10"/>
    <w:rsid w:val="00FA62DC"/>
    <w:rsid w:val="00FA64CD"/>
    <w:rsid w:val="00FA6829"/>
    <w:rsid w:val="00FA77F4"/>
    <w:rsid w:val="00FB1293"/>
    <w:rsid w:val="00FB13C4"/>
    <w:rsid w:val="00FB62BB"/>
    <w:rsid w:val="00FB649B"/>
    <w:rsid w:val="00FB6C85"/>
    <w:rsid w:val="00FC4AA3"/>
    <w:rsid w:val="00FC55D0"/>
    <w:rsid w:val="00FC7A05"/>
    <w:rsid w:val="00FC7D91"/>
    <w:rsid w:val="00FD01EA"/>
    <w:rsid w:val="00FD3E51"/>
    <w:rsid w:val="00FD5100"/>
    <w:rsid w:val="00FE12DC"/>
    <w:rsid w:val="00FE16BA"/>
    <w:rsid w:val="00FE22B6"/>
    <w:rsid w:val="00FE2F8B"/>
    <w:rsid w:val="00FE460E"/>
    <w:rsid w:val="00FF02B3"/>
    <w:rsid w:val="00FF0A6D"/>
    <w:rsid w:val="00FF17A8"/>
    <w:rsid w:val="00FF221D"/>
    <w:rsid w:val="00FF2C11"/>
    <w:rsid w:val="00FF4987"/>
    <w:rsid w:val="00FF63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F8F7020"/>
  <w15:docId w15:val="{3E4F50CD-0CD6-469F-82C3-33B812255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8CC"/>
  </w:style>
  <w:style w:type="paragraph" w:styleId="Heading1">
    <w:name w:val="heading 1"/>
    <w:basedOn w:val="Normal"/>
    <w:next w:val="Normal"/>
    <w:link w:val="Heading1Char"/>
    <w:uiPriority w:val="9"/>
    <w:qFormat/>
    <w:rsid w:val="003F78CC"/>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3F78CC"/>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3F78CC"/>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F78CC"/>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F78CC"/>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3F78CC"/>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3F78C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78C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F78C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3F78C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F78CC"/>
    <w:rPr>
      <w:color w:val="000000" w:themeColor="text1"/>
      <w:shd w:val="clear" w:color="auto" w:fill="F2F2F2" w:themeFill="background1" w:themeFillShade="F2"/>
    </w:rPr>
  </w:style>
  <w:style w:type="character" w:customStyle="1" w:styleId="Heading1Char">
    <w:name w:val="Heading 1 Char"/>
    <w:basedOn w:val="DefaultParagraphFont"/>
    <w:link w:val="Heading1"/>
    <w:uiPriority w:val="9"/>
    <w:rsid w:val="003F78CC"/>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3F78CC"/>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3F78C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F78CC"/>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3F78CC"/>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3F78CC"/>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3F7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7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78C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F78C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3F78C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F78CC"/>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F78CC"/>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F78CC"/>
    <w:rPr>
      <w:color w:val="5A5A5A" w:themeColor="text1" w:themeTint="A5"/>
      <w:spacing w:val="10"/>
    </w:rPr>
  </w:style>
  <w:style w:type="character" w:styleId="Strong">
    <w:name w:val="Strong"/>
    <w:basedOn w:val="DefaultParagraphFont"/>
    <w:uiPriority w:val="22"/>
    <w:qFormat/>
    <w:rsid w:val="003F78CC"/>
    <w:rPr>
      <w:b/>
      <w:bCs/>
      <w:color w:val="000000" w:themeColor="text1"/>
    </w:rPr>
  </w:style>
  <w:style w:type="character" w:styleId="Emphasis">
    <w:name w:val="Emphasis"/>
    <w:basedOn w:val="DefaultParagraphFont"/>
    <w:uiPriority w:val="20"/>
    <w:qFormat/>
    <w:rsid w:val="003F78CC"/>
    <w:rPr>
      <w:i/>
      <w:iCs/>
      <w:color w:val="auto"/>
    </w:rPr>
  </w:style>
  <w:style w:type="paragraph" w:styleId="NoSpacing">
    <w:name w:val="No Spacing"/>
    <w:aliases w:val="Normal1,No Spacing1,Parastais"/>
    <w:link w:val="NoSpacingChar"/>
    <w:uiPriority w:val="1"/>
    <w:qFormat/>
    <w:rsid w:val="003F78CC"/>
    <w:pPr>
      <w:spacing w:after="0" w:line="240" w:lineRule="auto"/>
    </w:pPr>
  </w:style>
  <w:style w:type="paragraph" w:styleId="Quote">
    <w:name w:val="Quote"/>
    <w:basedOn w:val="Normal"/>
    <w:next w:val="Normal"/>
    <w:link w:val="QuoteChar"/>
    <w:uiPriority w:val="29"/>
    <w:qFormat/>
    <w:rsid w:val="003F78CC"/>
    <w:pPr>
      <w:spacing w:before="160"/>
      <w:ind w:left="720" w:right="720"/>
    </w:pPr>
    <w:rPr>
      <w:i/>
      <w:iCs/>
      <w:color w:val="000000" w:themeColor="text1"/>
    </w:rPr>
  </w:style>
  <w:style w:type="character" w:customStyle="1" w:styleId="QuoteChar">
    <w:name w:val="Quote Char"/>
    <w:basedOn w:val="DefaultParagraphFont"/>
    <w:link w:val="Quote"/>
    <w:uiPriority w:val="29"/>
    <w:rsid w:val="003F78CC"/>
    <w:rPr>
      <w:i/>
      <w:iCs/>
      <w:color w:val="000000" w:themeColor="text1"/>
    </w:rPr>
  </w:style>
  <w:style w:type="character" w:styleId="SubtleEmphasis">
    <w:name w:val="Subtle Emphasis"/>
    <w:basedOn w:val="DefaultParagraphFont"/>
    <w:uiPriority w:val="19"/>
    <w:qFormat/>
    <w:rsid w:val="003F78CC"/>
    <w:rPr>
      <w:i/>
      <w:iCs/>
      <w:color w:val="404040" w:themeColor="text1" w:themeTint="BF"/>
    </w:rPr>
  </w:style>
  <w:style w:type="character" w:styleId="IntenseEmphasis">
    <w:name w:val="Intense Emphasis"/>
    <w:basedOn w:val="DefaultParagraphFont"/>
    <w:uiPriority w:val="21"/>
    <w:qFormat/>
    <w:rsid w:val="003F78CC"/>
    <w:rPr>
      <w:b/>
      <w:bCs/>
      <w:i/>
      <w:iCs/>
      <w:caps/>
    </w:rPr>
  </w:style>
  <w:style w:type="character" w:styleId="SubtleReference">
    <w:name w:val="Subtle Reference"/>
    <w:basedOn w:val="DefaultParagraphFont"/>
    <w:uiPriority w:val="31"/>
    <w:qFormat/>
    <w:rsid w:val="003F78C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F78CC"/>
    <w:rPr>
      <w:b/>
      <w:bCs/>
      <w:smallCaps/>
      <w:u w:val="single"/>
    </w:rPr>
  </w:style>
  <w:style w:type="character" w:styleId="BookTitle">
    <w:name w:val="Book Title"/>
    <w:basedOn w:val="DefaultParagraphFont"/>
    <w:uiPriority w:val="33"/>
    <w:qFormat/>
    <w:rsid w:val="003F78CC"/>
    <w:rPr>
      <w:b w:val="0"/>
      <w:bCs w:val="0"/>
      <w:smallCaps/>
      <w:spacing w:val="5"/>
    </w:rPr>
  </w:style>
  <w:style w:type="paragraph" w:styleId="TOCHeading">
    <w:name w:val="TOC Heading"/>
    <w:basedOn w:val="Heading1"/>
    <w:next w:val="Normal"/>
    <w:uiPriority w:val="39"/>
    <w:unhideWhenUsed/>
    <w:qFormat/>
    <w:rsid w:val="003F78CC"/>
    <w:pPr>
      <w:outlineLvl w:val="9"/>
    </w:pPr>
  </w:style>
  <w:style w:type="character" w:customStyle="1" w:styleId="NoSpacingChar">
    <w:name w:val="No Spacing Char"/>
    <w:aliases w:val="Normal1 Char,No Spacing1 Char,Parastais Char"/>
    <w:basedOn w:val="DefaultParagraphFont"/>
    <w:link w:val="NoSpacing"/>
    <w:uiPriority w:val="1"/>
    <w:rsid w:val="00044011"/>
  </w:style>
  <w:style w:type="paragraph" w:styleId="Header">
    <w:name w:val="header"/>
    <w:basedOn w:val="Normal"/>
    <w:link w:val="HeaderChar"/>
    <w:uiPriority w:val="99"/>
    <w:unhideWhenUsed/>
    <w:rsid w:val="0062375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3757"/>
  </w:style>
  <w:style w:type="paragraph" w:styleId="Footer">
    <w:name w:val="footer"/>
    <w:basedOn w:val="Normal"/>
    <w:link w:val="FooterChar"/>
    <w:uiPriority w:val="99"/>
    <w:unhideWhenUsed/>
    <w:rsid w:val="0062375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3757"/>
  </w:style>
  <w:style w:type="paragraph" w:styleId="ListParagraph">
    <w:name w:val="List Paragraph"/>
    <w:aliases w:val="2,Akapit z listą BS,Numbered Para 1,Dot pt,List Paragraph Char Char Char,Indicator Text,List Paragraph1,Bullet 1,Bullet Points,MAIN CONTENT,IFCL - List Paragraph,List Paragraph12,OBC Bullet,F5 List Paragraph,Strip,Punkti ar numuriem"/>
    <w:basedOn w:val="Normal"/>
    <w:link w:val="ListParagraphChar"/>
    <w:uiPriority w:val="34"/>
    <w:qFormat/>
    <w:rsid w:val="00A156DB"/>
    <w:pPr>
      <w:ind w:left="720"/>
      <w:contextualSpacing/>
    </w:pPr>
  </w:style>
  <w:style w:type="paragraph" w:customStyle="1" w:styleId="PIRMAIS">
    <w:name w:val="PIRMAIS"/>
    <w:basedOn w:val="Normal"/>
    <w:link w:val="PIRMAISChar"/>
    <w:qFormat/>
    <w:rsid w:val="003F78CC"/>
    <w:pPr>
      <w:keepNext/>
      <w:keepLines/>
      <w:pageBreakBefore/>
      <w:pBdr>
        <w:bottom w:val="thickThinLargeGap" w:sz="24" w:space="1" w:color="17365D"/>
      </w:pBdr>
      <w:tabs>
        <w:tab w:val="left" w:pos="567"/>
      </w:tabs>
      <w:spacing w:after="120" w:line="240" w:lineRule="auto"/>
      <w:ind w:left="567" w:hanging="567"/>
      <w:outlineLvl w:val="0"/>
    </w:pPr>
    <w:rPr>
      <w:rFonts w:ascii="Times New Roman" w:eastAsia="Times New Roman" w:hAnsi="Times New Roman" w:cs="Times New Roman"/>
      <w:b/>
      <w:sz w:val="36"/>
      <w:szCs w:val="20"/>
    </w:rPr>
  </w:style>
  <w:style w:type="character" w:customStyle="1" w:styleId="PIRMAISChar">
    <w:name w:val="PIRMAIS Char"/>
    <w:basedOn w:val="DefaultParagraphFont"/>
    <w:link w:val="PIRMAIS"/>
    <w:rsid w:val="003F78CC"/>
    <w:rPr>
      <w:rFonts w:ascii="Times New Roman" w:eastAsia="Times New Roman" w:hAnsi="Times New Roman" w:cs="Times New Roman"/>
      <w:b/>
      <w:sz w:val="36"/>
      <w:szCs w:val="20"/>
    </w:rPr>
  </w:style>
  <w:style w:type="character" w:styleId="PageNumber">
    <w:name w:val="page number"/>
    <w:basedOn w:val="DefaultParagraphFont"/>
    <w:rsid w:val="00F51615"/>
  </w:style>
  <w:style w:type="character" w:customStyle="1" w:styleId="HeaderChar1">
    <w:name w:val="Header Char1"/>
    <w:uiPriority w:val="99"/>
    <w:semiHidden/>
    <w:rsid w:val="00F51615"/>
    <w:rPr>
      <w:rFonts w:eastAsia="Times New Roman" w:cs="Times New Roman"/>
      <w:sz w:val="24"/>
      <w:szCs w:val="20"/>
    </w:rPr>
  </w:style>
  <w:style w:type="paragraph" w:customStyle="1" w:styleId="H1">
    <w:name w:val="H1"/>
    <w:link w:val="H1Char"/>
    <w:rsid w:val="00F51615"/>
    <w:pPr>
      <w:keepNext/>
      <w:keepLines/>
      <w:pageBreakBefore/>
      <w:pBdr>
        <w:bottom w:val="thickThinLargeGap" w:sz="24" w:space="1" w:color="17365D"/>
      </w:pBdr>
      <w:tabs>
        <w:tab w:val="left" w:pos="1134"/>
      </w:tabs>
      <w:spacing w:after="120" w:line="240" w:lineRule="auto"/>
      <w:ind w:left="1134" w:hanging="567"/>
      <w:outlineLvl w:val="0"/>
    </w:pPr>
    <w:rPr>
      <w:rFonts w:ascii="Times New Roman" w:eastAsia="Times New Roman" w:hAnsi="Times New Roman" w:cs="Times New Roman"/>
      <w:b/>
      <w:sz w:val="36"/>
      <w:szCs w:val="20"/>
    </w:rPr>
  </w:style>
  <w:style w:type="character" w:customStyle="1" w:styleId="H1Char">
    <w:name w:val="H1 Char"/>
    <w:link w:val="H1"/>
    <w:rsid w:val="00F51615"/>
    <w:rPr>
      <w:rFonts w:ascii="Times New Roman" w:eastAsia="Times New Roman" w:hAnsi="Times New Roman" w:cs="Times New Roman"/>
      <w:b/>
      <w:sz w:val="36"/>
      <w:szCs w:val="20"/>
    </w:rPr>
  </w:style>
  <w:style w:type="character" w:styleId="CommentReference">
    <w:name w:val="annotation reference"/>
    <w:uiPriority w:val="99"/>
    <w:semiHidden/>
    <w:unhideWhenUsed/>
    <w:rsid w:val="00F51615"/>
    <w:rPr>
      <w:sz w:val="16"/>
      <w:szCs w:val="16"/>
    </w:rPr>
  </w:style>
  <w:style w:type="paragraph" w:styleId="CommentText">
    <w:name w:val="annotation text"/>
    <w:basedOn w:val="Normal"/>
    <w:link w:val="CommentTextChar"/>
    <w:uiPriority w:val="99"/>
    <w:unhideWhenUsed/>
    <w:rsid w:val="00F51615"/>
    <w:pPr>
      <w:spacing w:after="120" w:line="240" w:lineRule="auto"/>
      <w:ind w:firstLine="567"/>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5161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51615"/>
    <w:pPr>
      <w:spacing w:after="0" w:line="240" w:lineRule="auto"/>
      <w:ind w:firstLine="567"/>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F51615"/>
    <w:rPr>
      <w:rFonts w:ascii="Tahoma" w:eastAsia="Times New Roman" w:hAnsi="Tahoma" w:cs="Times New Roman"/>
      <w:sz w:val="16"/>
      <w:szCs w:val="16"/>
    </w:rPr>
  </w:style>
  <w:style w:type="paragraph" w:customStyle="1" w:styleId="H2">
    <w:name w:val="H2"/>
    <w:link w:val="H2Char"/>
    <w:uiPriority w:val="99"/>
    <w:rsid w:val="00F51615"/>
    <w:pPr>
      <w:keepNext/>
      <w:tabs>
        <w:tab w:val="left" w:pos="1134"/>
      </w:tabs>
      <w:spacing w:before="480" w:after="240" w:line="240" w:lineRule="auto"/>
      <w:ind w:left="1134" w:hanging="567"/>
      <w:outlineLvl w:val="1"/>
    </w:pPr>
    <w:rPr>
      <w:rFonts w:ascii="Calibri" w:eastAsia="Times New Roman" w:hAnsi="Calibri" w:cs="Times New Roman"/>
      <w:b/>
      <w:sz w:val="32"/>
      <w:szCs w:val="20"/>
    </w:rPr>
  </w:style>
  <w:style w:type="character" w:customStyle="1" w:styleId="H2Char">
    <w:name w:val="H2 Char"/>
    <w:link w:val="H2"/>
    <w:uiPriority w:val="99"/>
    <w:rsid w:val="00F51615"/>
    <w:rPr>
      <w:rFonts w:ascii="Calibri" w:eastAsia="Times New Roman" w:hAnsi="Calibri" w:cs="Times New Roman"/>
      <w:b/>
      <w:sz w:val="32"/>
      <w:szCs w:val="20"/>
    </w:rPr>
  </w:style>
  <w:style w:type="paragraph" w:customStyle="1" w:styleId="H4">
    <w:name w:val="H4"/>
    <w:uiPriority w:val="99"/>
    <w:rsid w:val="00F51615"/>
    <w:pPr>
      <w:spacing w:before="120" w:after="120" w:line="240" w:lineRule="auto"/>
      <w:ind w:left="567"/>
      <w:outlineLvl w:val="3"/>
    </w:pPr>
    <w:rPr>
      <w:rFonts w:ascii="Calibri" w:eastAsia="Times New Roman" w:hAnsi="Calibri" w:cs="Times New Roman"/>
      <w:b/>
      <w:sz w:val="28"/>
      <w:szCs w:val="20"/>
    </w:rPr>
  </w:style>
  <w:style w:type="paragraph" w:customStyle="1" w:styleId="H3">
    <w:name w:val="H3"/>
    <w:link w:val="H3Char"/>
    <w:rsid w:val="00F51615"/>
    <w:pPr>
      <w:keepNext/>
      <w:spacing w:before="480" w:after="120" w:line="240" w:lineRule="auto"/>
      <w:ind w:left="1701" w:hanging="1134"/>
      <w:outlineLvl w:val="2"/>
    </w:pPr>
    <w:rPr>
      <w:rFonts w:ascii="Calibri" w:eastAsia="Times New Roman" w:hAnsi="Calibri" w:cs="Times New Roman"/>
      <w:b/>
      <w:sz w:val="28"/>
      <w:szCs w:val="20"/>
    </w:rPr>
  </w:style>
  <w:style w:type="character" w:customStyle="1" w:styleId="H3Char">
    <w:name w:val="H3 Char"/>
    <w:link w:val="H3"/>
    <w:rsid w:val="00F51615"/>
    <w:rPr>
      <w:rFonts w:ascii="Calibri" w:eastAsia="Times New Roman" w:hAnsi="Calibri" w:cs="Times New Roman"/>
      <w:b/>
      <w:sz w:val="28"/>
      <w:szCs w:val="20"/>
    </w:rPr>
  </w:style>
  <w:style w:type="paragraph" w:customStyle="1" w:styleId="T">
    <w:name w:val="T"/>
    <w:basedOn w:val="Normal"/>
    <w:rsid w:val="00F51615"/>
    <w:pPr>
      <w:keepNext/>
      <w:spacing w:after="120" w:line="240" w:lineRule="auto"/>
      <w:ind w:left="567"/>
    </w:pPr>
    <w:rPr>
      <w:rFonts w:ascii="Calibri" w:eastAsia="Times New Roman" w:hAnsi="Calibri" w:cs="Times New Roman"/>
      <w:b/>
      <w:sz w:val="24"/>
      <w:szCs w:val="20"/>
    </w:rPr>
  </w:style>
  <w:style w:type="paragraph" w:customStyle="1" w:styleId="Z">
    <w:name w:val="Z"/>
    <w:basedOn w:val="T"/>
    <w:uiPriority w:val="99"/>
    <w:qFormat/>
    <w:rsid w:val="00F51615"/>
    <w:pPr>
      <w:ind w:right="1701"/>
    </w:pPr>
    <w:rPr>
      <w:b w:val="0"/>
      <w:sz w:val="20"/>
    </w:rPr>
  </w:style>
  <w:style w:type="paragraph" w:customStyle="1" w:styleId="tabteksts">
    <w:name w:val="tab_teksts"/>
    <w:basedOn w:val="Normal"/>
    <w:uiPriority w:val="99"/>
    <w:rsid w:val="00F51615"/>
    <w:pPr>
      <w:spacing w:after="0" w:line="240" w:lineRule="auto"/>
    </w:pPr>
    <w:rPr>
      <w:rFonts w:ascii="Times New Roman" w:eastAsia="Times New Roman" w:hAnsi="Times New Roman" w:cs="Times New Roman"/>
      <w:sz w:val="20"/>
      <w:szCs w:val="20"/>
    </w:rPr>
  </w:style>
  <w:style w:type="paragraph" w:styleId="FootnoteText">
    <w:name w:val="footnote text"/>
    <w:aliases w:val="Footnote,Fußnote,Fußnote Char Char Char,single space,ft Rakstz. Rakstz.,ft Rakstz.,ft,-E Fußnotentext,Fußnotentext Ursprung,Vēres teksts Char Char Char Char Char,Char Char Char Char Char Char Char Char Char Char Char Char,footnote tex"/>
    <w:basedOn w:val="Normal"/>
    <w:link w:val="FootnoteTextChar"/>
    <w:qFormat/>
    <w:rsid w:val="00F51615"/>
    <w:pPr>
      <w:keepLines/>
      <w:widowControl w:val="0"/>
      <w:spacing w:after="0" w:line="240" w:lineRule="auto"/>
      <w:ind w:left="340" w:hanging="340"/>
    </w:pPr>
    <w:rPr>
      <w:rFonts w:ascii="Times New Roman" w:eastAsia="Times New Roman" w:hAnsi="Times New Roman" w:cs="Times New Roman"/>
      <w:snapToGrid w:val="0"/>
      <w:color w:val="000000"/>
      <w:sz w:val="20"/>
      <w:szCs w:val="20"/>
    </w:rPr>
  </w:style>
  <w:style w:type="character" w:customStyle="1" w:styleId="FootnoteTextChar">
    <w:name w:val="Footnote Text Char"/>
    <w:aliases w:val="Footnote Char,Fußnote Char,Fußnote Char Char Char Char,single space Char,ft Rakstz. Rakstz. Char,ft Rakstz. Char,ft Char,-E Fußnotentext Char,Fußnotentext Ursprung Char,Vēres teksts Char Char Char Char Char Char,footnote tex Char"/>
    <w:basedOn w:val="DefaultParagraphFont"/>
    <w:link w:val="FootnoteText"/>
    <w:rsid w:val="00F51615"/>
    <w:rPr>
      <w:rFonts w:ascii="Times New Roman" w:eastAsia="Times New Roman" w:hAnsi="Times New Roman" w:cs="Times New Roman"/>
      <w:snapToGrid w:val="0"/>
      <w:color w:val="000000"/>
      <w:sz w:val="20"/>
      <w:szCs w:val="20"/>
    </w:rPr>
  </w:style>
  <w:style w:type="character" w:styleId="FootnoteReference">
    <w:name w:val="footnote reference"/>
    <w:aliases w:val="Footnote Reference Number,Footnote symbol,Footnote Reference Superscript,ftref,Footnote Refernece,Odwołanie przypisu,BVI fnr,Footnotes refss,SUPERS,Ref,de nota al pie,-E Fußnotenzeichen,Footnote reference number,Times 10 Point,E,E FNZ"/>
    <w:link w:val="Char2"/>
    <w:qFormat/>
    <w:rsid w:val="00F51615"/>
    <w:rPr>
      <w:rFonts w:ascii="Garamond" w:hAnsi="Garamond"/>
      <w:sz w:val="20"/>
      <w:vertAlign w:val="superscript"/>
    </w:rPr>
  </w:style>
  <w:style w:type="paragraph" w:customStyle="1" w:styleId="Zpar">
    <w:name w:val="Z_par"/>
    <w:basedOn w:val="Z"/>
    <w:rsid w:val="00F51615"/>
    <w:pPr>
      <w:spacing w:after="480"/>
      <w:ind w:left="1418" w:hanging="851"/>
    </w:pPr>
    <w:rPr>
      <w:i/>
    </w:rPr>
  </w:style>
  <w:style w:type="character" w:customStyle="1" w:styleId="ListParagraphChar">
    <w:name w:val="List Paragraph Char"/>
    <w:aliases w:val="2 Char,Akapit z listą BS Char,Numbered Para 1 Char,Dot pt Char,List Paragraph Char Char Char Char,Indicator Text Char,List Paragraph1 Char,Bullet 1 Char,Bullet Points Char,MAIN CONTENT Char,IFCL - List Paragraph Char,OBC Bullet Char"/>
    <w:link w:val="ListParagraph"/>
    <w:uiPriority w:val="34"/>
    <w:qFormat/>
    <w:locked/>
    <w:rsid w:val="00F51615"/>
  </w:style>
  <w:style w:type="paragraph" w:styleId="BodyTextIndent2">
    <w:name w:val="Body Text Indent 2"/>
    <w:basedOn w:val="Normal"/>
    <w:link w:val="BodyTextIndent2Char"/>
    <w:semiHidden/>
    <w:rsid w:val="00F51615"/>
    <w:pPr>
      <w:spacing w:before="120" w:after="120" w:line="240" w:lineRule="auto"/>
      <w:ind w:firstLine="706"/>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F51615"/>
    <w:rPr>
      <w:rFonts w:ascii="Times New Roman" w:eastAsia="Times New Roman" w:hAnsi="Times New Roman" w:cs="Times New Roman"/>
      <w:sz w:val="24"/>
      <w:szCs w:val="20"/>
    </w:rPr>
  </w:style>
  <w:style w:type="paragraph" w:customStyle="1" w:styleId="Default">
    <w:name w:val="Default"/>
    <w:rsid w:val="00F51615"/>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BodyTextIndent">
    <w:name w:val="Body Text Indent"/>
    <w:basedOn w:val="Normal"/>
    <w:link w:val="BodyTextIndentChar"/>
    <w:unhideWhenUsed/>
    <w:rsid w:val="00F51615"/>
    <w:pPr>
      <w:spacing w:after="120" w:line="240" w:lineRule="auto"/>
      <w:ind w:left="283" w:firstLine="567"/>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51615"/>
    <w:rPr>
      <w:rFonts w:ascii="Times New Roman" w:eastAsia="Times New Roman" w:hAnsi="Times New Roman" w:cs="Times New Roman"/>
      <w:sz w:val="24"/>
      <w:szCs w:val="20"/>
    </w:rPr>
  </w:style>
  <w:style w:type="paragraph" w:customStyle="1" w:styleId="ridk">
    <w:name w:val="ridk"/>
    <w:basedOn w:val="Normal"/>
    <w:rsid w:val="00F51615"/>
    <w:pPr>
      <w:spacing w:before="100" w:beforeAutospacing="1" w:after="100" w:afterAutospacing="1" w:line="240" w:lineRule="auto"/>
    </w:pPr>
    <w:rPr>
      <w:rFonts w:ascii="Arial Unicode MS" w:eastAsia="Arial Unicode MS" w:hAnsi="Arial Unicode MS" w:cs="Arial Unicode MS"/>
      <w:sz w:val="24"/>
      <w:szCs w:val="24"/>
      <w:lang w:val="en-US"/>
    </w:rPr>
  </w:style>
  <w:style w:type="table" w:styleId="TableGrid">
    <w:name w:val="Table Grid"/>
    <w:basedOn w:val="TableNormal"/>
    <w:uiPriority w:val="39"/>
    <w:rsid w:val="00F51615"/>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
    <w:name w:val="Virsraksts1"/>
    <w:basedOn w:val="Heading1"/>
    <w:rsid w:val="00F51615"/>
    <w:pPr>
      <w:keepLines w:val="0"/>
      <w:numPr>
        <w:numId w:val="0"/>
      </w:numPr>
      <w:pBdr>
        <w:bottom w:val="none" w:sz="0" w:space="0" w:color="auto"/>
      </w:pBdr>
      <w:spacing w:before="240" w:after="60" w:line="240" w:lineRule="auto"/>
      <w:ind w:firstLine="709"/>
      <w:jc w:val="both"/>
    </w:pPr>
    <w:rPr>
      <w:rFonts w:ascii="Times New Roman" w:eastAsia="Calibri" w:hAnsi="Times New Roman" w:cs="Times New Roman"/>
      <w:smallCaps w:val="0"/>
      <w:color w:val="auto"/>
      <w:kern w:val="32"/>
      <w:sz w:val="40"/>
      <w:szCs w:val="40"/>
    </w:rPr>
  </w:style>
  <w:style w:type="character" w:customStyle="1" w:styleId="spelle">
    <w:name w:val="spelle"/>
    <w:basedOn w:val="DefaultParagraphFont"/>
    <w:rsid w:val="00F51615"/>
  </w:style>
  <w:style w:type="paragraph" w:customStyle="1" w:styleId="ParagraphNumbering">
    <w:name w:val="Paragraph Numbering"/>
    <w:basedOn w:val="Normal"/>
    <w:uiPriority w:val="1"/>
    <w:qFormat/>
    <w:rsid w:val="00F51615"/>
    <w:pPr>
      <w:numPr>
        <w:numId w:val="3"/>
      </w:numPr>
      <w:spacing w:after="240" w:line="264" w:lineRule="auto"/>
    </w:pPr>
    <w:rPr>
      <w:rFonts w:ascii="Times New Roman" w:eastAsia="Calibri"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F51615"/>
    <w:rPr>
      <w:b/>
      <w:bCs/>
    </w:rPr>
  </w:style>
  <w:style w:type="character" w:customStyle="1" w:styleId="CommentSubjectChar">
    <w:name w:val="Comment Subject Char"/>
    <w:basedOn w:val="CommentTextChar"/>
    <w:link w:val="CommentSubject"/>
    <w:uiPriority w:val="99"/>
    <w:semiHidden/>
    <w:rsid w:val="00F51615"/>
    <w:rPr>
      <w:rFonts w:ascii="Times New Roman" w:eastAsia="Times New Roman" w:hAnsi="Times New Roman" w:cs="Times New Roman"/>
      <w:b/>
      <w:bCs/>
      <w:sz w:val="20"/>
      <w:szCs w:val="20"/>
    </w:rPr>
  </w:style>
  <w:style w:type="paragraph" w:customStyle="1" w:styleId="otrais">
    <w:name w:val="otrais"/>
    <w:basedOn w:val="H2"/>
    <w:link w:val="otraisChar"/>
    <w:qFormat/>
    <w:rsid w:val="00F51615"/>
    <w:pPr>
      <w:tabs>
        <w:tab w:val="clear" w:pos="1134"/>
        <w:tab w:val="left" w:pos="567"/>
      </w:tabs>
      <w:ind w:left="567"/>
    </w:pPr>
    <w:rPr>
      <w:rFonts w:ascii="Times New Roman" w:hAnsi="Times New Roman"/>
    </w:rPr>
  </w:style>
  <w:style w:type="character" w:customStyle="1" w:styleId="otraisChar">
    <w:name w:val="otrais Char"/>
    <w:basedOn w:val="H2Char"/>
    <w:link w:val="otrais"/>
    <w:rsid w:val="00F51615"/>
    <w:rPr>
      <w:rFonts w:ascii="Times New Roman" w:eastAsia="Times New Roman" w:hAnsi="Times New Roman" w:cs="Times New Roman"/>
      <w:b/>
      <w:sz w:val="32"/>
      <w:szCs w:val="20"/>
    </w:rPr>
  </w:style>
  <w:style w:type="paragraph" w:customStyle="1" w:styleId="tresais">
    <w:name w:val="tresais"/>
    <w:basedOn w:val="H3"/>
    <w:link w:val="tresaisChar"/>
    <w:qFormat/>
    <w:rsid w:val="00F51615"/>
    <w:pPr>
      <w:ind w:left="0" w:firstLine="0"/>
    </w:pPr>
    <w:rPr>
      <w:rFonts w:ascii="Times New Roman" w:hAnsi="Times New Roman"/>
    </w:rPr>
  </w:style>
  <w:style w:type="character" w:customStyle="1" w:styleId="tresaisChar">
    <w:name w:val="tresais Char"/>
    <w:basedOn w:val="H3Char"/>
    <w:link w:val="tresais"/>
    <w:rsid w:val="00F51615"/>
    <w:rPr>
      <w:rFonts w:ascii="Times New Roman" w:eastAsia="Times New Roman" w:hAnsi="Times New Roman" w:cs="Times New Roman"/>
      <w:b/>
      <w:sz w:val="28"/>
      <w:szCs w:val="20"/>
    </w:rPr>
  </w:style>
  <w:style w:type="paragraph" w:styleId="TOC1">
    <w:name w:val="toc 1"/>
    <w:basedOn w:val="Normal"/>
    <w:next w:val="Normal"/>
    <w:autoRedefine/>
    <w:uiPriority w:val="39"/>
    <w:unhideWhenUsed/>
    <w:rsid w:val="00AE4A09"/>
    <w:pPr>
      <w:tabs>
        <w:tab w:val="left" w:pos="284"/>
        <w:tab w:val="right" w:leader="dot" w:pos="9072"/>
      </w:tabs>
      <w:spacing w:after="0" w:line="240" w:lineRule="auto"/>
      <w:ind w:left="284" w:hanging="284"/>
      <w:jc w:val="both"/>
    </w:pPr>
    <w:rPr>
      <w:rFonts w:ascii="Times New Roman" w:eastAsia="Times New Roman" w:hAnsi="Times New Roman" w:cs="Times New Roman"/>
      <w:sz w:val="24"/>
      <w:szCs w:val="20"/>
    </w:rPr>
  </w:style>
  <w:style w:type="paragraph" w:styleId="TOC2">
    <w:name w:val="toc 2"/>
    <w:basedOn w:val="Normal"/>
    <w:next w:val="Normal"/>
    <w:autoRedefine/>
    <w:uiPriority w:val="39"/>
    <w:unhideWhenUsed/>
    <w:rsid w:val="00F51615"/>
    <w:pPr>
      <w:tabs>
        <w:tab w:val="right" w:leader="dot" w:pos="9072"/>
      </w:tabs>
      <w:spacing w:after="0" w:line="240" w:lineRule="auto"/>
      <w:ind w:left="238" w:firstLine="46"/>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F51615"/>
    <w:pPr>
      <w:tabs>
        <w:tab w:val="right" w:leader="dot" w:pos="9061"/>
      </w:tabs>
      <w:spacing w:after="0" w:line="240" w:lineRule="auto"/>
      <w:ind w:left="482" w:firstLine="567"/>
      <w:jc w:val="both"/>
    </w:pPr>
    <w:rPr>
      <w:rFonts w:ascii="Times New Roman" w:eastAsia="Times New Roman" w:hAnsi="Times New Roman" w:cs="Times New Roman"/>
      <w:sz w:val="24"/>
      <w:szCs w:val="20"/>
    </w:rPr>
  </w:style>
  <w:style w:type="character" w:styleId="Hyperlink">
    <w:name w:val="Hyperlink"/>
    <w:uiPriority w:val="99"/>
    <w:unhideWhenUsed/>
    <w:rsid w:val="00F51615"/>
    <w:rPr>
      <w:color w:val="0000FF"/>
      <w:u w:val="single"/>
    </w:rPr>
  </w:style>
  <w:style w:type="paragraph" w:customStyle="1" w:styleId="naisf">
    <w:name w:val="naisf"/>
    <w:basedOn w:val="Normal"/>
    <w:rsid w:val="00F5161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eksts">
    <w:name w:val="teksts"/>
    <w:rsid w:val="00F51615"/>
    <w:pPr>
      <w:spacing w:after="120" w:line="240" w:lineRule="auto"/>
      <w:jc w:val="both"/>
    </w:pPr>
    <w:rPr>
      <w:rFonts w:ascii="Garamond" w:eastAsia="Times New Roman" w:hAnsi="Garamond" w:cs="Times New Roman"/>
      <w:sz w:val="24"/>
      <w:szCs w:val="20"/>
    </w:rPr>
  </w:style>
  <w:style w:type="paragraph" w:customStyle="1" w:styleId="EE-paragr">
    <w:name w:val="EE-paragr"/>
    <w:basedOn w:val="Normal"/>
    <w:autoRedefine/>
    <w:uiPriority w:val="99"/>
    <w:rsid w:val="00F51615"/>
    <w:pPr>
      <w:spacing w:before="120" w:after="120" w:line="240" w:lineRule="auto"/>
      <w:jc w:val="both"/>
    </w:pPr>
    <w:rPr>
      <w:rFonts w:ascii="Times New Roman" w:eastAsia="Times New Roman" w:hAnsi="Times New Roman" w:cs="Times New Roman"/>
      <w:iCs/>
      <w:sz w:val="24"/>
      <w:szCs w:val="24"/>
      <w:lang w:eastAsia="lv-LV" w:bidi="lo-LA"/>
    </w:rPr>
  </w:style>
  <w:style w:type="paragraph" w:customStyle="1" w:styleId="tabtekst">
    <w:name w:val="tab_tekst"/>
    <w:basedOn w:val="Normal"/>
    <w:rsid w:val="00F51615"/>
    <w:pPr>
      <w:spacing w:after="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unhideWhenUsed/>
    <w:rsid w:val="00F5161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1pt">
    <w:name w:val="Normal + 11 pt"/>
    <w:aliases w:val="Bold,Justified,Line spacing:  1.5 lines"/>
    <w:basedOn w:val="Normal"/>
    <w:rsid w:val="00F51615"/>
    <w:pPr>
      <w:widowControl w:val="0"/>
      <w:adjustRightInd w:val="0"/>
      <w:spacing w:after="0" w:line="360" w:lineRule="auto"/>
      <w:jc w:val="both"/>
      <w:textAlignment w:val="baseline"/>
    </w:pPr>
    <w:rPr>
      <w:rFonts w:ascii="Times New Roman" w:eastAsia="Times New Roman" w:hAnsi="Times New Roman" w:cs="Times New Roman"/>
      <w:b/>
      <w:lang w:val="en-GB" w:eastAsia="lv-LV"/>
    </w:rPr>
  </w:style>
  <w:style w:type="paragraph" w:styleId="BodyText">
    <w:name w:val="Body Text"/>
    <w:basedOn w:val="Normal"/>
    <w:link w:val="BodyTextChar"/>
    <w:uiPriority w:val="99"/>
    <w:semiHidden/>
    <w:unhideWhenUsed/>
    <w:rsid w:val="00F51615"/>
    <w:pPr>
      <w:spacing w:after="120" w:line="240" w:lineRule="auto"/>
      <w:ind w:firstLine="567"/>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F51615"/>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F51615"/>
    <w:pPr>
      <w:spacing w:after="120" w:line="240" w:lineRule="auto"/>
      <w:ind w:firstLine="567"/>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F51615"/>
    <w:rPr>
      <w:rFonts w:ascii="Times New Roman" w:eastAsia="Times New Roman" w:hAnsi="Times New Roman" w:cs="Times New Roman"/>
      <w:sz w:val="16"/>
      <w:szCs w:val="16"/>
    </w:rPr>
  </w:style>
  <w:style w:type="paragraph" w:styleId="TOC8">
    <w:name w:val="toc 8"/>
    <w:basedOn w:val="Normal"/>
    <w:next w:val="Normal"/>
    <w:autoRedefine/>
    <w:uiPriority w:val="39"/>
    <w:semiHidden/>
    <w:unhideWhenUsed/>
    <w:rsid w:val="00F51615"/>
    <w:pPr>
      <w:spacing w:after="120" w:line="240" w:lineRule="auto"/>
      <w:ind w:left="1680" w:firstLine="567"/>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F5161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51615"/>
    <w:rPr>
      <w:rFonts w:ascii="Consolas" w:eastAsia="Calibri" w:hAnsi="Consolas" w:cs="Times New Roman"/>
      <w:sz w:val="21"/>
      <w:szCs w:val="21"/>
    </w:rPr>
  </w:style>
  <w:style w:type="paragraph" w:customStyle="1" w:styleId="Text1">
    <w:name w:val="Text 1"/>
    <w:basedOn w:val="Normal"/>
    <w:uiPriority w:val="99"/>
    <w:rsid w:val="00F51615"/>
    <w:pPr>
      <w:spacing w:before="120" w:after="120" w:line="240" w:lineRule="auto"/>
      <w:ind w:left="850"/>
      <w:jc w:val="both"/>
    </w:pPr>
    <w:rPr>
      <w:rFonts w:ascii="Times New Roman" w:eastAsia="Times New Roman" w:hAnsi="Times New Roman" w:cs="Times New Roman"/>
      <w:sz w:val="24"/>
      <w:szCs w:val="20"/>
      <w:lang w:val="en-GB" w:eastAsia="de-DE"/>
    </w:rPr>
  </w:style>
  <w:style w:type="character" w:styleId="FollowedHyperlink">
    <w:name w:val="FollowedHyperlink"/>
    <w:uiPriority w:val="99"/>
    <w:semiHidden/>
    <w:unhideWhenUsed/>
    <w:rsid w:val="00F51615"/>
    <w:rPr>
      <w:color w:val="800080"/>
      <w:u w:val="single"/>
    </w:rPr>
  </w:style>
  <w:style w:type="paragraph" w:styleId="Revision">
    <w:name w:val="Revision"/>
    <w:hidden/>
    <w:uiPriority w:val="99"/>
    <w:semiHidden/>
    <w:rsid w:val="00F51615"/>
    <w:pPr>
      <w:spacing w:after="0" w:line="240" w:lineRule="auto"/>
    </w:pPr>
    <w:rPr>
      <w:rFonts w:ascii="Times New Roman" w:eastAsia="Times New Roman" w:hAnsi="Times New Roman" w:cs="Times New Roman"/>
      <w:sz w:val="24"/>
      <w:szCs w:val="20"/>
    </w:rPr>
  </w:style>
  <w:style w:type="paragraph" w:customStyle="1" w:styleId="tv2131">
    <w:name w:val="tv2131"/>
    <w:basedOn w:val="Normal"/>
    <w:rsid w:val="00F51615"/>
    <w:pPr>
      <w:spacing w:before="240" w:after="0" w:line="360" w:lineRule="auto"/>
      <w:ind w:firstLine="300"/>
      <w:jc w:val="both"/>
    </w:pPr>
    <w:rPr>
      <w:rFonts w:ascii="Verdana" w:eastAsia="Times New Roman" w:hAnsi="Verdana" w:cs="Times New Roman"/>
      <w:sz w:val="18"/>
      <w:szCs w:val="18"/>
      <w:lang w:eastAsia="lv-LV"/>
    </w:rPr>
  </w:style>
  <w:style w:type="paragraph" w:customStyle="1" w:styleId="CM1">
    <w:name w:val="CM1"/>
    <w:basedOn w:val="Default"/>
    <w:next w:val="Default"/>
    <w:uiPriority w:val="99"/>
    <w:rsid w:val="00F51615"/>
    <w:rPr>
      <w:rFonts w:ascii="EUAlbertina" w:eastAsia="Calibri" w:hAnsi="EUAlbertina"/>
      <w:color w:val="auto"/>
      <w:lang w:val="en-GB" w:eastAsia="en-GB"/>
    </w:rPr>
  </w:style>
  <w:style w:type="character" w:customStyle="1" w:styleId="st1">
    <w:name w:val="st1"/>
    <w:basedOn w:val="DefaultParagraphFont"/>
    <w:rsid w:val="00F51615"/>
  </w:style>
  <w:style w:type="paragraph" w:customStyle="1" w:styleId="mt-translation1">
    <w:name w:val="mt-translation1"/>
    <w:basedOn w:val="Normal"/>
    <w:rsid w:val="00F51615"/>
    <w:pPr>
      <w:spacing w:after="0" w:line="240" w:lineRule="auto"/>
    </w:pPr>
    <w:rPr>
      <w:rFonts w:ascii="Segoe UI" w:eastAsia="Times New Roman" w:hAnsi="Segoe UI" w:cs="Segoe UI"/>
      <w:lang w:eastAsia="lv-LV"/>
    </w:rPr>
  </w:style>
  <w:style w:type="table" w:customStyle="1" w:styleId="ListTable3-Accent11">
    <w:name w:val="List Table 3 - Accent 11"/>
    <w:basedOn w:val="TableNormal"/>
    <w:uiPriority w:val="48"/>
    <w:rsid w:val="00400D0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2-Accent11">
    <w:name w:val="Grid Table 2 - Accent 11"/>
    <w:basedOn w:val="TableNormal"/>
    <w:uiPriority w:val="47"/>
    <w:rsid w:val="00400D0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TableNormal"/>
    <w:uiPriority w:val="46"/>
    <w:rsid w:val="00400D0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00D0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00D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400D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400D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5775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0144E7"/>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609E"/>
  </w:style>
  <w:style w:type="table" w:customStyle="1" w:styleId="TableGrid2">
    <w:name w:val="Table Grid2"/>
    <w:basedOn w:val="TableNormal"/>
    <w:next w:val="TableGrid"/>
    <w:uiPriority w:val="39"/>
    <w:rsid w:val="0009609E"/>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67FC"/>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EE7F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EE7F4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811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ps">
    <w:name w:val="hps"/>
    <w:basedOn w:val="DefaultParagraphFont"/>
    <w:rsid w:val="00DB2B30"/>
  </w:style>
  <w:style w:type="numbering" w:customStyle="1" w:styleId="NoList2">
    <w:name w:val="No List2"/>
    <w:next w:val="NoList"/>
    <w:uiPriority w:val="99"/>
    <w:semiHidden/>
    <w:unhideWhenUsed/>
    <w:rsid w:val="000B788C"/>
  </w:style>
  <w:style w:type="character" w:customStyle="1" w:styleId="apple-converted-space">
    <w:name w:val="apple-converted-space"/>
    <w:basedOn w:val="DefaultParagraphFont"/>
    <w:rsid w:val="002046C8"/>
  </w:style>
  <w:style w:type="table" w:customStyle="1" w:styleId="GridTable6Colorful-Accent110">
    <w:name w:val="Grid Table 6 Colorful - Accent 11"/>
    <w:basedOn w:val="TableNormal"/>
    <w:uiPriority w:val="51"/>
    <w:rsid w:val="00B70A8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3">
    <w:name w:val="No List3"/>
    <w:next w:val="NoList"/>
    <w:uiPriority w:val="99"/>
    <w:semiHidden/>
    <w:unhideWhenUsed/>
    <w:rsid w:val="00CE6BCD"/>
  </w:style>
  <w:style w:type="table" w:customStyle="1" w:styleId="TableGrid4">
    <w:name w:val="Table Grid4"/>
    <w:basedOn w:val="TableNormal"/>
    <w:next w:val="TableGrid"/>
    <w:uiPriority w:val="39"/>
    <w:rsid w:val="00CE6BCD"/>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6BCD"/>
    <w:pPr>
      <w:spacing w:after="0" w:line="240" w:lineRule="auto"/>
    </w:pPr>
    <w:rPr>
      <w:rFonts w:ascii="Times New Roman" w:eastAsia="Calibri"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3">
    <w:name w:val="Grid Table 6 Colorful - Accent 13"/>
    <w:basedOn w:val="TableNormal"/>
    <w:next w:val="GridTable6Colorful-Accent11"/>
    <w:uiPriority w:val="51"/>
    <w:rsid w:val="008E57F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2">
    <w:name w:val="Grid Table 6 Colorful - Accent 12"/>
    <w:basedOn w:val="TableNormal"/>
    <w:next w:val="GridTable6Colorful-Accent11"/>
    <w:uiPriority w:val="51"/>
    <w:rsid w:val="008E57F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3">
    <w:name w:val="Style3"/>
    <w:basedOn w:val="Heading3"/>
    <w:link w:val="Style3Char"/>
    <w:qFormat/>
    <w:rsid w:val="0077183B"/>
    <w:pPr>
      <w:numPr>
        <w:ilvl w:val="0"/>
        <w:numId w:val="0"/>
      </w:numPr>
      <w:jc w:val="center"/>
    </w:pPr>
    <w:rPr>
      <w:rFonts w:ascii="Times New Roman" w:hAnsi="Times New Roman" w:cs="Times New Roman"/>
      <w:sz w:val="28"/>
      <w:szCs w:val="32"/>
    </w:rPr>
  </w:style>
  <w:style w:type="table" w:customStyle="1" w:styleId="GridTable4-Accent51">
    <w:name w:val="Grid Table 4 - Accent 51"/>
    <w:basedOn w:val="TableNormal"/>
    <w:uiPriority w:val="49"/>
    <w:rsid w:val="0077183B"/>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3Char">
    <w:name w:val="Style3 Char"/>
    <w:basedOn w:val="Heading3Char"/>
    <w:link w:val="Style3"/>
    <w:rsid w:val="0077183B"/>
    <w:rPr>
      <w:rFonts w:ascii="Times New Roman" w:eastAsiaTheme="majorEastAsia" w:hAnsi="Times New Roman" w:cs="Times New Roman"/>
      <w:b/>
      <w:bCs/>
      <w:color w:val="000000" w:themeColor="text1"/>
      <w:sz w:val="28"/>
      <w:szCs w:val="32"/>
    </w:rPr>
  </w:style>
  <w:style w:type="table" w:customStyle="1" w:styleId="ListTable3-Accent51">
    <w:name w:val="List Table 3 - Accent 51"/>
    <w:basedOn w:val="TableNormal"/>
    <w:uiPriority w:val="48"/>
    <w:rsid w:val="0077183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5">
    <w:name w:val="Table Grid5"/>
    <w:basedOn w:val="TableNormal"/>
    <w:next w:val="TableGrid"/>
    <w:uiPriority w:val="39"/>
    <w:rsid w:val="00C6773B"/>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616B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har2">
    <w:name w:val="Char2"/>
    <w:aliases w:val="Char Char Char Char"/>
    <w:basedOn w:val="Normal"/>
    <w:next w:val="Normal"/>
    <w:link w:val="FootnoteReference"/>
    <w:uiPriority w:val="99"/>
    <w:rsid w:val="005F4C67"/>
    <w:pPr>
      <w:spacing w:line="240" w:lineRule="exact"/>
      <w:jc w:val="both"/>
      <w:textAlignment w:val="baseline"/>
    </w:pPr>
    <w:rPr>
      <w:rFonts w:ascii="Garamond" w:hAnsi="Garamond"/>
      <w:sz w:val="20"/>
      <w:vertAlign w:val="superscript"/>
    </w:rPr>
  </w:style>
  <w:style w:type="character" w:styleId="HTMLCite">
    <w:name w:val="HTML Cite"/>
    <w:basedOn w:val="DefaultParagraphFont"/>
    <w:uiPriority w:val="99"/>
    <w:semiHidden/>
    <w:unhideWhenUsed/>
    <w:rsid w:val="002D4062"/>
    <w:rPr>
      <w:i/>
      <w:iCs/>
    </w:rPr>
  </w:style>
  <w:style w:type="table" w:customStyle="1" w:styleId="ListTable1Light-Accent41">
    <w:name w:val="List Table 1 Light - Accent 41"/>
    <w:basedOn w:val="TableNormal"/>
    <w:uiPriority w:val="46"/>
    <w:rsid w:val="006C67E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1">
    <w:name w:val="Grid Table 6 Colorful - Accent 21"/>
    <w:basedOn w:val="TableNormal"/>
    <w:uiPriority w:val="51"/>
    <w:rsid w:val="006C67E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15">
    <w:name w:val="Grid Table 6 Colorful - Accent 15"/>
    <w:basedOn w:val="TableNormal"/>
    <w:next w:val="GridTable6Colorful-Accent11"/>
    <w:uiPriority w:val="51"/>
    <w:rsid w:val="00CA00D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4">
    <w:name w:val="Grid Table 6 Colorful - Accent 14"/>
    <w:basedOn w:val="TableNormal"/>
    <w:next w:val="GridTable6Colorful-Accent11"/>
    <w:uiPriority w:val="51"/>
    <w:rsid w:val="00B45C68"/>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15">
      <w:bodyDiv w:val="1"/>
      <w:marLeft w:val="0"/>
      <w:marRight w:val="0"/>
      <w:marTop w:val="0"/>
      <w:marBottom w:val="0"/>
      <w:divBdr>
        <w:top w:val="none" w:sz="0" w:space="0" w:color="auto"/>
        <w:left w:val="none" w:sz="0" w:space="0" w:color="auto"/>
        <w:bottom w:val="none" w:sz="0" w:space="0" w:color="auto"/>
        <w:right w:val="none" w:sz="0" w:space="0" w:color="auto"/>
      </w:divBdr>
    </w:div>
    <w:div w:id="29884897">
      <w:bodyDiv w:val="1"/>
      <w:marLeft w:val="0"/>
      <w:marRight w:val="0"/>
      <w:marTop w:val="0"/>
      <w:marBottom w:val="0"/>
      <w:divBdr>
        <w:top w:val="none" w:sz="0" w:space="0" w:color="auto"/>
        <w:left w:val="none" w:sz="0" w:space="0" w:color="auto"/>
        <w:bottom w:val="none" w:sz="0" w:space="0" w:color="auto"/>
        <w:right w:val="none" w:sz="0" w:space="0" w:color="auto"/>
      </w:divBdr>
    </w:div>
    <w:div w:id="35666004">
      <w:bodyDiv w:val="1"/>
      <w:marLeft w:val="0"/>
      <w:marRight w:val="0"/>
      <w:marTop w:val="0"/>
      <w:marBottom w:val="0"/>
      <w:divBdr>
        <w:top w:val="none" w:sz="0" w:space="0" w:color="auto"/>
        <w:left w:val="none" w:sz="0" w:space="0" w:color="auto"/>
        <w:bottom w:val="none" w:sz="0" w:space="0" w:color="auto"/>
        <w:right w:val="none" w:sz="0" w:space="0" w:color="auto"/>
      </w:divBdr>
    </w:div>
    <w:div w:id="40982938">
      <w:bodyDiv w:val="1"/>
      <w:marLeft w:val="0"/>
      <w:marRight w:val="0"/>
      <w:marTop w:val="0"/>
      <w:marBottom w:val="0"/>
      <w:divBdr>
        <w:top w:val="none" w:sz="0" w:space="0" w:color="auto"/>
        <w:left w:val="none" w:sz="0" w:space="0" w:color="auto"/>
        <w:bottom w:val="none" w:sz="0" w:space="0" w:color="auto"/>
        <w:right w:val="none" w:sz="0" w:space="0" w:color="auto"/>
      </w:divBdr>
    </w:div>
    <w:div w:id="74086681">
      <w:bodyDiv w:val="1"/>
      <w:marLeft w:val="0"/>
      <w:marRight w:val="0"/>
      <w:marTop w:val="0"/>
      <w:marBottom w:val="0"/>
      <w:divBdr>
        <w:top w:val="none" w:sz="0" w:space="0" w:color="auto"/>
        <w:left w:val="none" w:sz="0" w:space="0" w:color="auto"/>
        <w:bottom w:val="none" w:sz="0" w:space="0" w:color="auto"/>
        <w:right w:val="none" w:sz="0" w:space="0" w:color="auto"/>
      </w:divBdr>
    </w:div>
    <w:div w:id="75829142">
      <w:bodyDiv w:val="1"/>
      <w:marLeft w:val="0"/>
      <w:marRight w:val="0"/>
      <w:marTop w:val="0"/>
      <w:marBottom w:val="0"/>
      <w:divBdr>
        <w:top w:val="none" w:sz="0" w:space="0" w:color="auto"/>
        <w:left w:val="none" w:sz="0" w:space="0" w:color="auto"/>
        <w:bottom w:val="none" w:sz="0" w:space="0" w:color="auto"/>
        <w:right w:val="none" w:sz="0" w:space="0" w:color="auto"/>
      </w:divBdr>
    </w:div>
    <w:div w:id="306204804">
      <w:bodyDiv w:val="1"/>
      <w:marLeft w:val="0"/>
      <w:marRight w:val="0"/>
      <w:marTop w:val="0"/>
      <w:marBottom w:val="0"/>
      <w:divBdr>
        <w:top w:val="none" w:sz="0" w:space="0" w:color="auto"/>
        <w:left w:val="none" w:sz="0" w:space="0" w:color="auto"/>
        <w:bottom w:val="none" w:sz="0" w:space="0" w:color="auto"/>
        <w:right w:val="none" w:sz="0" w:space="0" w:color="auto"/>
      </w:divBdr>
    </w:div>
    <w:div w:id="308676669">
      <w:bodyDiv w:val="1"/>
      <w:marLeft w:val="0"/>
      <w:marRight w:val="0"/>
      <w:marTop w:val="0"/>
      <w:marBottom w:val="0"/>
      <w:divBdr>
        <w:top w:val="none" w:sz="0" w:space="0" w:color="auto"/>
        <w:left w:val="none" w:sz="0" w:space="0" w:color="auto"/>
        <w:bottom w:val="none" w:sz="0" w:space="0" w:color="auto"/>
        <w:right w:val="none" w:sz="0" w:space="0" w:color="auto"/>
      </w:divBdr>
    </w:div>
    <w:div w:id="312829947">
      <w:bodyDiv w:val="1"/>
      <w:marLeft w:val="0"/>
      <w:marRight w:val="0"/>
      <w:marTop w:val="0"/>
      <w:marBottom w:val="0"/>
      <w:divBdr>
        <w:top w:val="none" w:sz="0" w:space="0" w:color="auto"/>
        <w:left w:val="none" w:sz="0" w:space="0" w:color="auto"/>
        <w:bottom w:val="none" w:sz="0" w:space="0" w:color="auto"/>
        <w:right w:val="none" w:sz="0" w:space="0" w:color="auto"/>
      </w:divBdr>
    </w:div>
    <w:div w:id="316032292">
      <w:bodyDiv w:val="1"/>
      <w:marLeft w:val="0"/>
      <w:marRight w:val="0"/>
      <w:marTop w:val="0"/>
      <w:marBottom w:val="0"/>
      <w:divBdr>
        <w:top w:val="none" w:sz="0" w:space="0" w:color="auto"/>
        <w:left w:val="none" w:sz="0" w:space="0" w:color="auto"/>
        <w:bottom w:val="none" w:sz="0" w:space="0" w:color="auto"/>
        <w:right w:val="none" w:sz="0" w:space="0" w:color="auto"/>
      </w:divBdr>
    </w:div>
    <w:div w:id="364912471">
      <w:bodyDiv w:val="1"/>
      <w:marLeft w:val="0"/>
      <w:marRight w:val="0"/>
      <w:marTop w:val="0"/>
      <w:marBottom w:val="0"/>
      <w:divBdr>
        <w:top w:val="none" w:sz="0" w:space="0" w:color="auto"/>
        <w:left w:val="none" w:sz="0" w:space="0" w:color="auto"/>
        <w:bottom w:val="none" w:sz="0" w:space="0" w:color="auto"/>
        <w:right w:val="none" w:sz="0" w:space="0" w:color="auto"/>
      </w:divBdr>
    </w:div>
    <w:div w:id="382173104">
      <w:bodyDiv w:val="1"/>
      <w:marLeft w:val="0"/>
      <w:marRight w:val="0"/>
      <w:marTop w:val="0"/>
      <w:marBottom w:val="0"/>
      <w:divBdr>
        <w:top w:val="none" w:sz="0" w:space="0" w:color="auto"/>
        <w:left w:val="none" w:sz="0" w:space="0" w:color="auto"/>
        <w:bottom w:val="none" w:sz="0" w:space="0" w:color="auto"/>
        <w:right w:val="none" w:sz="0" w:space="0" w:color="auto"/>
      </w:divBdr>
    </w:div>
    <w:div w:id="382411144">
      <w:bodyDiv w:val="1"/>
      <w:marLeft w:val="0"/>
      <w:marRight w:val="0"/>
      <w:marTop w:val="0"/>
      <w:marBottom w:val="0"/>
      <w:divBdr>
        <w:top w:val="none" w:sz="0" w:space="0" w:color="auto"/>
        <w:left w:val="none" w:sz="0" w:space="0" w:color="auto"/>
        <w:bottom w:val="none" w:sz="0" w:space="0" w:color="auto"/>
        <w:right w:val="none" w:sz="0" w:space="0" w:color="auto"/>
      </w:divBdr>
    </w:div>
    <w:div w:id="406004907">
      <w:bodyDiv w:val="1"/>
      <w:marLeft w:val="0"/>
      <w:marRight w:val="0"/>
      <w:marTop w:val="0"/>
      <w:marBottom w:val="0"/>
      <w:divBdr>
        <w:top w:val="none" w:sz="0" w:space="0" w:color="auto"/>
        <w:left w:val="none" w:sz="0" w:space="0" w:color="auto"/>
        <w:bottom w:val="none" w:sz="0" w:space="0" w:color="auto"/>
        <w:right w:val="none" w:sz="0" w:space="0" w:color="auto"/>
      </w:divBdr>
    </w:div>
    <w:div w:id="516312171">
      <w:bodyDiv w:val="1"/>
      <w:marLeft w:val="0"/>
      <w:marRight w:val="0"/>
      <w:marTop w:val="0"/>
      <w:marBottom w:val="0"/>
      <w:divBdr>
        <w:top w:val="none" w:sz="0" w:space="0" w:color="auto"/>
        <w:left w:val="none" w:sz="0" w:space="0" w:color="auto"/>
        <w:bottom w:val="none" w:sz="0" w:space="0" w:color="auto"/>
        <w:right w:val="none" w:sz="0" w:space="0" w:color="auto"/>
      </w:divBdr>
    </w:div>
    <w:div w:id="581915553">
      <w:bodyDiv w:val="1"/>
      <w:marLeft w:val="0"/>
      <w:marRight w:val="0"/>
      <w:marTop w:val="0"/>
      <w:marBottom w:val="0"/>
      <w:divBdr>
        <w:top w:val="none" w:sz="0" w:space="0" w:color="auto"/>
        <w:left w:val="none" w:sz="0" w:space="0" w:color="auto"/>
        <w:bottom w:val="none" w:sz="0" w:space="0" w:color="auto"/>
        <w:right w:val="none" w:sz="0" w:space="0" w:color="auto"/>
      </w:divBdr>
    </w:div>
    <w:div w:id="602149471">
      <w:bodyDiv w:val="1"/>
      <w:marLeft w:val="0"/>
      <w:marRight w:val="0"/>
      <w:marTop w:val="0"/>
      <w:marBottom w:val="0"/>
      <w:divBdr>
        <w:top w:val="none" w:sz="0" w:space="0" w:color="auto"/>
        <w:left w:val="none" w:sz="0" w:space="0" w:color="auto"/>
        <w:bottom w:val="none" w:sz="0" w:space="0" w:color="auto"/>
        <w:right w:val="none" w:sz="0" w:space="0" w:color="auto"/>
      </w:divBdr>
    </w:div>
    <w:div w:id="645016098">
      <w:bodyDiv w:val="1"/>
      <w:marLeft w:val="0"/>
      <w:marRight w:val="0"/>
      <w:marTop w:val="0"/>
      <w:marBottom w:val="0"/>
      <w:divBdr>
        <w:top w:val="none" w:sz="0" w:space="0" w:color="auto"/>
        <w:left w:val="none" w:sz="0" w:space="0" w:color="auto"/>
        <w:bottom w:val="none" w:sz="0" w:space="0" w:color="auto"/>
        <w:right w:val="none" w:sz="0" w:space="0" w:color="auto"/>
      </w:divBdr>
    </w:div>
    <w:div w:id="684596545">
      <w:bodyDiv w:val="1"/>
      <w:marLeft w:val="0"/>
      <w:marRight w:val="0"/>
      <w:marTop w:val="0"/>
      <w:marBottom w:val="0"/>
      <w:divBdr>
        <w:top w:val="none" w:sz="0" w:space="0" w:color="auto"/>
        <w:left w:val="none" w:sz="0" w:space="0" w:color="auto"/>
        <w:bottom w:val="none" w:sz="0" w:space="0" w:color="auto"/>
        <w:right w:val="none" w:sz="0" w:space="0" w:color="auto"/>
      </w:divBdr>
    </w:div>
    <w:div w:id="829563314">
      <w:bodyDiv w:val="1"/>
      <w:marLeft w:val="0"/>
      <w:marRight w:val="0"/>
      <w:marTop w:val="0"/>
      <w:marBottom w:val="0"/>
      <w:divBdr>
        <w:top w:val="none" w:sz="0" w:space="0" w:color="auto"/>
        <w:left w:val="none" w:sz="0" w:space="0" w:color="auto"/>
        <w:bottom w:val="none" w:sz="0" w:space="0" w:color="auto"/>
        <w:right w:val="none" w:sz="0" w:space="0" w:color="auto"/>
      </w:divBdr>
    </w:div>
    <w:div w:id="944507542">
      <w:bodyDiv w:val="1"/>
      <w:marLeft w:val="0"/>
      <w:marRight w:val="0"/>
      <w:marTop w:val="0"/>
      <w:marBottom w:val="0"/>
      <w:divBdr>
        <w:top w:val="none" w:sz="0" w:space="0" w:color="auto"/>
        <w:left w:val="none" w:sz="0" w:space="0" w:color="auto"/>
        <w:bottom w:val="none" w:sz="0" w:space="0" w:color="auto"/>
        <w:right w:val="none" w:sz="0" w:space="0" w:color="auto"/>
      </w:divBdr>
    </w:div>
    <w:div w:id="951742720">
      <w:bodyDiv w:val="1"/>
      <w:marLeft w:val="0"/>
      <w:marRight w:val="0"/>
      <w:marTop w:val="0"/>
      <w:marBottom w:val="0"/>
      <w:divBdr>
        <w:top w:val="none" w:sz="0" w:space="0" w:color="auto"/>
        <w:left w:val="none" w:sz="0" w:space="0" w:color="auto"/>
        <w:bottom w:val="none" w:sz="0" w:space="0" w:color="auto"/>
        <w:right w:val="none" w:sz="0" w:space="0" w:color="auto"/>
      </w:divBdr>
    </w:div>
    <w:div w:id="951861105">
      <w:bodyDiv w:val="1"/>
      <w:marLeft w:val="0"/>
      <w:marRight w:val="0"/>
      <w:marTop w:val="0"/>
      <w:marBottom w:val="0"/>
      <w:divBdr>
        <w:top w:val="none" w:sz="0" w:space="0" w:color="auto"/>
        <w:left w:val="none" w:sz="0" w:space="0" w:color="auto"/>
        <w:bottom w:val="none" w:sz="0" w:space="0" w:color="auto"/>
        <w:right w:val="none" w:sz="0" w:space="0" w:color="auto"/>
      </w:divBdr>
    </w:div>
    <w:div w:id="994065472">
      <w:bodyDiv w:val="1"/>
      <w:marLeft w:val="0"/>
      <w:marRight w:val="0"/>
      <w:marTop w:val="0"/>
      <w:marBottom w:val="0"/>
      <w:divBdr>
        <w:top w:val="none" w:sz="0" w:space="0" w:color="auto"/>
        <w:left w:val="none" w:sz="0" w:space="0" w:color="auto"/>
        <w:bottom w:val="none" w:sz="0" w:space="0" w:color="auto"/>
        <w:right w:val="none" w:sz="0" w:space="0" w:color="auto"/>
      </w:divBdr>
    </w:div>
    <w:div w:id="1028681681">
      <w:bodyDiv w:val="1"/>
      <w:marLeft w:val="0"/>
      <w:marRight w:val="0"/>
      <w:marTop w:val="0"/>
      <w:marBottom w:val="0"/>
      <w:divBdr>
        <w:top w:val="none" w:sz="0" w:space="0" w:color="auto"/>
        <w:left w:val="none" w:sz="0" w:space="0" w:color="auto"/>
        <w:bottom w:val="none" w:sz="0" w:space="0" w:color="auto"/>
        <w:right w:val="none" w:sz="0" w:space="0" w:color="auto"/>
      </w:divBdr>
    </w:div>
    <w:div w:id="1031416789">
      <w:bodyDiv w:val="1"/>
      <w:marLeft w:val="0"/>
      <w:marRight w:val="0"/>
      <w:marTop w:val="0"/>
      <w:marBottom w:val="0"/>
      <w:divBdr>
        <w:top w:val="none" w:sz="0" w:space="0" w:color="auto"/>
        <w:left w:val="none" w:sz="0" w:space="0" w:color="auto"/>
        <w:bottom w:val="none" w:sz="0" w:space="0" w:color="auto"/>
        <w:right w:val="none" w:sz="0" w:space="0" w:color="auto"/>
      </w:divBdr>
    </w:div>
    <w:div w:id="1035042229">
      <w:bodyDiv w:val="1"/>
      <w:marLeft w:val="0"/>
      <w:marRight w:val="0"/>
      <w:marTop w:val="0"/>
      <w:marBottom w:val="0"/>
      <w:divBdr>
        <w:top w:val="none" w:sz="0" w:space="0" w:color="auto"/>
        <w:left w:val="none" w:sz="0" w:space="0" w:color="auto"/>
        <w:bottom w:val="none" w:sz="0" w:space="0" w:color="auto"/>
        <w:right w:val="none" w:sz="0" w:space="0" w:color="auto"/>
      </w:divBdr>
    </w:div>
    <w:div w:id="1083185001">
      <w:bodyDiv w:val="1"/>
      <w:marLeft w:val="0"/>
      <w:marRight w:val="0"/>
      <w:marTop w:val="0"/>
      <w:marBottom w:val="0"/>
      <w:divBdr>
        <w:top w:val="none" w:sz="0" w:space="0" w:color="auto"/>
        <w:left w:val="none" w:sz="0" w:space="0" w:color="auto"/>
        <w:bottom w:val="none" w:sz="0" w:space="0" w:color="auto"/>
        <w:right w:val="none" w:sz="0" w:space="0" w:color="auto"/>
      </w:divBdr>
    </w:div>
    <w:div w:id="1137533331">
      <w:bodyDiv w:val="1"/>
      <w:marLeft w:val="0"/>
      <w:marRight w:val="0"/>
      <w:marTop w:val="0"/>
      <w:marBottom w:val="0"/>
      <w:divBdr>
        <w:top w:val="none" w:sz="0" w:space="0" w:color="auto"/>
        <w:left w:val="none" w:sz="0" w:space="0" w:color="auto"/>
        <w:bottom w:val="none" w:sz="0" w:space="0" w:color="auto"/>
        <w:right w:val="none" w:sz="0" w:space="0" w:color="auto"/>
      </w:divBdr>
    </w:div>
    <w:div w:id="1202282923">
      <w:bodyDiv w:val="1"/>
      <w:marLeft w:val="0"/>
      <w:marRight w:val="0"/>
      <w:marTop w:val="0"/>
      <w:marBottom w:val="0"/>
      <w:divBdr>
        <w:top w:val="none" w:sz="0" w:space="0" w:color="auto"/>
        <w:left w:val="none" w:sz="0" w:space="0" w:color="auto"/>
        <w:bottom w:val="none" w:sz="0" w:space="0" w:color="auto"/>
        <w:right w:val="none" w:sz="0" w:space="0" w:color="auto"/>
      </w:divBdr>
    </w:div>
    <w:div w:id="1234776103">
      <w:bodyDiv w:val="1"/>
      <w:marLeft w:val="0"/>
      <w:marRight w:val="0"/>
      <w:marTop w:val="0"/>
      <w:marBottom w:val="0"/>
      <w:divBdr>
        <w:top w:val="none" w:sz="0" w:space="0" w:color="auto"/>
        <w:left w:val="none" w:sz="0" w:space="0" w:color="auto"/>
        <w:bottom w:val="none" w:sz="0" w:space="0" w:color="auto"/>
        <w:right w:val="none" w:sz="0" w:space="0" w:color="auto"/>
      </w:divBdr>
    </w:div>
    <w:div w:id="1244411302">
      <w:bodyDiv w:val="1"/>
      <w:marLeft w:val="0"/>
      <w:marRight w:val="0"/>
      <w:marTop w:val="0"/>
      <w:marBottom w:val="0"/>
      <w:divBdr>
        <w:top w:val="none" w:sz="0" w:space="0" w:color="auto"/>
        <w:left w:val="none" w:sz="0" w:space="0" w:color="auto"/>
        <w:bottom w:val="none" w:sz="0" w:space="0" w:color="auto"/>
        <w:right w:val="none" w:sz="0" w:space="0" w:color="auto"/>
      </w:divBdr>
    </w:div>
    <w:div w:id="1301838879">
      <w:bodyDiv w:val="1"/>
      <w:marLeft w:val="0"/>
      <w:marRight w:val="0"/>
      <w:marTop w:val="0"/>
      <w:marBottom w:val="0"/>
      <w:divBdr>
        <w:top w:val="none" w:sz="0" w:space="0" w:color="auto"/>
        <w:left w:val="none" w:sz="0" w:space="0" w:color="auto"/>
        <w:bottom w:val="none" w:sz="0" w:space="0" w:color="auto"/>
        <w:right w:val="none" w:sz="0" w:space="0" w:color="auto"/>
      </w:divBdr>
    </w:div>
    <w:div w:id="1394113210">
      <w:bodyDiv w:val="1"/>
      <w:marLeft w:val="0"/>
      <w:marRight w:val="0"/>
      <w:marTop w:val="0"/>
      <w:marBottom w:val="0"/>
      <w:divBdr>
        <w:top w:val="none" w:sz="0" w:space="0" w:color="auto"/>
        <w:left w:val="none" w:sz="0" w:space="0" w:color="auto"/>
        <w:bottom w:val="none" w:sz="0" w:space="0" w:color="auto"/>
        <w:right w:val="none" w:sz="0" w:space="0" w:color="auto"/>
      </w:divBdr>
    </w:div>
    <w:div w:id="1420523522">
      <w:bodyDiv w:val="1"/>
      <w:marLeft w:val="0"/>
      <w:marRight w:val="0"/>
      <w:marTop w:val="0"/>
      <w:marBottom w:val="0"/>
      <w:divBdr>
        <w:top w:val="none" w:sz="0" w:space="0" w:color="auto"/>
        <w:left w:val="none" w:sz="0" w:space="0" w:color="auto"/>
        <w:bottom w:val="none" w:sz="0" w:space="0" w:color="auto"/>
        <w:right w:val="none" w:sz="0" w:space="0" w:color="auto"/>
      </w:divBdr>
    </w:div>
    <w:div w:id="1424378592">
      <w:bodyDiv w:val="1"/>
      <w:marLeft w:val="0"/>
      <w:marRight w:val="0"/>
      <w:marTop w:val="0"/>
      <w:marBottom w:val="0"/>
      <w:divBdr>
        <w:top w:val="none" w:sz="0" w:space="0" w:color="auto"/>
        <w:left w:val="none" w:sz="0" w:space="0" w:color="auto"/>
        <w:bottom w:val="none" w:sz="0" w:space="0" w:color="auto"/>
        <w:right w:val="none" w:sz="0" w:space="0" w:color="auto"/>
      </w:divBdr>
    </w:div>
    <w:div w:id="1457064674">
      <w:bodyDiv w:val="1"/>
      <w:marLeft w:val="0"/>
      <w:marRight w:val="0"/>
      <w:marTop w:val="0"/>
      <w:marBottom w:val="0"/>
      <w:divBdr>
        <w:top w:val="none" w:sz="0" w:space="0" w:color="auto"/>
        <w:left w:val="none" w:sz="0" w:space="0" w:color="auto"/>
        <w:bottom w:val="none" w:sz="0" w:space="0" w:color="auto"/>
        <w:right w:val="none" w:sz="0" w:space="0" w:color="auto"/>
      </w:divBdr>
    </w:div>
    <w:div w:id="1467819897">
      <w:bodyDiv w:val="1"/>
      <w:marLeft w:val="0"/>
      <w:marRight w:val="0"/>
      <w:marTop w:val="0"/>
      <w:marBottom w:val="0"/>
      <w:divBdr>
        <w:top w:val="none" w:sz="0" w:space="0" w:color="auto"/>
        <w:left w:val="none" w:sz="0" w:space="0" w:color="auto"/>
        <w:bottom w:val="none" w:sz="0" w:space="0" w:color="auto"/>
        <w:right w:val="none" w:sz="0" w:space="0" w:color="auto"/>
      </w:divBdr>
    </w:div>
    <w:div w:id="1469130278">
      <w:bodyDiv w:val="1"/>
      <w:marLeft w:val="0"/>
      <w:marRight w:val="0"/>
      <w:marTop w:val="0"/>
      <w:marBottom w:val="0"/>
      <w:divBdr>
        <w:top w:val="none" w:sz="0" w:space="0" w:color="auto"/>
        <w:left w:val="none" w:sz="0" w:space="0" w:color="auto"/>
        <w:bottom w:val="none" w:sz="0" w:space="0" w:color="auto"/>
        <w:right w:val="none" w:sz="0" w:space="0" w:color="auto"/>
      </w:divBdr>
    </w:div>
    <w:div w:id="1598633343">
      <w:bodyDiv w:val="1"/>
      <w:marLeft w:val="0"/>
      <w:marRight w:val="0"/>
      <w:marTop w:val="0"/>
      <w:marBottom w:val="0"/>
      <w:divBdr>
        <w:top w:val="none" w:sz="0" w:space="0" w:color="auto"/>
        <w:left w:val="none" w:sz="0" w:space="0" w:color="auto"/>
        <w:bottom w:val="none" w:sz="0" w:space="0" w:color="auto"/>
        <w:right w:val="none" w:sz="0" w:space="0" w:color="auto"/>
      </w:divBdr>
    </w:div>
    <w:div w:id="1620605040">
      <w:bodyDiv w:val="1"/>
      <w:marLeft w:val="0"/>
      <w:marRight w:val="0"/>
      <w:marTop w:val="0"/>
      <w:marBottom w:val="0"/>
      <w:divBdr>
        <w:top w:val="none" w:sz="0" w:space="0" w:color="auto"/>
        <w:left w:val="none" w:sz="0" w:space="0" w:color="auto"/>
        <w:bottom w:val="none" w:sz="0" w:space="0" w:color="auto"/>
        <w:right w:val="none" w:sz="0" w:space="0" w:color="auto"/>
      </w:divBdr>
    </w:div>
    <w:div w:id="1716419001">
      <w:bodyDiv w:val="1"/>
      <w:marLeft w:val="0"/>
      <w:marRight w:val="0"/>
      <w:marTop w:val="0"/>
      <w:marBottom w:val="0"/>
      <w:divBdr>
        <w:top w:val="none" w:sz="0" w:space="0" w:color="auto"/>
        <w:left w:val="none" w:sz="0" w:space="0" w:color="auto"/>
        <w:bottom w:val="none" w:sz="0" w:space="0" w:color="auto"/>
        <w:right w:val="none" w:sz="0" w:space="0" w:color="auto"/>
      </w:divBdr>
    </w:div>
    <w:div w:id="1717775540">
      <w:bodyDiv w:val="1"/>
      <w:marLeft w:val="0"/>
      <w:marRight w:val="0"/>
      <w:marTop w:val="0"/>
      <w:marBottom w:val="0"/>
      <w:divBdr>
        <w:top w:val="none" w:sz="0" w:space="0" w:color="auto"/>
        <w:left w:val="none" w:sz="0" w:space="0" w:color="auto"/>
        <w:bottom w:val="none" w:sz="0" w:space="0" w:color="auto"/>
        <w:right w:val="none" w:sz="0" w:space="0" w:color="auto"/>
      </w:divBdr>
    </w:div>
    <w:div w:id="1724672657">
      <w:bodyDiv w:val="1"/>
      <w:marLeft w:val="0"/>
      <w:marRight w:val="0"/>
      <w:marTop w:val="0"/>
      <w:marBottom w:val="0"/>
      <w:divBdr>
        <w:top w:val="none" w:sz="0" w:space="0" w:color="auto"/>
        <w:left w:val="none" w:sz="0" w:space="0" w:color="auto"/>
        <w:bottom w:val="none" w:sz="0" w:space="0" w:color="auto"/>
        <w:right w:val="none" w:sz="0" w:space="0" w:color="auto"/>
      </w:divBdr>
    </w:div>
    <w:div w:id="1742750254">
      <w:bodyDiv w:val="1"/>
      <w:marLeft w:val="0"/>
      <w:marRight w:val="0"/>
      <w:marTop w:val="0"/>
      <w:marBottom w:val="0"/>
      <w:divBdr>
        <w:top w:val="none" w:sz="0" w:space="0" w:color="auto"/>
        <w:left w:val="none" w:sz="0" w:space="0" w:color="auto"/>
        <w:bottom w:val="none" w:sz="0" w:space="0" w:color="auto"/>
        <w:right w:val="none" w:sz="0" w:space="0" w:color="auto"/>
      </w:divBdr>
    </w:div>
    <w:div w:id="1805270287">
      <w:bodyDiv w:val="1"/>
      <w:marLeft w:val="0"/>
      <w:marRight w:val="0"/>
      <w:marTop w:val="0"/>
      <w:marBottom w:val="0"/>
      <w:divBdr>
        <w:top w:val="none" w:sz="0" w:space="0" w:color="auto"/>
        <w:left w:val="none" w:sz="0" w:space="0" w:color="auto"/>
        <w:bottom w:val="none" w:sz="0" w:space="0" w:color="auto"/>
        <w:right w:val="none" w:sz="0" w:space="0" w:color="auto"/>
      </w:divBdr>
    </w:div>
    <w:div w:id="1891769886">
      <w:bodyDiv w:val="1"/>
      <w:marLeft w:val="0"/>
      <w:marRight w:val="0"/>
      <w:marTop w:val="0"/>
      <w:marBottom w:val="0"/>
      <w:divBdr>
        <w:top w:val="none" w:sz="0" w:space="0" w:color="auto"/>
        <w:left w:val="none" w:sz="0" w:space="0" w:color="auto"/>
        <w:bottom w:val="none" w:sz="0" w:space="0" w:color="auto"/>
        <w:right w:val="none" w:sz="0" w:space="0" w:color="auto"/>
      </w:divBdr>
    </w:div>
    <w:div w:id="1954284396">
      <w:bodyDiv w:val="1"/>
      <w:marLeft w:val="0"/>
      <w:marRight w:val="0"/>
      <w:marTop w:val="0"/>
      <w:marBottom w:val="0"/>
      <w:divBdr>
        <w:top w:val="none" w:sz="0" w:space="0" w:color="auto"/>
        <w:left w:val="none" w:sz="0" w:space="0" w:color="auto"/>
        <w:bottom w:val="none" w:sz="0" w:space="0" w:color="auto"/>
        <w:right w:val="none" w:sz="0" w:space="0" w:color="auto"/>
      </w:divBdr>
    </w:div>
    <w:div w:id="1991254365">
      <w:bodyDiv w:val="1"/>
      <w:marLeft w:val="0"/>
      <w:marRight w:val="0"/>
      <w:marTop w:val="0"/>
      <w:marBottom w:val="0"/>
      <w:divBdr>
        <w:top w:val="none" w:sz="0" w:space="0" w:color="auto"/>
        <w:left w:val="none" w:sz="0" w:space="0" w:color="auto"/>
        <w:bottom w:val="none" w:sz="0" w:space="0" w:color="auto"/>
        <w:right w:val="none" w:sz="0" w:space="0" w:color="auto"/>
      </w:divBdr>
    </w:div>
    <w:div w:id="2075885471">
      <w:bodyDiv w:val="1"/>
      <w:marLeft w:val="0"/>
      <w:marRight w:val="0"/>
      <w:marTop w:val="0"/>
      <w:marBottom w:val="0"/>
      <w:divBdr>
        <w:top w:val="none" w:sz="0" w:space="0" w:color="auto"/>
        <w:left w:val="none" w:sz="0" w:space="0" w:color="auto"/>
        <w:bottom w:val="none" w:sz="0" w:space="0" w:color="auto"/>
        <w:right w:val="none" w:sz="0" w:space="0" w:color="auto"/>
      </w:divBdr>
    </w:div>
    <w:div w:id="2101367432">
      <w:bodyDiv w:val="1"/>
      <w:marLeft w:val="0"/>
      <w:marRight w:val="0"/>
      <w:marTop w:val="0"/>
      <w:marBottom w:val="0"/>
      <w:divBdr>
        <w:top w:val="none" w:sz="0" w:space="0" w:color="auto"/>
        <w:left w:val="none" w:sz="0" w:space="0" w:color="auto"/>
        <w:bottom w:val="none" w:sz="0" w:space="0" w:color="auto"/>
        <w:right w:val="none" w:sz="0" w:space="0" w:color="auto"/>
      </w:divBdr>
    </w:div>
    <w:div w:id="2112891586">
      <w:bodyDiv w:val="1"/>
      <w:marLeft w:val="0"/>
      <w:marRight w:val="0"/>
      <w:marTop w:val="0"/>
      <w:marBottom w:val="0"/>
      <w:divBdr>
        <w:top w:val="none" w:sz="0" w:space="0" w:color="auto"/>
        <w:left w:val="none" w:sz="0" w:space="0" w:color="auto"/>
        <w:bottom w:val="none" w:sz="0" w:space="0" w:color="auto"/>
        <w:right w:val="none" w:sz="0" w:space="0" w:color="auto"/>
      </w:divBdr>
    </w:div>
    <w:div w:id="2129541071">
      <w:bodyDiv w:val="1"/>
      <w:marLeft w:val="0"/>
      <w:marRight w:val="0"/>
      <w:marTop w:val="0"/>
      <w:marBottom w:val="0"/>
      <w:divBdr>
        <w:top w:val="none" w:sz="0" w:space="0" w:color="auto"/>
        <w:left w:val="none" w:sz="0" w:space="0" w:color="auto"/>
        <w:bottom w:val="none" w:sz="0" w:space="0" w:color="auto"/>
        <w:right w:val="none" w:sz="0" w:space="0" w:color="auto"/>
      </w:divBdr>
    </w:div>
    <w:div w:id="21359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2.xml"/><Relationship Id="rId39" Type="http://schemas.openxmlformats.org/officeDocument/2006/relationships/theme" Target="theme/theme1.xml"/><Relationship Id="rId21" Type="http://schemas.openxmlformats.org/officeDocument/2006/relationships/image" Target="cid:image001.png@01D333AE.E5206D30" TargetMode="External"/><Relationship Id="rId34" Type="http://schemas.openxmlformats.org/officeDocument/2006/relationships/hyperlink" Target="http://www.likumi.lv/doc.php?id=38048"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2.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image" Target="media/image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cid:image002.png@01D333AE.E5206D30" TargetMode="External"/><Relationship Id="rId28" Type="http://schemas.openxmlformats.org/officeDocument/2006/relationships/image" Target="media/image5.png"/><Relationship Id="rId36" Type="http://schemas.openxmlformats.org/officeDocument/2006/relationships/hyperlink" Target="mailto:elina.gusare@fm.gov.lv" TargetMode="External"/><Relationship Id="rId10" Type="http://schemas.openxmlformats.org/officeDocument/2006/relationships/hyperlink" Target="http://eur-lex.europa.eu/eli/reg/1997/1466/oj/?locale=LV" TargetMode="External"/><Relationship Id="rId19" Type="http://schemas.openxmlformats.org/officeDocument/2006/relationships/chart" Target="charts/chart9.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chart" Target="charts/chart14.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s\tand\TAND\_Prezentacija\Prezentacijas-DATA.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fs\fpd\FPD\Tautsaimniecibas_un_fiskalas_parvaldibas_nodala\M&#257;rti&#326;&#353;\veselibas_reforma\SP2018_2021\gov_10a_exp.xls"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fs\fpd\FPD\Tautsaimniecibas_un_fiskalas_parvaldibas_nodala\M&#257;rti&#326;&#353;\veselibas_reforma\SP2018_2021\chart1.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s\tand\TAND\Aleksejs%20Jur&#353;a\MAKRO\MB\03_MB_ceturksna__gada_datu_tabulas_05.01.2018.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fs\tand\TAND\_Makro_modeli\Infl&#257;cija\Inflation_main.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207165133474047E-2"/>
          <c:y val="4.7159699892818922E-2"/>
          <c:w val="0.93521042134108123"/>
          <c:h val="0.63869044637971606"/>
        </c:manualLayout>
      </c:layout>
      <c:lineChart>
        <c:grouping val="standard"/>
        <c:varyColors val="0"/>
        <c:ser>
          <c:idx val="0"/>
          <c:order val="0"/>
          <c:tx>
            <c:strRef>
              <c:f>'Parnervalstu svērtā izaugsme'!$K$9</c:f>
              <c:strCache>
                <c:ptCount val="1"/>
                <c:pt idx="0">
                  <c:v>ES-28</c:v>
                </c:pt>
              </c:strCache>
            </c:strRef>
          </c:tx>
          <c:spPr>
            <a:ln w="28575" cap="rnd">
              <a:solidFill>
                <a:srgbClr val="10253F"/>
              </a:solidFill>
              <a:prstDash val="solid"/>
              <a:round/>
            </a:ln>
            <a:effectLst/>
          </c:spPr>
          <c:marker>
            <c:symbol val="none"/>
          </c:marker>
          <c:dPt>
            <c:idx val="20"/>
            <c:bubble3D val="0"/>
            <c:spPr>
              <a:ln w="28575" cap="rnd">
                <a:solidFill>
                  <a:srgbClr val="10253F"/>
                </a:solidFill>
                <a:prstDash val="sysDash"/>
                <a:round/>
              </a:ln>
              <a:effectLst/>
            </c:spPr>
            <c:extLst>
              <c:ext xmlns:c16="http://schemas.microsoft.com/office/drawing/2014/chart" uri="{C3380CC4-5D6E-409C-BE32-E72D297353CC}">
                <c16:uniqueId val="{00000007-FDB9-4378-A3F0-A9CFCA58F011}"/>
              </c:ext>
            </c:extLst>
          </c:dPt>
          <c:dPt>
            <c:idx val="21"/>
            <c:bubble3D val="0"/>
            <c:spPr>
              <a:ln w="28575" cap="rnd">
                <a:solidFill>
                  <a:srgbClr val="10253F"/>
                </a:solidFill>
                <a:prstDash val="sysDash"/>
                <a:round/>
              </a:ln>
              <a:effectLst/>
            </c:spPr>
            <c:extLst>
              <c:ext xmlns:c16="http://schemas.microsoft.com/office/drawing/2014/chart" uri="{C3380CC4-5D6E-409C-BE32-E72D297353CC}">
                <c16:uniqueId val="{00000009-FDB9-4378-A3F0-A9CFCA58F011}"/>
              </c:ext>
            </c:extLst>
          </c:dPt>
          <c:dPt>
            <c:idx val="22"/>
            <c:bubble3D val="0"/>
            <c:spPr>
              <a:ln w="28575" cap="rnd">
                <a:solidFill>
                  <a:srgbClr val="10253F"/>
                </a:solidFill>
                <a:prstDash val="sysDash"/>
                <a:round/>
              </a:ln>
              <a:effectLst/>
            </c:spPr>
            <c:extLst>
              <c:ext xmlns:c16="http://schemas.microsoft.com/office/drawing/2014/chart" uri="{C3380CC4-5D6E-409C-BE32-E72D297353CC}">
                <c16:uniqueId val="{0000000B-FDB9-4378-A3F0-A9CFCA58F011}"/>
              </c:ext>
            </c:extLst>
          </c:dPt>
          <c:cat>
            <c:multiLvlStrRef>
              <c:f>'Parnervalstu svērtā izaugsme'!$A$18:$B$39</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2018</c:v>
                  </c:pt>
                  <c:pt idx="21">
                    <c:v>2019</c:v>
                  </c:pt>
                </c:lvl>
                <c:lvl>
                  <c:pt idx="0">
                    <c:v>2013</c:v>
                  </c:pt>
                  <c:pt idx="4">
                    <c:v>2014</c:v>
                  </c:pt>
                  <c:pt idx="8">
                    <c:v>2015</c:v>
                  </c:pt>
                  <c:pt idx="12">
                    <c:v>2016</c:v>
                  </c:pt>
                  <c:pt idx="16">
                    <c:v>2017</c:v>
                  </c:pt>
                  <c:pt idx="20">
                    <c:v>Prognoze</c:v>
                  </c:pt>
                </c:lvl>
              </c:multiLvlStrCache>
            </c:multiLvlStrRef>
          </c:cat>
          <c:val>
            <c:numRef>
              <c:f>'Parnervalstu svērtā izaugsme'!$K$18:$K$39</c:f>
              <c:numCache>
                <c:formatCode>#\ ##0.0</c:formatCode>
                <c:ptCount val="22"/>
                <c:pt idx="0">
                  <c:v>-1.1000000000000001</c:v>
                </c:pt>
                <c:pt idx="1">
                  <c:v>0.2</c:v>
                </c:pt>
                <c:pt idx="2">
                  <c:v>0.8</c:v>
                </c:pt>
                <c:pt idx="3">
                  <c:v>1.2</c:v>
                </c:pt>
                <c:pt idx="4">
                  <c:v>1.9000000000000001</c:v>
                </c:pt>
                <c:pt idx="5">
                  <c:v>1.6</c:v>
                </c:pt>
                <c:pt idx="6">
                  <c:v>1.7</c:v>
                </c:pt>
                <c:pt idx="7">
                  <c:v>1.7</c:v>
                </c:pt>
                <c:pt idx="8">
                  <c:v>2.1</c:v>
                </c:pt>
                <c:pt idx="9">
                  <c:v>2.2999999999999998</c:v>
                </c:pt>
                <c:pt idx="10">
                  <c:v>2.2999999999999998</c:v>
                </c:pt>
                <c:pt idx="11">
                  <c:v>2.5</c:v>
                </c:pt>
                <c:pt idx="12">
                  <c:v>1.9000000000000001</c:v>
                </c:pt>
                <c:pt idx="13">
                  <c:v>2.4</c:v>
                </c:pt>
                <c:pt idx="14">
                  <c:v>1.6</c:v>
                </c:pt>
                <c:pt idx="15">
                  <c:v>1.9000000000000001</c:v>
                </c:pt>
                <c:pt idx="16">
                  <c:v>2.7</c:v>
                </c:pt>
                <c:pt idx="17">
                  <c:v>2.1</c:v>
                </c:pt>
                <c:pt idx="18">
                  <c:v>2.5</c:v>
                </c:pt>
                <c:pt idx="19">
                  <c:v>2.2999999999999998</c:v>
                </c:pt>
                <c:pt idx="20">
                  <c:v>2.2999999999999998</c:v>
                </c:pt>
                <c:pt idx="21">
                  <c:v>2</c:v>
                </c:pt>
              </c:numCache>
            </c:numRef>
          </c:val>
          <c:smooth val="0"/>
          <c:extLst>
            <c:ext xmlns:c16="http://schemas.microsoft.com/office/drawing/2014/chart" uri="{C3380CC4-5D6E-409C-BE32-E72D297353CC}">
              <c16:uniqueId val="{0000000C-FDB9-4378-A3F0-A9CFCA58F011}"/>
            </c:ext>
          </c:extLst>
        </c:ser>
        <c:ser>
          <c:idx val="2"/>
          <c:order val="1"/>
          <c:tx>
            <c:strRef>
              <c:f>'Parnervalstu svērtā izaugsme'!$C$9</c:f>
              <c:strCache>
                <c:ptCount val="1"/>
                <c:pt idx="0">
                  <c:v>Latvija</c:v>
                </c:pt>
              </c:strCache>
            </c:strRef>
          </c:tx>
          <c:spPr>
            <a:ln w="28575" cap="rnd">
              <a:solidFill>
                <a:srgbClr val="C00000"/>
              </a:solidFill>
              <a:prstDash val="solid"/>
              <a:round/>
            </a:ln>
            <a:effectLst/>
          </c:spPr>
          <c:marker>
            <c:symbol val="none"/>
          </c:marker>
          <c:dPt>
            <c:idx val="20"/>
            <c:bubble3D val="0"/>
            <c:spPr>
              <a:ln w="28575" cap="rnd">
                <a:solidFill>
                  <a:srgbClr val="C00000"/>
                </a:solidFill>
                <a:prstDash val="sysDash"/>
                <a:round/>
              </a:ln>
              <a:effectLst/>
            </c:spPr>
            <c:extLst>
              <c:ext xmlns:c16="http://schemas.microsoft.com/office/drawing/2014/chart" uri="{C3380CC4-5D6E-409C-BE32-E72D297353CC}">
                <c16:uniqueId val="{00000014-FDB9-4378-A3F0-A9CFCA58F011}"/>
              </c:ext>
            </c:extLst>
          </c:dPt>
          <c:dPt>
            <c:idx val="21"/>
            <c:bubble3D val="0"/>
            <c:spPr>
              <a:ln w="28575" cap="rnd">
                <a:solidFill>
                  <a:srgbClr val="C00000"/>
                </a:solidFill>
                <a:prstDash val="sysDash"/>
                <a:round/>
              </a:ln>
              <a:effectLst/>
            </c:spPr>
            <c:extLst>
              <c:ext xmlns:c16="http://schemas.microsoft.com/office/drawing/2014/chart" uri="{C3380CC4-5D6E-409C-BE32-E72D297353CC}">
                <c16:uniqueId val="{00000016-FDB9-4378-A3F0-A9CFCA58F011}"/>
              </c:ext>
            </c:extLst>
          </c:dPt>
          <c:dPt>
            <c:idx val="22"/>
            <c:bubble3D val="0"/>
            <c:spPr>
              <a:ln w="28575" cap="rnd">
                <a:solidFill>
                  <a:srgbClr val="C00000"/>
                </a:solidFill>
                <a:prstDash val="sysDash"/>
                <a:round/>
              </a:ln>
              <a:effectLst/>
            </c:spPr>
            <c:extLst>
              <c:ext xmlns:c16="http://schemas.microsoft.com/office/drawing/2014/chart" uri="{C3380CC4-5D6E-409C-BE32-E72D297353CC}">
                <c16:uniqueId val="{00000018-FDB9-4378-A3F0-A9CFCA58F011}"/>
              </c:ext>
            </c:extLst>
          </c:dPt>
          <c:cat>
            <c:multiLvlStrRef>
              <c:f>'Parnervalstu svērtā izaugsme'!$A$18:$B$39</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2018</c:v>
                  </c:pt>
                  <c:pt idx="21">
                    <c:v>2019</c:v>
                  </c:pt>
                </c:lvl>
                <c:lvl>
                  <c:pt idx="0">
                    <c:v>2013</c:v>
                  </c:pt>
                  <c:pt idx="4">
                    <c:v>2014</c:v>
                  </c:pt>
                  <c:pt idx="8">
                    <c:v>2015</c:v>
                  </c:pt>
                  <c:pt idx="12">
                    <c:v>2016</c:v>
                  </c:pt>
                  <c:pt idx="16">
                    <c:v>2017</c:v>
                  </c:pt>
                  <c:pt idx="20">
                    <c:v>Prognoze</c:v>
                  </c:pt>
                </c:lvl>
              </c:multiLvlStrCache>
            </c:multiLvlStrRef>
          </c:cat>
          <c:val>
            <c:numRef>
              <c:f>'Parnervalstu svērtā izaugsme'!$C$18:$C$39</c:f>
              <c:numCache>
                <c:formatCode>#\ ##0.0</c:formatCode>
                <c:ptCount val="22"/>
                <c:pt idx="0">
                  <c:v>1.4</c:v>
                </c:pt>
                <c:pt idx="1">
                  <c:v>2.7</c:v>
                </c:pt>
                <c:pt idx="2">
                  <c:v>3.2</c:v>
                </c:pt>
                <c:pt idx="3">
                  <c:v>2.2999999999999998</c:v>
                </c:pt>
                <c:pt idx="4">
                  <c:v>2.5</c:v>
                </c:pt>
                <c:pt idx="5">
                  <c:v>1.8</c:v>
                </c:pt>
                <c:pt idx="6">
                  <c:v>1.8</c:v>
                </c:pt>
                <c:pt idx="7">
                  <c:v>1.4</c:v>
                </c:pt>
                <c:pt idx="8">
                  <c:v>2.2000000000000002</c:v>
                </c:pt>
                <c:pt idx="9">
                  <c:v>3</c:v>
                </c:pt>
                <c:pt idx="10">
                  <c:v>3.8</c:v>
                </c:pt>
                <c:pt idx="11">
                  <c:v>2.8</c:v>
                </c:pt>
                <c:pt idx="12">
                  <c:v>2.6</c:v>
                </c:pt>
                <c:pt idx="13">
                  <c:v>2.7</c:v>
                </c:pt>
                <c:pt idx="14">
                  <c:v>0.7000000000000004</c:v>
                </c:pt>
                <c:pt idx="15">
                  <c:v>3</c:v>
                </c:pt>
                <c:pt idx="16">
                  <c:v>4.0999999999999996</c:v>
                </c:pt>
                <c:pt idx="17">
                  <c:v>4</c:v>
                </c:pt>
                <c:pt idx="18">
                  <c:v>5.8</c:v>
                </c:pt>
                <c:pt idx="19">
                  <c:v>4.2</c:v>
                </c:pt>
                <c:pt idx="20" formatCode="0.0">
                  <c:v>4</c:v>
                </c:pt>
                <c:pt idx="21" formatCode="0.0">
                  <c:v>3.5</c:v>
                </c:pt>
              </c:numCache>
            </c:numRef>
          </c:val>
          <c:smooth val="0"/>
          <c:extLst>
            <c:ext xmlns:c16="http://schemas.microsoft.com/office/drawing/2014/chart" uri="{C3380CC4-5D6E-409C-BE32-E72D297353CC}">
              <c16:uniqueId val="{00000019-FDB9-4378-A3F0-A9CFCA58F011}"/>
            </c:ext>
          </c:extLst>
        </c:ser>
        <c:ser>
          <c:idx val="1"/>
          <c:order val="2"/>
          <c:tx>
            <c:strRef>
              <c:f>'Parnervalstu svērtā izaugsme'!$L$9</c:f>
              <c:strCache>
                <c:ptCount val="1"/>
                <c:pt idx="0">
                  <c:v>Partnervalstis*</c:v>
                </c:pt>
              </c:strCache>
            </c:strRef>
          </c:tx>
          <c:spPr>
            <a:ln w="28575" cap="rnd">
              <a:solidFill>
                <a:schemeClr val="accent6">
                  <a:lumMod val="60000"/>
                  <a:lumOff val="40000"/>
                </a:schemeClr>
              </a:solidFill>
              <a:prstDash val="solid"/>
              <a:round/>
            </a:ln>
            <a:effectLst/>
          </c:spPr>
          <c:marker>
            <c:symbol val="none"/>
          </c:marker>
          <c:cat>
            <c:multiLvlStrRef>
              <c:f>'Parnervalstu svērtā izaugsme'!$A$18:$B$39</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2018</c:v>
                  </c:pt>
                  <c:pt idx="21">
                    <c:v>2019</c:v>
                  </c:pt>
                </c:lvl>
                <c:lvl>
                  <c:pt idx="0">
                    <c:v>2013</c:v>
                  </c:pt>
                  <c:pt idx="4">
                    <c:v>2014</c:v>
                  </c:pt>
                  <c:pt idx="8">
                    <c:v>2015</c:v>
                  </c:pt>
                  <c:pt idx="12">
                    <c:v>2016</c:v>
                  </c:pt>
                  <c:pt idx="16">
                    <c:v>2017</c:v>
                  </c:pt>
                  <c:pt idx="20">
                    <c:v>Prognoze</c:v>
                  </c:pt>
                </c:lvl>
              </c:multiLvlStrCache>
            </c:multiLvlStrRef>
          </c:cat>
          <c:val>
            <c:numRef>
              <c:f>'Parnervalstu svērtā izaugsme'!$L$18:$L$39</c:f>
              <c:numCache>
                <c:formatCode>#\ ##0.0</c:formatCode>
                <c:ptCount val="22"/>
                <c:pt idx="0">
                  <c:v>1.6827163144584241</c:v>
                </c:pt>
                <c:pt idx="1">
                  <c:v>2.0544554264534973</c:v>
                </c:pt>
                <c:pt idx="2">
                  <c:v>1.9821316542044618</c:v>
                </c:pt>
                <c:pt idx="3">
                  <c:v>2.538739932616791</c:v>
                </c:pt>
                <c:pt idx="4">
                  <c:v>2.7197564976244437</c:v>
                </c:pt>
                <c:pt idx="5">
                  <c:v>2.9078600425331493</c:v>
                </c:pt>
                <c:pt idx="6">
                  <c:v>2.4228369834632861</c:v>
                </c:pt>
                <c:pt idx="7">
                  <c:v>2.5635571567819206</c:v>
                </c:pt>
                <c:pt idx="8">
                  <c:v>1.4473516592858018</c:v>
                </c:pt>
                <c:pt idx="9">
                  <c:v>1.5210986992432298</c:v>
                </c:pt>
                <c:pt idx="10">
                  <c:v>1.82421852182248</c:v>
                </c:pt>
                <c:pt idx="11" formatCode="0.0">
                  <c:v>1.7839855528933606</c:v>
                </c:pt>
                <c:pt idx="12" formatCode="0.0">
                  <c:v>1.9525319629385192</c:v>
                </c:pt>
                <c:pt idx="13" formatCode="0.0">
                  <c:v>1.8445908105719044</c:v>
                </c:pt>
                <c:pt idx="14" formatCode="0.0">
                  <c:v>1.5430135365100421</c:v>
                </c:pt>
                <c:pt idx="15" formatCode="0.0">
                  <c:v>2.505647400560433</c:v>
                </c:pt>
                <c:pt idx="16" formatCode="0.0">
                  <c:v>3.2974230104737008</c:v>
                </c:pt>
                <c:pt idx="17" formatCode="0.0">
                  <c:v>3.3788607558180197</c:v>
                </c:pt>
                <c:pt idx="18" formatCode="0.0">
                  <c:v>2.9986653875702127</c:v>
                </c:pt>
                <c:pt idx="19" formatCode="0.0">
                  <c:v>3.195498514843468</c:v>
                </c:pt>
                <c:pt idx="20" formatCode="0.0">
                  <c:v>2.6652987862930506</c:v>
                </c:pt>
                <c:pt idx="21" formatCode="0.0">
                  <c:v>2.3039534776933572</c:v>
                </c:pt>
              </c:numCache>
            </c:numRef>
          </c:val>
          <c:smooth val="0"/>
          <c:extLst>
            <c:ext xmlns:c16="http://schemas.microsoft.com/office/drawing/2014/chart" uri="{C3380CC4-5D6E-409C-BE32-E72D297353CC}">
              <c16:uniqueId val="{0000001C-FDB9-4378-A3F0-A9CFCA58F011}"/>
            </c:ext>
          </c:extLst>
        </c:ser>
        <c:ser>
          <c:idx val="6"/>
          <c:order val="3"/>
          <c:tx>
            <c:strRef>
              <c:f>'Parnervalstu svērtā izaugsme'!$M$9</c:f>
              <c:strCache>
                <c:ptCount val="1"/>
                <c:pt idx="0">
                  <c:v>Partnervalstis (bez Krievijas)</c:v>
                </c:pt>
              </c:strCache>
            </c:strRef>
          </c:tx>
          <c:spPr>
            <a:ln w="31750" cap="rnd">
              <a:solidFill>
                <a:schemeClr val="accent6">
                  <a:lumMod val="75000"/>
                </a:schemeClr>
              </a:solidFill>
              <a:prstDash val="sysDash"/>
              <a:round/>
            </a:ln>
            <a:effectLst/>
          </c:spPr>
          <c:marker>
            <c:symbol val="none"/>
          </c:marker>
          <c:cat>
            <c:multiLvlStrRef>
              <c:f>'Parnervalstu svērtā izaugsme'!$A$18:$B$39</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2018</c:v>
                  </c:pt>
                  <c:pt idx="21">
                    <c:v>2019</c:v>
                  </c:pt>
                </c:lvl>
                <c:lvl>
                  <c:pt idx="0">
                    <c:v>2013</c:v>
                  </c:pt>
                  <c:pt idx="4">
                    <c:v>2014</c:v>
                  </c:pt>
                  <c:pt idx="8">
                    <c:v>2015</c:v>
                  </c:pt>
                  <c:pt idx="12">
                    <c:v>2016</c:v>
                  </c:pt>
                  <c:pt idx="16">
                    <c:v>2017</c:v>
                  </c:pt>
                  <c:pt idx="20">
                    <c:v>Prognoze</c:v>
                  </c:pt>
                </c:lvl>
              </c:multiLvlStrCache>
            </c:multiLvlStrRef>
          </c:cat>
          <c:val>
            <c:numRef>
              <c:f>'Parnervalstu svērtā izaugsme'!$M$18:$M$39</c:f>
              <c:numCache>
                <c:formatCode>#\ ##0.0</c:formatCode>
                <c:ptCount val="22"/>
                <c:pt idx="0">
                  <c:v>1.7549028442454366</c:v>
                </c:pt>
                <c:pt idx="1">
                  <c:v>2.1173411092791334</c:v>
                </c:pt>
                <c:pt idx="2">
                  <c:v>2.0423665087764622</c:v>
                </c:pt>
                <c:pt idx="3">
                  <c:v>2.5503538576818285</c:v>
                </c:pt>
                <c:pt idx="4">
                  <c:v>3.1008450778571097</c:v>
                </c:pt>
                <c:pt idx="5">
                  <c:v>3.1795396726815262</c:v>
                </c:pt>
                <c:pt idx="6">
                  <c:v>2.6838784042251032</c:v>
                </c:pt>
                <c:pt idx="7">
                  <c:v>2.941825445204258</c:v>
                </c:pt>
                <c:pt idx="8">
                  <c:v>2.0135409249713998</c:v>
                </c:pt>
                <c:pt idx="9">
                  <c:v>2.3549512677461371</c:v>
                </c:pt>
                <c:pt idx="10">
                  <c:v>2.5837271926936682</c:v>
                </c:pt>
                <c:pt idx="11">
                  <c:v>2.6328495676234485</c:v>
                </c:pt>
                <c:pt idx="12">
                  <c:v>2.3559353237587244</c:v>
                </c:pt>
                <c:pt idx="13">
                  <c:v>2.2386684946161863</c:v>
                </c:pt>
                <c:pt idx="14">
                  <c:v>1.8634424208234841</c:v>
                </c:pt>
                <c:pt idx="15">
                  <c:v>2.878788055974598</c:v>
                </c:pt>
                <c:pt idx="16">
                  <c:v>3.7727238535357515</c:v>
                </c:pt>
                <c:pt idx="17">
                  <c:v>3.5294647490539441</c:v>
                </c:pt>
                <c:pt idx="18" formatCode="0.0">
                  <c:v>3.1984913564763078</c:v>
                </c:pt>
                <c:pt idx="19" formatCode="0.0">
                  <c:v>3.5500617380750792</c:v>
                </c:pt>
                <c:pt idx="20">
                  <c:v>2.7031558331496166</c:v>
                </c:pt>
                <c:pt idx="21">
                  <c:v>2.3277044533140341</c:v>
                </c:pt>
              </c:numCache>
            </c:numRef>
          </c:val>
          <c:smooth val="0"/>
          <c:extLst>
            <c:ext xmlns:c16="http://schemas.microsoft.com/office/drawing/2014/chart" uri="{C3380CC4-5D6E-409C-BE32-E72D297353CC}">
              <c16:uniqueId val="{00000021-FDB9-4378-A3F0-A9CFCA58F011}"/>
            </c:ext>
          </c:extLst>
        </c:ser>
        <c:dLbls>
          <c:showLegendKey val="0"/>
          <c:showVal val="0"/>
          <c:showCatName val="0"/>
          <c:showSerName val="0"/>
          <c:showPercent val="0"/>
          <c:showBubbleSize val="0"/>
        </c:dLbls>
        <c:smooth val="0"/>
        <c:axId val="174244992"/>
        <c:axId val="174246528"/>
      </c:lineChart>
      <c:catAx>
        <c:axId val="174244992"/>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74246528"/>
        <c:crosses val="autoZero"/>
        <c:auto val="1"/>
        <c:lblAlgn val="ctr"/>
        <c:lblOffset val="100"/>
        <c:noMultiLvlLbl val="0"/>
      </c:catAx>
      <c:valAx>
        <c:axId val="174246528"/>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74244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400">
              <a:noFill/>
            </a:ln>
          </c:spPr>
          <c:invertIfNegative val="0"/>
          <c:dPt>
            <c:idx val="26"/>
            <c:invertIfNegative val="0"/>
            <c:bubble3D val="0"/>
            <c:spPr>
              <a:solidFill>
                <a:schemeClr val="accent1">
                  <a:lumMod val="50000"/>
                </a:schemeClr>
              </a:solidFill>
              <a:ln>
                <a:solidFill>
                  <a:schemeClr val="accent1"/>
                </a:solidFill>
              </a:ln>
              <a:effectLst/>
            </c:spPr>
            <c:extLst>
              <c:ext xmlns:c16="http://schemas.microsoft.com/office/drawing/2014/chart" uri="{C3380CC4-5D6E-409C-BE32-E72D297353CC}">
                <c16:uniqueId val="{00000001-CCB4-4E23-907E-7F8CBC04EB08}"/>
              </c:ext>
            </c:extLst>
          </c:dPt>
          <c:cat>
            <c:strRef>
              <c:f>Data!$A$13:$A$40</c:f>
              <c:strCache>
                <c:ptCount val="28"/>
                <c:pt idx="0">
                  <c:v>Dānija</c:v>
                </c:pt>
                <c:pt idx="1">
                  <c:v>Francija</c:v>
                </c:pt>
                <c:pt idx="2">
                  <c:v>Austrija</c:v>
                </c:pt>
                <c:pt idx="3">
                  <c:v>Nīderlande</c:v>
                </c:pt>
                <c:pt idx="4">
                  <c:v>Apvienotā Karaliste</c:v>
                </c:pt>
                <c:pt idx="5">
                  <c:v>Beļģija</c:v>
                </c:pt>
                <c:pt idx="6">
                  <c:v>Čehija</c:v>
                </c:pt>
                <c:pt idx="7">
                  <c:v>Slovākija</c:v>
                </c:pt>
                <c:pt idx="8">
                  <c:v>Vācija</c:v>
                </c:pt>
                <c:pt idx="9">
                  <c:v>Somija</c:v>
                </c:pt>
                <c:pt idx="10">
                  <c:v>Itālija</c:v>
                </c:pt>
                <c:pt idx="11">
                  <c:v>Zviedrija</c:v>
                </c:pt>
                <c:pt idx="12">
                  <c:v>Slovēnija</c:v>
                </c:pt>
                <c:pt idx="13">
                  <c:v>Horvātija</c:v>
                </c:pt>
                <c:pt idx="14">
                  <c:v>Spānija</c:v>
                </c:pt>
                <c:pt idx="15">
                  <c:v>Portugāle</c:v>
                </c:pt>
                <c:pt idx="16">
                  <c:v>Lietuva</c:v>
                </c:pt>
                <c:pt idx="17">
                  <c:v>Malta</c:v>
                </c:pt>
                <c:pt idx="18">
                  <c:v>Igaunija</c:v>
                </c:pt>
                <c:pt idx="19">
                  <c:v>Īrija</c:v>
                </c:pt>
                <c:pt idx="20">
                  <c:v>Bulgārija</c:v>
                </c:pt>
                <c:pt idx="21">
                  <c:v>Grieķija</c:v>
                </c:pt>
                <c:pt idx="22">
                  <c:v>Ungārija</c:v>
                </c:pt>
                <c:pt idx="23">
                  <c:v>Luksemburga</c:v>
                </c:pt>
                <c:pt idx="24">
                  <c:v>Polija</c:v>
                </c:pt>
                <c:pt idx="25">
                  <c:v>Rumānija</c:v>
                </c:pt>
                <c:pt idx="26">
                  <c:v>Latvija</c:v>
                </c:pt>
                <c:pt idx="27">
                  <c:v>Kipra</c:v>
                </c:pt>
              </c:strCache>
            </c:strRef>
          </c:cat>
          <c:val>
            <c:numRef>
              <c:f>Data!$K$13:$K$40</c:f>
              <c:numCache>
                <c:formatCode>#\ ##0.0</c:formatCode>
                <c:ptCount val="28"/>
                <c:pt idx="0">
                  <c:v>8.6</c:v>
                </c:pt>
                <c:pt idx="1">
                  <c:v>8.1</c:v>
                </c:pt>
                <c:pt idx="2">
                  <c:v>8</c:v>
                </c:pt>
                <c:pt idx="3">
                  <c:v>7.7</c:v>
                </c:pt>
                <c:pt idx="4">
                  <c:v>7.6</c:v>
                </c:pt>
                <c:pt idx="5">
                  <c:v>7.4</c:v>
                </c:pt>
                <c:pt idx="6">
                  <c:v>7.4</c:v>
                </c:pt>
                <c:pt idx="7">
                  <c:v>7.4</c:v>
                </c:pt>
                <c:pt idx="8">
                  <c:v>7.2</c:v>
                </c:pt>
                <c:pt idx="9">
                  <c:v>7.2</c:v>
                </c:pt>
                <c:pt idx="10">
                  <c:v>7</c:v>
                </c:pt>
                <c:pt idx="11">
                  <c:v>6.9</c:v>
                </c:pt>
                <c:pt idx="12">
                  <c:v>6.7</c:v>
                </c:pt>
                <c:pt idx="13">
                  <c:v>6.5</c:v>
                </c:pt>
                <c:pt idx="14">
                  <c:v>6</c:v>
                </c:pt>
                <c:pt idx="15">
                  <c:v>5.9</c:v>
                </c:pt>
                <c:pt idx="16">
                  <c:v>5.8</c:v>
                </c:pt>
                <c:pt idx="17">
                  <c:v>5.6</c:v>
                </c:pt>
                <c:pt idx="18">
                  <c:v>5.3</c:v>
                </c:pt>
                <c:pt idx="19">
                  <c:v>5.2</c:v>
                </c:pt>
                <c:pt idx="20">
                  <c:v>5</c:v>
                </c:pt>
                <c:pt idx="21">
                  <c:v>4.9000000000000004</c:v>
                </c:pt>
                <c:pt idx="22">
                  <c:v>4.8</c:v>
                </c:pt>
                <c:pt idx="23">
                  <c:v>4.8</c:v>
                </c:pt>
                <c:pt idx="24">
                  <c:v>4.5999999999999996</c:v>
                </c:pt>
                <c:pt idx="25">
                  <c:v>4</c:v>
                </c:pt>
                <c:pt idx="26">
                  <c:v>3.7</c:v>
                </c:pt>
                <c:pt idx="27">
                  <c:v>2.6</c:v>
                </c:pt>
              </c:numCache>
            </c:numRef>
          </c:val>
          <c:extLst>
            <c:ext xmlns:c16="http://schemas.microsoft.com/office/drawing/2014/chart" uri="{C3380CC4-5D6E-409C-BE32-E72D297353CC}">
              <c16:uniqueId val="{00000002-CCB4-4E23-907E-7F8CBC04EB08}"/>
            </c:ext>
          </c:extLst>
        </c:ser>
        <c:dLbls>
          <c:showLegendKey val="0"/>
          <c:showVal val="0"/>
          <c:showCatName val="0"/>
          <c:showSerName val="0"/>
          <c:showPercent val="0"/>
          <c:showBubbleSize val="0"/>
        </c:dLbls>
        <c:gapWidth val="100"/>
        <c:overlap val="-27"/>
        <c:axId val="172778624"/>
        <c:axId val="172780160"/>
      </c:barChart>
      <c:lineChart>
        <c:grouping val="standard"/>
        <c:varyColors val="0"/>
        <c:ser>
          <c:idx val="1"/>
          <c:order val="1"/>
          <c:spPr>
            <a:ln w="31750" cap="flat">
              <a:solidFill>
                <a:srgbClr val="FF0000"/>
              </a:solidFill>
              <a:round/>
            </a:ln>
            <a:effectLst/>
          </c:spPr>
          <c:marker>
            <c:symbol val="none"/>
          </c:marker>
          <c:val>
            <c:numRef>
              <c:f>Data!$L$13:$L$40</c:f>
              <c:numCache>
                <c:formatCode>#\ ##0.0</c:formatCode>
                <c:ptCount val="28"/>
                <c:pt idx="0">
                  <c:v>7.1</c:v>
                </c:pt>
                <c:pt idx="1">
                  <c:v>7.1</c:v>
                </c:pt>
                <c:pt idx="2">
                  <c:v>7.1</c:v>
                </c:pt>
                <c:pt idx="3">
                  <c:v>7.1</c:v>
                </c:pt>
                <c:pt idx="4">
                  <c:v>7.1</c:v>
                </c:pt>
                <c:pt idx="5">
                  <c:v>7.1</c:v>
                </c:pt>
                <c:pt idx="6">
                  <c:v>7.1</c:v>
                </c:pt>
                <c:pt idx="7">
                  <c:v>7.1</c:v>
                </c:pt>
                <c:pt idx="8">
                  <c:v>7.1</c:v>
                </c:pt>
                <c:pt idx="9">
                  <c:v>7.1</c:v>
                </c:pt>
                <c:pt idx="10">
                  <c:v>7.1</c:v>
                </c:pt>
                <c:pt idx="11">
                  <c:v>7.1</c:v>
                </c:pt>
                <c:pt idx="12">
                  <c:v>7.1</c:v>
                </c:pt>
                <c:pt idx="13">
                  <c:v>7.1</c:v>
                </c:pt>
                <c:pt idx="14">
                  <c:v>7.1</c:v>
                </c:pt>
                <c:pt idx="15">
                  <c:v>7.1</c:v>
                </c:pt>
                <c:pt idx="16">
                  <c:v>7.1</c:v>
                </c:pt>
                <c:pt idx="17">
                  <c:v>7.1</c:v>
                </c:pt>
                <c:pt idx="18">
                  <c:v>7.1</c:v>
                </c:pt>
                <c:pt idx="19">
                  <c:v>7.1</c:v>
                </c:pt>
                <c:pt idx="20">
                  <c:v>7.1</c:v>
                </c:pt>
                <c:pt idx="21">
                  <c:v>7.1</c:v>
                </c:pt>
                <c:pt idx="22">
                  <c:v>7.1</c:v>
                </c:pt>
                <c:pt idx="23">
                  <c:v>7.1</c:v>
                </c:pt>
                <c:pt idx="24">
                  <c:v>7.1</c:v>
                </c:pt>
                <c:pt idx="25">
                  <c:v>7.1</c:v>
                </c:pt>
                <c:pt idx="26">
                  <c:v>7.1</c:v>
                </c:pt>
                <c:pt idx="27">
                  <c:v>7.1</c:v>
                </c:pt>
              </c:numCache>
            </c:numRef>
          </c:val>
          <c:smooth val="0"/>
          <c:extLst>
            <c:ext xmlns:c16="http://schemas.microsoft.com/office/drawing/2014/chart" uri="{C3380CC4-5D6E-409C-BE32-E72D297353CC}">
              <c16:uniqueId val="{00000003-CCB4-4E23-907E-7F8CBC04EB08}"/>
            </c:ext>
          </c:extLst>
        </c:ser>
        <c:dLbls>
          <c:showLegendKey val="0"/>
          <c:showVal val="0"/>
          <c:showCatName val="0"/>
          <c:showSerName val="0"/>
          <c:showPercent val="0"/>
          <c:showBubbleSize val="0"/>
        </c:dLbls>
        <c:marker val="1"/>
        <c:smooth val="0"/>
        <c:axId val="172778624"/>
        <c:axId val="172780160"/>
      </c:lineChart>
      <c:catAx>
        <c:axId val="1727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lv-LV"/>
          </a:p>
        </c:txPr>
        <c:crossAx val="172780160"/>
        <c:crosses val="autoZero"/>
        <c:auto val="1"/>
        <c:lblAlgn val="ctr"/>
        <c:lblOffset val="100"/>
        <c:noMultiLvlLbl val="0"/>
      </c:catAx>
      <c:valAx>
        <c:axId val="17278016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ln w="6350">
            <a:noFill/>
          </a:ln>
        </c:spPr>
        <c:txPr>
          <a:bodyPr rot="-60000000" vert="horz"/>
          <a:lstStyle/>
          <a:p>
            <a:pPr>
              <a:defRPr sz="900"/>
            </a:pPr>
            <a:endParaRPr lang="lv-LV"/>
          </a:p>
        </c:txPr>
        <c:crossAx val="172778624"/>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391073780368223E-2"/>
          <c:y val="5.0925925925925923E-2"/>
          <c:w val="0.9140217376075328"/>
          <c:h val="0.68035943423738743"/>
        </c:manualLayout>
      </c:layout>
      <c:barChart>
        <c:barDir val="col"/>
        <c:grouping val="clustered"/>
        <c:varyColors val="0"/>
        <c:ser>
          <c:idx val="0"/>
          <c:order val="0"/>
          <c:tx>
            <c:strRef>
              <c:f>Sheet1!$A$3</c:f>
              <c:strCache>
                <c:ptCount val="1"/>
                <c:pt idx="0">
                  <c:v>Sabiedrības veselības pamatnostādnēs 2014.-2020.gadam noteiktais finansējums</c:v>
                </c:pt>
              </c:strCache>
            </c:strRef>
          </c:tx>
          <c:spPr>
            <a:solidFill>
              <a:schemeClr val="accent1"/>
            </a:solidFill>
            <a:ln>
              <a:noFill/>
            </a:ln>
            <a:effectLst/>
          </c:spPr>
          <c:invertIfNegative val="0"/>
          <c:cat>
            <c:numRef>
              <c:f>Sheet1!$C$2:$J$2</c:f>
              <c:numCache>
                <c:formatCode>General</c:formatCode>
                <c:ptCount val="8"/>
                <c:pt idx="0">
                  <c:v>2013</c:v>
                </c:pt>
                <c:pt idx="1">
                  <c:v>2014</c:v>
                </c:pt>
                <c:pt idx="2">
                  <c:v>2015</c:v>
                </c:pt>
                <c:pt idx="3">
                  <c:v>2016</c:v>
                </c:pt>
                <c:pt idx="4">
                  <c:v>2017</c:v>
                </c:pt>
                <c:pt idx="5">
                  <c:v>2018</c:v>
                </c:pt>
                <c:pt idx="6">
                  <c:v>2019</c:v>
                </c:pt>
                <c:pt idx="7">
                  <c:v>2020</c:v>
                </c:pt>
              </c:numCache>
            </c:numRef>
          </c:cat>
          <c:val>
            <c:numRef>
              <c:f>Sheet1!$C$3:$J$3</c:f>
              <c:numCache>
                <c:formatCode>0</c:formatCode>
                <c:ptCount val="8"/>
                <c:pt idx="1">
                  <c:v>506</c:v>
                </c:pt>
                <c:pt idx="2">
                  <c:v>516</c:v>
                </c:pt>
                <c:pt idx="3">
                  <c:v>572</c:v>
                </c:pt>
                <c:pt idx="4">
                  <c:v>608</c:v>
                </c:pt>
                <c:pt idx="5">
                  <c:v>646</c:v>
                </c:pt>
                <c:pt idx="6">
                  <c:v>686</c:v>
                </c:pt>
                <c:pt idx="7" formatCode="General">
                  <c:v>730</c:v>
                </c:pt>
              </c:numCache>
            </c:numRef>
          </c:val>
          <c:extLst>
            <c:ext xmlns:c16="http://schemas.microsoft.com/office/drawing/2014/chart" uri="{C3380CC4-5D6E-409C-BE32-E72D297353CC}">
              <c16:uniqueId val="{00000000-2FB5-4DB7-9C94-FA0450E24496}"/>
            </c:ext>
          </c:extLst>
        </c:ser>
        <c:ser>
          <c:idx val="1"/>
          <c:order val="1"/>
          <c:tx>
            <c:strRef>
              <c:f>Sheet1!$A$4</c:f>
              <c:strCache>
                <c:ptCount val="1"/>
                <c:pt idx="0">
                  <c:v>Faktiskais un plānotais finansējums</c:v>
                </c:pt>
              </c:strCache>
            </c:strRef>
          </c:tx>
          <c:spPr>
            <a:solidFill>
              <a:schemeClr val="accent2"/>
            </a:solidFill>
            <a:ln>
              <a:noFill/>
            </a:ln>
            <a:effectLst/>
          </c:spPr>
          <c:invertIfNegative val="0"/>
          <c:cat>
            <c:numRef>
              <c:f>Sheet1!$C$2:$J$2</c:f>
              <c:numCache>
                <c:formatCode>General</c:formatCode>
                <c:ptCount val="8"/>
                <c:pt idx="0">
                  <c:v>2013</c:v>
                </c:pt>
                <c:pt idx="1">
                  <c:v>2014</c:v>
                </c:pt>
                <c:pt idx="2">
                  <c:v>2015</c:v>
                </c:pt>
                <c:pt idx="3">
                  <c:v>2016</c:v>
                </c:pt>
                <c:pt idx="4">
                  <c:v>2017</c:v>
                </c:pt>
                <c:pt idx="5">
                  <c:v>2018</c:v>
                </c:pt>
                <c:pt idx="6">
                  <c:v>2019</c:v>
                </c:pt>
                <c:pt idx="7">
                  <c:v>2020</c:v>
                </c:pt>
              </c:numCache>
            </c:numRef>
          </c:cat>
          <c:val>
            <c:numRef>
              <c:f>Sheet1!$C$11:$J$11</c:f>
              <c:numCache>
                <c:formatCode>0</c:formatCode>
                <c:ptCount val="8"/>
                <c:pt idx="0">
                  <c:v>492.31942155999997</c:v>
                </c:pt>
                <c:pt idx="1">
                  <c:v>514.80145156999993</c:v>
                </c:pt>
                <c:pt idx="2">
                  <c:v>535.3065710699999</c:v>
                </c:pt>
                <c:pt idx="3">
                  <c:v>567.79717643000004</c:v>
                </c:pt>
                <c:pt idx="4">
                  <c:v>591.08463257000062</c:v>
                </c:pt>
                <c:pt idx="5">
                  <c:v>722.93213666999986</c:v>
                </c:pt>
                <c:pt idx="6">
                  <c:v>750.55559546999996</c:v>
                </c:pt>
                <c:pt idx="7">
                  <c:v>750.55383964000043</c:v>
                </c:pt>
              </c:numCache>
            </c:numRef>
          </c:val>
          <c:extLst>
            <c:ext xmlns:c16="http://schemas.microsoft.com/office/drawing/2014/chart" uri="{C3380CC4-5D6E-409C-BE32-E72D297353CC}">
              <c16:uniqueId val="{00000003-2FB5-4DB7-9C94-FA0450E24496}"/>
            </c:ext>
          </c:extLst>
        </c:ser>
        <c:dLbls>
          <c:showLegendKey val="0"/>
          <c:showVal val="0"/>
          <c:showCatName val="0"/>
          <c:showSerName val="0"/>
          <c:showPercent val="0"/>
          <c:showBubbleSize val="0"/>
        </c:dLbls>
        <c:gapWidth val="219"/>
        <c:overlap val="-27"/>
        <c:axId val="172788352"/>
        <c:axId val="169238912"/>
      </c:barChart>
      <c:catAx>
        <c:axId val="1727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9238912"/>
        <c:crosses val="autoZero"/>
        <c:auto val="1"/>
        <c:lblAlgn val="ctr"/>
        <c:lblOffset val="100"/>
        <c:noMultiLvlLbl val="0"/>
      </c:catAx>
      <c:valAx>
        <c:axId val="169238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727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38805852861257E-2"/>
          <c:y val="9.2509899677174504E-2"/>
          <c:w val="0.69176608923884519"/>
          <c:h val="0.72625516870463158"/>
        </c:manualLayout>
      </c:layout>
      <c:barChart>
        <c:barDir val="col"/>
        <c:grouping val="stacked"/>
        <c:varyColors val="0"/>
        <c:ser>
          <c:idx val="0"/>
          <c:order val="0"/>
          <c:tx>
            <c:strRef>
              <c:f>Sheet1!$A$3</c:f>
              <c:strCache>
                <c:ptCount val="1"/>
                <c:pt idx="0">
                  <c:v>Strukturālā bilance</c:v>
                </c:pt>
              </c:strCache>
            </c:strRef>
          </c:tx>
          <c:spPr>
            <a:solidFill>
              <a:schemeClr val="accent1"/>
            </a:solidFill>
            <a:ln>
              <a:noFill/>
            </a:ln>
            <a:effectLst/>
          </c:spPr>
          <c:invertIfNegative val="0"/>
          <c:cat>
            <c:multiLvlStrRef>
              <c:f>Sheet1!$G$1:$N$2</c:f>
              <c:multiLvlStrCache>
                <c:ptCount val="8"/>
                <c:lvl>
                  <c:pt idx="0">
                    <c:v>2014</c:v>
                  </c:pt>
                  <c:pt idx="1">
                    <c:v>2015</c:v>
                  </c:pt>
                  <c:pt idx="2">
                    <c:v>2016</c:v>
                  </c:pt>
                  <c:pt idx="3">
                    <c:v>2017</c:v>
                  </c:pt>
                  <c:pt idx="4">
                    <c:v>2018</c:v>
                  </c:pt>
                  <c:pt idx="5">
                    <c:v>2019</c:v>
                  </c:pt>
                  <c:pt idx="6">
                    <c:v>2020</c:v>
                  </c:pt>
                  <c:pt idx="7">
                    <c:v>2021</c:v>
                  </c:pt>
                </c:lvl>
                <c:lvl>
                  <c:pt idx="0">
                    <c:v>Fakts</c:v>
                  </c:pt>
                  <c:pt idx="3">
                    <c:v>Prognoze</c:v>
                  </c:pt>
                </c:lvl>
              </c:multiLvlStrCache>
            </c:multiLvlStrRef>
          </c:cat>
          <c:val>
            <c:numRef>
              <c:f>Sheet1!$G$3:$N$3</c:f>
              <c:numCache>
                <c:formatCode>0.0</c:formatCode>
                <c:ptCount val="8"/>
                <c:pt idx="0">
                  <c:v>-1.0050504087260141</c:v>
                </c:pt>
                <c:pt idx="1">
                  <c:v>-1.097665726264252</c:v>
                </c:pt>
                <c:pt idx="2">
                  <c:v>0.10958021840279414</c:v>
                </c:pt>
                <c:pt idx="3">
                  <c:v>-0.65556569121594266</c:v>
                </c:pt>
                <c:pt idx="4">
                  <c:v>-1.3630179191071921</c:v>
                </c:pt>
                <c:pt idx="5">
                  <c:v>-0.77563843047443659</c:v>
                </c:pt>
                <c:pt idx="6">
                  <c:v>-0.382364478038276</c:v>
                </c:pt>
                <c:pt idx="7">
                  <c:v>-0.50000000000000133</c:v>
                </c:pt>
              </c:numCache>
            </c:numRef>
          </c:val>
          <c:extLst>
            <c:ext xmlns:c16="http://schemas.microsoft.com/office/drawing/2014/chart" uri="{C3380CC4-5D6E-409C-BE32-E72D297353CC}">
              <c16:uniqueId val="{00000000-6749-4C53-A888-EE5F65CDD141}"/>
            </c:ext>
          </c:extLst>
        </c:ser>
        <c:ser>
          <c:idx val="1"/>
          <c:order val="1"/>
          <c:tx>
            <c:strRef>
              <c:f>Sheet1!$A$4</c:f>
              <c:strCache>
                <c:ptCount val="1"/>
                <c:pt idx="0">
                  <c:v>Cikliskā komponente</c:v>
                </c:pt>
              </c:strCache>
            </c:strRef>
          </c:tx>
          <c:spPr>
            <a:solidFill>
              <a:schemeClr val="accent2"/>
            </a:solidFill>
            <a:ln>
              <a:noFill/>
            </a:ln>
            <a:effectLst/>
          </c:spPr>
          <c:invertIfNegative val="0"/>
          <c:cat>
            <c:multiLvlStrRef>
              <c:f>Sheet1!$G$1:$N$2</c:f>
              <c:multiLvlStrCache>
                <c:ptCount val="8"/>
                <c:lvl>
                  <c:pt idx="0">
                    <c:v>2014</c:v>
                  </c:pt>
                  <c:pt idx="1">
                    <c:v>2015</c:v>
                  </c:pt>
                  <c:pt idx="2">
                    <c:v>2016</c:v>
                  </c:pt>
                  <c:pt idx="3">
                    <c:v>2017</c:v>
                  </c:pt>
                  <c:pt idx="4">
                    <c:v>2018</c:v>
                  </c:pt>
                  <c:pt idx="5">
                    <c:v>2019</c:v>
                  </c:pt>
                  <c:pt idx="6">
                    <c:v>2020</c:v>
                  </c:pt>
                  <c:pt idx="7">
                    <c:v>2021</c:v>
                  </c:pt>
                </c:lvl>
                <c:lvl>
                  <c:pt idx="0">
                    <c:v>Fakts</c:v>
                  </c:pt>
                  <c:pt idx="3">
                    <c:v>Prognoze</c:v>
                  </c:pt>
                </c:lvl>
              </c:multiLvlStrCache>
            </c:multiLvlStrRef>
          </c:cat>
          <c:val>
            <c:numRef>
              <c:f>Sheet1!$G$4:$N$4</c:f>
              <c:numCache>
                <c:formatCode>0.0</c:formatCode>
                <c:ptCount val="8"/>
                <c:pt idx="0">
                  <c:v>-0.1584498023826979</c:v>
                </c:pt>
                <c:pt idx="1">
                  <c:v>-0.12776321748666217</c:v>
                </c:pt>
                <c:pt idx="2">
                  <c:v>-0.24968668553552995</c:v>
                </c:pt>
                <c:pt idx="3">
                  <c:v>0.18911612898717689</c:v>
                </c:pt>
                <c:pt idx="4">
                  <c:v>0.41916312562139085</c:v>
                </c:pt>
                <c:pt idx="5">
                  <c:v>0.38895394396296989</c:v>
                </c:pt>
                <c:pt idx="6">
                  <c:v>0.25926765081391573</c:v>
                </c:pt>
                <c:pt idx="7">
                  <c:v>0.12806629819122636</c:v>
                </c:pt>
              </c:numCache>
            </c:numRef>
          </c:val>
          <c:extLst>
            <c:ext xmlns:c16="http://schemas.microsoft.com/office/drawing/2014/chart" uri="{C3380CC4-5D6E-409C-BE32-E72D297353CC}">
              <c16:uniqueId val="{00000001-6749-4C53-A888-EE5F65CDD141}"/>
            </c:ext>
          </c:extLst>
        </c:ser>
        <c:ser>
          <c:idx val="2"/>
          <c:order val="2"/>
          <c:tx>
            <c:strRef>
              <c:f>Sheet1!$A$5</c:f>
              <c:strCache>
                <c:ptCount val="1"/>
                <c:pt idx="0">
                  <c:v>Vienreizējie pasākumi (One-off)</c:v>
                </c:pt>
              </c:strCache>
            </c:strRef>
          </c:tx>
          <c:spPr>
            <a:solidFill>
              <a:schemeClr val="accent3"/>
            </a:solidFill>
            <a:ln>
              <a:noFill/>
            </a:ln>
            <a:effectLst/>
          </c:spPr>
          <c:invertIfNegative val="0"/>
          <c:cat>
            <c:multiLvlStrRef>
              <c:f>Sheet1!$G$1:$N$2</c:f>
              <c:multiLvlStrCache>
                <c:ptCount val="8"/>
                <c:lvl>
                  <c:pt idx="0">
                    <c:v>2014</c:v>
                  </c:pt>
                  <c:pt idx="1">
                    <c:v>2015</c:v>
                  </c:pt>
                  <c:pt idx="2">
                    <c:v>2016</c:v>
                  </c:pt>
                  <c:pt idx="3">
                    <c:v>2017</c:v>
                  </c:pt>
                  <c:pt idx="4">
                    <c:v>2018</c:v>
                  </c:pt>
                  <c:pt idx="5">
                    <c:v>2019</c:v>
                  </c:pt>
                  <c:pt idx="6">
                    <c:v>2020</c:v>
                  </c:pt>
                  <c:pt idx="7">
                    <c:v>2021</c:v>
                  </c:pt>
                </c:lvl>
                <c:lvl>
                  <c:pt idx="0">
                    <c:v>Fakts</c:v>
                  </c:pt>
                  <c:pt idx="3">
                    <c:v>Prognoze</c:v>
                  </c:pt>
                </c:lvl>
              </c:multiLvlStrCache>
            </c:multiLvlStrRef>
          </c:cat>
          <c:val>
            <c:numRef>
              <c:f>Sheet1!$G$5:$N$5</c:f>
              <c:numCache>
                <c:formatCode>General</c:formatCode>
                <c:ptCount val="8"/>
                <c:pt idx="0" formatCode="0.0">
                  <c:v>-5.7159396471292166E-2</c:v>
                </c:pt>
                <c:pt idx="2" formatCode="0.0">
                  <c:v>0.17809038220400569</c:v>
                </c:pt>
                <c:pt idx="5" formatCode="0.0">
                  <c:v>-0.52623267228081183</c:v>
                </c:pt>
                <c:pt idx="6" formatCode="0.0">
                  <c:v>-0.29892738311273237</c:v>
                </c:pt>
              </c:numCache>
            </c:numRef>
          </c:val>
          <c:extLst>
            <c:ext xmlns:c16="http://schemas.microsoft.com/office/drawing/2014/chart" uri="{C3380CC4-5D6E-409C-BE32-E72D297353CC}">
              <c16:uniqueId val="{00000002-6749-4C53-A888-EE5F65CDD141}"/>
            </c:ext>
          </c:extLst>
        </c:ser>
        <c:dLbls>
          <c:showLegendKey val="0"/>
          <c:showVal val="0"/>
          <c:showCatName val="0"/>
          <c:showSerName val="0"/>
          <c:showPercent val="0"/>
          <c:showBubbleSize val="0"/>
        </c:dLbls>
        <c:gapWidth val="150"/>
        <c:overlap val="100"/>
        <c:axId val="172756992"/>
        <c:axId val="172758528"/>
      </c:barChart>
      <c:lineChart>
        <c:grouping val="standard"/>
        <c:varyColors val="0"/>
        <c:ser>
          <c:idx val="3"/>
          <c:order val="3"/>
          <c:tx>
            <c:strRef>
              <c:f>Sheet1!$A$6</c:f>
              <c:strCache>
                <c:ptCount val="1"/>
                <c:pt idx="0">
                  <c:v>Vispārējās valdības budžeta bilance</c:v>
                </c:pt>
              </c:strCache>
            </c:strRef>
          </c:tx>
          <c:spPr>
            <a:ln w="28575" cap="rnd">
              <a:solidFill>
                <a:schemeClr val="accent1">
                  <a:lumMod val="50000"/>
                </a:schemeClr>
              </a:solidFill>
              <a:round/>
            </a:ln>
            <a:effectLst/>
          </c:spPr>
          <c:marker>
            <c:symbol val="none"/>
          </c:marker>
          <c:cat>
            <c:multiLvlStrRef>
              <c:f>Sheet1!$G$1:$N$2</c:f>
              <c:multiLvlStrCache>
                <c:ptCount val="8"/>
                <c:lvl>
                  <c:pt idx="0">
                    <c:v>2014</c:v>
                  </c:pt>
                  <c:pt idx="1">
                    <c:v>2015</c:v>
                  </c:pt>
                  <c:pt idx="2">
                    <c:v>2016</c:v>
                  </c:pt>
                  <c:pt idx="3">
                    <c:v>2017</c:v>
                  </c:pt>
                  <c:pt idx="4">
                    <c:v>2018</c:v>
                  </c:pt>
                  <c:pt idx="5">
                    <c:v>2019</c:v>
                  </c:pt>
                  <c:pt idx="6">
                    <c:v>2020</c:v>
                  </c:pt>
                  <c:pt idx="7">
                    <c:v>2021</c:v>
                  </c:pt>
                </c:lvl>
                <c:lvl>
                  <c:pt idx="0">
                    <c:v>Fakts</c:v>
                  </c:pt>
                  <c:pt idx="3">
                    <c:v>Prognoze</c:v>
                  </c:pt>
                </c:lvl>
              </c:multiLvlStrCache>
            </c:multiLvlStrRef>
          </c:cat>
          <c:val>
            <c:numRef>
              <c:f>Sheet1!$G$6:$N$6</c:f>
              <c:numCache>
                <c:formatCode>0.0</c:formatCode>
                <c:ptCount val="8"/>
                <c:pt idx="0">
                  <c:v>-1.2206596075800038</c:v>
                </c:pt>
                <c:pt idx="1">
                  <c:v>-1.2254289437509138</c:v>
                </c:pt>
                <c:pt idx="2">
                  <c:v>3.7983915071269948E-2</c:v>
                </c:pt>
                <c:pt idx="3">
                  <c:v>-0.46644956222876616</c:v>
                </c:pt>
                <c:pt idx="4">
                  <c:v>-0.94385479348580081</c:v>
                </c:pt>
                <c:pt idx="5">
                  <c:v>-0.91291715879227742</c:v>
                </c:pt>
                <c:pt idx="6">
                  <c:v>-0.42202421033709192</c:v>
                </c:pt>
                <c:pt idx="7">
                  <c:v>-0.37193370180877539</c:v>
                </c:pt>
              </c:numCache>
            </c:numRef>
          </c:val>
          <c:smooth val="0"/>
          <c:extLst>
            <c:ext xmlns:c16="http://schemas.microsoft.com/office/drawing/2014/chart" uri="{C3380CC4-5D6E-409C-BE32-E72D297353CC}">
              <c16:uniqueId val="{00000003-6749-4C53-A888-EE5F65CDD141}"/>
            </c:ext>
          </c:extLst>
        </c:ser>
        <c:dLbls>
          <c:showLegendKey val="0"/>
          <c:showVal val="0"/>
          <c:showCatName val="0"/>
          <c:showSerName val="0"/>
          <c:showPercent val="0"/>
          <c:showBubbleSize val="0"/>
        </c:dLbls>
        <c:marker val="1"/>
        <c:smooth val="0"/>
        <c:axId val="172756992"/>
        <c:axId val="172758528"/>
      </c:lineChart>
      <c:catAx>
        <c:axId val="1727569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72758528"/>
        <c:crosses val="autoZero"/>
        <c:auto val="1"/>
        <c:lblAlgn val="ctr"/>
        <c:lblOffset val="100"/>
        <c:noMultiLvlLbl val="0"/>
      </c:catAx>
      <c:valAx>
        <c:axId val="172758528"/>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72756992"/>
        <c:crosses val="autoZero"/>
        <c:crossBetween val="between"/>
      </c:valAx>
      <c:spPr>
        <a:noFill/>
        <a:ln>
          <a:noFill/>
        </a:ln>
        <a:effectLst/>
      </c:spPr>
    </c:plotArea>
    <c:legend>
      <c:legendPos val="b"/>
      <c:layout>
        <c:manualLayout>
          <c:xMode val="edge"/>
          <c:yMode val="edge"/>
          <c:x val="0.76881739155883"/>
          <c:y val="0.1653383248556452"/>
          <c:w val="0.22241143971936569"/>
          <c:h val="0.640047389909594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lgn="just">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633446323252189E-2"/>
          <c:y val="5.2346246382565437E-2"/>
          <c:w val="0.6657634674597952"/>
          <c:h val="0.84960307555771764"/>
        </c:manualLayout>
      </c:layout>
      <c:barChart>
        <c:barDir val="col"/>
        <c:grouping val="clustered"/>
        <c:varyColors val="0"/>
        <c:ser>
          <c:idx val="0"/>
          <c:order val="0"/>
          <c:tx>
            <c:strRef>
              <c:f>Dati!$A$13</c:f>
              <c:strCache>
                <c:ptCount val="1"/>
                <c:pt idx="0">
                  <c:v>Patēriņa nodokļi</c:v>
                </c:pt>
              </c:strCache>
            </c:strRef>
          </c:tx>
          <c:spPr>
            <a:solidFill>
              <a:schemeClr val="accent1"/>
            </a:solidFill>
            <a:ln>
              <a:noFill/>
            </a:ln>
            <a:effectLst/>
          </c:spPr>
          <c:invertIfNegative val="0"/>
          <c:cat>
            <c:numRef>
              <c:f>Dati!$F$1:$M$1</c:f>
              <c:numCache>
                <c:formatCode>General</c:formatCode>
                <c:ptCount val="5"/>
                <c:pt idx="0">
                  <c:v>2017</c:v>
                </c:pt>
                <c:pt idx="1">
                  <c:v>2018</c:v>
                </c:pt>
                <c:pt idx="2">
                  <c:v>2019</c:v>
                </c:pt>
                <c:pt idx="3">
                  <c:v>2020</c:v>
                </c:pt>
                <c:pt idx="4">
                  <c:v>2021</c:v>
                </c:pt>
              </c:numCache>
            </c:numRef>
          </c:cat>
          <c:val>
            <c:numRef>
              <c:f>Dati!$F$13:$M$13</c:f>
              <c:numCache>
                <c:formatCode>0.0%</c:formatCode>
                <c:ptCount val="5"/>
                <c:pt idx="0">
                  <c:v>0.12258411136125236</c:v>
                </c:pt>
                <c:pt idx="1">
                  <c:v>0.12843097314545301</c:v>
                </c:pt>
                <c:pt idx="2">
                  <c:v>0.12956659451687125</c:v>
                </c:pt>
                <c:pt idx="3">
                  <c:v>0.13181894972200348</c:v>
                </c:pt>
                <c:pt idx="4">
                  <c:v>0.13166745999295196</c:v>
                </c:pt>
              </c:numCache>
            </c:numRef>
          </c:val>
          <c:extLst>
            <c:ext xmlns:c16="http://schemas.microsoft.com/office/drawing/2014/chart" uri="{C3380CC4-5D6E-409C-BE32-E72D297353CC}">
              <c16:uniqueId val="{00000000-9F28-47C6-9417-721DBE0937BA}"/>
            </c:ext>
          </c:extLst>
        </c:ser>
        <c:ser>
          <c:idx val="1"/>
          <c:order val="1"/>
          <c:tx>
            <c:strRef>
              <c:f>Dati!$A$14</c:f>
              <c:strCache>
                <c:ptCount val="1"/>
                <c:pt idx="0">
                  <c:v>Darba nodokļi</c:v>
                </c:pt>
              </c:strCache>
            </c:strRef>
          </c:tx>
          <c:spPr>
            <a:solidFill>
              <a:srgbClr val="FFCC66"/>
            </a:solidFill>
            <a:ln>
              <a:noFill/>
            </a:ln>
            <a:effectLst/>
          </c:spPr>
          <c:invertIfNegative val="0"/>
          <c:cat>
            <c:numRef>
              <c:f>Dati!$F$1:$M$1</c:f>
              <c:numCache>
                <c:formatCode>General</c:formatCode>
                <c:ptCount val="5"/>
                <c:pt idx="0">
                  <c:v>2017</c:v>
                </c:pt>
                <c:pt idx="1">
                  <c:v>2018</c:v>
                </c:pt>
                <c:pt idx="2">
                  <c:v>2019</c:v>
                </c:pt>
                <c:pt idx="3">
                  <c:v>2020</c:v>
                </c:pt>
                <c:pt idx="4">
                  <c:v>2021</c:v>
                </c:pt>
              </c:numCache>
            </c:numRef>
          </c:cat>
          <c:val>
            <c:numRef>
              <c:f>Dati!$F$14:$M$14</c:f>
              <c:numCache>
                <c:formatCode>0.0%</c:formatCode>
                <c:ptCount val="5"/>
                <c:pt idx="0">
                  <c:v>0.14496857916008171</c:v>
                </c:pt>
                <c:pt idx="1">
                  <c:v>0.14611814236052326</c:v>
                </c:pt>
                <c:pt idx="2">
                  <c:v>0.14003824679073595</c:v>
                </c:pt>
                <c:pt idx="3">
                  <c:v>0.1383436861986192</c:v>
                </c:pt>
                <c:pt idx="4">
                  <c:v>0.13782674471444908</c:v>
                </c:pt>
              </c:numCache>
            </c:numRef>
          </c:val>
          <c:extLst>
            <c:ext xmlns:c16="http://schemas.microsoft.com/office/drawing/2014/chart" uri="{C3380CC4-5D6E-409C-BE32-E72D297353CC}">
              <c16:uniqueId val="{00000001-9F28-47C6-9417-721DBE0937BA}"/>
            </c:ext>
          </c:extLst>
        </c:ser>
        <c:ser>
          <c:idx val="2"/>
          <c:order val="2"/>
          <c:tx>
            <c:strRef>
              <c:f>Dati!$A$15</c:f>
              <c:strCache>
                <c:ptCount val="1"/>
                <c:pt idx="0">
                  <c:v>Kapitāla nodokļi</c:v>
                </c:pt>
              </c:strCache>
            </c:strRef>
          </c:tx>
          <c:spPr>
            <a:solidFill>
              <a:schemeClr val="bg1">
                <a:lumMod val="65000"/>
              </a:schemeClr>
            </a:solidFill>
            <a:ln>
              <a:noFill/>
            </a:ln>
            <a:effectLst/>
          </c:spPr>
          <c:invertIfNegative val="0"/>
          <c:cat>
            <c:numRef>
              <c:f>Dati!$F$1:$M$1</c:f>
              <c:numCache>
                <c:formatCode>General</c:formatCode>
                <c:ptCount val="5"/>
                <c:pt idx="0">
                  <c:v>2017</c:v>
                </c:pt>
                <c:pt idx="1">
                  <c:v>2018</c:v>
                </c:pt>
                <c:pt idx="2">
                  <c:v>2019</c:v>
                </c:pt>
                <c:pt idx="3">
                  <c:v>2020</c:v>
                </c:pt>
                <c:pt idx="4">
                  <c:v>2021</c:v>
                </c:pt>
              </c:numCache>
            </c:numRef>
          </c:cat>
          <c:val>
            <c:numRef>
              <c:f>Dati!$F$15:$M$15</c:f>
              <c:numCache>
                <c:formatCode>0.0%</c:formatCode>
                <c:ptCount val="5"/>
                <c:pt idx="0">
                  <c:v>4.5092441316835888E-2</c:v>
                </c:pt>
                <c:pt idx="1">
                  <c:v>3.2869471089719882E-2</c:v>
                </c:pt>
                <c:pt idx="2">
                  <c:v>3.2064394300240689E-2</c:v>
                </c:pt>
                <c:pt idx="3">
                  <c:v>3.5111913588726049E-2</c:v>
                </c:pt>
                <c:pt idx="4">
                  <c:v>3.3551740729976541E-2</c:v>
                </c:pt>
              </c:numCache>
            </c:numRef>
          </c:val>
          <c:extLst>
            <c:ext xmlns:c16="http://schemas.microsoft.com/office/drawing/2014/chart" uri="{C3380CC4-5D6E-409C-BE32-E72D297353CC}">
              <c16:uniqueId val="{00000002-9F28-47C6-9417-721DBE0937BA}"/>
            </c:ext>
          </c:extLst>
        </c:ser>
        <c:dLbls>
          <c:showLegendKey val="0"/>
          <c:showVal val="0"/>
          <c:showCatName val="0"/>
          <c:showSerName val="0"/>
          <c:showPercent val="0"/>
          <c:showBubbleSize val="0"/>
        </c:dLbls>
        <c:gapWidth val="150"/>
        <c:axId val="172875136"/>
        <c:axId val="173339776"/>
      </c:barChart>
      <c:catAx>
        <c:axId val="17287513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lv-LV" sz="1200" b="0" i="0" u="none" strike="noStrike" kern="1200" baseline="0">
                <a:solidFill>
                  <a:schemeClr val="tx1"/>
                </a:solidFill>
                <a:latin typeface="Times New Roman" pitchFamily="18" charset="0"/>
                <a:ea typeface="+mn-ea"/>
                <a:cs typeface="Times New Roman" pitchFamily="18" charset="0"/>
              </a:defRPr>
            </a:pPr>
            <a:endParaRPr lang="lv-LV"/>
          </a:p>
        </c:txPr>
        <c:crossAx val="173339776"/>
        <c:crosses val="autoZero"/>
        <c:auto val="1"/>
        <c:lblAlgn val="ctr"/>
        <c:lblOffset val="100"/>
        <c:noMultiLvlLbl val="0"/>
      </c:catAx>
      <c:valAx>
        <c:axId val="173339776"/>
        <c:scaling>
          <c:orientation val="minMax"/>
          <c:max val="0.16"/>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lv-LV" sz="1200" b="0" i="0" u="none" strike="noStrike" kern="1200" baseline="0">
                <a:solidFill>
                  <a:schemeClr val="tx1"/>
                </a:solidFill>
                <a:latin typeface="Times New Roman" pitchFamily="18" charset="0"/>
                <a:ea typeface="+mn-ea"/>
                <a:cs typeface="Times New Roman" pitchFamily="18" charset="0"/>
              </a:defRPr>
            </a:pPr>
            <a:endParaRPr lang="lv-LV"/>
          </a:p>
        </c:txPr>
        <c:crossAx val="172875136"/>
        <c:crosses val="autoZero"/>
        <c:crossBetween val="between"/>
        <c:majorUnit val="2.0000000000000011E-2"/>
      </c:valAx>
      <c:spPr>
        <a:solidFill>
          <a:schemeClr val="bg1"/>
        </a:solidFill>
        <a:ln>
          <a:noFill/>
        </a:ln>
        <a:effectLst/>
      </c:spPr>
    </c:plotArea>
    <c:legend>
      <c:legendPos val="r"/>
      <c:layout>
        <c:manualLayout>
          <c:xMode val="edge"/>
          <c:yMode val="edge"/>
          <c:x val="0.76270684034911473"/>
          <c:y val="0.42574686504791043"/>
          <c:w val="0.23497691440317289"/>
          <c:h val="0.1782816486112459"/>
        </c:manualLayout>
      </c:layout>
      <c:overlay val="0"/>
      <c:spPr>
        <a:noFill/>
        <a:ln>
          <a:noFill/>
        </a:ln>
        <a:effectLst/>
      </c:spPr>
      <c:txPr>
        <a:bodyPr rot="0" spcFirstLastPara="1" vertOverflow="ellipsis" vert="horz" wrap="square" anchor="ctr" anchorCtr="1"/>
        <a:lstStyle/>
        <a:p>
          <a:pPr>
            <a:defRPr lang="lv-LV" sz="1200" b="0" i="0" u="none" strike="noStrike" kern="1200" baseline="0">
              <a:solidFill>
                <a:schemeClr val="tx1"/>
              </a:solidFill>
              <a:latin typeface="Times New Roman" pitchFamily="18" charset="0"/>
              <a:ea typeface="+mn-ea"/>
              <a:cs typeface="Times New Roman" pitchFamily="18" charset="0"/>
            </a:defRPr>
          </a:pPr>
          <a:endParaRPr lang="lv-LV"/>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1800">
          <a:latin typeface="Times New Roman" pitchFamily="18" charset="0"/>
          <a:cs typeface="Times New Roman" pitchFamily="18" charset="0"/>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80927384077144E-2"/>
          <c:y val="7.1458061287522773E-2"/>
          <c:w val="0.85219685039370152"/>
          <c:h val="0.78045732957653058"/>
        </c:manualLayout>
      </c:layout>
      <c:barChart>
        <c:barDir val="bar"/>
        <c:grouping val="clustered"/>
        <c:varyColors val="0"/>
        <c:ser>
          <c:idx val="0"/>
          <c:order val="0"/>
          <c:tx>
            <c:strRef>
              <c:f>Sheet1!$C$9</c:f>
              <c:strCache>
                <c:ptCount val="1"/>
                <c:pt idx="0">
                  <c:v>Galvoto aizdevuma līgumu kopsumma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Sheet1!$D$8:$H$8</c:f>
              <c:numCache>
                <c:formatCode>General</c:formatCode>
                <c:ptCount val="5"/>
                <c:pt idx="0">
                  <c:v>2013</c:v>
                </c:pt>
                <c:pt idx="1">
                  <c:v>2014</c:v>
                </c:pt>
                <c:pt idx="2">
                  <c:v>2015</c:v>
                </c:pt>
                <c:pt idx="3">
                  <c:v>2016</c:v>
                </c:pt>
                <c:pt idx="4">
                  <c:v>2017</c:v>
                </c:pt>
              </c:numCache>
            </c:numRef>
          </c:cat>
          <c:val>
            <c:numRef>
              <c:f>Sheet1!$D$9:$H$9</c:f>
              <c:numCache>
                <c:formatCode>General</c:formatCode>
                <c:ptCount val="5"/>
                <c:pt idx="0">
                  <c:v>1086</c:v>
                </c:pt>
                <c:pt idx="1">
                  <c:v>1097</c:v>
                </c:pt>
                <c:pt idx="2">
                  <c:v>914</c:v>
                </c:pt>
                <c:pt idx="3">
                  <c:v>947</c:v>
                </c:pt>
                <c:pt idx="4">
                  <c:v>953</c:v>
                </c:pt>
              </c:numCache>
            </c:numRef>
          </c:val>
          <c:extLst>
            <c:ext xmlns:c16="http://schemas.microsoft.com/office/drawing/2014/chart" uri="{C3380CC4-5D6E-409C-BE32-E72D297353CC}">
              <c16:uniqueId val="{00000000-EB50-4A73-8616-338F042AECB2}"/>
            </c:ext>
          </c:extLst>
        </c:ser>
        <c:ser>
          <c:idx val="1"/>
          <c:order val="1"/>
          <c:tx>
            <c:strRef>
              <c:f>Sheet1!$C$10</c:f>
              <c:strCache>
                <c:ptCount val="1"/>
                <c:pt idx="0">
                  <c:v>Parāds (izmaksas-atmaksas)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Sheet1!$D$8:$H$8</c:f>
              <c:numCache>
                <c:formatCode>General</c:formatCode>
                <c:ptCount val="5"/>
                <c:pt idx="0">
                  <c:v>2013</c:v>
                </c:pt>
                <c:pt idx="1">
                  <c:v>2014</c:v>
                </c:pt>
                <c:pt idx="2">
                  <c:v>2015</c:v>
                </c:pt>
                <c:pt idx="3">
                  <c:v>2016</c:v>
                </c:pt>
                <c:pt idx="4">
                  <c:v>2017</c:v>
                </c:pt>
              </c:numCache>
            </c:numRef>
          </c:cat>
          <c:val>
            <c:numRef>
              <c:f>Sheet1!$D$10:$H$10</c:f>
              <c:numCache>
                <c:formatCode>General</c:formatCode>
                <c:ptCount val="5"/>
                <c:pt idx="0">
                  <c:v>663</c:v>
                </c:pt>
                <c:pt idx="1">
                  <c:v>593</c:v>
                </c:pt>
                <c:pt idx="2">
                  <c:v>426</c:v>
                </c:pt>
                <c:pt idx="3">
                  <c:v>433</c:v>
                </c:pt>
                <c:pt idx="4">
                  <c:v>441</c:v>
                </c:pt>
              </c:numCache>
            </c:numRef>
          </c:val>
          <c:extLst>
            <c:ext xmlns:c16="http://schemas.microsoft.com/office/drawing/2014/chart" uri="{C3380CC4-5D6E-409C-BE32-E72D297353CC}">
              <c16:uniqueId val="{00000001-EB50-4A73-8616-338F042AECB2}"/>
            </c:ext>
          </c:extLst>
        </c:ser>
        <c:dLbls>
          <c:showLegendKey val="0"/>
          <c:showVal val="1"/>
          <c:showCatName val="0"/>
          <c:showSerName val="0"/>
          <c:showPercent val="0"/>
          <c:showBubbleSize val="0"/>
        </c:dLbls>
        <c:gapWidth val="42"/>
        <c:axId val="173402752"/>
        <c:axId val="173540096"/>
      </c:barChart>
      <c:catAx>
        <c:axId val="173402752"/>
        <c:scaling>
          <c:orientation val="minMax"/>
        </c:scaling>
        <c:delete val="0"/>
        <c:axPos val="l"/>
        <c:title>
          <c:tx>
            <c:rich>
              <a:bodyPr rot="0" vert="horz"/>
              <a:lstStyle/>
              <a:p>
                <a:pPr>
                  <a:defRPr sz="900" b="0"/>
                </a:pPr>
                <a:r>
                  <a:rPr lang="lv-LV" sz="900" b="0" i="0" u="none" strike="noStrike" baseline="0">
                    <a:effectLst/>
                  </a:rPr>
                  <a:t>milj. </a:t>
                </a:r>
                <a:r>
                  <a:rPr lang="lv-LV" sz="900" b="0" i="1" u="none" strike="noStrike" baseline="0">
                    <a:effectLst/>
                  </a:rPr>
                  <a:t>euro</a:t>
                </a:r>
                <a:endParaRPr lang="lv-LV" sz="900" b="0"/>
              </a:p>
            </c:rich>
          </c:tx>
          <c:layout>
            <c:manualLayout>
              <c:xMode val="edge"/>
              <c:yMode val="edge"/>
              <c:x val="9.1666666666666771E-2"/>
              <c:y val="1.6802021802949162E-2"/>
            </c:manualLayout>
          </c:layout>
          <c:overlay val="0"/>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crossAx val="173540096"/>
        <c:crosses val="autoZero"/>
        <c:auto val="1"/>
        <c:lblAlgn val="ctr"/>
        <c:lblOffset val="100"/>
        <c:noMultiLvlLbl val="0"/>
      </c:catAx>
      <c:valAx>
        <c:axId val="173540096"/>
        <c:scaling>
          <c:orientation val="minMax"/>
        </c:scaling>
        <c:delete val="1"/>
        <c:axPos val="b"/>
        <c:numFmt formatCode="#,##0" sourceLinked="0"/>
        <c:majorTickMark val="none"/>
        <c:minorTickMark val="none"/>
        <c:tickLblPos val="none"/>
        <c:crossAx val="173402752"/>
        <c:crosses val="autoZero"/>
        <c:crossBetween val="between"/>
      </c:valAx>
      <c:spPr>
        <a:noFill/>
        <a:ln>
          <a:noFill/>
        </a:ln>
        <a:effectLst/>
        <a:sp3d/>
      </c:spPr>
    </c:plotArea>
    <c:legend>
      <c:legendPos val="b"/>
      <c:layout>
        <c:manualLayout>
          <c:xMode val="edge"/>
          <c:yMode val="edge"/>
          <c:x val="5.9121391076115484E-2"/>
          <c:y val="0.88061248426369743"/>
          <c:w val="0.87064610673665777"/>
          <c:h val="8.029571470694349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Sheet!$X$4</c:f>
              <c:strCache>
                <c:ptCount val="1"/>
                <c:pt idx="0">
                  <c:v>Preces</c:v>
                </c:pt>
              </c:strCache>
            </c:strRef>
          </c:tx>
          <c:spPr>
            <a:solidFill>
              <a:srgbClr val="ED7D31"/>
            </a:solidFill>
            <a:ln w="25400">
              <a:noFill/>
            </a:ln>
          </c:spPr>
          <c:invertIfNegative val="0"/>
          <c:cat>
            <c:numRef>
              <c:f>Sheet!$AB$2:$AK$2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Sheet!$AB$4:$AK$4</c:f>
              <c:numCache>
                <c:formatCode>#,##0</c:formatCode>
                <c:ptCount val="10"/>
                <c:pt idx="0">
                  <c:v>-4199</c:v>
                </c:pt>
                <c:pt idx="1">
                  <c:v>-1579</c:v>
                </c:pt>
                <c:pt idx="2">
                  <c:v>-1542</c:v>
                </c:pt>
                <c:pt idx="3">
                  <c:v>-2511</c:v>
                </c:pt>
                <c:pt idx="4">
                  <c:v>-2637</c:v>
                </c:pt>
                <c:pt idx="5">
                  <c:v>-2620</c:v>
                </c:pt>
                <c:pt idx="6">
                  <c:v>-2380</c:v>
                </c:pt>
                <c:pt idx="7">
                  <c:v>-2202</c:v>
                </c:pt>
                <c:pt idx="8">
                  <c:v>-1918</c:v>
                </c:pt>
                <c:pt idx="9">
                  <c:v>-2602</c:v>
                </c:pt>
              </c:numCache>
            </c:numRef>
          </c:val>
          <c:extLst>
            <c:ext xmlns:c16="http://schemas.microsoft.com/office/drawing/2014/chart" uri="{C3380CC4-5D6E-409C-BE32-E72D297353CC}">
              <c16:uniqueId val="{00000000-88C4-4452-AC4E-6D172D6DAAAC}"/>
            </c:ext>
          </c:extLst>
        </c:ser>
        <c:ser>
          <c:idx val="2"/>
          <c:order val="1"/>
          <c:tx>
            <c:strRef>
              <c:f>Sheet!$X$5</c:f>
              <c:strCache>
                <c:ptCount val="1"/>
                <c:pt idx="0">
                  <c:v>Pakalpojumi</c:v>
                </c:pt>
              </c:strCache>
            </c:strRef>
          </c:tx>
          <c:spPr>
            <a:solidFill>
              <a:srgbClr val="A5A5A5"/>
            </a:solidFill>
            <a:ln w="25400">
              <a:noFill/>
            </a:ln>
          </c:spPr>
          <c:invertIfNegative val="0"/>
          <c:cat>
            <c:numRef>
              <c:f>Sheet!$AB$2:$AK$2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Sheet!$AB$5:$AK$5</c:f>
              <c:numCache>
                <c:formatCode>#,##0</c:formatCode>
                <c:ptCount val="10"/>
                <c:pt idx="0">
                  <c:v>1395</c:v>
                </c:pt>
                <c:pt idx="1">
                  <c:v>1430</c:v>
                </c:pt>
                <c:pt idx="2">
                  <c:v>1301</c:v>
                </c:pt>
                <c:pt idx="3">
                  <c:v>1480</c:v>
                </c:pt>
                <c:pt idx="4">
                  <c:v>1622</c:v>
                </c:pt>
                <c:pt idx="5">
                  <c:v>1773</c:v>
                </c:pt>
                <c:pt idx="6">
                  <c:v>2038</c:v>
                </c:pt>
                <c:pt idx="7">
                  <c:v>2078</c:v>
                </c:pt>
                <c:pt idx="8">
                  <c:v>2141</c:v>
                </c:pt>
                <c:pt idx="9">
                  <c:v>2245</c:v>
                </c:pt>
              </c:numCache>
            </c:numRef>
          </c:val>
          <c:extLst>
            <c:ext xmlns:c16="http://schemas.microsoft.com/office/drawing/2014/chart" uri="{C3380CC4-5D6E-409C-BE32-E72D297353CC}">
              <c16:uniqueId val="{00000001-88C4-4452-AC4E-6D172D6DAAAC}"/>
            </c:ext>
          </c:extLst>
        </c:ser>
        <c:ser>
          <c:idx val="3"/>
          <c:order val="2"/>
          <c:tx>
            <c:strRef>
              <c:f>Sheet!$X$6</c:f>
              <c:strCache>
                <c:ptCount val="1"/>
                <c:pt idx="0">
                  <c:v>Sākotnējie ienākumi</c:v>
                </c:pt>
              </c:strCache>
            </c:strRef>
          </c:tx>
          <c:spPr>
            <a:solidFill>
              <a:srgbClr val="FFC000"/>
            </a:solidFill>
            <a:ln w="25400">
              <a:noFill/>
            </a:ln>
          </c:spPr>
          <c:invertIfNegative val="0"/>
          <c:cat>
            <c:numRef>
              <c:f>Sheet!$AB$2:$AK$2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Sheet!$AB$6:$AK$6</c:f>
              <c:numCache>
                <c:formatCode>#,##0</c:formatCode>
                <c:ptCount val="10"/>
                <c:pt idx="0">
                  <c:v>-566</c:v>
                </c:pt>
                <c:pt idx="1">
                  <c:v>1153</c:v>
                </c:pt>
                <c:pt idx="2">
                  <c:v>188</c:v>
                </c:pt>
                <c:pt idx="3">
                  <c:v>-3</c:v>
                </c:pt>
                <c:pt idx="4">
                  <c:v>-129</c:v>
                </c:pt>
                <c:pt idx="5">
                  <c:v>-74</c:v>
                </c:pt>
                <c:pt idx="6">
                  <c:v>-84</c:v>
                </c:pt>
                <c:pt idx="7">
                  <c:v>-137</c:v>
                </c:pt>
                <c:pt idx="8">
                  <c:v>-62</c:v>
                </c:pt>
                <c:pt idx="9">
                  <c:v>-182</c:v>
                </c:pt>
              </c:numCache>
            </c:numRef>
          </c:val>
          <c:extLst>
            <c:ext xmlns:c16="http://schemas.microsoft.com/office/drawing/2014/chart" uri="{C3380CC4-5D6E-409C-BE32-E72D297353CC}">
              <c16:uniqueId val="{00000002-88C4-4452-AC4E-6D172D6DAAAC}"/>
            </c:ext>
          </c:extLst>
        </c:ser>
        <c:ser>
          <c:idx val="4"/>
          <c:order val="3"/>
          <c:tx>
            <c:strRef>
              <c:f>Sheet!$X$7</c:f>
              <c:strCache>
                <c:ptCount val="1"/>
                <c:pt idx="0">
                  <c:v>Otrreizējie ienākumi</c:v>
                </c:pt>
              </c:strCache>
            </c:strRef>
          </c:tx>
          <c:spPr>
            <a:solidFill>
              <a:srgbClr val="FF0000"/>
            </a:solidFill>
            <a:ln w="25400">
              <a:noFill/>
            </a:ln>
          </c:spPr>
          <c:invertIfNegative val="0"/>
          <c:cat>
            <c:numRef>
              <c:f>Sheet!$AB$2:$AK$2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Sheet!$AB$7:$AK$7</c:f>
              <c:numCache>
                <c:formatCode>#,##0</c:formatCode>
                <c:ptCount val="10"/>
                <c:pt idx="0">
                  <c:v>363</c:v>
                </c:pt>
                <c:pt idx="1">
                  <c:v>460</c:v>
                </c:pt>
                <c:pt idx="2">
                  <c:v>420</c:v>
                </c:pt>
                <c:pt idx="3">
                  <c:v>392</c:v>
                </c:pt>
                <c:pt idx="4">
                  <c:v>350</c:v>
                </c:pt>
                <c:pt idx="5">
                  <c:v>299</c:v>
                </c:pt>
                <c:pt idx="6">
                  <c:v>15</c:v>
                </c:pt>
                <c:pt idx="7">
                  <c:v>145</c:v>
                </c:pt>
                <c:pt idx="8">
                  <c:v>180</c:v>
                </c:pt>
                <c:pt idx="9">
                  <c:v>334</c:v>
                </c:pt>
              </c:numCache>
            </c:numRef>
          </c:val>
          <c:extLst>
            <c:ext xmlns:c16="http://schemas.microsoft.com/office/drawing/2014/chart" uri="{C3380CC4-5D6E-409C-BE32-E72D297353CC}">
              <c16:uniqueId val="{00000003-88C4-4452-AC4E-6D172D6DAAAC}"/>
            </c:ext>
          </c:extLst>
        </c:ser>
        <c:dLbls>
          <c:showLegendKey val="0"/>
          <c:showVal val="0"/>
          <c:showCatName val="0"/>
          <c:showSerName val="0"/>
          <c:showPercent val="0"/>
          <c:showBubbleSize val="0"/>
        </c:dLbls>
        <c:gapWidth val="219"/>
        <c:overlap val="100"/>
        <c:axId val="183091200"/>
        <c:axId val="183092736"/>
      </c:barChart>
      <c:lineChart>
        <c:grouping val="standard"/>
        <c:varyColors val="0"/>
        <c:ser>
          <c:idx val="5"/>
          <c:order val="4"/>
          <c:tx>
            <c:strRef>
              <c:f>Sheet!$X$8</c:f>
              <c:strCache>
                <c:ptCount val="1"/>
                <c:pt idx="0">
                  <c:v>Tekošais konts, % no IKP (labā ass)</c:v>
                </c:pt>
              </c:strCache>
            </c:strRef>
          </c:tx>
          <c:spPr>
            <a:ln w="28575" cap="rnd">
              <a:solidFill>
                <a:srgbClr val="00B050"/>
              </a:solidFill>
              <a:prstDash val="dash"/>
              <a:round/>
            </a:ln>
            <a:effectLst/>
          </c:spPr>
          <c:marker>
            <c:symbol val="none"/>
          </c:marker>
          <c:cat>
            <c:numRef>
              <c:f>Sheet!$AB$2:$AK$2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Sheet!$AB$8:$AK$8</c:f>
              <c:numCache>
                <c:formatCode>0.0%</c:formatCode>
                <c:ptCount val="10"/>
                <c:pt idx="0">
                  <c:v>-0.12348449678219606</c:v>
                </c:pt>
                <c:pt idx="1">
                  <c:v>7.7762343935517245E-2</c:v>
                </c:pt>
                <c:pt idx="2">
                  <c:v>2.0459495745344742E-2</c:v>
                </c:pt>
                <c:pt idx="3">
                  <c:v>-3.1572060568510883E-2</c:v>
                </c:pt>
                <c:pt idx="4">
                  <c:v>-3.6279541267589838E-2</c:v>
                </c:pt>
                <c:pt idx="5">
                  <c:v>-2.7296758953117516E-2</c:v>
                </c:pt>
                <c:pt idx="6">
                  <c:v>-1.7359521144807089E-2</c:v>
                </c:pt>
                <c:pt idx="7">
                  <c:v>-4.7696732987603371E-3</c:v>
                </c:pt>
                <c:pt idx="8">
                  <c:v>1.3720234312717381E-2</c:v>
                </c:pt>
                <c:pt idx="9">
                  <c:v>-7.5974651429975178E-3</c:v>
                </c:pt>
              </c:numCache>
            </c:numRef>
          </c:val>
          <c:smooth val="1"/>
          <c:extLst>
            <c:ext xmlns:c16="http://schemas.microsoft.com/office/drawing/2014/chart" uri="{C3380CC4-5D6E-409C-BE32-E72D297353CC}">
              <c16:uniqueId val="{00000004-88C4-4452-AC4E-6D172D6DAAAC}"/>
            </c:ext>
          </c:extLst>
        </c:ser>
        <c:ser>
          <c:idx val="6"/>
          <c:order val="5"/>
          <c:tx>
            <c:strRef>
              <c:f>Sheet!$X$9</c:f>
              <c:strCache>
                <c:ptCount val="1"/>
                <c:pt idx="0">
                  <c:v>Tekošais un kapitāla konts, % no IKP (labā ass)</c:v>
                </c:pt>
              </c:strCache>
            </c:strRef>
          </c:tx>
          <c:spPr>
            <a:ln w="28575" cap="rnd">
              <a:solidFill>
                <a:schemeClr val="accent1">
                  <a:lumMod val="60000"/>
                </a:schemeClr>
              </a:solidFill>
              <a:round/>
            </a:ln>
            <a:effectLst/>
          </c:spPr>
          <c:marker>
            <c:symbol val="none"/>
          </c:marker>
          <c:cat>
            <c:numRef>
              <c:f>Sheet!$AB$2:$AK$2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Sheet!$AB$9:$AK$9</c:f>
              <c:numCache>
                <c:formatCode>0.0%</c:formatCode>
                <c:ptCount val="10"/>
                <c:pt idx="0">
                  <c:v>-0.10948110023988519</c:v>
                </c:pt>
                <c:pt idx="1">
                  <c:v>0.10177093646205662</c:v>
                </c:pt>
                <c:pt idx="2">
                  <c:v>4.0082772318536436E-2</c:v>
                </c:pt>
                <c:pt idx="3">
                  <c:v>-1.0441929548399847E-2</c:v>
                </c:pt>
                <c:pt idx="4">
                  <c:v>-6.4425885626324484E-3</c:v>
                </c:pt>
                <c:pt idx="5">
                  <c:v>-2.150387763187718E-3</c:v>
                </c:pt>
                <c:pt idx="6">
                  <c:v>1.4565061643447896E-2</c:v>
                </c:pt>
                <c:pt idx="7">
                  <c:v>2.2984891155232966E-2</c:v>
                </c:pt>
                <c:pt idx="8">
                  <c:v>2.3709527715836141E-2</c:v>
                </c:pt>
                <c:pt idx="9">
                  <c:v>2.6069733333815005E-4</c:v>
                </c:pt>
              </c:numCache>
            </c:numRef>
          </c:val>
          <c:smooth val="1"/>
          <c:extLst>
            <c:ext xmlns:c16="http://schemas.microsoft.com/office/drawing/2014/chart" uri="{C3380CC4-5D6E-409C-BE32-E72D297353CC}">
              <c16:uniqueId val="{00000005-88C4-4452-AC4E-6D172D6DAAAC}"/>
            </c:ext>
          </c:extLst>
        </c:ser>
        <c:dLbls>
          <c:showLegendKey val="0"/>
          <c:showVal val="0"/>
          <c:showCatName val="0"/>
          <c:showSerName val="0"/>
          <c:showPercent val="0"/>
          <c:showBubbleSize val="0"/>
        </c:dLbls>
        <c:marker val="1"/>
        <c:smooth val="0"/>
        <c:axId val="183112064"/>
        <c:axId val="183114368"/>
      </c:lineChart>
      <c:catAx>
        <c:axId val="183091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3092736"/>
        <c:crosses val="autoZero"/>
        <c:auto val="1"/>
        <c:lblAlgn val="ctr"/>
        <c:lblOffset val="100"/>
        <c:noMultiLvlLbl val="0"/>
      </c:catAx>
      <c:valAx>
        <c:axId val="183092736"/>
        <c:scaling>
          <c:orientation val="minMax"/>
          <c:max val="5000"/>
          <c:min val="-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3091200"/>
        <c:crosses val="autoZero"/>
        <c:crossBetween val="between"/>
      </c:valAx>
      <c:catAx>
        <c:axId val="183112064"/>
        <c:scaling>
          <c:orientation val="minMax"/>
        </c:scaling>
        <c:delete val="1"/>
        <c:axPos val="b"/>
        <c:numFmt formatCode="General" sourceLinked="1"/>
        <c:majorTickMark val="out"/>
        <c:minorTickMark val="none"/>
        <c:tickLblPos val="none"/>
        <c:crossAx val="183114368"/>
        <c:crosses val="autoZero"/>
        <c:auto val="1"/>
        <c:lblAlgn val="ctr"/>
        <c:lblOffset val="100"/>
        <c:noMultiLvlLbl val="0"/>
      </c:catAx>
      <c:valAx>
        <c:axId val="183114368"/>
        <c:scaling>
          <c:orientation val="minMax"/>
          <c:max val="0.14000000000000001"/>
          <c:min val="-0.14000000000000001"/>
        </c:scaling>
        <c:delete val="0"/>
        <c:axPos val="r"/>
        <c:numFmt formatCode="0%" sourceLinked="0"/>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3112064"/>
        <c:crosses val="max"/>
        <c:crossBetween val="between"/>
        <c:majorUnit val="2.0000000000000011E-2"/>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BySource!$L$1</c:f>
              <c:strCache>
                <c:ptCount val="1"/>
                <c:pt idx="0">
                  <c:v>Pamatinflācija</c:v>
                </c:pt>
              </c:strCache>
            </c:strRef>
          </c:tx>
          <c:spPr>
            <a:solidFill>
              <a:schemeClr val="accent1"/>
            </a:solidFill>
            <a:ln>
              <a:noFill/>
            </a:ln>
          </c:spPr>
          <c:invertIfNegative val="0"/>
          <c:cat>
            <c:multiLvlStrRef>
              <c:f>BySource!$A$74:$B$170</c:f>
              <c:multiLvlStrCache>
                <c:ptCount val="9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lvl>
                <c:lvl>
                  <c:pt idx="0">
                    <c:v>2010</c:v>
                  </c:pt>
                  <c:pt idx="12">
                    <c:v>2011</c:v>
                  </c:pt>
                  <c:pt idx="24">
                    <c:v>2012</c:v>
                  </c:pt>
                  <c:pt idx="36">
                    <c:v>2013</c:v>
                  </c:pt>
                  <c:pt idx="48">
                    <c:v>2014</c:v>
                  </c:pt>
                  <c:pt idx="60">
                    <c:v>2015</c:v>
                  </c:pt>
                  <c:pt idx="72">
                    <c:v>2016</c:v>
                  </c:pt>
                  <c:pt idx="84">
                    <c:v>2017</c:v>
                  </c:pt>
                  <c:pt idx="96">
                    <c:v>2018</c:v>
                  </c:pt>
                </c:lvl>
              </c:multiLvlStrCache>
            </c:multiLvlStrRef>
          </c:cat>
          <c:val>
            <c:numRef>
              <c:f>BySource!$L$74:$L$170</c:f>
              <c:numCache>
                <c:formatCode>0.0</c:formatCode>
                <c:ptCount val="97"/>
                <c:pt idx="0">
                  <c:v>-2.9863131245632504</c:v>
                </c:pt>
                <c:pt idx="1">
                  <c:v>-2.8500810898791173</c:v>
                </c:pt>
                <c:pt idx="2">
                  <c:v>-3.0614346309378142</c:v>
                </c:pt>
                <c:pt idx="3">
                  <c:v>-2.8624503363241982</c:v>
                </c:pt>
                <c:pt idx="4">
                  <c:v>-2.6600205151788381</c:v>
                </c:pt>
                <c:pt idx="5">
                  <c:v>-2.2328429731684092</c:v>
                </c:pt>
                <c:pt idx="6">
                  <c:v>-2.0587785401654459</c:v>
                </c:pt>
                <c:pt idx="7">
                  <c:v>-1.9068968346894908</c:v>
                </c:pt>
                <c:pt idx="8">
                  <c:v>-1.3447771335243521</c:v>
                </c:pt>
                <c:pt idx="9">
                  <c:v>-0.84412367086673323</c:v>
                </c:pt>
                <c:pt idx="10">
                  <c:v>-0.25484731751913364</c:v>
                </c:pt>
                <c:pt idx="11">
                  <c:v>-0.19100420127443646</c:v>
                </c:pt>
                <c:pt idx="12">
                  <c:v>-0.22384704296262103</c:v>
                </c:pt>
                <c:pt idx="13">
                  <c:v>0.16124148175607833</c:v>
                </c:pt>
                <c:pt idx="14">
                  <c:v>0.44880634462776747</c:v>
                </c:pt>
                <c:pt idx="15" formatCode="#\ ##0.0">
                  <c:v>0.81918074104148753</c:v>
                </c:pt>
                <c:pt idx="16" formatCode="#\ ##0.0">
                  <c:v>1.1525929140436859</c:v>
                </c:pt>
                <c:pt idx="17" formatCode="#\ ##0.0">
                  <c:v>1.1377369501332648</c:v>
                </c:pt>
                <c:pt idx="18" formatCode="#\ ##0.0">
                  <c:v>0.83408321371840133</c:v>
                </c:pt>
                <c:pt idx="19" formatCode="#\ ##0.0">
                  <c:v>1.2255909623521895</c:v>
                </c:pt>
                <c:pt idx="20" formatCode="#\ ##0.0">
                  <c:v>0.8953364661766845</c:v>
                </c:pt>
                <c:pt idx="21" formatCode="#\ ##0.0">
                  <c:v>0.58348621846635007</c:v>
                </c:pt>
                <c:pt idx="22" formatCode="#\ ##0.0">
                  <c:v>0.31460013530175052</c:v>
                </c:pt>
                <c:pt idx="23" formatCode="#\ ##0.0">
                  <c:v>0.89761183728307603</c:v>
                </c:pt>
                <c:pt idx="24" formatCode="#\ ##0.0">
                  <c:v>1.095106446825268</c:v>
                </c:pt>
                <c:pt idx="25" formatCode="#\ ##0.0">
                  <c:v>0.75845895056921864</c:v>
                </c:pt>
                <c:pt idx="26" formatCode="#\ ##0.0">
                  <c:v>0.6944027780143035</c:v>
                </c:pt>
                <c:pt idx="27" formatCode="#\ ##0.0">
                  <c:v>0.75676464365697171</c:v>
                </c:pt>
                <c:pt idx="28" formatCode="#\ ##0.0">
                  <c:v>0.51519556949613854</c:v>
                </c:pt>
                <c:pt idx="29" formatCode="#\ ##0.0">
                  <c:v>0.52667286637850996</c:v>
                </c:pt>
                <c:pt idx="30" formatCode="#\ ##0.0">
                  <c:v>0.94000633947199441</c:v>
                </c:pt>
                <c:pt idx="31" formatCode="#\ ##0.0">
                  <c:v>0.51895849358571422</c:v>
                </c:pt>
                <c:pt idx="32" formatCode="#\ ##0.0">
                  <c:v>0.46098808601710695</c:v>
                </c:pt>
                <c:pt idx="33" formatCode="#\ ##0.0">
                  <c:v>0.22223010379547156</c:v>
                </c:pt>
                <c:pt idx="34" formatCode="#\ ##0.0">
                  <c:v>0.58280743746785879</c:v>
                </c:pt>
                <c:pt idx="35" formatCode="#\ ##0.0">
                  <c:v>0.2341835800562759</c:v>
                </c:pt>
                <c:pt idx="36" formatCode="#\ ##0.0">
                  <c:v>0.14863811556982123</c:v>
                </c:pt>
                <c:pt idx="37" formatCode="#\ ##0.0">
                  <c:v>0.35190589027773467</c:v>
                </c:pt>
                <c:pt idx="38" formatCode="#\ ##0.0">
                  <c:v>0.44869318336796582</c:v>
                </c:pt>
                <c:pt idx="39" formatCode="#\ ##0.0">
                  <c:v>0.13896909236271476</c:v>
                </c:pt>
                <c:pt idx="40" formatCode="#\ ##0.0">
                  <c:v>0.15302012010475408</c:v>
                </c:pt>
                <c:pt idx="41" formatCode="#\ ##0.0">
                  <c:v>0.17886008382353691</c:v>
                </c:pt>
                <c:pt idx="42" formatCode="#\ ##0.0">
                  <c:v>-5.0772825881947189E-2</c:v>
                </c:pt>
                <c:pt idx="43" formatCode="#\ ##0.0">
                  <c:v>-3.4410437837126648E-2</c:v>
                </c:pt>
                <c:pt idx="44" formatCode="#\ ##0.0">
                  <c:v>0.14089585513270422</c:v>
                </c:pt>
                <c:pt idx="45" formatCode="#\ ##0.0">
                  <c:v>0.54894054315451313</c:v>
                </c:pt>
                <c:pt idx="46" formatCode="#\ ##0.0">
                  <c:v>1.2593907592300698E-2</c:v>
                </c:pt>
                <c:pt idx="47" formatCode="#\ ##0.0">
                  <c:v>9.9428802381561807E-2</c:v>
                </c:pt>
                <c:pt idx="48" formatCode="#\ ##0.0">
                  <c:v>0.48801821980363297</c:v>
                </c:pt>
                <c:pt idx="49" formatCode="#\ ##0.0">
                  <c:v>0.57142083604539351</c:v>
                </c:pt>
                <c:pt idx="50" formatCode="#\ ##0.0">
                  <c:v>0.523320089295923</c:v>
                </c:pt>
                <c:pt idx="51" formatCode="#\ ##0.0">
                  <c:v>0.77242848254881924</c:v>
                </c:pt>
                <c:pt idx="52" formatCode="#\ ##0.0">
                  <c:v>0.80276931422065645</c:v>
                </c:pt>
                <c:pt idx="53" formatCode="#\ ##0.0">
                  <c:v>0.98462015967219774</c:v>
                </c:pt>
                <c:pt idx="54" formatCode="#\ ##0.0">
                  <c:v>0.86827997741149399</c:v>
                </c:pt>
                <c:pt idx="55" formatCode="#\ ##0.0">
                  <c:v>1.0726461064937292</c:v>
                </c:pt>
                <c:pt idx="56" formatCode="#\ ##0.0">
                  <c:v>1.0222635599800669</c:v>
                </c:pt>
                <c:pt idx="57" formatCode="#\ ##0.0">
                  <c:v>0.66987964973080361</c:v>
                </c:pt>
                <c:pt idx="58" formatCode="#\ ##0.0">
                  <c:v>1.1102884717528929</c:v>
                </c:pt>
                <c:pt idx="59" formatCode="#\ ##0.0">
                  <c:v>0.9901602015626142</c:v>
                </c:pt>
                <c:pt idx="60" formatCode="#\ ##0.0">
                  <c:v>0.6592270324515429</c:v>
                </c:pt>
                <c:pt idx="61" formatCode="#\ ##0.0">
                  <c:v>0.5114154077850942</c:v>
                </c:pt>
                <c:pt idx="62" formatCode="#\ ##0.0">
                  <c:v>0.67592314182225277</c:v>
                </c:pt>
                <c:pt idx="63" formatCode="#\ ##0.0">
                  <c:v>0.59126012490950153</c:v>
                </c:pt>
                <c:pt idx="64" formatCode="#\ ##0.0">
                  <c:v>0.78091483209483559</c:v>
                </c:pt>
                <c:pt idx="65" formatCode="#\ ##0.0">
                  <c:v>0.60989589013834067</c:v>
                </c:pt>
                <c:pt idx="66" formatCode="#\ ##0.0">
                  <c:v>0.36710090251858851</c:v>
                </c:pt>
                <c:pt idx="67" formatCode="#\ ##0.0">
                  <c:v>0.46217294810447818</c:v>
                </c:pt>
                <c:pt idx="68" formatCode="#\ ##0.0">
                  <c:v>0.30149994733582802</c:v>
                </c:pt>
                <c:pt idx="69" formatCode="#\ ##0.0">
                  <c:v>0.60453720383739551</c:v>
                </c:pt>
                <c:pt idx="70" formatCode="#\ ##0.0">
                  <c:v>0.49217522668943037</c:v>
                </c:pt>
                <c:pt idx="71" formatCode="#\ ##0.0">
                  <c:v>0.50113098641132858</c:v>
                </c:pt>
                <c:pt idx="72" formatCode="#\ ##0.0">
                  <c:v>0.22974621020138991</c:v>
                </c:pt>
                <c:pt idx="73" formatCode="#\ ##0.0">
                  <c:v>0.4976014256466898</c:v>
                </c:pt>
                <c:pt idx="74" formatCode="#\ ##0.0">
                  <c:v>0.64051454803596719</c:v>
                </c:pt>
                <c:pt idx="75" formatCode="#\ ##0.0">
                  <c:v>0.41964154916742591</c:v>
                </c:pt>
                <c:pt idx="76" formatCode="#\ ##0.0">
                  <c:v>0.70845128486779052</c:v>
                </c:pt>
                <c:pt idx="77">
                  <c:v>0.61495181553140243</c:v>
                </c:pt>
                <c:pt idx="78" formatCode="#\ ##0.0">
                  <c:v>0.84749419313534113</c:v>
                </c:pt>
                <c:pt idx="79">
                  <c:v>0.56602398032710011</c:v>
                </c:pt>
                <c:pt idx="80" formatCode="#\ ##0.0">
                  <c:v>0.70819976194658585</c:v>
                </c:pt>
                <c:pt idx="81" formatCode="#\ ##0.0">
                  <c:v>0.82366837655649594</c:v>
                </c:pt>
                <c:pt idx="82" formatCode="#\ ##0.0">
                  <c:v>0.88293763769473566</c:v>
                </c:pt>
                <c:pt idx="83" formatCode="#\ ##0.0">
                  <c:v>1.2781054646791299</c:v>
                </c:pt>
                <c:pt idx="84" formatCode="#\ ##0.0">
                  <c:v>1.5407412072308957</c:v>
                </c:pt>
                <c:pt idx="85" formatCode="#\ ##0.0">
                  <c:v>1.4361403792811021</c:v>
                </c:pt>
                <c:pt idx="86" formatCode="0.000">
                  <c:v>1.6245594079338741</c:v>
                </c:pt>
                <c:pt idx="87" formatCode="0.000">
                  <c:v>1.9776098861213867</c:v>
                </c:pt>
                <c:pt idx="88" formatCode="0.000">
                  <c:v>1.4858590072143176</c:v>
                </c:pt>
                <c:pt idx="89" formatCode="0.000">
                  <c:v>1.6924932865781954</c:v>
                </c:pt>
                <c:pt idx="90" formatCode="0.000">
                  <c:v>1.4319484971323528</c:v>
                </c:pt>
                <c:pt idx="91" formatCode="0.000">
                  <c:v>1.8718385852814594</c:v>
                </c:pt>
                <c:pt idx="92" formatCode="0.000">
                  <c:v>1.5973688667930102</c:v>
                </c:pt>
                <c:pt idx="93" formatCode="0.000">
                  <c:v>1.6755369345884354</c:v>
                </c:pt>
                <c:pt idx="94" formatCode="0.000">
                  <c:v>1.5503366667797651</c:v>
                </c:pt>
                <c:pt idx="95" formatCode="0.000">
                  <c:v>1.1611873855773489</c:v>
                </c:pt>
                <c:pt idx="96" formatCode="0.000">
                  <c:v>1.0429277199636591</c:v>
                </c:pt>
              </c:numCache>
            </c:numRef>
          </c:val>
          <c:extLst>
            <c:ext xmlns:c16="http://schemas.microsoft.com/office/drawing/2014/chart" uri="{C3380CC4-5D6E-409C-BE32-E72D297353CC}">
              <c16:uniqueId val="{00000000-0B42-47B7-AD06-A4C36FC1AADC}"/>
            </c:ext>
          </c:extLst>
        </c:ser>
        <c:ser>
          <c:idx val="2"/>
          <c:order val="1"/>
          <c:tx>
            <c:strRef>
              <c:f>BySource!$D$1</c:f>
              <c:strCache>
                <c:ptCount val="1"/>
                <c:pt idx="0">
                  <c:v>Nodokļi</c:v>
                </c:pt>
              </c:strCache>
            </c:strRef>
          </c:tx>
          <c:spPr>
            <a:solidFill>
              <a:schemeClr val="accent6">
                <a:lumMod val="60000"/>
                <a:lumOff val="40000"/>
              </a:schemeClr>
            </a:solidFill>
            <a:ln>
              <a:noFill/>
            </a:ln>
          </c:spPr>
          <c:invertIfNegative val="0"/>
          <c:cat>
            <c:multiLvlStrRef>
              <c:f>BySource!$A$74:$B$170</c:f>
              <c:multiLvlStrCache>
                <c:ptCount val="9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lvl>
                <c:lvl>
                  <c:pt idx="0">
                    <c:v>2010</c:v>
                  </c:pt>
                  <c:pt idx="12">
                    <c:v>2011</c:v>
                  </c:pt>
                  <c:pt idx="24">
                    <c:v>2012</c:v>
                  </c:pt>
                  <c:pt idx="36">
                    <c:v>2013</c:v>
                  </c:pt>
                  <c:pt idx="48">
                    <c:v>2014</c:v>
                  </c:pt>
                  <c:pt idx="60">
                    <c:v>2015</c:v>
                  </c:pt>
                  <c:pt idx="72">
                    <c:v>2016</c:v>
                  </c:pt>
                  <c:pt idx="84">
                    <c:v>2017</c:v>
                  </c:pt>
                  <c:pt idx="96">
                    <c:v>2018</c:v>
                  </c:pt>
                </c:lvl>
              </c:multiLvlStrCache>
            </c:multiLvlStrRef>
          </c:cat>
          <c:val>
            <c:numRef>
              <c:f>BySource!$D$74:$D$170</c:f>
              <c:numCache>
                <c:formatCode>#\ ##0.0</c:formatCode>
                <c:ptCount val="97"/>
                <c:pt idx="0">
                  <c:v>1.4825201889678838</c:v>
                </c:pt>
                <c:pt idx="1">
                  <c:v>0.12241757156856714</c:v>
                </c:pt>
                <c:pt idx="2">
                  <c:v>0.16713953223321842</c:v>
                </c:pt>
                <c:pt idx="3">
                  <c:v>0.15459443664879188</c:v>
                </c:pt>
                <c:pt idx="4">
                  <c:v>2.6647843428651057E-2</c:v>
                </c:pt>
                <c:pt idx="5">
                  <c:v>2.9257087552780892E-2</c:v>
                </c:pt>
                <c:pt idx="6">
                  <c:v>-0.10358486178865262</c:v>
                </c:pt>
                <c:pt idx="7">
                  <c:v>-6.0478619168691291E-3</c:v>
                </c:pt>
                <c:pt idx="8">
                  <c:v>-5.9832357090350327E-2</c:v>
                </c:pt>
                <c:pt idx="9">
                  <c:v>-4.1346362378247285E-2</c:v>
                </c:pt>
                <c:pt idx="10">
                  <c:v>-6.1915467612272401E-2</c:v>
                </c:pt>
                <c:pt idx="11">
                  <c:v>-6.4586558137458311E-2</c:v>
                </c:pt>
                <c:pt idx="12">
                  <c:v>1.21895202148945</c:v>
                </c:pt>
                <c:pt idx="13">
                  <c:v>1.1906404427433961</c:v>
                </c:pt>
                <c:pt idx="14">
                  <c:v>1.2200201356344476</c:v>
                </c:pt>
                <c:pt idx="15">
                  <c:v>1.2560338726480103</c:v>
                </c:pt>
                <c:pt idx="16">
                  <c:v>1.383283488446408</c:v>
                </c:pt>
                <c:pt idx="17">
                  <c:v>1.5562174123772818</c:v>
                </c:pt>
                <c:pt idx="18">
                  <c:v>1.7251986155246681</c:v>
                </c:pt>
                <c:pt idx="19">
                  <c:v>1.7420993046602495</c:v>
                </c:pt>
                <c:pt idx="20">
                  <c:v>1.7872946840515878</c:v>
                </c:pt>
                <c:pt idx="21">
                  <c:v>1.7578085899223379</c:v>
                </c:pt>
                <c:pt idx="22">
                  <c:v>1.7618947335880975</c:v>
                </c:pt>
                <c:pt idx="23">
                  <c:v>1.7568386825547613</c:v>
                </c:pt>
                <c:pt idx="24">
                  <c:v>0.46806374672825335</c:v>
                </c:pt>
                <c:pt idx="25">
                  <c:v>0.46652984840902528</c:v>
                </c:pt>
                <c:pt idx="26">
                  <c:v>0.49363212185757921</c:v>
                </c:pt>
                <c:pt idx="27">
                  <c:v>0.45613892431346525</c:v>
                </c:pt>
                <c:pt idx="28">
                  <c:v>0.44347225641874211</c:v>
                </c:pt>
                <c:pt idx="29">
                  <c:v>0.28568221927844961</c:v>
                </c:pt>
                <c:pt idx="30">
                  <c:v>-0.57117749789839012</c:v>
                </c:pt>
                <c:pt idx="31">
                  <c:v>-0.5839650011748132</c:v>
                </c:pt>
                <c:pt idx="32">
                  <c:v>-0.59259075946331841</c:v>
                </c:pt>
                <c:pt idx="33">
                  <c:v>-0.58015967879796393</c:v>
                </c:pt>
                <c:pt idx="34">
                  <c:v>-0.57023665098201448</c:v>
                </c:pt>
                <c:pt idx="35">
                  <c:v>-0.59106147967700196</c:v>
                </c:pt>
                <c:pt idx="36">
                  <c:v>-0.57326163874749092</c:v>
                </c:pt>
                <c:pt idx="37">
                  <c:v>-0.58184793780053923</c:v>
                </c:pt>
                <c:pt idx="38">
                  <c:v>-0.57882307610217598</c:v>
                </c:pt>
                <c:pt idx="39">
                  <c:v>-0.57252855439464678</c:v>
                </c:pt>
                <c:pt idx="40">
                  <c:v>-0.56322061716489558</c:v>
                </c:pt>
                <c:pt idx="41">
                  <c:v>-0.57454238099869936</c:v>
                </c:pt>
                <c:pt idx="42">
                  <c:v>5.1750668290995172E-2</c:v>
                </c:pt>
                <c:pt idx="43">
                  <c:v>6.0233111130070287E-2</c:v>
                </c:pt>
                <c:pt idx="44">
                  <c:v>5.906794154187938E-2</c:v>
                </c:pt>
                <c:pt idx="45">
                  <c:v>6.0327551868455412E-2</c:v>
                </c:pt>
                <c:pt idx="46">
                  <c:v>4.9446936458741424E-2</c:v>
                </c:pt>
                <c:pt idx="47">
                  <c:v>5.9237256561306413E-2</c:v>
                </c:pt>
                <c:pt idx="48">
                  <c:v>0.14258665982098684</c:v>
                </c:pt>
                <c:pt idx="49">
                  <c:v>0.15299584875565497</c:v>
                </c:pt>
                <c:pt idx="50">
                  <c:v>0.11138957181231469</c:v>
                </c:pt>
                <c:pt idx="51">
                  <c:v>0.1124736761959122</c:v>
                </c:pt>
                <c:pt idx="52" formatCode="0.0">
                  <c:v>0.11203652217359752</c:v>
                </c:pt>
                <c:pt idx="53" formatCode="0.0">
                  <c:v>0.1016406399408476</c:v>
                </c:pt>
                <c:pt idx="54" formatCode="0.0">
                  <c:v>0.1213448575251741</c:v>
                </c:pt>
                <c:pt idx="55" formatCode="0.0">
                  <c:v>0.12302888134920753</c:v>
                </c:pt>
                <c:pt idx="56" formatCode="0.0">
                  <c:v>0.13395468966999069</c:v>
                </c:pt>
                <c:pt idx="57" formatCode="0.0">
                  <c:v>0.13265018481374288</c:v>
                </c:pt>
                <c:pt idx="58" formatCode="0.0">
                  <c:v>0.13370655665274622</c:v>
                </c:pt>
                <c:pt idx="59" formatCode="0.0">
                  <c:v>0.1321494079090435</c:v>
                </c:pt>
                <c:pt idx="60" formatCode="0.0">
                  <c:v>3.975110435042728E-2</c:v>
                </c:pt>
                <c:pt idx="61" formatCode="0.0">
                  <c:v>5.033931078827214E-2</c:v>
                </c:pt>
                <c:pt idx="62" formatCode="0.0">
                  <c:v>7.0846318374551118E-2</c:v>
                </c:pt>
                <c:pt idx="63" formatCode="0.0">
                  <c:v>7.0542368500414718E-2</c:v>
                </c:pt>
                <c:pt idx="64" formatCode="0.0">
                  <c:v>6.1167376763404668E-2</c:v>
                </c:pt>
                <c:pt idx="65" formatCode="0.0">
                  <c:v>8.0236226804220032E-2</c:v>
                </c:pt>
                <c:pt idx="66" formatCode="0.0">
                  <c:v>0.10923488517972092</c:v>
                </c:pt>
                <c:pt idx="67" formatCode="0.0">
                  <c:v>0.1806422730182167</c:v>
                </c:pt>
                <c:pt idx="68" formatCode="0.0">
                  <c:v>0.18937283258491094</c:v>
                </c:pt>
                <c:pt idx="69" formatCode="0.0">
                  <c:v>0.19008779667691877</c:v>
                </c:pt>
                <c:pt idx="70" formatCode="0.0">
                  <c:v>0.18065237371484022</c:v>
                </c:pt>
                <c:pt idx="71" formatCode="0.0">
                  <c:v>0.19234719652208038</c:v>
                </c:pt>
                <c:pt idx="72" formatCode="0.0">
                  <c:v>0.30259155774963187</c:v>
                </c:pt>
                <c:pt idx="73" formatCode="0.0">
                  <c:v>0.30131232542679481</c:v>
                </c:pt>
                <c:pt idx="74" formatCode="0.0">
                  <c:v>0.33921537722100298</c:v>
                </c:pt>
                <c:pt idx="75" formatCode="0.0">
                  <c:v>0.34720197563897781</c:v>
                </c:pt>
                <c:pt idx="76" formatCode="0.0">
                  <c:v>0.34428781865147862</c:v>
                </c:pt>
                <c:pt idx="77" formatCode="0.0">
                  <c:v>0.33499434167341158</c:v>
                </c:pt>
                <c:pt idx="78" formatCode="0.0">
                  <c:v>0.66819587114790346</c:v>
                </c:pt>
                <c:pt idx="79" formatCode="0.0">
                  <c:v>0.59149972755125857</c:v>
                </c:pt>
                <c:pt idx="80" formatCode="0.0">
                  <c:v>0.57226503211953494</c:v>
                </c:pt>
                <c:pt idx="81" formatCode="0.0">
                  <c:v>0.5716057465338108</c:v>
                </c:pt>
                <c:pt idx="82" formatCode="0.00">
                  <c:v>0.59203918491890151</c:v>
                </c:pt>
                <c:pt idx="83" formatCode="0.00">
                  <c:v>0.57268704576687313</c:v>
                </c:pt>
                <c:pt idx="84" formatCode="0.000">
                  <c:v>0.42088962585038497</c:v>
                </c:pt>
                <c:pt idx="85" formatCode="0.000">
                  <c:v>0.41957212712528974</c:v>
                </c:pt>
                <c:pt idx="86" formatCode="0.000">
                  <c:v>0.43402548124944551</c:v>
                </c:pt>
                <c:pt idx="87" formatCode="0.000">
                  <c:v>0.43183529366772633</c:v>
                </c:pt>
                <c:pt idx="88" formatCode="0.000">
                  <c:v>0.44051944544596378</c:v>
                </c:pt>
                <c:pt idx="89" formatCode="0.000">
                  <c:v>0.44915811935617445</c:v>
                </c:pt>
                <c:pt idx="90" formatCode="0.000">
                  <c:v>0.11301168717383625</c:v>
                </c:pt>
                <c:pt idx="91" formatCode="0.000">
                  <c:v>0.11988776552356305</c:v>
                </c:pt>
                <c:pt idx="92" formatCode="0.000">
                  <c:v>0.13109693782886744</c:v>
                </c:pt>
                <c:pt idx="93" formatCode="0.000">
                  <c:v>0.13204300441380656</c:v>
                </c:pt>
                <c:pt idx="94" formatCode="0.000">
                  <c:v>0.121573528374741</c:v>
                </c:pt>
                <c:pt idx="95" formatCode="0.000">
                  <c:v>0.13477238884960221</c:v>
                </c:pt>
                <c:pt idx="96" formatCode="0.000">
                  <c:v>0.37442504687681422</c:v>
                </c:pt>
              </c:numCache>
            </c:numRef>
          </c:val>
          <c:extLst>
            <c:ext xmlns:c16="http://schemas.microsoft.com/office/drawing/2014/chart" uri="{C3380CC4-5D6E-409C-BE32-E72D297353CC}">
              <c16:uniqueId val="{00000001-0B42-47B7-AD06-A4C36FC1AADC}"/>
            </c:ext>
          </c:extLst>
        </c:ser>
        <c:ser>
          <c:idx val="1"/>
          <c:order val="2"/>
          <c:tx>
            <c:strRef>
              <c:f>BySource!$N$1</c:f>
              <c:strCache>
                <c:ptCount val="1"/>
                <c:pt idx="0">
                  <c:v>Importētā inflācija</c:v>
                </c:pt>
              </c:strCache>
            </c:strRef>
          </c:tx>
          <c:spPr>
            <a:solidFill>
              <a:srgbClr val="FF6161"/>
            </a:solidFill>
            <a:ln>
              <a:noFill/>
            </a:ln>
          </c:spPr>
          <c:invertIfNegative val="0"/>
          <c:cat>
            <c:multiLvlStrRef>
              <c:f>BySource!$A$74:$B$170</c:f>
              <c:multiLvlStrCache>
                <c:ptCount val="9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lvl>
                <c:lvl>
                  <c:pt idx="0">
                    <c:v>2010</c:v>
                  </c:pt>
                  <c:pt idx="12">
                    <c:v>2011</c:v>
                  </c:pt>
                  <c:pt idx="24">
                    <c:v>2012</c:v>
                  </c:pt>
                  <c:pt idx="36">
                    <c:v>2013</c:v>
                  </c:pt>
                  <c:pt idx="48">
                    <c:v>2014</c:v>
                  </c:pt>
                  <c:pt idx="60">
                    <c:v>2015</c:v>
                  </c:pt>
                  <c:pt idx="72">
                    <c:v>2016</c:v>
                  </c:pt>
                  <c:pt idx="84">
                    <c:v>2017</c:v>
                  </c:pt>
                  <c:pt idx="96">
                    <c:v>2018</c:v>
                  </c:pt>
                </c:lvl>
              </c:multiLvlStrCache>
            </c:multiLvlStrRef>
          </c:cat>
          <c:val>
            <c:numRef>
              <c:f>BySource!$N$74:$N$170</c:f>
              <c:numCache>
                <c:formatCode>0.0</c:formatCode>
                <c:ptCount val="97"/>
                <c:pt idx="0">
                  <c:v>-1.5962070644046329</c:v>
                </c:pt>
                <c:pt idx="1">
                  <c:v>-1.4723364816894489</c:v>
                </c:pt>
                <c:pt idx="2">
                  <c:v>-1.0057049012954058</c:v>
                </c:pt>
                <c:pt idx="3">
                  <c:v>7.8558996754098734E-3</c:v>
                </c:pt>
                <c:pt idx="4">
                  <c:v>0.33337267175018803</c:v>
                </c:pt>
                <c:pt idx="5">
                  <c:v>0.80358588561563138</c:v>
                </c:pt>
                <c:pt idx="6">
                  <c:v>1.5623634019540982</c:v>
                </c:pt>
                <c:pt idx="7">
                  <c:v>1.6129446966063599</c:v>
                </c:pt>
                <c:pt idx="8">
                  <c:v>1.8046094906147019</c:v>
                </c:pt>
                <c:pt idx="9">
                  <c:v>1.8854700332449799</c:v>
                </c:pt>
                <c:pt idx="10">
                  <c:v>2.2167627851314062</c:v>
                </c:pt>
                <c:pt idx="11">
                  <c:v>2.7555907594118967</c:v>
                </c:pt>
                <c:pt idx="12">
                  <c:v>2.7048950214731713</c:v>
                </c:pt>
                <c:pt idx="13">
                  <c:v>2.6481180755005278</c:v>
                </c:pt>
                <c:pt idx="14">
                  <c:v>2.5311735197377847</c:v>
                </c:pt>
                <c:pt idx="15" formatCode="#\ ##0.0">
                  <c:v>2.4247853863105018</c:v>
                </c:pt>
                <c:pt idx="16" formatCode="#\ ##0.0">
                  <c:v>2.4641235975099094</c:v>
                </c:pt>
                <c:pt idx="17" formatCode="#\ ##0.0">
                  <c:v>2.1060456374894527</c:v>
                </c:pt>
                <c:pt idx="18" formatCode="#\ ##0.0">
                  <c:v>1.7407181707569297</c:v>
                </c:pt>
                <c:pt idx="19" formatCode="#\ ##0.0">
                  <c:v>1.7323097329875599</c:v>
                </c:pt>
                <c:pt idx="20" formatCode="#\ ##0.0">
                  <c:v>1.9173688497717283</c:v>
                </c:pt>
                <c:pt idx="21" formatCode="#\ ##0.0">
                  <c:v>2.0587051916113115</c:v>
                </c:pt>
                <c:pt idx="22" formatCode="#\ ##0.0">
                  <c:v>2.1235051311101514</c:v>
                </c:pt>
                <c:pt idx="23" formatCode="#\ ##0.0">
                  <c:v>1.3455494801621617</c:v>
                </c:pt>
                <c:pt idx="24" formatCode="#\ ##0.0">
                  <c:v>2.0368298064464785</c:v>
                </c:pt>
                <c:pt idx="25" formatCode="#\ ##0.0">
                  <c:v>2.1750112010217579</c:v>
                </c:pt>
                <c:pt idx="26" formatCode="#\ ##0.0">
                  <c:v>2.1119651001281152</c:v>
                </c:pt>
                <c:pt idx="27" formatCode="#\ ##0.0">
                  <c:v>1.5870964320295629</c:v>
                </c:pt>
                <c:pt idx="28" formatCode="#\ ##0.0">
                  <c:v>1.2413321740851195</c:v>
                </c:pt>
                <c:pt idx="29" formatCode="#\ ##0.0">
                  <c:v>1.0876449143430413</c:v>
                </c:pt>
                <c:pt idx="30" formatCode="#\ ##0.0">
                  <c:v>1.3311711584263954</c:v>
                </c:pt>
                <c:pt idx="31" formatCode="#\ ##0.0">
                  <c:v>1.7650065075890984</c:v>
                </c:pt>
                <c:pt idx="32" formatCode="#\ ##0.0">
                  <c:v>1.9316026734462128</c:v>
                </c:pt>
                <c:pt idx="33" formatCode="#\ ##0.0">
                  <c:v>1.9579295750024921</c:v>
                </c:pt>
                <c:pt idx="34" formatCode="#\ ##0.0">
                  <c:v>1.5874292135141541</c:v>
                </c:pt>
                <c:pt idx="35" formatCode="#\ ##0.0">
                  <c:v>1.9568778996207274</c:v>
                </c:pt>
                <c:pt idx="36" formatCode="#\ ##0.0">
                  <c:v>1.0246235231776699</c:v>
                </c:pt>
                <c:pt idx="37" formatCode="#\ ##0.0">
                  <c:v>0.52994204752280472</c:v>
                </c:pt>
                <c:pt idx="38" formatCode="#\ ##0.0">
                  <c:v>0.33012989273420978</c:v>
                </c:pt>
                <c:pt idx="39" formatCode="#\ ##0.0">
                  <c:v>3.3559462031932163E-2</c:v>
                </c:pt>
                <c:pt idx="40" formatCode="#\ ##0.0">
                  <c:v>0.31020049706014086</c:v>
                </c:pt>
                <c:pt idx="41" formatCode="#\ ##0.0">
                  <c:v>0.59568229717516252</c:v>
                </c:pt>
                <c:pt idx="42" formatCode="#\ ##0.0">
                  <c:v>0.29902215759095224</c:v>
                </c:pt>
                <c:pt idx="43" formatCode="#\ ##0.0">
                  <c:v>-0.22582267329294348</c:v>
                </c:pt>
                <c:pt idx="44" formatCode="#\ ##0.0">
                  <c:v>-0.59996379667458388</c:v>
                </c:pt>
                <c:pt idx="45" formatCode="#\ ##0.0">
                  <c:v>-0.60926809502296742</c:v>
                </c:pt>
                <c:pt idx="46" formatCode="#\ ##0.0">
                  <c:v>-0.46204084405104207</c:v>
                </c:pt>
                <c:pt idx="47" formatCode="#\ ##0.0">
                  <c:v>-0.55866605894286769</c:v>
                </c:pt>
                <c:pt idx="48" formatCode="#\ ##0.0">
                  <c:v>-0.23060487962461934</c:v>
                </c:pt>
                <c:pt idx="49" formatCode="#\ ##0.0">
                  <c:v>-0.22441668480104782</c:v>
                </c:pt>
                <c:pt idx="50" formatCode="#\ ##0.0">
                  <c:v>-0.33470966110823847</c:v>
                </c:pt>
                <c:pt idx="51" formatCode="#\ ##0.0">
                  <c:v>-0.18490215874473054</c:v>
                </c:pt>
                <c:pt idx="52" formatCode="#\ ##0.0">
                  <c:v>-0.31480583639425441</c:v>
                </c:pt>
                <c:pt idx="53" formatCode="#\ ##0.0">
                  <c:v>-0.38626079961304577</c:v>
                </c:pt>
                <c:pt idx="54" formatCode="#\ ##0.0">
                  <c:v>-0.38962483493666766</c:v>
                </c:pt>
                <c:pt idx="55" formatCode="#\ ##0.0">
                  <c:v>-0.39567498784293625</c:v>
                </c:pt>
                <c:pt idx="56" formatCode="#\ ##0.0">
                  <c:v>-0.15621824965005768</c:v>
                </c:pt>
                <c:pt idx="57" formatCode="#\ ##0.0">
                  <c:v>-0.10252983454454591</c:v>
                </c:pt>
                <c:pt idx="58" formatCode="#\ ##0.0">
                  <c:v>-0.34399502840563778</c:v>
                </c:pt>
                <c:pt idx="59" formatCode="#\ ##0.0">
                  <c:v>-0.9223096094716583</c:v>
                </c:pt>
                <c:pt idx="60" formatCode="#\ ##0.0">
                  <c:v>-1.0989781368019702</c:v>
                </c:pt>
                <c:pt idx="61" formatCode="#\ ##0.0">
                  <c:v>-0.66175471857336721</c:v>
                </c:pt>
                <c:pt idx="62" formatCode="#\ ##0.0">
                  <c:v>-0.34676946019680432</c:v>
                </c:pt>
                <c:pt idx="63" formatCode="#\ ##0.0">
                  <c:v>-0.16180249340991684</c:v>
                </c:pt>
                <c:pt idx="64" formatCode="#\ ##0.0">
                  <c:v>0.35791779114176053</c:v>
                </c:pt>
                <c:pt idx="65" formatCode="#\ ##0.0">
                  <c:v>-9.0132116942559903E-2</c:v>
                </c:pt>
                <c:pt idx="66" formatCode="#\ ##0.0">
                  <c:v>-0.47633578769830942</c:v>
                </c:pt>
                <c:pt idx="67" formatCode="#\ ##0.0">
                  <c:v>-0.54281522112269454</c:v>
                </c:pt>
                <c:pt idx="68" formatCode="#\ ##0.0">
                  <c:v>-0.99087277992073808</c:v>
                </c:pt>
                <c:pt idx="69" formatCode="#\ ##0.0">
                  <c:v>-0.99462500051431502</c:v>
                </c:pt>
                <c:pt idx="70" formatCode="#\ ##0.0">
                  <c:v>-0.6728276004042717</c:v>
                </c:pt>
                <c:pt idx="71" formatCode="#\ ##0.0">
                  <c:v>-0.39347818293340936</c:v>
                </c:pt>
                <c:pt idx="72" formatCode="#\ ##0.0">
                  <c:v>-0.83233776795102121</c:v>
                </c:pt>
                <c:pt idx="73" formatCode="#\ ##0.0">
                  <c:v>-1.2989137510734838</c:v>
                </c:pt>
                <c:pt idx="74" formatCode="#\ ##0.0">
                  <c:v>-1.5797299252569699</c:v>
                </c:pt>
                <c:pt idx="75" formatCode="#\ ##0.0">
                  <c:v>-1.5668435248064048</c:v>
                </c:pt>
                <c:pt idx="76" formatCode="#\ ##0.0">
                  <c:v>-1.8527391035192695</c:v>
                </c:pt>
                <c:pt idx="77" formatCode="#\ ##0.0">
                  <c:v>-1.4499461572048113</c:v>
                </c:pt>
                <c:pt idx="78" formatCode="#\ ##0.0">
                  <c:v>-1.4156900642832442</c:v>
                </c:pt>
                <c:pt idx="79" formatCode="#\ ##0.0">
                  <c:v>-1.1575237078783582</c:v>
                </c:pt>
                <c:pt idx="80" formatCode="#\ ##0.0">
                  <c:v>-0.68046479406612026</c:v>
                </c:pt>
                <c:pt idx="81" formatCode="#\ ##0.0">
                  <c:v>-0.39527412309030541</c:v>
                </c:pt>
                <c:pt idx="82" formatCode="#\ ##0.0">
                  <c:v>-0.17497682261363723</c:v>
                </c:pt>
                <c:pt idx="83" formatCode="#\ ##0.0">
                  <c:v>0.34920748955399811</c:v>
                </c:pt>
                <c:pt idx="84" formatCode="#\ ##0.0">
                  <c:v>0.93836916691871841</c:v>
                </c:pt>
                <c:pt idx="85" formatCode="#\ ##0.0">
                  <c:v>1.4442874935936096</c:v>
                </c:pt>
                <c:pt idx="86" formatCode="0.000">
                  <c:v>1.3414151108166821</c:v>
                </c:pt>
                <c:pt idx="87" formatCode="0.000">
                  <c:v>0.99055482021088714</c:v>
                </c:pt>
                <c:pt idx="88" formatCode="0.000">
                  <c:v>0.87362154733971786</c:v>
                </c:pt>
                <c:pt idx="89" formatCode="0.000">
                  <c:v>0.85834859406563013</c:v>
                </c:pt>
                <c:pt idx="90" formatCode="0.000">
                  <c:v>1.0550398156938092</c:v>
                </c:pt>
                <c:pt idx="91" formatCode="0.000">
                  <c:v>1.1082736491949776</c:v>
                </c:pt>
                <c:pt idx="92" formatCode="0.000">
                  <c:v>1.1715341953781224</c:v>
                </c:pt>
                <c:pt idx="93" formatCode="0.000">
                  <c:v>0.99242006099775826</c:v>
                </c:pt>
                <c:pt idx="94" formatCode="0.000">
                  <c:v>1.0280898048454941</c:v>
                </c:pt>
                <c:pt idx="95" formatCode="0.000">
                  <c:v>0.90404022557304964</c:v>
                </c:pt>
                <c:pt idx="96" formatCode="0.000">
                  <c:v>0.5826472331595276</c:v>
                </c:pt>
              </c:numCache>
            </c:numRef>
          </c:val>
          <c:extLst>
            <c:ext xmlns:c16="http://schemas.microsoft.com/office/drawing/2014/chart" uri="{C3380CC4-5D6E-409C-BE32-E72D297353CC}">
              <c16:uniqueId val="{00000002-0B42-47B7-AD06-A4C36FC1AADC}"/>
            </c:ext>
          </c:extLst>
        </c:ser>
        <c:dLbls>
          <c:showLegendKey val="0"/>
          <c:showVal val="0"/>
          <c:showCatName val="0"/>
          <c:showSerName val="0"/>
          <c:showPercent val="0"/>
          <c:showBubbleSize val="0"/>
        </c:dLbls>
        <c:gapWidth val="22"/>
        <c:overlap val="100"/>
        <c:axId val="183579008"/>
        <c:axId val="183580544"/>
      </c:barChart>
      <c:lineChart>
        <c:grouping val="standard"/>
        <c:varyColors val="0"/>
        <c:ser>
          <c:idx val="3"/>
          <c:order val="3"/>
          <c:tx>
            <c:strRef>
              <c:f>BySource!$C$1</c:f>
              <c:strCache>
                <c:ptCount val="1"/>
                <c:pt idx="0">
                  <c:v>PCI</c:v>
                </c:pt>
              </c:strCache>
            </c:strRef>
          </c:tx>
          <c:spPr>
            <a:ln w="19050">
              <a:solidFill>
                <a:schemeClr val="tx1"/>
              </a:solidFill>
              <a:prstDash val="dash"/>
            </a:ln>
            <a:effectLst/>
          </c:spPr>
          <c:marker>
            <c:symbol val="none"/>
          </c:marker>
          <c:val>
            <c:numRef>
              <c:f>BySource!$C$74:$C$170</c:f>
              <c:numCache>
                <c:formatCode>#\ ##0.0</c:formatCode>
                <c:ptCount val="97"/>
                <c:pt idx="0">
                  <c:v>-3.1</c:v>
                </c:pt>
                <c:pt idx="1">
                  <c:v>-4.2</c:v>
                </c:pt>
                <c:pt idx="2">
                  <c:v>-3.9</c:v>
                </c:pt>
                <c:pt idx="3">
                  <c:v>-2.7</c:v>
                </c:pt>
                <c:pt idx="4">
                  <c:v>-2.2999999999999998</c:v>
                </c:pt>
                <c:pt idx="5">
                  <c:v>-1.4</c:v>
                </c:pt>
                <c:pt idx="6">
                  <c:v>-0.60000000000000042</c:v>
                </c:pt>
                <c:pt idx="7">
                  <c:v>-0.30000000000000021</c:v>
                </c:pt>
                <c:pt idx="8">
                  <c:v>0.4</c:v>
                </c:pt>
                <c:pt idx="9">
                  <c:v>1</c:v>
                </c:pt>
                <c:pt idx="10">
                  <c:v>1.9000000000000001</c:v>
                </c:pt>
                <c:pt idx="11">
                  <c:v>2.5</c:v>
                </c:pt>
                <c:pt idx="12">
                  <c:v>3.7</c:v>
                </c:pt>
                <c:pt idx="13">
                  <c:v>4</c:v>
                </c:pt>
                <c:pt idx="14">
                  <c:v>4.2</c:v>
                </c:pt>
                <c:pt idx="15">
                  <c:v>4.5</c:v>
                </c:pt>
                <c:pt idx="16">
                  <c:v>5</c:v>
                </c:pt>
                <c:pt idx="17">
                  <c:v>4.8</c:v>
                </c:pt>
                <c:pt idx="18">
                  <c:v>4.3</c:v>
                </c:pt>
                <c:pt idx="19">
                  <c:v>4.7</c:v>
                </c:pt>
                <c:pt idx="20">
                  <c:v>4.5999999999999996</c:v>
                </c:pt>
                <c:pt idx="21">
                  <c:v>4.4000000000000004</c:v>
                </c:pt>
                <c:pt idx="22">
                  <c:v>4.2</c:v>
                </c:pt>
                <c:pt idx="23">
                  <c:v>4</c:v>
                </c:pt>
                <c:pt idx="24">
                  <c:v>3.6</c:v>
                </c:pt>
                <c:pt idx="25">
                  <c:v>3.4</c:v>
                </c:pt>
                <c:pt idx="26">
                  <c:v>3.3</c:v>
                </c:pt>
                <c:pt idx="27">
                  <c:v>2.8</c:v>
                </c:pt>
                <c:pt idx="28">
                  <c:v>2.2000000000000002</c:v>
                </c:pt>
                <c:pt idx="29">
                  <c:v>1.9000000000000001</c:v>
                </c:pt>
                <c:pt idx="30">
                  <c:v>1.7</c:v>
                </c:pt>
                <c:pt idx="31">
                  <c:v>1.7</c:v>
                </c:pt>
                <c:pt idx="32">
                  <c:v>1.8</c:v>
                </c:pt>
                <c:pt idx="33">
                  <c:v>1.6</c:v>
                </c:pt>
                <c:pt idx="34">
                  <c:v>1.6</c:v>
                </c:pt>
                <c:pt idx="35">
                  <c:v>1.6</c:v>
                </c:pt>
                <c:pt idx="36">
                  <c:v>0.60000000000000042</c:v>
                </c:pt>
                <c:pt idx="37">
                  <c:v>0.30000000000000021</c:v>
                </c:pt>
                <c:pt idx="38">
                  <c:v>0.2</c:v>
                </c:pt>
                <c:pt idx="39">
                  <c:v>-0.4</c:v>
                </c:pt>
                <c:pt idx="40">
                  <c:v>-0.1</c:v>
                </c:pt>
                <c:pt idx="41">
                  <c:v>0.2</c:v>
                </c:pt>
                <c:pt idx="42">
                  <c:v>0.30000000000000021</c:v>
                </c:pt>
                <c:pt idx="43">
                  <c:v>-0.2</c:v>
                </c:pt>
                <c:pt idx="44">
                  <c:v>-0.4</c:v>
                </c:pt>
                <c:pt idx="45">
                  <c:v>0</c:v>
                </c:pt>
                <c:pt idx="46">
                  <c:v>-0.4</c:v>
                </c:pt>
                <c:pt idx="47">
                  <c:v>-0.4</c:v>
                </c:pt>
                <c:pt idx="48" formatCode="0.0">
                  <c:v>0.4</c:v>
                </c:pt>
                <c:pt idx="49" formatCode="0.0">
                  <c:v>0.5</c:v>
                </c:pt>
                <c:pt idx="50" formatCode="0.0">
                  <c:v>0.30000000000000021</c:v>
                </c:pt>
                <c:pt idx="51" formatCode="0.0">
                  <c:v>0.7000000000000004</c:v>
                </c:pt>
                <c:pt idx="52" formatCode="0.0">
                  <c:v>0.60000000000000042</c:v>
                </c:pt>
                <c:pt idx="53" formatCode="0.0">
                  <c:v>0.7000000000000004</c:v>
                </c:pt>
                <c:pt idx="54" formatCode="0.0">
                  <c:v>0.60000000000000042</c:v>
                </c:pt>
                <c:pt idx="55" formatCode="0.0">
                  <c:v>0.8</c:v>
                </c:pt>
                <c:pt idx="56" formatCode="0.0">
                  <c:v>1</c:v>
                </c:pt>
                <c:pt idx="57" formatCode="0.0">
                  <c:v>0.7000000000000004</c:v>
                </c:pt>
                <c:pt idx="58" formatCode="0.0">
                  <c:v>0.9</c:v>
                </c:pt>
                <c:pt idx="59" formatCode="0.0">
                  <c:v>0.2</c:v>
                </c:pt>
                <c:pt idx="60" formatCode="0.0">
                  <c:v>-0.4</c:v>
                </c:pt>
                <c:pt idx="61" formatCode="0.0">
                  <c:v>-0.1</c:v>
                </c:pt>
                <c:pt idx="62" formatCode="0.0">
                  <c:v>0.4</c:v>
                </c:pt>
                <c:pt idx="63" formatCode="0.0">
                  <c:v>0.5</c:v>
                </c:pt>
                <c:pt idx="64" formatCode="0.0">
                  <c:v>1.2</c:v>
                </c:pt>
                <c:pt idx="65" formatCode="0.0">
                  <c:v>0.60000000000000042</c:v>
                </c:pt>
                <c:pt idx="66" formatCode="0.0">
                  <c:v>0</c:v>
                </c:pt>
                <c:pt idx="67" formatCode="0.0">
                  <c:v>0.1</c:v>
                </c:pt>
                <c:pt idx="68" formatCode="0.0">
                  <c:v>-0.5</c:v>
                </c:pt>
                <c:pt idx="69" formatCode="0.0">
                  <c:v>-0.2</c:v>
                </c:pt>
                <c:pt idx="70" formatCode="0.0">
                  <c:v>0</c:v>
                </c:pt>
                <c:pt idx="71" formatCode="0.0">
                  <c:v>0.30000000000000021</c:v>
                </c:pt>
                <c:pt idx="72" formatCode="0.0">
                  <c:v>-0.30000000000000021</c:v>
                </c:pt>
                <c:pt idx="73" formatCode="0.0">
                  <c:v>-0.5</c:v>
                </c:pt>
                <c:pt idx="74" formatCode="0.0">
                  <c:v>-0.60000000000000042</c:v>
                </c:pt>
                <c:pt idx="75" formatCode="0.0">
                  <c:v>-0.8</c:v>
                </c:pt>
                <c:pt idx="76" formatCode="0.0">
                  <c:v>-0.8</c:v>
                </c:pt>
                <c:pt idx="77" formatCode="0.0">
                  <c:v>-0.5</c:v>
                </c:pt>
                <c:pt idx="78" formatCode="0.0">
                  <c:v>0.1</c:v>
                </c:pt>
                <c:pt idx="79" formatCode="0.0">
                  <c:v>0</c:v>
                </c:pt>
                <c:pt idx="80" formatCode="0.0">
                  <c:v>0.60000000000000042</c:v>
                </c:pt>
                <c:pt idx="81" formatCode="0.0">
                  <c:v>1</c:v>
                </c:pt>
                <c:pt idx="82" formatCode="0.0">
                  <c:v>1.3</c:v>
                </c:pt>
                <c:pt idx="83" formatCode="0.0">
                  <c:v>2.2000000000000002</c:v>
                </c:pt>
                <c:pt idx="84" formatCode="0.000">
                  <c:v>2.9</c:v>
                </c:pt>
                <c:pt idx="85" formatCode="0.000">
                  <c:v>3.3</c:v>
                </c:pt>
                <c:pt idx="86" formatCode="0.000">
                  <c:v>3.4</c:v>
                </c:pt>
                <c:pt idx="87" formatCode="0.000">
                  <c:v>3.4</c:v>
                </c:pt>
                <c:pt idx="88" formatCode="0.000">
                  <c:v>2.8</c:v>
                </c:pt>
                <c:pt idx="89" formatCode="0.000">
                  <c:v>3</c:v>
                </c:pt>
                <c:pt idx="90" formatCode="0.000">
                  <c:v>2.6</c:v>
                </c:pt>
                <c:pt idx="91" formatCode="0.000">
                  <c:v>3.1</c:v>
                </c:pt>
                <c:pt idx="92" formatCode="0.000">
                  <c:v>2.9</c:v>
                </c:pt>
                <c:pt idx="93" formatCode="0.000">
                  <c:v>2.8</c:v>
                </c:pt>
                <c:pt idx="94" formatCode="0.000">
                  <c:v>2.7</c:v>
                </c:pt>
                <c:pt idx="95" formatCode="0.000">
                  <c:v>2.2000000000000002</c:v>
                </c:pt>
                <c:pt idx="96" formatCode="0.000">
                  <c:v>2</c:v>
                </c:pt>
              </c:numCache>
            </c:numRef>
          </c:val>
          <c:smooth val="0"/>
          <c:extLst>
            <c:ext xmlns:c16="http://schemas.microsoft.com/office/drawing/2014/chart" uri="{C3380CC4-5D6E-409C-BE32-E72D297353CC}">
              <c16:uniqueId val="{00000003-0B42-47B7-AD06-A4C36FC1AADC}"/>
            </c:ext>
          </c:extLst>
        </c:ser>
        <c:dLbls>
          <c:showLegendKey val="0"/>
          <c:showVal val="0"/>
          <c:showCatName val="0"/>
          <c:showSerName val="0"/>
          <c:showPercent val="0"/>
          <c:showBubbleSize val="0"/>
        </c:dLbls>
        <c:marker val="1"/>
        <c:smooth val="0"/>
        <c:axId val="183579008"/>
        <c:axId val="183580544"/>
      </c:lineChart>
      <c:catAx>
        <c:axId val="183579008"/>
        <c:scaling>
          <c:orientation val="minMax"/>
        </c:scaling>
        <c:delete val="0"/>
        <c:axPos val="b"/>
        <c:numFmt formatCode="General" sourceLinked="0"/>
        <c:majorTickMark val="out"/>
        <c:minorTickMark val="none"/>
        <c:tickLblPos val="low"/>
        <c:spPr>
          <a:ln>
            <a:solidFill>
              <a:schemeClr val="tx1"/>
            </a:solidFill>
          </a:ln>
        </c:spPr>
        <c:txPr>
          <a:bodyPr/>
          <a:lstStyle/>
          <a:p>
            <a:pPr>
              <a:defRPr b="0">
                <a:solidFill>
                  <a:schemeClr val="tx1">
                    <a:lumMod val="85000"/>
                    <a:lumOff val="15000"/>
                  </a:schemeClr>
                </a:solidFill>
                <a:latin typeface="Times New Roman" panose="02020603050405020304" pitchFamily="18" charset="0"/>
                <a:cs typeface="Times New Roman" panose="02020603050405020304" pitchFamily="18" charset="0"/>
              </a:defRPr>
            </a:pPr>
            <a:endParaRPr lang="lv-LV"/>
          </a:p>
        </c:txPr>
        <c:crossAx val="183580544"/>
        <c:crosses val="autoZero"/>
        <c:auto val="1"/>
        <c:lblAlgn val="ctr"/>
        <c:lblOffset val="100"/>
        <c:noMultiLvlLbl val="0"/>
      </c:catAx>
      <c:valAx>
        <c:axId val="18358054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solidFill>
              <a:schemeClr val="tx1"/>
            </a:solidFill>
          </a:ln>
        </c:spPr>
        <c:txPr>
          <a:bodyPr/>
          <a:lstStyle/>
          <a:p>
            <a:pPr>
              <a:defRPr b="0">
                <a:solidFill>
                  <a:schemeClr val="tx1">
                    <a:lumMod val="85000"/>
                    <a:lumOff val="15000"/>
                  </a:schemeClr>
                </a:solidFill>
                <a:latin typeface="Times New Roman" panose="02020603050405020304" pitchFamily="18" charset="0"/>
                <a:cs typeface="Times New Roman" panose="02020603050405020304" pitchFamily="18" charset="0"/>
              </a:defRPr>
            </a:pPr>
            <a:endParaRPr lang="lv-LV"/>
          </a:p>
        </c:txPr>
        <c:crossAx val="183579008"/>
        <c:crosses val="autoZero"/>
        <c:crossBetween val="between"/>
        <c:majorUnit val="1"/>
      </c:valAx>
      <c:spPr>
        <a:noFill/>
      </c:spPr>
    </c:plotArea>
    <c:legend>
      <c:legendPos val="b"/>
      <c:layout/>
      <c:overlay val="0"/>
      <c:txPr>
        <a:bodyPr/>
        <a:lstStyle/>
        <a:p>
          <a:pPr>
            <a:defRPr b="0">
              <a:solidFill>
                <a:schemeClr val="tx1">
                  <a:lumMod val="85000"/>
                  <a:lumOff val="15000"/>
                </a:schemeClr>
              </a:solidFill>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175969937299862E-2"/>
          <c:y val="4.2742611718989729E-2"/>
          <c:w val="0.91690723525920925"/>
          <c:h val="0.69198690369889393"/>
        </c:manualLayout>
      </c:layout>
      <c:barChart>
        <c:barDir val="col"/>
        <c:grouping val="clustered"/>
        <c:varyColors val="0"/>
        <c:ser>
          <c:idx val="0"/>
          <c:order val="0"/>
          <c:tx>
            <c:strRef>
              <c:f>'2 graf'!$J$3</c:f>
              <c:strCache>
                <c:ptCount val="1"/>
                <c:pt idx="0">
                  <c:v>Nodarbināto skaits, tūkstoši (labā ass)</c:v>
                </c:pt>
              </c:strCache>
            </c:strRef>
          </c:tx>
          <c:invertIfNegative val="0"/>
          <c:cat>
            <c:numRef>
              <c:f>'2 graf'!$K$2:$X$2</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'2 graf'!$K$3:$X$3</c:f>
              <c:numCache>
                <c:formatCode>0</c:formatCode>
                <c:ptCount val="14"/>
                <c:pt idx="0">
                  <c:v>1054.9000000000001</c:v>
                </c:pt>
                <c:pt idx="1">
                  <c:v>908.5</c:v>
                </c:pt>
                <c:pt idx="2">
                  <c:v>850.7</c:v>
                </c:pt>
                <c:pt idx="3">
                  <c:v>861.6</c:v>
                </c:pt>
                <c:pt idx="4">
                  <c:v>875.6</c:v>
                </c:pt>
                <c:pt idx="5">
                  <c:v>893.9</c:v>
                </c:pt>
                <c:pt idx="6">
                  <c:v>884.6</c:v>
                </c:pt>
                <c:pt idx="7">
                  <c:v>896.1</c:v>
                </c:pt>
                <c:pt idx="8">
                  <c:v>893.3</c:v>
                </c:pt>
                <c:pt idx="9">
                  <c:v>895.01639999999998</c:v>
                </c:pt>
                <c:pt idx="10">
                  <c:v>896</c:v>
                </c:pt>
                <c:pt idx="11">
                  <c:v>896</c:v>
                </c:pt>
                <c:pt idx="12">
                  <c:v>896</c:v>
                </c:pt>
                <c:pt idx="13">
                  <c:v>895.10400000000004</c:v>
                </c:pt>
              </c:numCache>
            </c:numRef>
          </c:val>
          <c:extLst>
            <c:ext xmlns:c16="http://schemas.microsoft.com/office/drawing/2014/chart" uri="{C3380CC4-5D6E-409C-BE32-E72D297353CC}">
              <c16:uniqueId val="{00000000-E173-4AEE-A9D1-33FDB1761E7C}"/>
            </c:ext>
          </c:extLst>
        </c:ser>
        <c:dLbls>
          <c:showLegendKey val="0"/>
          <c:showVal val="0"/>
          <c:showCatName val="0"/>
          <c:showSerName val="0"/>
          <c:showPercent val="0"/>
          <c:showBubbleSize val="0"/>
        </c:dLbls>
        <c:gapWidth val="150"/>
        <c:axId val="184562432"/>
        <c:axId val="183748864"/>
      </c:barChart>
      <c:lineChart>
        <c:grouping val="standard"/>
        <c:varyColors val="0"/>
        <c:ser>
          <c:idx val="1"/>
          <c:order val="1"/>
          <c:tx>
            <c:strRef>
              <c:f>'2 graf'!$J$4</c:f>
              <c:strCache>
                <c:ptCount val="1"/>
                <c:pt idx="0">
                  <c:v>Darba meklētāji, % no ekonomiski aktīvajiem iedzīvotājiem (kreisā ass)</c:v>
                </c:pt>
              </c:strCache>
            </c:strRef>
          </c:tx>
          <c:spPr>
            <a:ln>
              <a:solidFill>
                <a:srgbClr val="FF0000"/>
              </a:solidFill>
              <a:prstDash val="dash"/>
            </a:ln>
          </c:spPr>
          <c:marker>
            <c:symbol val="none"/>
          </c:marker>
          <c:dPt>
            <c:idx val="0"/>
            <c:bubble3D val="0"/>
            <c:spPr>
              <a:ln>
                <a:solidFill>
                  <a:srgbClr val="FF0000"/>
                </a:solidFill>
                <a:prstDash val="solid"/>
              </a:ln>
            </c:spPr>
            <c:extLst>
              <c:ext xmlns:c16="http://schemas.microsoft.com/office/drawing/2014/chart" uri="{C3380CC4-5D6E-409C-BE32-E72D297353CC}">
                <c16:uniqueId val="{00000002-E173-4AEE-A9D1-33FDB1761E7C}"/>
              </c:ext>
            </c:extLst>
          </c:dPt>
          <c:dPt>
            <c:idx val="1"/>
            <c:bubble3D val="0"/>
            <c:spPr>
              <a:ln>
                <a:solidFill>
                  <a:srgbClr val="FF0000"/>
                </a:solidFill>
                <a:prstDash val="solid"/>
              </a:ln>
            </c:spPr>
            <c:extLst>
              <c:ext xmlns:c16="http://schemas.microsoft.com/office/drawing/2014/chart" uri="{C3380CC4-5D6E-409C-BE32-E72D297353CC}">
                <c16:uniqueId val="{00000004-E173-4AEE-A9D1-33FDB1761E7C}"/>
              </c:ext>
            </c:extLst>
          </c:dPt>
          <c:dPt>
            <c:idx val="2"/>
            <c:bubble3D val="0"/>
            <c:spPr>
              <a:ln>
                <a:solidFill>
                  <a:srgbClr val="FF0000"/>
                </a:solidFill>
                <a:prstDash val="solid"/>
              </a:ln>
            </c:spPr>
            <c:extLst>
              <c:ext xmlns:c16="http://schemas.microsoft.com/office/drawing/2014/chart" uri="{C3380CC4-5D6E-409C-BE32-E72D297353CC}">
                <c16:uniqueId val="{00000006-E173-4AEE-A9D1-33FDB1761E7C}"/>
              </c:ext>
            </c:extLst>
          </c:dPt>
          <c:dPt>
            <c:idx val="3"/>
            <c:bubble3D val="0"/>
            <c:spPr>
              <a:ln>
                <a:solidFill>
                  <a:srgbClr val="FF0000"/>
                </a:solidFill>
                <a:prstDash val="solid"/>
              </a:ln>
            </c:spPr>
            <c:extLst>
              <c:ext xmlns:c16="http://schemas.microsoft.com/office/drawing/2014/chart" uri="{C3380CC4-5D6E-409C-BE32-E72D297353CC}">
                <c16:uniqueId val="{00000008-E173-4AEE-A9D1-33FDB1761E7C}"/>
              </c:ext>
            </c:extLst>
          </c:dPt>
          <c:dPt>
            <c:idx val="4"/>
            <c:bubble3D val="0"/>
            <c:spPr>
              <a:ln>
                <a:solidFill>
                  <a:srgbClr val="FF0000"/>
                </a:solidFill>
                <a:prstDash val="solid"/>
              </a:ln>
            </c:spPr>
            <c:extLst>
              <c:ext xmlns:c16="http://schemas.microsoft.com/office/drawing/2014/chart" uri="{C3380CC4-5D6E-409C-BE32-E72D297353CC}">
                <c16:uniqueId val="{0000000A-E173-4AEE-A9D1-33FDB1761E7C}"/>
              </c:ext>
            </c:extLst>
          </c:dPt>
          <c:dPt>
            <c:idx val="5"/>
            <c:bubble3D val="0"/>
            <c:spPr>
              <a:ln>
                <a:solidFill>
                  <a:srgbClr val="FF0000"/>
                </a:solidFill>
                <a:prstDash val="solid"/>
              </a:ln>
            </c:spPr>
            <c:extLst>
              <c:ext xmlns:c16="http://schemas.microsoft.com/office/drawing/2014/chart" uri="{C3380CC4-5D6E-409C-BE32-E72D297353CC}">
                <c16:uniqueId val="{0000000C-E173-4AEE-A9D1-33FDB1761E7C}"/>
              </c:ext>
            </c:extLst>
          </c:dPt>
          <c:dPt>
            <c:idx val="6"/>
            <c:bubble3D val="0"/>
            <c:spPr>
              <a:ln>
                <a:solidFill>
                  <a:srgbClr val="FF0000"/>
                </a:solidFill>
                <a:prstDash val="solid"/>
              </a:ln>
            </c:spPr>
            <c:extLst>
              <c:ext xmlns:c16="http://schemas.microsoft.com/office/drawing/2014/chart" uri="{C3380CC4-5D6E-409C-BE32-E72D297353CC}">
                <c16:uniqueId val="{0000000E-E173-4AEE-A9D1-33FDB1761E7C}"/>
              </c:ext>
            </c:extLst>
          </c:dPt>
          <c:dPt>
            <c:idx val="7"/>
            <c:bubble3D val="0"/>
            <c:spPr>
              <a:ln>
                <a:solidFill>
                  <a:srgbClr val="FF0000"/>
                </a:solidFill>
                <a:prstDash val="solid"/>
              </a:ln>
            </c:spPr>
            <c:extLst>
              <c:ext xmlns:c16="http://schemas.microsoft.com/office/drawing/2014/chart" uri="{C3380CC4-5D6E-409C-BE32-E72D297353CC}">
                <c16:uniqueId val="{00000010-E173-4AEE-A9D1-33FDB1761E7C}"/>
              </c:ext>
            </c:extLst>
          </c:dPt>
          <c:dPt>
            <c:idx val="8"/>
            <c:bubble3D val="0"/>
            <c:spPr>
              <a:ln>
                <a:solidFill>
                  <a:srgbClr val="FF0000"/>
                </a:solidFill>
                <a:prstDash val="solid"/>
              </a:ln>
            </c:spPr>
            <c:extLst>
              <c:ext xmlns:c16="http://schemas.microsoft.com/office/drawing/2014/chart" uri="{C3380CC4-5D6E-409C-BE32-E72D297353CC}">
                <c16:uniqueId val="{00000012-E173-4AEE-A9D1-33FDB1761E7C}"/>
              </c:ext>
            </c:extLst>
          </c:dPt>
          <c:dPt>
            <c:idx val="9"/>
            <c:bubble3D val="0"/>
            <c:spPr>
              <a:ln>
                <a:solidFill>
                  <a:srgbClr val="FF0000"/>
                </a:solidFill>
                <a:prstDash val="solid"/>
              </a:ln>
            </c:spPr>
            <c:extLst>
              <c:ext xmlns:c16="http://schemas.microsoft.com/office/drawing/2014/chart" uri="{C3380CC4-5D6E-409C-BE32-E72D297353CC}">
                <c16:uniqueId val="{00000014-E173-4AEE-A9D1-33FDB1761E7C}"/>
              </c:ext>
            </c:extLst>
          </c:dPt>
          <c:cat>
            <c:numRef>
              <c:f>'2 graf'!$K$2:$X$2</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'2 graf'!$K$4:$X$4</c:f>
              <c:numCache>
                <c:formatCode>0.0</c:formatCode>
                <c:ptCount val="14"/>
                <c:pt idx="0">
                  <c:v>7.7400734651040812</c:v>
                </c:pt>
                <c:pt idx="1">
                  <c:v>17.514072998002558</c:v>
                </c:pt>
                <c:pt idx="2">
                  <c:v>19.479413156649301</c:v>
                </c:pt>
                <c:pt idx="3">
                  <c:v>16.203073332036571</c:v>
                </c:pt>
                <c:pt idx="4">
                  <c:v>15.048025613660618</c:v>
                </c:pt>
                <c:pt idx="5">
                  <c:v>11.871425754289101</c:v>
                </c:pt>
                <c:pt idx="6">
                  <c:v>10.843494910813273</c:v>
                </c:pt>
                <c:pt idx="7">
                  <c:v>9.8772882719774717</c:v>
                </c:pt>
                <c:pt idx="8">
                  <c:v>9.6398948007283067</c:v>
                </c:pt>
                <c:pt idx="9">
                  <c:v>8.7000000000000011</c:v>
                </c:pt>
                <c:pt idx="10">
                  <c:v>8.0447216396930941</c:v>
                </c:pt>
                <c:pt idx="11">
                  <c:v>7.7473508448838322</c:v>
                </c:pt>
                <c:pt idx="12">
                  <c:v>7.1620962520360525</c:v>
                </c:pt>
                <c:pt idx="13">
                  <c:v>6.9804157401479907</c:v>
                </c:pt>
              </c:numCache>
            </c:numRef>
          </c:val>
          <c:smooth val="1"/>
          <c:extLst>
            <c:ext xmlns:c16="http://schemas.microsoft.com/office/drawing/2014/chart" uri="{C3380CC4-5D6E-409C-BE32-E72D297353CC}">
              <c16:uniqueId val="{00000015-E173-4AEE-A9D1-33FDB1761E7C}"/>
            </c:ext>
          </c:extLst>
        </c:ser>
        <c:dLbls>
          <c:showLegendKey val="0"/>
          <c:showVal val="0"/>
          <c:showCatName val="0"/>
          <c:showSerName val="0"/>
          <c:showPercent val="0"/>
          <c:showBubbleSize val="0"/>
        </c:dLbls>
        <c:marker val="1"/>
        <c:smooth val="0"/>
        <c:axId val="183744000"/>
        <c:axId val="183746560"/>
      </c:lineChart>
      <c:catAx>
        <c:axId val="183744000"/>
        <c:scaling>
          <c:orientation val="minMax"/>
        </c:scaling>
        <c:delete val="0"/>
        <c:axPos val="b"/>
        <c:numFmt formatCode="General" sourceLinked="1"/>
        <c:majorTickMark val="out"/>
        <c:minorTickMark val="none"/>
        <c:tickLblPos val="low"/>
        <c:crossAx val="183746560"/>
        <c:crosses val="autoZero"/>
        <c:auto val="1"/>
        <c:lblAlgn val="ctr"/>
        <c:lblOffset val="100"/>
        <c:noMultiLvlLbl val="0"/>
      </c:catAx>
      <c:valAx>
        <c:axId val="183746560"/>
        <c:scaling>
          <c:orientation val="minMax"/>
          <c:min val="4"/>
        </c:scaling>
        <c:delete val="0"/>
        <c:axPos val="l"/>
        <c:majorGridlines/>
        <c:numFmt formatCode="0" sourceLinked="0"/>
        <c:majorTickMark val="out"/>
        <c:minorTickMark val="none"/>
        <c:tickLblPos val="nextTo"/>
        <c:txPr>
          <a:bodyPr/>
          <a:lstStyle/>
          <a:p>
            <a:pPr>
              <a:defRPr sz="1000"/>
            </a:pPr>
            <a:endParaRPr lang="lv-LV"/>
          </a:p>
        </c:txPr>
        <c:crossAx val="183744000"/>
        <c:crosses val="autoZero"/>
        <c:crossBetween val="between"/>
      </c:valAx>
      <c:valAx>
        <c:axId val="183748864"/>
        <c:scaling>
          <c:orientation val="minMax"/>
          <c:min val="700"/>
        </c:scaling>
        <c:delete val="0"/>
        <c:axPos val="r"/>
        <c:numFmt formatCode="0" sourceLinked="1"/>
        <c:majorTickMark val="out"/>
        <c:minorTickMark val="none"/>
        <c:tickLblPos val="nextTo"/>
        <c:crossAx val="184562432"/>
        <c:crosses val="max"/>
        <c:crossBetween val="between"/>
      </c:valAx>
      <c:catAx>
        <c:axId val="184562432"/>
        <c:scaling>
          <c:orientation val="minMax"/>
        </c:scaling>
        <c:delete val="1"/>
        <c:axPos val="b"/>
        <c:numFmt formatCode="General" sourceLinked="1"/>
        <c:majorTickMark val="out"/>
        <c:minorTickMark val="none"/>
        <c:tickLblPos val="none"/>
        <c:crossAx val="183748864"/>
        <c:crosses val="autoZero"/>
        <c:auto val="1"/>
        <c:lblAlgn val="ctr"/>
        <c:lblOffset val="100"/>
        <c:noMultiLvlLbl val="0"/>
      </c:catAx>
    </c:plotArea>
    <c:legend>
      <c:legendPos val="b"/>
      <c:layout>
        <c:manualLayout>
          <c:xMode val="edge"/>
          <c:yMode val="edge"/>
          <c:x val="5.2777777777777792E-2"/>
          <c:y val="0.84834122538806411"/>
          <c:w val="0.9"/>
          <c:h val="0.13411802906080039"/>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603481782451183E-2"/>
          <c:y val="5.1400554097404488E-2"/>
          <c:w val="0.91690723525920925"/>
          <c:h val="0.73780596429971212"/>
        </c:manualLayout>
      </c:layout>
      <c:barChart>
        <c:barDir val="col"/>
        <c:grouping val="clustered"/>
        <c:varyColors val="0"/>
        <c:ser>
          <c:idx val="0"/>
          <c:order val="0"/>
          <c:tx>
            <c:strRef>
              <c:f>'2 graf'!$J$3</c:f>
              <c:strCache>
                <c:ptCount val="1"/>
                <c:pt idx="0">
                  <c:v>Produktivitāte</c:v>
                </c:pt>
              </c:strCache>
            </c:strRef>
          </c:tx>
          <c:invertIfNegative val="0"/>
          <c:cat>
            <c:numRef>
              <c:f>'2 graf'!$K$2:$X$2</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'2 graf'!$K$3:$X$3</c:f>
              <c:numCache>
                <c:formatCode>0.0</c:formatCode>
                <c:ptCount val="14"/>
                <c:pt idx="0">
                  <c:v>-3.3190624733188172</c:v>
                </c:pt>
                <c:pt idx="1">
                  <c:v>-0.60797431154132664</c:v>
                </c:pt>
                <c:pt idx="2">
                  <c:v>2.585989217572136</c:v>
                </c:pt>
                <c:pt idx="3">
                  <c:v>5.0352075033854362</c:v>
                </c:pt>
                <c:pt idx="4">
                  <c:v>2.3712149473211932</c:v>
                </c:pt>
                <c:pt idx="5">
                  <c:v>0.3328982192079627</c:v>
                </c:pt>
                <c:pt idx="6">
                  <c:v>2.9291024194164237</c:v>
                </c:pt>
                <c:pt idx="7">
                  <c:v>1.6502326528979268</c:v>
                </c:pt>
                <c:pt idx="8">
                  <c:v>2.5335283211883421</c:v>
                </c:pt>
                <c:pt idx="9">
                  <c:v>4.348899629863709</c:v>
                </c:pt>
                <c:pt idx="10">
                  <c:v>3.9187477988499939</c:v>
                </c:pt>
                <c:pt idx="11">
                  <c:v>3.3668989970053929</c:v>
                </c:pt>
                <c:pt idx="12">
                  <c:v>2.9948643696402968</c:v>
                </c:pt>
                <c:pt idx="13">
                  <c:v>2.9953019302383126</c:v>
                </c:pt>
              </c:numCache>
            </c:numRef>
          </c:val>
          <c:extLst>
            <c:ext xmlns:c16="http://schemas.microsoft.com/office/drawing/2014/chart" uri="{C3380CC4-5D6E-409C-BE32-E72D297353CC}">
              <c16:uniqueId val="{00000000-58D5-430B-AC59-B31BC2781409}"/>
            </c:ext>
          </c:extLst>
        </c:ser>
        <c:dLbls>
          <c:showLegendKey val="0"/>
          <c:showVal val="0"/>
          <c:showCatName val="0"/>
          <c:showSerName val="0"/>
          <c:showPercent val="0"/>
          <c:showBubbleSize val="0"/>
        </c:dLbls>
        <c:gapWidth val="150"/>
        <c:axId val="184641792"/>
        <c:axId val="184656640"/>
      </c:barChart>
      <c:lineChart>
        <c:grouping val="standard"/>
        <c:varyColors val="0"/>
        <c:ser>
          <c:idx val="1"/>
          <c:order val="1"/>
          <c:tx>
            <c:strRef>
              <c:f>'2 graf'!$J$4</c:f>
              <c:strCache>
                <c:ptCount val="1"/>
                <c:pt idx="0">
                  <c:v>Reālā darba samaksa, %</c:v>
                </c:pt>
              </c:strCache>
            </c:strRef>
          </c:tx>
          <c:spPr>
            <a:ln>
              <a:solidFill>
                <a:srgbClr val="FF0000"/>
              </a:solidFill>
              <a:prstDash val="dash"/>
            </a:ln>
          </c:spPr>
          <c:marker>
            <c:symbol val="none"/>
          </c:marker>
          <c:dPt>
            <c:idx val="0"/>
            <c:bubble3D val="0"/>
            <c:spPr>
              <a:ln>
                <a:solidFill>
                  <a:srgbClr val="FF0000"/>
                </a:solidFill>
                <a:prstDash val="solid"/>
              </a:ln>
            </c:spPr>
            <c:extLst>
              <c:ext xmlns:c16="http://schemas.microsoft.com/office/drawing/2014/chart" uri="{C3380CC4-5D6E-409C-BE32-E72D297353CC}">
                <c16:uniqueId val="{00000002-58D5-430B-AC59-B31BC2781409}"/>
              </c:ext>
            </c:extLst>
          </c:dPt>
          <c:dPt>
            <c:idx val="1"/>
            <c:bubble3D val="0"/>
            <c:spPr>
              <a:ln>
                <a:solidFill>
                  <a:srgbClr val="FF0000"/>
                </a:solidFill>
                <a:prstDash val="solid"/>
              </a:ln>
            </c:spPr>
            <c:extLst>
              <c:ext xmlns:c16="http://schemas.microsoft.com/office/drawing/2014/chart" uri="{C3380CC4-5D6E-409C-BE32-E72D297353CC}">
                <c16:uniqueId val="{00000004-58D5-430B-AC59-B31BC2781409}"/>
              </c:ext>
            </c:extLst>
          </c:dPt>
          <c:dPt>
            <c:idx val="2"/>
            <c:bubble3D val="0"/>
            <c:spPr>
              <a:ln>
                <a:solidFill>
                  <a:srgbClr val="FF0000"/>
                </a:solidFill>
                <a:prstDash val="solid"/>
              </a:ln>
            </c:spPr>
            <c:extLst>
              <c:ext xmlns:c16="http://schemas.microsoft.com/office/drawing/2014/chart" uri="{C3380CC4-5D6E-409C-BE32-E72D297353CC}">
                <c16:uniqueId val="{00000006-58D5-430B-AC59-B31BC2781409}"/>
              </c:ext>
            </c:extLst>
          </c:dPt>
          <c:dPt>
            <c:idx val="3"/>
            <c:bubble3D val="0"/>
            <c:spPr>
              <a:ln>
                <a:solidFill>
                  <a:srgbClr val="FF0000"/>
                </a:solidFill>
                <a:prstDash val="solid"/>
              </a:ln>
            </c:spPr>
            <c:extLst>
              <c:ext xmlns:c16="http://schemas.microsoft.com/office/drawing/2014/chart" uri="{C3380CC4-5D6E-409C-BE32-E72D297353CC}">
                <c16:uniqueId val="{00000008-58D5-430B-AC59-B31BC2781409}"/>
              </c:ext>
            </c:extLst>
          </c:dPt>
          <c:dPt>
            <c:idx val="4"/>
            <c:bubble3D val="0"/>
            <c:spPr>
              <a:ln>
                <a:solidFill>
                  <a:srgbClr val="FF0000"/>
                </a:solidFill>
                <a:prstDash val="solid"/>
              </a:ln>
            </c:spPr>
            <c:extLst>
              <c:ext xmlns:c16="http://schemas.microsoft.com/office/drawing/2014/chart" uri="{C3380CC4-5D6E-409C-BE32-E72D297353CC}">
                <c16:uniqueId val="{0000000A-58D5-430B-AC59-B31BC2781409}"/>
              </c:ext>
            </c:extLst>
          </c:dPt>
          <c:dPt>
            <c:idx val="5"/>
            <c:bubble3D val="0"/>
            <c:spPr>
              <a:ln>
                <a:solidFill>
                  <a:srgbClr val="FF0000"/>
                </a:solidFill>
                <a:prstDash val="solid"/>
              </a:ln>
            </c:spPr>
            <c:extLst>
              <c:ext xmlns:c16="http://schemas.microsoft.com/office/drawing/2014/chart" uri="{C3380CC4-5D6E-409C-BE32-E72D297353CC}">
                <c16:uniqueId val="{0000000C-58D5-430B-AC59-B31BC2781409}"/>
              </c:ext>
            </c:extLst>
          </c:dPt>
          <c:dPt>
            <c:idx val="6"/>
            <c:bubble3D val="0"/>
            <c:spPr>
              <a:ln>
                <a:solidFill>
                  <a:srgbClr val="FF0000"/>
                </a:solidFill>
                <a:prstDash val="solid"/>
              </a:ln>
            </c:spPr>
            <c:extLst>
              <c:ext xmlns:c16="http://schemas.microsoft.com/office/drawing/2014/chart" uri="{C3380CC4-5D6E-409C-BE32-E72D297353CC}">
                <c16:uniqueId val="{0000000E-58D5-430B-AC59-B31BC2781409}"/>
              </c:ext>
            </c:extLst>
          </c:dPt>
          <c:dPt>
            <c:idx val="7"/>
            <c:bubble3D val="0"/>
            <c:spPr>
              <a:ln>
                <a:solidFill>
                  <a:srgbClr val="FF0000"/>
                </a:solidFill>
                <a:prstDash val="solid"/>
              </a:ln>
            </c:spPr>
            <c:extLst>
              <c:ext xmlns:c16="http://schemas.microsoft.com/office/drawing/2014/chart" uri="{C3380CC4-5D6E-409C-BE32-E72D297353CC}">
                <c16:uniqueId val="{00000010-58D5-430B-AC59-B31BC2781409}"/>
              </c:ext>
            </c:extLst>
          </c:dPt>
          <c:dPt>
            <c:idx val="8"/>
            <c:bubble3D val="0"/>
            <c:spPr>
              <a:ln>
                <a:solidFill>
                  <a:srgbClr val="FF0000"/>
                </a:solidFill>
                <a:prstDash val="solid"/>
              </a:ln>
            </c:spPr>
            <c:extLst>
              <c:ext xmlns:c16="http://schemas.microsoft.com/office/drawing/2014/chart" uri="{C3380CC4-5D6E-409C-BE32-E72D297353CC}">
                <c16:uniqueId val="{00000012-58D5-430B-AC59-B31BC2781409}"/>
              </c:ext>
            </c:extLst>
          </c:dPt>
          <c:dPt>
            <c:idx val="9"/>
            <c:bubble3D val="0"/>
            <c:spPr>
              <a:ln>
                <a:solidFill>
                  <a:srgbClr val="FF0000"/>
                </a:solidFill>
                <a:prstDash val="solid"/>
              </a:ln>
            </c:spPr>
            <c:extLst>
              <c:ext xmlns:c16="http://schemas.microsoft.com/office/drawing/2014/chart" uri="{C3380CC4-5D6E-409C-BE32-E72D297353CC}">
                <c16:uniqueId val="{00000014-58D5-430B-AC59-B31BC2781409}"/>
              </c:ext>
            </c:extLst>
          </c:dPt>
          <c:cat>
            <c:numRef>
              <c:f>'2 graf'!$K$2:$X$2</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'2 graf'!$K$4:$X$4</c:f>
              <c:numCache>
                <c:formatCode>0.0</c:formatCode>
                <c:ptCount val="14"/>
                <c:pt idx="0">
                  <c:v>4.42873969375737</c:v>
                </c:pt>
                <c:pt idx="1">
                  <c:v>-7.2202916068595764</c:v>
                </c:pt>
                <c:pt idx="2">
                  <c:v>-2.3294638420886193</c:v>
                </c:pt>
                <c:pt idx="3">
                  <c:v>-0.10854262716145653</c:v>
                </c:pt>
                <c:pt idx="4">
                  <c:v>1.4865954444668541</c:v>
                </c:pt>
                <c:pt idx="5">
                  <c:v>4.5835205719583216</c:v>
                </c:pt>
                <c:pt idx="6">
                  <c:v>6.1956816319993946</c:v>
                </c:pt>
                <c:pt idx="7">
                  <c:v>6.7515584476315116</c:v>
                </c:pt>
                <c:pt idx="8">
                  <c:v>4.8967634491129184</c:v>
                </c:pt>
                <c:pt idx="9">
                  <c:v>4.7616784947806039</c:v>
                </c:pt>
                <c:pt idx="10">
                  <c:v>5.0583657587548281</c:v>
                </c:pt>
                <c:pt idx="11">
                  <c:v>3.5156250000000204</c:v>
                </c:pt>
                <c:pt idx="12">
                  <c:v>3.3300685602350777</c:v>
                </c:pt>
                <c:pt idx="13">
                  <c:v>2.84035259549462</c:v>
                </c:pt>
              </c:numCache>
            </c:numRef>
          </c:val>
          <c:smooth val="1"/>
          <c:extLst>
            <c:ext xmlns:c16="http://schemas.microsoft.com/office/drawing/2014/chart" uri="{C3380CC4-5D6E-409C-BE32-E72D297353CC}">
              <c16:uniqueId val="{00000015-58D5-430B-AC59-B31BC2781409}"/>
            </c:ext>
          </c:extLst>
        </c:ser>
        <c:dLbls>
          <c:showLegendKey val="0"/>
          <c:showVal val="0"/>
          <c:showCatName val="0"/>
          <c:showSerName val="0"/>
          <c:showPercent val="0"/>
          <c:showBubbleSize val="0"/>
        </c:dLbls>
        <c:marker val="1"/>
        <c:smooth val="0"/>
        <c:axId val="184641792"/>
        <c:axId val="184656640"/>
      </c:lineChart>
      <c:catAx>
        <c:axId val="184641792"/>
        <c:scaling>
          <c:orientation val="minMax"/>
        </c:scaling>
        <c:delete val="0"/>
        <c:axPos val="b"/>
        <c:numFmt formatCode="General" sourceLinked="1"/>
        <c:majorTickMark val="out"/>
        <c:minorTickMark val="none"/>
        <c:tickLblPos val="low"/>
        <c:crossAx val="184656640"/>
        <c:crosses val="autoZero"/>
        <c:auto val="1"/>
        <c:lblAlgn val="ctr"/>
        <c:lblOffset val="100"/>
        <c:noMultiLvlLbl val="0"/>
      </c:catAx>
      <c:valAx>
        <c:axId val="184656640"/>
        <c:scaling>
          <c:orientation val="minMax"/>
        </c:scaling>
        <c:delete val="0"/>
        <c:axPos val="l"/>
        <c:majorGridlines/>
        <c:numFmt formatCode="0" sourceLinked="0"/>
        <c:majorTickMark val="out"/>
        <c:minorTickMark val="none"/>
        <c:tickLblPos val="nextTo"/>
        <c:txPr>
          <a:bodyPr/>
          <a:lstStyle/>
          <a:p>
            <a:pPr>
              <a:defRPr sz="1000"/>
            </a:pPr>
            <a:endParaRPr lang="lv-LV"/>
          </a:p>
        </c:txPr>
        <c:crossAx val="184641792"/>
        <c:crosses val="autoZero"/>
        <c:crossBetween val="between"/>
      </c:valAx>
    </c:plotArea>
    <c:legend>
      <c:legendPos val="b"/>
      <c:layout>
        <c:manualLayout>
          <c:xMode val="edge"/>
          <c:yMode val="edge"/>
          <c:x val="5.2777777777777792E-2"/>
          <c:y val="0.89874203971515498"/>
          <c:w val="0.9"/>
          <c:h val="8.3717191601049942E-2"/>
        </c:manualLayout>
      </c:layout>
      <c:overlay val="0"/>
      <c:txPr>
        <a:bodyPr/>
        <a:lstStyle/>
        <a:p>
          <a:pPr>
            <a:defRPr sz="1000"/>
          </a:pPr>
          <a:endParaRPr lang="lv-LV"/>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Sheet1!$A$3</c:f>
              <c:strCache>
                <c:ptCount val="1"/>
                <c:pt idx="0">
                  <c:v>Kopējā produktivitāte</c:v>
                </c:pt>
              </c:strCache>
            </c:strRef>
          </c:tx>
          <c:spPr>
            <a:solidFill>
              <a:schemeClr val="accent6"/>
            </a:solidFill>
            <a:ln>
              <a:noFill/>
            </a:ln>
            <a:effectLst/>
          </c:spPr>
          <c:invertIfNegative val="0"/>
          <c:cat>
            <c:numRef>
              <c:f>Sheet1!$B$2:$M$2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Sheet1!$B$3:$M$3</c:f>
              <c:numCache>
                <c:formatCode>0.0</c:formatCode>
                <c:ptCount val="12"/>
                <c:pt idx="0">
                  <c:v>-3.2330728872915198</c:v>
                </c:pt>
                <c:pt idx="1">
                  <c:v>-2.1390193604409982</c:v>
                </c:pt>
                <c:pt idx="2">
                  <c:v>-0.97811748301623058</c:v>
                </c:pt>
                <c:pt idx="3">
                  <c:v>-0.25217243323482408</c:v>
                </c:pt>
                <c:pt idx="4">
                  <c:v>0.21200269905841571</c:v>
                </c:pt>
                <c:pt idx="5">
                  <c:v>0.7155270778776105</c:v>
                </c:pt>
                <c:pt idx="6">
                  <c:v>1.0891092273003999</c:v>
                </c:pt>
                <c:pt idx="7">
                  <c:v>1.2225844149658607</c:v>
                </c:pt>
                <c:pt idx="8">
                  <c:v>1.1855951658716601</c:v>
                </c:pt>
                <c:pt idx="9">
                  <c:v>1.2556015697865024</c:v>
                </c:pt>
                <c:pt idx="10">
                  <c:v>1.2302378439577761</c:v>
                </c:pt>
                <c:pt idx="11">
                  <c:v>1.207051270875461</c:v>
                </c:pt>
              </c:numCache>
            </c:numRef>
          </c:val>
          <c:extLst>
            <c:ext xmlns:c16="http://schemas.microsoft.com/office/drawing/2014/chart" uri="{C3380CC4-5D6E-409C-BE32-E72D297353CC}">
              <c16:uniqueId val="{00000000-5C49-4D16-98F7-C36128FF588E}"/>
            </c:ext>
          </c:extLst>
        </c:ser>
        <c:ser>
          <c:idx val="1"/>
          <c:order val="1"/>
          <c:tx>
            <c:strRef>
              <c:f>Sheet1!$A$4</c:f>
              <c:strCache>
                <c:ptCount val="1"/>
                <c:pt idx="0">
                  <c:v>Darbaspēks</c:v>
                </c:pt>
              </c:strCache>
            </c:strRef>
          </c:tx>
          <c:spPr>
            <a:solidFill>
              <a:schemeClr val="accent2"/>
            </a:solidFill>
            <a:ln>
              <a:noFill/>
            </a:ln>
            <a:effectLst/>
          </c:spPr>
          <c:invertIfNegative val="0"/>
          <c:cat>
            <c:numRef>
              <c:f>Sheet1!$B$2:$M$2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Sheet1!$B$4:$M$4</c:f>
              <c:numCache>
                <c:formatCode>0.0</c:formatCode>
                <c:ptCount val="12"/>
                <c:pt idx="0">
                  <c:v>-1.6</c:v>
                </c:pt>
                <c:pt idx="1">
                  <c:v>-1</c:v>
                </c:pt>
                <c:pt idx="2">
                  <c:v>-0.30000000000000021</c:v>
                </c:pt>
                <c:pt idx="3">
                  <c:v>-0.1</c:v>
                </c:pt>
                <c:pt idx="4">
                  <c:v>-0.1</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5C49-4D16-98F7-C36128FF588E}"/>
            </c:ext>
          </c:extLst>
        </c:ser>
        <c:ser>
          <c:idx val="2"/>
          <c:order val="2"/>
          <c:tx>
            <c:strRef>
              <c:f>Sheet1!$A$5</c:f>
              <c:strCache>
                <c:ptCount val="1"/>
                <c:pt idx="0">
                  <c:v>Kapitāls</c:v>
                </c:pt>
              </c:strCache>
            </c:strRef>
          </c:tx>
          <c:spPr>
            <a:solidFill>
              <a:schemeClr val="accent1"/>
            </a:solidFill>
            <a:ln>
              <a:noFill/>
            </a:ln>
            <a:effectLst/>
          </c:spPr>
          <c:invertIfNegative val="0"/>
          <c:cat>
            <c:numRef>
              <c:f>Sheet1!$B$2:$M$2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Sheet1!$B$5:$M$5</c:f>
              <c:numCache>
                <c:formatCode>0.0</c:formatCode>
                <c:ptCount val="12"/>
                <c:pt idx="0">
                  <c:v>3.0947011436029892</c:v>
                </c:pt>
                <c:pt idx="1">
                  <c:v>2.8182595000683426</c:v>
                </c:pt>
                <c:pt idx="2">
                  <c:v>2.5877193235587521</c:v>
                </c:pt>
                <c:pt idx="3">
                  <c:v>2.4033491469582877</c:v>
                </c:pt>
                <c:pt idx="4">
                  <c:v>2.2654277532081193</c:v>
                </c:pt>
                <c:pt idx="5">
                  <c:v>2.1723088439780307</c:v>
                </c:pt>
                <c:pt idx="6">
                  <c:v>1.5</c:v>
                </c:pt>
                <c:pt idx="7">
                  <c:v>2.1032883329915149</c:v>
                </c:pt>
                <c:pt idx="8">
                  <c:v>2.2000000000000002</c:v>
                </c:pt>
                <c:pt idx="9">
                  <c:v>2.2000000000000002</c:v>
                </c:pt>
                <c:pt idx="10">
                  <c:v>2.1</c:v>
                </c:pt>
                <c:pt idx="11">
                  <c:v>2</c:v>
                </c:pt>
              </c:numCache>
            </c:numRef>
          </c:val>
          <c:extLst>
            <c:ext xmlns:c16="http://schemas.microsoft.com/office/drawing/2014/chart" uri="{C3380CC4-5D6E-409C-BE32-E72D297353CC}">
              <c16:uniqueId val="{00000002-5C49-4D16-98F7-C36128FF588E}"/>
            </c:ext>
          </c:extLst>
        </c:ser>
        <c:dLbls>
          <c:showLegendKey val="0"/>
          <c:showVal val="0"/>
          <c:showCatName val="0"/>
          <c:showSerName val="0"/>
          <c:showPercent val="0"/>
          <c:showBubbleSize val="0"/>
        </c:dLbls>
        <c:gapWidth val="50"/>
        <c:overlap val="100"/>
        <c:axId val="184817536"/>
        <c:axId val="186519552"/>
      </c:barChart>
      <c:lineChart>
        <c:grouping val="stacked"/>
        <c:varyColors val="0"/>
        <c:ser>
          <c:idx val="3"/>
          <c:order val="3"/>
          <c:tx>
            <c:strRef>
              <c:f>Sheet1!$A$6</c:f>
              <c:strCache>
                <c:ptCount val="1"/>
                <c:pt idx="0">
                  <c:v>Potenciālais IKP</c:v>
                </c:pt>
              </c:strCache>
            </c:strRef>
          </c:tx>
          <c:spPr>
            <a:ln w="28575" cap="rnd">
              <a:solidFill>
                <a:schemeClr val="tx1">
                  <a:lumMod val="75000"/>
                  <a:lumOff val="25000"/>
                </a:schemeClr>
              </a:solidFill>
              <a:round/>
            </a:ln>
            <a:effectLst/>
          </c:spPr>
          <c:marker>
            <c:symbol val="circle"/>
            <c:size val="5"/>
            <c:spPr>
              <a:solidFill>
                <a:schemeClr val="tx1">
                  <a:lumMod val="75000"/>
                  <a:lumOff val="25000"/>
                </a:schemeClr>
              </a:solidFill>
              <a:ln w="9525">
                <a:noFill/>
              </a:ln>
              <a:effectLst/>
            </c:spPr>
          </c:marker>
          <c:cat>
            <c:numRef>
              <c:f>Sheet1!$B$2:$M$2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Sheet1!$B$6:$M$6</c:f>
              <c:numCache>
                <c:formatCode>0.0</c:formatCode>
                <c:ptCount val="12"/>
                <c:pt idx="0">
                  <c:v>-1.7383717436885306</c:v>
                </c:pt>
                <c:pt idx="1">
                  <c:v>-0.32075986037265347</c:v>
                </c:pt>
                <c:pt idx="2">
                  <c:v>1.3096018405425212</c:v>
                </c:pt>
                <c:pt idx="3">
                  <c:v>2.0511767137234647</c:v>
                </c:pt>
                <c:pt idx="4">
                  <c:v>2.3774304522665348</c:v>
                </c:pt>
                <c:pt idx="5">
                  <c:v>2.887835921855642</c:v>
                </c:pt>
                <c:pt idx="6">
                  <c:v>2.5891092273004026</c:v>
                </c:pt>
                <c:pt idx="7">
                  <c:v>3.325872747957376</c:v>
                </c:pt>
                <c:pt idx="8">
                  <c:v>3.3855951658716599</c:v>
                </c:pt>
                <c:pt idx="9">
                  <c:v>3.4556015697865017</c:v>
                </c:pt>
                <c:pt idx="10">
                  <c:v>3.3302378439577778</c:v>
                </c:pt>
                <c:pt idx="11">
                  <c:v>3.2070512708754646</c:v>
                </c:pt>
              </c:numCache>
            </c:numRef>
          </c:val>
          <c:smooth val="0"/>
          <c:extLst>
            <c:ext xmlns:c16="http://schemas.microsoft.com/office/drawing/2014/chart" uri="{C3380CC4-5D6E-409C-BE32-E72D297353CC}">
              <c16:uniqueId val="{00000003-5C49-4D16-98F7-C36128FF588E}"/>
            </c:ext>
          </c:extLst>
        </c:ser>
        <c:dLbls>
          <c:showLegendKey val="0"/>
          <c:showVal val="0"/>
          <c:showCatName val="0"/>
          <c:showSerName val="0"/>
          <c:showPercent val="0"/>
          <c:showBubbleSize val="0"/>
        </c:dLbls>
        <c:marker val="1"/>
        <c:smooth val="0"/>
        <c:axId val="184817536"/>
        <c:axId val="186519552"/>
      </c:lineChart>
      <c:catAx>
        <c:axId val="184817536"/>
        <c:scaling>
          <c:orientation val="minMax"/>
        </c:scaling>
        <c:delete val="0"/>
        <c:axPos val="b"/>
        <c:numFmt formatCode="General" sourceLinked="1"/>
        <c:majorTickMark val="none"/>
        <c:minorTickMark val="none"/>
        <c:tickLblPos val="low"/>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86519552"/>
        <c:crosses val="autoZero"/>
        <c:auto val="1"/>
        <c:lblAlgn val="ctr"/>
        <c:lblOffset val="100"/>
        <c:noMultiLvlLbl val="0"/>
      </c:catAx>
      <c:valAx>
        <c:axId val="186519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84817536"/>
        <c:crosses val="autoZero"/>
        <c:crossBetween val="between"/>
      </c:valAx>
      <c:spPr>
        <a:noFill/>
        <a:ln>
          <a:noFill/>
        </a:ln>
        <a:effectLst/>
      </c:spPr>
    </c:plotArea>
    <c:legend>
      <c:legendPos val="b"/>
      <c:layout>
        <c:manualLayout>
          <c:xMode val="edge"/>
          <c:yMode val="edge"/>
          <c:x val="2.0528171243458862E-2"/>
          <c:y val="0.80609507144940284"/>
          <c:w val="0.95894343993840059"/>
          <c:h val="0.1661271507728201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Sheet1!$A$7</c:f>
              <c:strCache>
                <c:ptCount val="1"/>
                <c:pt idx="0">
                  <c:v>Finanšu ministrija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Sheet1!$B$7:$M$7</c:f>
              <c:numCache>
                <c:formatCode>0.0</c:formatCode>
                <c:ptCount val="12"/>
                <c:pt idx="0">
                  <c:v>-8.9500609064354393</c:v>
                </c:pt>
                <c:pt idx="1">
                  <c:v>-2.8408270931796125</c:v>
                </c:pt>
                <c:pt idx="2">
                  <c:v>-0.20794465668166151</c:v>
                </c:pt>
                <c:pt idx="3">
                  <c:v>0.30016554424550185</c:v>
                </c:pt>
                <c:pt idx="4">
                  <c:v>-0.14824540020380544</c:v>
                </c:pt>
                <c:pt idx="5">
                  <c:v>-0.20348305119618729</c:v>
                </c:pt>
                <c:pt idx="6">
                  <c:v>-0.65542178715352906</c:v>
                </c:pt>
                <c:pt idx="7">
                  <c:v>0.47040305346233424</c:v>
                </c:pt>
                <c:pt idx="8">
                  <c:v>1.0854216745307779</c:v>
                </c:pt>
                <c:pt idx="9">
                  <c:v>1.0042298921529336</c:v>
                </c:pt>
                <c:pt idx="10">
                  <c:v>0.65715490574582702</c:v>
                </c:pt>
                <c:pt idx="11">
                  <c:v>0.30844403772496803</c:v>
                </c:pt>
              </c:numCache>
            </c:numRef>
          </c:val>
          <c:smooth val="0"/>
          <c:extLst>
            <c:ext xmlns:c16="http://schemas.microsoft.com/office/drawing/2014/chart" uri="{C3380CC4-5D6E-409C-BE32-E72D297353CC}">
              <c16:uniqueId val="{00000000-7D56-42E5-AE25-0DD89CCFED6E}"/>
            </c:ext>
          </c:extLst>
        </c:ser>
        <c:ser>
          <c:idx val="1"/>
          <c:order val="1"/>
          <c:tx>
            <c:strRef>
              <c:f>Sheet1!$A$8</c:f>
              <c:strCache>
                <c:ptCount val="1"/>
                <c:pt idx="0">
                  <c:v>Eiropas Komisija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Sheet1!$B$8:$M$8</c:f>
              <c:numCache>
                <c:formatCode>0.0</c:formatCode>
                <c:ptCount val="12"/>
                <c:pt idx="0">
                  <c:v>-12.457675</c:v>
                </c:pt>
                <c:pt idx="1">
                  <c:v>-5.6530159999999947</c:v>
                </c:pt>
                <c:pt idx="2">
                  <c:v>-2.0600700000000001</c:v>
                </c:pt>
                <c:pt idx="3">
                  <c:v>-0.24864200000000011</c:v>
                </c:pt>
                <c:pt idx="4">
                  <c:v>0.29291000000000023</c:v>
                </c:pt>
                <c:pt idx="5">
                  <c:v>0.99270899999999951</c:v>
                </c:pt>
                <c:pt idx="6">
                  <c:v>1.32901</c:v>
                </c:pt>
                <c:pt idx="7">
                  <c:v>2.2883820000000012</c:v>
                </c:pt>
                <c:pt idx="8">
                  <c:v>2.1105809999999998</c:v>
                </c:pt>
                <c:pt idx="9">
                  <c:v>1.4143039999999998</c:v>
                </c:pt>
                <c:pt idx="10">
                  <c:v>0.94286899999999996</c:v>
                </c:pt>
                <c:pt idx="11">
                  <c:v>0.4714350000000001</c:v>
                </c:pt>
              </c:numCache>
            </c:numRef>
          </c:val>
          <c:smooth val="0"/>
          <c:extLst>
            <c:ext xmlns:c16="http://schemas.microsoft.com/office/drawing/2014/chart" uri="{C3380CC4-5D6E-409C-BE32-E72D297353CC}">
              <c16:uniqueId val="{00000001-7D56-42E5-AE25-0DD89CCFED6E}"/>
            </c:ext>
          </c:extLst>
        </c:ser>
        <c:dLbls>
          <c:showLegendKey val="0"/>
          <c:showVal val="0"/>
          <c:showCatName val="0"/>
          <c:showSerName val="0"/>
          <c:showPercent val="0"/>
          <c:showBubbleSize val="0"/>
        </c:dLbls>
        <c:marker val="1"/>
        <c:smooth val="0"/>
        <c:axId val="149540224"/>
        <c:axId val="168707584"/>
      </c:lineChart>
      <c:catAx>
        <c:axId val="149540224"/>
        <c:scaling>
          <c:orientation val="minMax"/>
        </c:scaling>
        <c:delete val="0"/>
        <c:axPos val="b"/>
        <c:numFmt formatCode="General" sourceLinked="1"/>
        <c:majorTickMark val="none"/>
        <c:minorTickMark val="none"/>
        <c:tickLblPos val="low"/>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mn-lt"/>
                <a:ea typeface="+mn-ea"/>
                <a:cs typeface="+mn-cs"/>
              </a:defRPr>
            </a:pPr>
            <a:endParaRPr lang="lv-LV"/>
          </a:p>
        </c:txPr>
        <c:crossAx val="168707584"/>
        <c:crosses val="autoZero"/>
        <c:auto val="1"/>
        <c:lblAlgn val="ctr"/>
        <c:lblOffset val="100"/>
        <c:noMultiLvlLbl val="0"/>
      </c:catAx>
      <c:valAx>
        <c:axId val="168707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crossAx val="149540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850182459586913E-2"/>
          <c:y val="6.1217445551909611E-2"/>
          <c:w val="0.62188108317546231"/>
          <c:h val="0.84846182733804143"/>
        </c:manualLayout>
      </c:layout>
      <c:barChart>
        <c:barDir val="col"/>
        <c:grouping val="clustered"/>
        <c:varyColors val="0"/>
        <c:ser>
          <c:idx val="3"/>
          <c:order val="0"/>
          <c:tx>
            <c:strRef>
              <c:f>Sheet1!$A$6</c:f>
              <c:strCache>
                <c:ptCount val="1"/>
                <c:pt idx="0">
                  <c:v>Vispārējās valdības ieņēmumi (kreisā ass)</c:v>
                </c:pt>
              </c:strCache>
            </c:strRef>
          </c:tx>
          <c:spPr>
            <a:solidFill>
              <a:srgbClr val="A5A5A5"/>
            </a:solidFill>
            <a:ln>
              <a:noFill/>
            </a:ln>
            <a:effectLst/>
          </c:spPr>
          <c:invertIfNegative val="0"/>
          <c:cat>
            <c:strRef>
              <c:f>Sheet1!$C$1:$L$1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Sheet1!$C$6:$L$6</c:f>
              <c:numCache>
                <c:formatCode>0.0%</c:formatCode>
                <c:ptCount val="10"/>
                <c:pt idx="0">
                  <c:v>0.33441958898593888</c:v>
                </c:pt>
                <c:pt idx="1">
                  <c:v>0.35046436707905726</c:v>
                </c:pt>
                <c:pt idx="2">
                  <c:v>0.36817381049634568</c:v>
                </c:pt>
                <c:pt idx="3">
                  <c:v>0.36164307898812376</c:v>
                </c:pt>
                <c:pt idx="4">
                  <c:v>0.36761131616464243</c:v>
                </c:pt>
                <c:pt idx="5">
                  <c:v>0.36764255217334652</c:v>
                </c:pt>
                <c:pt idx="6">
                  <c:v>0.37077374007564712</c:v>
                </c:pt>
                <c:pt idx="7">
                  <c:v>0.37232522066729068</c:v>
                </c:pt>
                <c:pt idx="8">
                  <c:v>0.37323975812590909</c:v>
                </c:pt>
                <c:pt idx="9">
                  <c:v>0.37111016217258697</c:v>
                </c:pt>
              </c:numCache>
            </c:numRef>
          </c:val>
          <c:extLst>
            <c:ext xmlns:c16="http://schemas.microsoft.com/office/drawing/2014/chart" uri="{C3380CC4-5D6E-409C-BE32-E72D297353CC}">
              <c16:uniqueId val="{00000000-CB5B-46D0-9D4B-774DEC8D1844}"/>
            </c:ext>
          </c:extLst>
        </c:ser>
        <c:ser>
          <c:idx val="0"/>
          <c:order val="1"/>
          <c:tx>
            <c:strRef>
              <c:f>Sheet1!$A$7</c:f>
              <c:strCache>
                <c:ptCount val="1"/>
                <c:pt idx="0">
                  <c:v>Vispārējās valdības izdevumi (kreisā ass)</c:v>
                </c:pt>
              </c:strCache>
            </c:strRef>
          </c:tx>
          <c:spPr>
            <a:solidFill>
              <a:srgbClr val="ED7D31"/>
            </a:solidFill>
            <a:ln>
              <a:noFill/>
            </a:ln>
            <a:effectLst/>
          </c:spPr>
          <c:invertIfNegative val="0"/>
          <c:cat>
            <c:strRef>
              <c:f>Sheet1!$C$1:$L$1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Sheet1!$C$7:$L$7</c:f>
              <c:numCache>
                <c:formatCode>0.0%</c:formatCode>
                <c:ptCount val="10"/>
                <c:pt idx="0">
                  <c:v>0.37646222049928907</c:v>
                </c:pt>
                <c:pt idx="1">
                  <c:v>0.44173340338318229</c:v>
                </c:pt>
                <c:pt idx="2">
                  <c:v>0.45503262063116579</c:v>
                </c:pt>
                <c:pt idx="3">
                  <c:v>0.40471017710349866</c:v>
                </c:pt>
                <c:pt idx="4">
                  <c:v>0.37966759258696581</c:v>
                </c:pt>
                <c:pt idx="5">
                  <c:v>0.37726123706020581</c:v>
                </c:pt>
                <c:pt idx="6">
                  <c:v>0.38298031972341329</c:v>
                </c:pt>
                <c:pt idx="7">
                  <c:v>0.38457949820076442</c:v>
                </c:pt>
                <c:pt idx="8">
                  <c:v>0.37285992427072567</c:v>
                </c:pt>
                <c:pt idx="9">
                  <c:v>0.37577465779487473</c:v>
                </c:pt>
              </c:numCache>
            </c:numRef>
          </c:val>
          <c:extLst>
            <c:ext xmlns:c16="http://schemas.microsoft.com/office/drawing/2014/chart" uri="{C3380CC4-5D6E-409C-BE32-E72D297353CC}">
              <c16:uniqueId val="{00000001-CB5B-46D0-9D4B-774DEC8D1844}"/>
            </c:ext>
          </c:extLst>
        </c:ser>
        <c:dLbls>
          <c:showLegendKey val="0"/>
          <c:showVal val="0"/>
          <c:showCatName val="0"/>
          <c:showSerName val="0"/>
          <c:showPercent val="0"/>
          <c:showBubbleSize val="0"/>
        </c:dLbls>
        <c:gapWidth val="150"/>
        <c:axId val="168812928"/>
        <c:axId val="168814848"/>
      </c:barChart>
      <c:lineChart>
        <c:grouping val="standard"/>
        <c:varyColors val="0"/>
        <c:ser>
          <c:idx val="1"/>
          <c:order val="2"/>
          <c:tx>
            <c:strRef>
              <c:f>Sheet1!$A$8</c:f>
              <c:strCache>
                <c:ptCount val="1"/>
                <c:pt idx="0">
                  <c:v>Vispārējās valdības budžeta bilance (labā ass)</c:v>
                </c:pt>
              </c:strCache>
            </c:strRef>
          </c:tx>
          <c:spPr>
            <a:ln w="28575" cap="rnd">
              <a:solidFill>
                <a:srgbClr val="5B9BD5">
                  <a:lumMod val="50000"/>
                </a:srgbClr>
              </a:solidFill>
              <a:round/>
            </a:ln>
            <a:effectLst/>
          </c:spPr>
          <c:marker>
            <c:symbol val="circle"/>
            <c:size val="5"/>
            <c:spPr>
              <a:solidFill>
                <a:sysClr val="window" lastClr="FFFFFF"/>
              </a:solidFill>
              <a:ln w="9525">
                <a:solidFill>
                  <a:srgbClr val="5B9BD5">
                    <a:lumMod val="50000"/>
                  </a:srgbClr>
                </a:solidFill>
              </a:ln>
              <a:effectLst/>
            </c:spPr>
          </c:marker>
          <c:cat>
            <c:strRef>
              <c:f>Sheet1!$C$1:$L$1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Sheet1!$C$8:$L$8</c:f>
              <c:numCache>
                <c:formatCode>0.0%</c:formatCode>
                <c:ptCount val="10"/>
                <c:pt idx="0">
                  <c:v>-4.2042631513350408E-2</c:v>
                </c:pt>
                <c:pt idx="1">
                  <c:v>-9.1269036304125681E-2</c:v>
                </c:pt>
                <c:pt idx="2">
                  <c:v>-8.6858810134820358E-2</c:v>
                </c:pt>
                <c:pt idx="3">
                  <c:v>-4.3067098115374562E-2</c:v>
                </c:pt>
                <c:pt idx="4">
                  <c:v>-1.2056285103825958E-2</c:v>
                </c:pt>
                <c:pt idx="5">
                  <c:v>-9.6186837897224362E-3</c:v>
                </c:pt>
                <c:pt idx="6">
                  <c:v>-1.2206579647766044E-2</c:v>
                </c:pt>
                <c:pt idx="7">
                  <c:v>-1.225428943750914E-2</c:v>
                </c:pt>
                <c:pt idx="8" formatCode="0.00%">
                  <c:v>3.7985316420697266E-4</c:v>
                </c:pt>
                <c:pt idx="9" formatCode="0.00%">
                  <c:v>-4.6644956222876705E-3</c:v>
                </c:pt>
              </c:numCache>
            </c:numRef>
          </c:val>
          <c:smooth val="0"/>
          <c:extLst>
            <c:ext xmlns:c16="http://schemas.microsoft.com/office/drawing/2014/chart" uri="{C3380CC4-5D6E-409C-BE32-E72D297353CC}">
              <c16:uniqueId val="{00000002-CB5B-46D0-9D4B-774DEC8D1844}"/>
            </c:ext>
          </c:extLst>
        </c:ser>
        <c:dLbls>
          <c:showLegendKey val="0"/>
          <c:showVal val="0"/>
          <c:showCatName val="0"/>
          <c:showSerName val="0"/>
          <c:showPercent val="0"/>
          <c:showBubbleSize val="0"/>
        </c:dLbls>
        <c:marker val="1"/>
        <c:smooth val="0"/>
        <c:axId val="168965632"/>
        <c:axId val="168964096"/>
      </c:lineChart>
      <c:catAx>
        <c:axId val="168812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8814848"/>
        <c:crossesAt val="0"/>
        <c:auto val="1"/>
        <c:lblAlgn val="ctr"/>
        <c:lblOffset val="100"/>
        <c:noMultiLvlLbl val="0"/>
      </c:catAx>
      <c:valAx>
        <c:axId val="168814848"/>
        <c:scaling>
          <c:orientation val="minMax"/>
          <c:max val="0.46"/>
          <c:min val="0.3000000000000002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8812928"/>
        <c:crosses val="autoZero"/>
        <c:crossBetween val="between"/>
        <c:majorUnit val="2.0000000000000011E-2"/>
      </c:valAx>
      <c:valAx>
        <c:axId val="16896409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8965632"/>
        <c:crosses val="max"/>
        <c:crossBetween val="between"/>
      </c:valAx>
      <c:catAx>
        <c:axId val="168965632"/>
        <c:scaling>
          <c:orientation val="minMax"/>
        </c:scaling>
        <c:delete val="1"/>
        <c:axPos val="b"/>
        <c:numFmt formatCode="General" sourceLinked="1"/>
        <c:majorTickMark val="out"/>
        <c:minorTickMark val="none"/>
        <c:tickLblPos val="none"/>
        <c:crossAx val="168964096"/>
        <c:crosses val="autoZero"/>
        <c:auto val="1"/>
        <c:lblAlgn val="ctr"/>
        <c:lblOffset val="100"/>
        <c:noMultiLvlLbl val="0"/>
      </c:catAx>
      <c:spPr>
        <a:noFill/>
        <a:ln>
          <a:noFill/>
        </a:ln>
        <a:effectLst/>
      </c:spPr>
    </c:plotArea>
    <c:legend>
      <c:legendPos val="b"/>
      <c:layout>
        <c:manualLayout>
          <c:xMode val="edge"/>
          <c:yMode val="edge"/>
          <c:x val="0.74550890507032952"/>
          <c:y val="0.15888684360115668"/>
          <c:w val="0.2522466185694141"/>
          <c:h val="0.54788034474414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81871006414214E-2"/>
          <c:y val="2.994319043452905E-2"/>
          <c:w val="0.62572613431089186"/>
          <c:h val="0.87130890673841699"/>
        </c:manualLayout>
      </c:layout>
      <c:barChart>
        <c:barDir val="col"/>
        <c:grouping val="stacked"/>
        <c:varyColors val="0"/>
        <c:ser>
          <c:idx val="1"/>
          <c:order val="1"/>
          <c:tx>
            <c:strRef>
              <c:f>Sheet1!$A$8</c:f>
              <c:strCache>
                <c:ptCount val="1"/>
                <c:pt idx="0">
                  <c:v>Centrālā valdība</c:v>
                </c:pt>
              </c:strCache>
            </c:strRef>
          </c:tx>
          <c:spPr>
            <a:solidFill>
              <a:schemeClr val="accent2"/>
            </a:solidFill>
            <a:ln>
              <a:noFill/>
            </a:ln>
            <a:effectLst/>
          </c:spPr>
          <c:invertIfNegative val="0"/>
          <c:cat>
            <c:strRef>
              <c:f>Sheet1!$C$1:$L$1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Sheet1!$C$8:$L$8</c:f>
              <c:numCache>
                <c:formatCode>0.0%</c:formatCode>
                <c:ptCount val="10"/>
                <c:pt idx="0">
                  <c:v>-4.3659408981898226E-2</c:v>
                </c:pt>
                <c:pt idx="1">
                  <c:v>-5.6507441598589239E-2</c:v>
                </c:pt>
                <c:pt idx="2">
                  <c:v>-5.8250575596920456E-2</c:v>
                </c:pt>
                <c:pt idx="3">
                  <c:v>-2.8978860058711135E-2</c:v>
                </c:pt>
                <c:pt idx="4">
                  <c:v>-7.6374963446284314E-3</c:v>
                </c:pt>
                <c:pt idx="5">
                  <c:v>-1.7824938779809204E-3</c:v>
                </c:pt>
                <c:pt idx="6">
                  <c:v>-1.3734958633596129E-2</c:v>
                </c:pt>
                <c:pt idx="7">
                  <c:v>-1.7021347989539606E-2</c:v>
                </c:pt>
                <c:pt idx="8">
                  <c:v>-5.4858921116714349E-4</c:v>
                </c:pt>
                <c:pt idx="9">
                  <c:v>-5.9328442513826504E-3</c:v>
                </c:pt>
              </c:numCache>
            </c:numRef>
          </c:val>
          <c:extLst>
            <c:ext xmlns:c16="http://schemas.microsoft.com/office/drawing/2014/chart" uri="{C3380CC4-5D6E-409C-BE32-E72D297353CC}">
              <c16:uniqueId val="{00000000-2ECC-4F43-8A2B-7F6C4069C3AB}"/>
            </c:ext>
          </c:extLst>
        </c:ser>
        <c:ser>
          <c:idx val="2"/>
          <c:order val="2"/>
          <c:tx>
            <c:strRef>
              <c:f>Sheet1!$A$9</c:f>
              <c:strCache>
                <c:ptCount val="1"/>
                <c:pt idx="0">
                  <c:v>Vietējā valdība</c:v>
                </c:pt>
              </c:strCache>
            </c:strRef>
          </c:tx>
          <c:spPr>
            <a:solidFill>
              <a:schemeClr val="accent3"/>
            </a:solidFill>
            <a:ln>
              <a:noFill/>
            </a:ln>
            <a:effectLst/>
          </c:spPr>
          <c:invertIfNegative val="0"/>
          <c:cat>
            <c:strRef>
              <c:f>Sheet1!$C$1:$L$1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Sheet1!$C$9:$L$9</c:f>
              <c:numCache>
                <c:formatCode>0.0%</c:formatCode>
                <c:ptCount val="10"/>
                <c:pt idx="0">
                  <c:v>-1.1640781563126265E-2</c:v>
                </c:pt>
                <c:pt idx="1">
                  <c:v>-1.6939596103385642E-2</c:v>
                </c:pt>
                <c:pt idx="2">
                  <c:v>-3.3285947630436173E-3</c:v>
                </c:pt>
                <c:pt idx="3">
                  <c:v>-5.0828949701519008E-3</c:v>
                </c:pt>
                <c:pt idx="4">
                  <c:v>-2.3744836787659494E-3</c:v>
                </c:pt>
                <c:pt idx="5">
                  <c:v>-4.3971456908885043E-3</c:v>
                </c:pt>
                <c:pt idx="6">
                  <c:v>-2.1916572812492058E-3</c:v>
                </c:pt>
                <c:pt idx="7">
                  <c:v>3.2703955132132416E-3</c:v>
                </c:pt>
                <c:pt idx="8">
                  <c:v>2.2543296946647582E-3</c:v>
                </c:pt>
                <c:pt idx="9">
                  <c:v>-1.7216124479071623E-3</c:v>
                </c:pt>
              </c:numCache>
            </c:numRef>
          </c:val>
          <c:extLst>
            <c:ext xmlns:c16="http://schemas.microsoft.com/office/drawing/2014/chart" uri="{C3380CC4-5D6E-409C-BE32-E72D297353CC}">
              <c16:uniqueId val="{00000001-2ECC-4F43-8A2B-7F6C4069C3AB}"/>
            </c:ext>
          </c:extLst>
        </c:ser>
        <c:ser>
          <c:idx val="3"/>
          <c:order val="3"/>
          <c:tx>
            <c:strRef>
              <c:f>Sheet1!$A$10</c:f>
              <c:strCache>
                <c:ptCount val="1"/>
                <c:pt idx="0">
                  <c:v>Sociālās nodrošināšanas fondi</c:v>
                </c:pt>
              </c:strCache>
            </c:strRef>
          </c:tx>
          <c:spPr>
            <a:solidFill>
              <a:schemeClr val="accent4"/>
            </a:solidFill>
            <a:ln>
              <a:noFill/>
            </a:ln>
            <a:effectLst/>
          </c:spPr>
          <c:invertIfNegative val="0"/>
          <c:cat>
            <c:strRef>
              <c:f>Sheet1!$C$1:$L$1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Sheet1!$C$10:$L$10</c:f>
              <c:numCache>
                <c:formatCode>0.0%</c:formatCode>
                <c:ptCount val="10"/>
                <c:pt idx="0">
                  <c:v>1.3257498603764907E-2</c:v>
                </c:pt>
                <c:pt idx="1">
                  <c:v>-1.7821964667013711E-2</c:v>
                </c:pt>
                <c:pt idx="2">
                  <c:v>-2.5279547773150737E-2</c:v>
                </c:pt>
                <c:pt idx="3">
                  <c:v>-9.0052603581772042E-3</c:v>
                </c:pt>
                <c:pt idx="4">
                  <c:v>-2.0443122418393866E-3</c:v>
                </c:pt>
                <c:pt idx="5">
                  <c:v>-3.4390387332906185E-3</c:v>
                </c:pt>
                <c:pt idx="6">
                  <c:v>3.7200548729369792E-3</c:v>
                </c:pt>
                <c:pt idx="7">
                  <c:v>1.4966509459176088E-3</c:v>
                </c:pt>
                <c:pt idx="8">
                  <c:v>-1.3258875021563243E-3</c:v>
                </c:pt>
                <c:pt idx="9">
                  <c:v>2.9899675045353853E-3</c:v>
                </c:pt>
              </c:numCache>
            </c:numRef>
          </c:val>
          <c:extLst>
            <c:ext xmlns:c16="http://schemas.microsoft.com/office/drawing/2014/chart" uri="{C3380CC4-5D6E-409C-BE32-E72D297353CC}">
              <c16:uniqueId val="{00000002-2ECC-4F43-8A2B-7F6C4069C3AB}"/>
            </c:ext>
          </c:extLst>
        </c:ser>
        <c:dLbls>
          <c:showLegendKey val="0"/>
          <c:showVal val="0"/>
          <c:showCatName val="0"/>
          <c:showSerName val="0"/>
          <c:showPercent val="0"/>
          <c:showBubbleSize val="0"/>
        </c:dLbls>
        <c:gapWidth val="150"/>
        <c:overlap val="100"/>
        <c:axId val="169177856"/>
        <c:axId val="169179776"/>
      </c:barChart>
      <c:lineChart>
        <c:grouping val="standard"/>
        <c:varyColors val="0"/>
        <c:ser>
          <c:idx val="0"/>
          <c:order val="0"/>
          <c:tx>
            <c:strRef>
              <c:f>Sheet1!$A$7</c:f>
              <c:strCache>
                <c:ptCount val="1"/>
                <c:pt idx="0">
                  <c:v>Vispārējās valdības budžeta bilance</c:v>
                </c:pt>
              </c:strCache>
            </c:strRef>
          </c:tx>
          <c:spPr>
            <a:ln w="28575" cap="rnd">
              <a:solidFill>
                <a:schemeClr val="accent1"/>
              </a:solidFill>
              <a:round/>
            </a:ln>
            <a:effectLst/>
          </c:spPr>
          <c:marker>
            <c:symbol val="circle"/>
            <c:size val="5"/>
            <c:spPr>
              <a:solidFill>
                <a:sysClr val="window" lastClr="FFFFFF"/>
              </a:solidFill>
              <a:ln w="9525">
                <a:solidFill>
                  <a:srgbClr val="5B9BD5">
                    <a:lumMod val="50000"/>
                  </a:srgbClr>
                </a:solidFill>
              </a:ln>
              <a:effectLst/>
            </c:spPr>
          </c:marker>
          <c:cat>
            <c:strRef>
              <c:f>Sheet1!$C$1:$L$1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Sheet1!$C$7:$L$7</c:f>
              <c:numCache>
                <c:formatCode>0.0%</c:formatCode>
                <c:ptCount val="10"/>
                <c:pt idx="0">
                  <c:v>-4.2042691941259626E-2</c:v>
                </c:pt>
                <c:pt idx="1">
                  <c:v>-9.1269002368988564E-2</c:v>
                </c:pt>
                <c:pt idx="2">
                  <c:v>-8.6858718133114785E-2</c:v>
                </c:pt>
                <c:pt idx="3">
                  <c:v>-4.3067015387040233E-2</c:v>
                </c:pt>
                <c:pt idx="4">
                  <c:v>-1.2056292265233758E-2</c:v>
                </c:pt>
                <c:pt idx="5">
                  <c:v>-9.6186783021600421E-3</c:v>
                </c:pt>
                <c:pt idx="6">
                  <c:v>-1.220656104190837E-2</c:v>
                </c:pt>
                <c:pt idx="7">
                  <c:v>-1.2254301530408757E-2</c:v>
                </c:pt>
                <c:pt idx="8">
                  <c:v>3.7985298134129162E-4</c:v>
                </c:pt>
                <c:pt idx="9">
                  <c:v>-4.6644891947544278E-3</c:v>
                </c:pt>
              </c:numCache>
            </c:numRef>
          </c:val>
          <c:smooth val="0"/>
          <c:extLst>
            <c:ext xmlns:c16="http://schemas.microsoft.com/office/drawing/2014/chart" uri="{C3380CC4-5D6E-409C-BE32-E72D297353CC}">
              <c16:uniqueId val="{00000003-2ECC-4F43-8A2B-7F6C4069C3AB}"/>
            </c:ext>
          </c:extLst>
        </c:ser>
        <c:dLbls>
          <c:showLegendKey val="0"/>
          <c:showVal val="0"/>
          <c:showCatName val="0"/>
          <c:showSerName val="0"/>
          <c:showPercent val="0"/>
          <c:showBubbleSize val="0"/>
        </c:dLbls>
        <c:marker val="1"/>
        <c:smooth val="0"/>
        <c:axId val="169177856"/>
        <c:axId val="169179776"/>
      </c:lineChart>
      <c:catAx>
        <c:axId val="169177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9179776"/>
        <c:crossesAt val="0"/>
        <c:auto val="1"/>
        <c:lblAlgn val="ctr"/>
        <c:lblOffset val="100"/>
        <c:noMultiLvlLbl val="0"/>
      </c:catAx>
      <c:valAx>
        <c:axId val="16917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9177856"/>
        <c:crosses val="autoZero"/>
        <c:crossBetween val="between"/>
      </c:valAx>
      <c:spPr>
        <a:noFill/>
        <a:ln>
          <a:noFill/>
        </a:ln>
        <a:effectLst/>
      </c:spPr>
    </c:plotArea>
    <c:legend>
      <c:legendPos val="b"/>
      <c:layout>
        <c:manualLayout>
          <c:xMode val="edge"/>
          <c:yMode val="edge"/>
          <c:x val="0.71465561885033713"/>
          <c:y val="0.13864479879713543"/>
          <c:w val="0.26566647773378432"/>
          <c:h val="0.690500929846080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0.91115</cdr:x>
      <cdr:y>0</cdr:y>
    </cdr:from>
    <cdr:to>
      <cdr:x>1</cdr:x>
      <cdr:y>0.6867</cdr:y>
    </cdr:to>
    <cdr:sp macro="" textlink="">
      <cdr:nvSpPr>
        <cdr:cNvPr id="2" name="Rectangle 1"/>
        <cdr:cNvSpPr/>
      </cdr:nvSpPr>
      <cdr:spPr>
        <a:xfrm xmlns:a="http://schemas.openxmlformats.org/drawingml/2006/main">
          <a:off x="5248275" y="0"/>
          <a:ext cx="511810" cy="2151929"/>
        </a:xfrm>
        <a:prstGeom xmlns:a="http://schemas.openxmlformats.org/drawingml/2006/main" prst="rect">
          <a:avLst/>
        </a:prstGeom>
        <a:solidFill xmlns:a="http://schemas.openxmlformats.org/drawingml/2006/main">
          <a:schemeClr val="accent2">
            <a:lumMod val="60000"/>
            <a:lumOff val="40000"/>
            <a:alpha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lv-LV"/>
        </a:p>
      </cdr:txBody>
    </cdr:sp>
  </cdr:relSizeAnchor>
</c:userShapes>
</file>

<file path=word/drawings/drawing2.xml><?xml version="1.0" encoding="utf-8"?>
<c:userShapes xmlns:c="http://schemas.openxmlformats.org/drawingml/2006/chart">
  <cdr:relSizeAnchor xmlns:cdr="http://schemas.openxmlformats.org/drawingml/2006/chartDrawing">
    <cdr:from>
      <cdr:x>0.67</cdr:x>
      <cdr:y>0.0487</cdr:y>
    </cdr:from>
    <cdr:to>
      <cdr:x>0.92463</cdr:x>
      <cdr:y>0.73052</cdr:y>
    </cdr:to>
    <cdr:sp macro="" textlink="">
      <cdr:nvSpPr>
        <cdr:cNvPr id="2" name="Rectangle 1"/>
        <cdr:cNvSpPr/>
      </cdr:nvSpPr>
      <cdr:spPr>
        <a:xfrm xmlns:a="http://schemas.openxmlformats.org/drawingml/2006/main">
          <a:off x="3533775" y="142874"/>
          <a:ext cx="1343025" cy="2000251"/>
        </a:xfrm>
        <a:prstGeom xmlns:a="http://schemas.openxmlformats.org/drawingml/2006/main" prst="rect">
          <a:avLst/>
        </a:prstGeom>
        <a:solidFill xmlns:a="http://schemas.openxmlformats.org/drawingml/2006/main">
          <a:schemeClr val="accent1">
            <a:alpha val="2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lv-LV" baseline="0">
              <a:solidFill>
                <a:sysClr val="windowText" lastClr="000000"/>
              </a:solidFill>
            </a:rPr>
            <a:t>                                </a:t>
          </a:r>
          <a:r>
            <a:rPr lang="lv-LV">
              <a:solidFill>
                <a:sysClr val="windowText" lastClr="000000"/>
              </a:solidFill>
              <a:latin typeface="Times New Roman" panose="02020603050405020304" pitchFamily="18" charset="0"/>
              <a:cs typeface="Times New Roman" panose="02020603050405020304" pitchFamily="18" charset="0"/>
            </a:rPr>
            <a:t>Prognoze</a:t>
          </a:r>
          <a:endParaRPr lang="en-US">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0.7007</cdr:x>
      <cdr:y>0.05228</cdr:y>
    </cdr:from>
    <cdr:to>
      <cdr:x>0.97178</cdr:x>
      <cdr:y>0.78378</cdr:y>
    </cdr:to>
    <cdr:sp macro="" textlink="">
      <cdr:nvSpPr>
        <cdr:cNvPr id="2" name="Rectangle 1"/>
        <cdr:cNvSpPr/>
      </cdr:nvSpPr>
      <cdr:spPr>
        <a:xfrm xmlns:a="http://schemas.openxmlformats.org/drawingml/2006/main">
          <a:off x="3695700" y="134451"/>
          <a:ext cx="1429769" cy="1881235"/>
        </a:xfrm>
        <a:prstGeom xmlns:a="http://schemas.openxmlformats.org/drawingml/2006/main" prst="rect">
          <a:avLst/>
        </a:prstGeom>
        <a:solidFill xmlns:a="http://schemas.openxmlformats.org/drawingml/2006/main">
          <a:schemeClr val="accent1">
            <a:alpha val="28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a:solidFill>
                <a:sysClr val="windowText" lastClr="000000"/>
              </a:solidFill>
              <a:latin typeface="Times New Roman" panose="02020603050405020304" pitchFamily="18" charset="0"/>
              <a:cs typeface="Times New Roman" panose="02020603050405020304" pitchFamily="18" charset="0"/>
            </a:rPr>
            <a:t>Prognoze</a:t>
          </a:r>
          <a:endParaRPr lang="en-US">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0.74912</cdr:x>
      <cdr:y>0.16667</cdr:y>
    </cdr:from>
    <cdr:to>
      <cdr:x>1</cdr:x>
      <cdr:y>0.22619</cdr:y>
    </cdr:to>
    <cdr:sp macro="" textlink="">
      <cdr:nvSpPr>
        <cdr:cNvPr id="2" name="Rectangle 1"/>
        <cdr:cNvSpPr/>
      </cdr:nvSpPr>
      <cdr:spPr>
        <a:xfrm xmlns:a="http://schemas.openxmlformats.org/drawingml/2006/main">
          <a:off x="4323080" y="533400"/>
          <a:ext cx="1447800" cy="190498"/>
        </a:xfrm>
        <a:prstGeom xmlns:a="http://schemas.openxmlformats.org/drawingml/2006/main" prst="rect">
          <a:avLst/>
        </a:prstGeom>
        <a:noFill xmlns:a="http://schemas.openxmlformats.org/drawingml/2006/main"/>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nchor="b" anchorCtr="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lv-LV" sz="1000">
              <a:solidFill>
                <a:schemeClr val="tx1"/>
              </a:solidFill>
              <a:latin typeface="Times New Roman" panose="02020603050405020304" pitchFamily="18" charset="0"/>
              <a:cs typeface="Times New Roman" panose="02020603050405020304" pitchFamily="18" charset="0"/>
            </a:rPr>
            <a:t>ES (28) vidēji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81F776-ED75-49B7-ACA9-35F62538E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104</Pages>
  <Words>183318</Words>
  <Characters>104492</Characters>
  <Application>Microsoft Office Word</Application>
  <DocSecurity>0</DocSecurity>
  <Lines>870</Lines>
  <Paragraphs>574</Paragraphs>
  <ScaleCrop>false</ScaleCrop>
  <HeadingPairs>
    <vt:vector size="2" baseType="variant">
      <vt:variant>
        <vt:lpstr>Title</vt:lpstr>
      </vt:variant>
      <vt:variant>
        <vt:i4>1</vt:i4>
      </vt:variant>
    </vt:vector>
  </HeadingPairs>
  <TitlesOfParts>
    <vt:vector size="1" baseType="lpstr">
      <vt:lpstr>Latvijas Stabilitātes programma 2018. – 2021.gadam</vt:lpstr>
    </vt:vector>
  </TitlesOfParts>
  <Company>Finanšu ministrija</Company>
  <LinksUpToDate>false</LinksUpToDate>
  <CharactersWithSpaces>287236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Stabilitātes programma 2018. – 2021.gadam</dc:title>
  <dc:subject/>
  <dc:creator>Elīna Gusāre</dc:creator>
  <cp:keywords/>
  <dc:description>Elīna Gusāre, elina.gusare@fm.gov.lv_x000d_
67083911</dc:description>
  <cp:lastModifiedBy>Elīna Gusāre</cp:lastModifiedBy>
  <cp:revision>108</cp:revision>
  <cp:lastPrinted>2018-04-09T06:01:00Z</cp:lastPrinted>
  <dcterms:created xsi:type="dcterms:W3CDTF">2018-04-06T07:18:00Z</dcterms:created>
  <dcterms:modified xsi:type="dcterms:W3CDTF">2018-04-09T06:20:00Z</dcterms:modified>
</cp:coreProperties>
</file>