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63" w:rsidRPr="00621BBD" w:rsidRDefault="0085313B" w:rsidP="00641E55">
      <w:pPr>
        <w:suppressAutoHyphens/>
        <w:jc w:val="center"/>
        <w:rPr>
          <w:rFonts w:eastAsia="Calibri" w:cs="Times New Roman"/>
          <w:b/>
          <w:sz w:val="28"/>
          <w:szCs w:val="28"/>
          <w:lang w:eastAsia="ar-SA"/>
        </w:rPr>
      </w:pPr>
      <w:r w:rsidRPr="00621BBD">
        <w:rPr>
          <w:rFonts w:eastAsia="Calibri" w:cs="Times New Roman"/>
          <w:b/>
          <w:sz w:val="28"/>
          <w:szCs w:val="28"/>
          <w:lang w:eastAsia="ar-SA"/>
        </w:rPr>
        <w:t>I</w:t>
      </w:r>
      <w:r w:rsidR="00E9422C" w:rsidRPr="00621BBD">
        <w:rPr>
          <w:rFonts w:eastAsia="Calibri" w:cs="Times New Roman"/>
          <w:b/>
          <w:sz w:val="28"/>
          <w:szCs w:val="28"/>
          <w:lang w:eastAsia="ar-SA"/>
        </w:rPr>
        <w:t>nformatīvais</w:t>
      </w:r>
      <w:r w:rsidRPr="00621BBD">
        <w:rPr>
          <w:rFonts w:eastAsia="Calibri" w:cs="Times New Roman"/>
          <w:b/>
          <w:sz w:val="28"/>
          <w:szCs w:val="28"/>
          <w:lang w:eastAsia="ar-SA"/>
        </w:rPr>
        <w:t xml:space="preserve"> </w:t>
      </w:r>
      <w:r w:rsidR="00E9422C" w:rsidRPr="00621BBD">
        <w:rPr>
          <w:rFonts w:eastAsia="Calibri" w:cs="Times New Roman"/>
          <w:b/>
          <w:sz w:val="28"/>
          <w:szCs w:val="28"/>
          <w:lang w:eastAsia="ar-SA"/>
        </w:rPr>
        <w:t>ziņojums</w:t>
      </w:r>
      <w:r w:rsidRPr="00621BBD">
        <w:rPr>
          <w:rFonts w:eastAsia="Calibri" w:cs="Times New Roman"/>
          <w:b/>
          <w:sz w:val="28"/>
          <w:szCs w:val="28"/>
          <w:lang w:eastAsia="ar-SA"/>
        </w:rPr>
        <w:t xml:space="preserve"> </w:t>
      </w:r>
    </w:p>
    <w:p w:rsidR="0085313B" w:rsidRPr="00621BBD" w:rsidRDefault="00C20260" w:rsidP="00553231">
      <w:pPr>
        <w:suppressAutoHyphens/>
        <w:ind w:left="567"/>
        <w:jc w:val="center"/>
        <w:rPr>
          <w:rFonts w:eastAsia="Calibri" w:cs="Times New Roman"/>
          <w:b/>
          <w:sz w:val="28"/>
          <w:szCs w:val="28"/>
          <w:lang w:eastAsia="ar-SA"/>
        </w:rPr>
      </w:pPr>
      <w:r w:rsidRPr="00621BBD">
        <w:rPr>
          <w:rFonts w:eastAsia="Calibri" w:cs="Times New Roman"/>
          <w:b/>
          <w:sz w:val="28"/>
          <w:szCs w:val="28"/>
          <w:lang w:eastAsia="ar-SA"/>
        </w:rPr>
        <w:t>„</w:t>
      </w:r>
      <w:r w:rsidR="0085313B" w:rsidRPr="00621BBD">
        <w:rPr>
          <w:rFonts w:eastAsia="Calibri" w:cs="Times New Roman"/>
          <w:b/>
          <w:sz w:val="28"/>
          <w:szCs w:val="28"/>
          <w:lang w:eastAsia="ar-SA"/>
        </w:rPr>
        <w:t>P</w:t>
      </w:r>
      <w:r w:rsidR="00E9422C" w:rsidRPr="00621BBD">
        <w:rPr>
          <w:rFonts w:eastAsia="Calibri" w:cs="Times New Roman"/>
          <w:b/>
          <w:sz w:val="28"/>
          <w:szCs w:val="28"/>
          <w:lang w:eastAsia="ar-SA"/>
        </w:rPr>
        <w:t>ar</w:t>
      </w:r>
      <w:r w:rsidR="00641E55" w:rsidRPr="00621BBD">
        <w:rPr>
          <w:rFonts w:eastAsia="Calibri" w:cs="Times New Roman"/>
          <w:b/>
          <w:sz w:val="28"/>
          <w:szCs w:val="28"/>
          <w:lang w:eastAsia="ar-SA"/>
        </w:rPr>
        <w:t xml:space="preserve"> </w:t>
      </w:r>
      <w:r w:rsidR="005C171F">
        <w:rPr>
          <w:rFonts w:eastAsia="Calibri" w:cs="Times New Roman"/>
          <w:b/>
          <w:sz w:val="28"/>
          <w:szCs w:val="28"/>
          <w:lang w:eastAsia="ar-SA"/>
        </w:rPr>
        <w:t>R</w:t>
      </w:r>
      <w:r w:rsidR="00E9422C" w:rsidRPr="00621BBD">
        <w:rPr>
          <w:rFonts w:eastAsia="Calibri" w:cs="Times New Roman"/>
          <w:b/>
          <w:sz w:val="28"/>
          <w:szCs w:val="28"/>
          <w:lang w:eastAsia="ar-SA"/>
        </w:rPr>
        <w:t>evīzijas</w:t>
      </w:r>
      <w:r w:rsidR="0085313B" w:rsidRPr="00621BBD">
        <w:rPr>
          <w:rFonts w:eastAsia="Calibri" w:cs="Times New Roman"/>
          <w:b/>
          <w:sz w:val="28"/>
          <w:szCs w:val="28"/>
          <w:lang w:eastAsia="ar-SA"/>
        </w:rPr>
        <w:t xml:space="preserve"> </w:t>
      </w:r>
      <w:r w:rsidR="00E9422C" w:rsidRPr="00621BBD">
        <w:rPr>
          <w:rFonts w:eastAsia="Calibri" w:cs="Times New Roman"/>
          <w:b/>
          <w:sz w:val="28"/>
          <w:szCs w:val="28"/>
          <w:lang w:eastAsia="ar-SA"/>
        </w:rPr>
        <w:t>iestādes</w:t>
      </w:r>
      <w:r w:rsidR="0085313B" w:rsidRPr="00621BBD">
        <w:rPr>
          <w:rFonts w:eastAsia="Calibri" w:cs="Times New Roman"/>
          <w:b/>
          <w:sz w:val="28"/>
          <w:szCs w:val="28"/>
          <w:lang w:eastAsia="ar-SA"/>
        </w:rPr>
        <w:t xml:space="preserve"> </w:t>
      </w:r>
      <w:r w:rsidR="0085313B" w:rsidRPr="002118A1">
        <w:rPr>
          <w:rFonts w:eastAsia="Calibri" w:cs="Times New Roman"/>
          <w:b/>
          <w:sz w:val="28"/>
          <w:szCs w:val="28"/>
          <w:lang w:eastAsia="ar-SA"/>
        </w:rPr>
        <w:t>201</w:t>
      </w:r>
      <w:r w:rsidR="00996784" w:rsidRPr="002118A1">
        <w:rPr>
          <w:rFonts w:eastAsia="Calibri" w:cs="Times New Roman"/>
          <w:b/>
          <w:sz w:val="28"/>
          <w:szCs w:val="28"/>
          <w:lang w:eastAsia="ar-SA"/>
        </w:rPr>
        <w:t>7</w:t>
      </w:r>
      <w:r w:rsidR="0085313B" w:rsidRPr="002118A1">
        <w:rPr>
          <w:rFonts w:eastAsia="Calibri" w:cs="Times New Roman"/>
          <w:b/>
          <w:sz w:val="28"/>
          <w:szCs w:val="28"/>
          <w:lang w:eastAsia="ar-SA"/>
        </w:rPr>
        <w:t>.</w:t>
      </w:r>
      <w:r w:rsidR="00E9422C" w:rsidRPr="002118A1">
        <w:rPr>
          <w:rFonts w:eastAsia="Calibri" w:cs="Times New Roman"/>
          <w:b/>
          <w:sz w:val="28"/>
          <w:szCs w:val="28"/>
          <w:lang w:eastAsia="ar-SA"/>
        </w:rPr>
        <w:t>gada</w:t>
      </w:r>
      <w:r w:rsidR="0085313B" w:rsidRPr="002118A1">
        <w:rPr>
          <w:rFonts w:eastAsia="Calibri" w:cs="Times New Roman"/>
          <w:b/>
          <w:sz w:val="28"/>
          <w:szCs w:val="28"/>
          <w:lang w:eastAsia="ar-SA"/>
        </w:rPr>
        <w:t xml:space="preserve"> </w:t>
      </w:r>
      <w:r w:rsidR="005D6F73" w:rsidRPr="002118A1">
        <w:rPr>
          <w:rFonts w:eastAsia="Calibri" w:cs="Times New Roman"/>
          <w:b/>
          <w:sz w:val="28"/>
          <w:szCs w:val="28"/>
          <w:lang w:eastAsia="ar-SA"/>
        </w:rPr>
        <w:t>E</w:t>
      </w:r>
      <w:r w:rsidR="00E9422C" w:rsidRPr="002118A1">
        <w:rPr>
          <w:rFonts w:eastAsia="Calibri" w:cs="Times New Roman"/>
          <w:b/>
          <w:sz w:val="28"/>
          <w:szCs w:val="28"/>
          <w:lang w:eastAsia="ar-SA"/>
        </w:rPr>
        <w:t>iropas</w:t>
      </w:r>
      <w:r w:rsidR="005D6F73" w:rsidRPr="002118A1">
        <w:rPr>
          <w:rFonts w:eastAsia="Calibri" w:cs="Times New Roman"/>
          <w:b/>
          <w:sz w:val="28"/>
          <w:szCs w:val="28"/>
          <w:lang w:eastAsia="ar-SA"/>
        </w:rPr>
        <w:t xml:space="preserve"> E</w:t>
      </w:r>
      <w:r w:rsidR="00E9422C" w:rsidRPr="002118A1">
        <w:rPr>
          <w:rFonts w:eastAsia="Calibri" w:cs="Times New Roman"/>
          <w:b/>
          <w:sz w:val="28"/>
          <w:szCs w:val="28"/>
          <w:lang w:eastAsia="ar-SA"/>
        </w:rPr>
        <w:t>konomikas</w:t>
      </w:r>
      <w:r w:rsidR="005D6F73" w:rsidRPr="002118A1">
        <w:rPr>
          <w:rFonts w:eastAsia="Calibri" w:cs="Times New Roman"/>
          <w:b/>
          <w:sz w:val="28"/>
          <w:szCs w:val="28"/>
          <w:lang w:eastAsia="ar-SA"/>
        </w:rPr>
        <w:t xml:space="preserve"> </w:t>
      </w:r>
      <w:r w:rsidR="00E9422C" w:rsidRPr="002118A1">
        <w:rPr>
          <w:rFonts w:eastAsia="Calibri" w:cs="Times New Roman"/>
          <w:b/>
          <w:sz w:val="28"/>
          <w:szCs w:val="28"/>
          <w:lang w:eastAsia="ar-SA"/>
        </w:rPr>
        <w:t>zonas</w:t>
      </w:r>
      <w:r w:rsidR="005D6F73" w:rsidRPr="002118A1">
        <w:rPr>
          <w:rFonts w:eastAsia="Calibri" w:cs="Times New Roman"/>
          <w:b/>
          <w:sz w:val="28"/>
          <w:szCs w:val="28"/>
          <w:lang w:eastAsia="ar-SA"/>
        </w:rPr>
        <w:t xml:space="preserve"> </w:t>
      </w:r>
      <w:r w:rsidR="00E9422C" w:rsidRPr="002118A1">
        <w:rPr>
          <w:rFonts w:eastAsia="Calibri" w:cs="Times New Roman"/>
          <w:b/>
          <w:sz w:val="28"/>
          <w:szCs w:val="28"/>
          <w:lang w:eastAsia="ar-SA"/>
        </w:rPr>
        <w:t>finanšu instrumenta</w:t>
      </w:r>
      <w:r w:rsidR="005D6F73" w:rsidRPr="002118A1">
        <w:rPr>
          <w:rFonts w:eastAsia="Calibri" w:cs="Times New Roman"/>
          <w:b/>
          <w:sz w:val="28"/>
          <w:szCs w:val="28"/>
          <w:lang w:eastAsia="ar-SA"/>
        </w:rPr>
        <w:t xml:space="preserve"> </w:t>
      </w:r>
      <w:r w:rsidR="00E9422C" w:rsidRPr="002118A1">
        <w:rPr>
          <w:rFonts w:eastAsia="Calibri" w:cs="Times New Roman"/>
          <w:b/>
          <w:sz w:val="28"/>
          <w:szCs w:val="28"/>
          <w:lang w:eastAsia="ar-SA"/>
        </w:rPr>
        <w:t>un</w:t>
      </w:r>
      <w:r w:rsidR="005D6F73" w:rsidRPr="002118A1">
        <w:rPr>
          <w:rFonts w:eastAsia="Calibri" w:cs="Times New Roman"/>
          <w:b/>
          <w:sz w:val="28"/>
          <w:szCs w:val="28"/>
          <w:lang w:eastAsia="ar-SA"/>
        </w:rPr>
        <w:t xml:space="preserve"> N</w:t>
      </w:r>
      <w:r w:rsidR="00E9422C" w:rsidRPr="002118A1">
        <w:rPr>
          <w:rFonts w:eastAsia="Calibri" w:cs="Times New Roman"/>
          <w:b/>
          <w:sz w:val="28"/>
          <w:szCs w:val="28"/>
          <w:lang w:eastAsia="ar-SA"/>
        </w:rPr>
        <w:t>orvēģijas</w:t>
      </w:r>
      <w:r w:rsidR="005D6F73" w:rsidRPr="002118A1">
        <w:rPr>
          <w:rFonts w:eastAsia="Calibri" w:cs="Times New Roman"/>
          <w:b/>
          <w:sz w:val="28"/>
          <w:szCs w:val="28"/>
          <w:lang w:eastAsia="ar-SA"/>
        </w:rPr>
        <w:t xml:space="preserve"> </w:t>
      </w:r>
      <w:r w:rsidR="00E9422C" w:rsidRPr="002118A1">
        <w:rPr>
          <w:rFonts w:eastAsia="Calibri" w:cs="Times New Roman"/>
          <w:b/>
          <w:sz w:val="28"/>
          <w:szCs w:val="28"/>
          <w:lang w:eastAsia="ar-SA"/>
        </w:rPr>
        <w:t>finanšu instrumenta</w:t>
      </w:r>
      <w:r w:rsidR="005D6F73" w:rsidRPr="00621BBD">
        <w:rPr>
          <w:rFonts w:eastAsia="Calibri" w:cs="Times New Roman"/>
          <w:b/>
          <w:sz w:val="28"/>
          <w:szCs w:val="28"/>
          <w:lang w:eastAsia="ar-SA"/>
        </w:rPr>
        <w:t xml:space="preserve"> </w:t>
      </w:r>
      <w:r w:rsidR="00E9422C" w:rsidRPr="00621BBD">
        <w:rPr>
          <w:rFonts w:eastAsia="Calibri" w:cs="Times New Roman"/>
          <w:b/>
          <w:sz w:val="28"/>
          <w:szCs w:val="28"/>
          <w:lang w:eastAsia="ar-SA"/>
        </w:rPr>
        <w:t>revīziju rezultātiem</w:t>
      </w:r>
      <w:r w:rsidRPr="00621BBD">
        <w:rPr>
          <w:rFonts w:eastAsia="Calibri" w:cs="Times New Roman"/>
          <w:b/>
          <w:sz w:val="28"/>
          <w:szCs w:val="28"/>
          <w:lang w:eastAsia="ar-SA"/>
        </w:rPr>
        <w:t>”</w:t>
      </w:r>
    </w:p>
    <w:p w:rsidR="0085313B" w:rsidRPr="00621BBD" w:rsidRDefault="0085313B" w:rsidP="0085313B">
      <w:pPr>
        <w:suppressAutoHyphens/>
        <w:jc w:val="center"/>
        <w:rPr>
          <w:rFonts w:eastAsia="Calibri" w:cs="Times New Roman"/>
          <w:sz w:val="28"/>
          <w:szCs w:val="28"/>
          <w:lang w:eastAsia="ar-SA"/>
        </w:rPr>
      </w:pPr>
    </w:p>
    <w:p w:rsidR="00BD1CFE" w:rsidRPr="00621BBD" w:rsidRDefault="0085313B" w:rsidP="007F1763">
      <w:pPr>
        <w:suppressAutoHyphens/>
        <w:spacing w:after="80"/>
        <w:ind w:left="567" w:firstLine="567"/>
        <w:jc w:val="both"/>
        <w:rPr>
          <w:rFonts w:eastAsia="Calibri" w:cs="Times New Roman"/>
          <w:szCs w:val="24"/>
          <w:lang w:eastAsia="ar-SA"/>
        </w:rPr>
      </w:pPr>
      <w:r w:rsidRPr="00621BBD">
        <w:rPr>
          <w:rFonts w:eastAsia="Calibri" w:cs="Times New Roman"/>
          <w:szCs w:val="24"/>
          <w:lang w:eastAsia="ar-SA"/>
        </w:rPr>
        <w:t xml:space="preserve">Atbilstoši </w:t>
      </w:r>
      <w:r w:rsidR="005D6F73" w:rsidRPr="00621BBD">
        <w:rPr>
          <w:rFonts w:eastAsia="Calibri" w:cs="Times New Roman"/>
          <w:szCs w:val="24"/>
          <w:lang w:eastAsia="ar-SA"/>
        </w:rPr>
        <w:t>Eiropas Ekonomikas zonas finanšu instrumenta un Norvē</w:t>
      </w:r>
      <w:r w:rsidR="00D228AF" w:rsidRPr="00621BBD">
        <w:rPr>
          <w:rFonts w:eastAsia="Calibri" w:cs="Times New Roman"/>
          <w:szCs w:val="24"/>
          <w:lang w:eastAsia="ar-SA"/>
        </w:rPr>
        <w:t>ģijas finanšu instrumenta 2009.-</w:t>
      </w:r>
      <w:r w:rsidR="005D6F73" w:rsidRPr="00621BBD">
        <w:rPr>
          <w:rFonts w:eastAsia="Calibri" w:cs="Times New Roman"/>
          <w:szCs w:val="24"/>
          <w:lang w:eastAsia="ar-SA"/>
        </w:rPr>
        <w:t>2014.gada perioda vadības likuma 10</w:t>
      </w:r>
      <w:r w:rsidRPr="00621BBD">
        <w:rPr>
          <w:rFonts w:eastAsia="Calibri" w:cs="Times New Roman"/>
          <w:szCs w:val="24"/>
          <w:lang w:eastAsia="ar-SA"/>
        </w:rPr>
        <w:t xml:space="preserve">.panta </w:t>
      </w:r>
      <w:r w:rsidR="00AF6643" w:rsidRPr="00621BBD">
        <w:rPr>
          <w:rFonts w:eastAsia="Calibri" w:cs="Times New Roman"/>
          <w:szCs w:val="24"/>
          <w:lang w:eastAsia="ar-SA"/>
        </w:rPr>
        <w:t xml:space="preserve">piektajai </w:t>
      </w:r>
      <w:r w:rsidR="00BD1CFE" w:rsidRPr="00621BBD">
        <w:rPr>
          <w:rFonts w:eastAsia="Calibri" w:cs="Times New Roman"/>
          <w:szCs w:val="24"/>
          <w:lang w:eastAsia="ar-SA"/>
        </w:rPr>
        <w:t>daļai</w:t>
      </w:r>
      <w:r w:rsidRPr="00621BBD">
        <w:rPr>
          <w:rFonts w:eastAsia="Calibri" w:cs="Times New Roman"/>
          <w:szCs w:val="24"/>
          <w:lang w:eastAsia="ar-SA"/>
        </w:rPr>
        <w:t xml:space="preserve"> </w:t>
      </w:r>
      <w:r w:rsidR="00BD1CFE" w:rsidRPr="00621BBD">
        <w:rPr>
          <w:rFonts w:eastAsia="Calibri" w:cs="Times New Roman"/>
          <w:szCs w:val="24"/>
          <w:lang w:eastAsia="ar-SA"/>
        </w:rPr>
        <w:t xml:space="preserve">līdz kārtējā gada 1.martam </w:t>
      </w:r>
      <w:r w:rsidR="005C171F">
        <w:rPr>
          <w:rFonts w:eastAsia="Calibri" w:cs="Times New Roman"/>
          <w:szCs w:val="24"/>
          <w:lang w:eastAsia="ar-SA"/>
        </w:rPr>
        <w:t>R</w:t>
      </w:r>
      <w:r w:rsidR="00BD1CFE" w:rsidRPr="00621BBD">
        <w:rPr>
          <w:rFonts w:eastAsia="Calibri" w:cs="Times New Roman"/>
          <w:szCs w:val="24"/>
          <w:lang w:eastAsia="ar-SA"/>
        </w:rPr>
        <w:t>evīzijas iestāde ar finanšu ministra starpniecību informē Ministru kabinetu par pārskata gada revīzijas rezultātiem.</w:t>
      </w:r>
    </w:p>
    <w:p w:rsidR="00431730" w:rsidRPr="00621BBD" w:rsidRDefault="00C20260" w:rsidP="00E9422C">
      <w:pPr>
        <w:suppressAutoHyphens/>
        <w:spacing w:before="80" w:after="80"/>
        <w:ind w:left="567" w:firstLine="567"/>
        <w:jc w:val="both"/>
        <w:rPr>
          <w:rFonts w:eastAsia="Calibri" w:cs="Times New Roman"/>
          <w:szCs w:val="24"/>
          <w:lang w:eastAsia="ar-SA"/>
        </w:rPr>
      </w:pPr>
      <w:r w:rsidRPr="00621BBD">
        <w:rPr>
          <w:rFonts w:eastAsia="Calibri" w:cs="Times New Roman"/>
          <w:szCs w:val="24"/>
          <w:lang w:eastAsia="ar-SA"/>
        </w:rPr>
        <w:t xml:space="preserve">Atbilstoši </w:t>
      </w:r>
      <w:r w:rsidR="008F2A5B" w:rsidRPr="00621BBD">
        <w:rPr>
          <w:rFonts w:eastAsia="Calibri" w:cs="Times New Roman"/>
          <w:szCs w:val="24"/>
          <w:lang w:eastAsia="ar-SA"/>
        </w:rPr>
        <w:t xml:space="preserve">Eiropas Ekonomikas zonas finanšu instrumenta komitejas 2011.gada 13.janvārī apstiprināto noteikumu par Eiropas Ekonomikas zonas finanšu instrumenta ieviešanu 2009.–2014.gadā un Norvēģijas Ārlietu ministrijas 2011.gada 11.februārī apstiprināto noteikumu par Norvēģijas finanšu instrumenta ieviešanu 2009.–2014.gadā </w:t>
      </w:r>
      <w:r w:rsidR="00F51A2C">
        <w:rPr>
          <w:rFonts w:eastAsia="Calibri" w:cs="Times New Roman"/>
          <w:szCs w:val="24"/>
          <w:lang w:eastAsia="ar-SA"/>
        </w:rPr>
        <w:t xml:space="preserve">(turpmāk – </w:t>
      </w:r>
      <w:proofErr w:type="spellStart"/>
      <w:r w:rsidR="00F51A2C">
        <w:rPr>
          <w:rFonts w:eastAsia="Calibri" w:cs="Times New Roman"/>
          <w:szCs w:val="24"/>
          <w:lang w:eastAsia="ar-SA"/>
        </w:rPr>
        <w:t>D</w:t>
      </w:r>
      <w:r w:rsidR="008D4FA8" w:rsidRPr="00621BBD">
        <w:rPr>
          <w:rFonts w:eastAsia="Calibri" w:cs="Times New Roman"/>
          <w:szCs w:val="24"/>
          <w:lang w:eastAsia="ar-SA"/>
        </w:rPr>
        <w:t>onorvalstu</w:t>
      </w:r>
      <w:proofErr w:type="spellEnd"/>
      <w:r w:rsidR="008D4FA8" w:rsidRPr="00621BBD">
        <w:rPr>
          <w:rFonts w:eastAsia="Calibri" w:cs="Times New Roman"/>
          <w:szCs w:val="24"/>
          <w:lang w:eastAsia="ar-SA"/>
        </w:rPr>
        <w:t xml:space="preserve"> noteikumi) </w:t>
      </w:r>
      <w:r w:rsidR="0085313B" w:rsidRPr="00621BBD">
        <w:rPr>
          <w:rFonts w:eastAsia="Calibri" w:cs="Times New Roman"/>
          <w:szCs w:val="24"/>
          <w:lang w:eastAsia="ar-SA"/>
        </w:rPr>
        <w:t>prasībām</w:t>
      </w:r>
      <w:r w:rsidR="00C108CA" w:rsidRPr="00621BBD">
        <w:rPr>
          <w:rFonts w:eastAsia="Calibri" w:cs="Times New Roman"/>
          <w:szCs w:val="24"/>
          <w:lang w:eastAsia="ar-SA"/>
        </w:rPr>
        <w:t>,</w:t>
      </w:r>
      <w:r w:rsidR="0085313B" w:rsidRPr="00621BBD">
        <w:rPr>
          <w:rFonts w:eastAsia="Calibri" w:cs="Times New Roman"/>
          <w:szCs w:val="24"/>
          <w:lang w:eastAsia="ar-SA"/>
        </w:rPr>
        <w:t xml:space="preserve"> </w:t>
      </w:r>
      <w:r w:rsidRPr="00621BBD">
        <w:rPr>
          <w:rFonts w:eastAsia="Calibri" w:cs="Times New Roman"/>
          <w:szCs w:val="24"/>
          <w:lang w:eastAsia="ar-SA"/>
        </w:rPr>
        <w:t>201</w:t>
      </w:r>
      <w:r w:rsidR="00996784">
        <w:rPr>
          <w:rFonts w:eastAsia="Calibri" w:cs="Times New Roman"/>
          <w:szCs w:val="24"/>
          <w:lang w:eastAsia="ar-SA"/>
        </w:rPr>
        <w:t>7</w:t>
      </w:r>
      <w:r w:rsidRPr="00621BBD">
        <w:rPr>
          <w:rFonts w:eastAsia="Calibri" w:cs="Times New Roman"/>
          <w:szCs w:val="24"/>
          <w:lang w:eastAsia="ar-SA"/>
        </w:rPr>
        <w:t xml:space="preserve">.gada </w:t>
      </w:r>
      <w:r w:rsidR="00996784">
        <w:rPr>
          <w:rFonts w:eastAsia="Calibri" w:cs="Times New Roman"/>
          <w:szCs w:val="24"/>
          <w:lang w:eastAsia="ar-SA"/>
        </w:rPr>
        <w:t>29</w:t>
      </w:r>
      <w:r w:rsidRPr="00621BBD">
        <w:rPr>
          <w:rFonts w:eastAsia="Calibri" w:cs="Times New Roman"/>
          <w:szCs w:val="24"/>
          <w:lang w:eastAsia="ar-SA"/>
        </w:rPr>
        <w:t xml:space="preserve">.decembrī </w:t>
      </w:r>
      <w:r w:rsidR="005C171F">
        <w:rPr>
          <w:rFonts w:eastAsia="Calibri" w:cs="Times New Roman"/>
          <w:szCs w:val="24"/>
          <w:lang w:eastAsia="ar-SA"/>
        </w:rPr>
        <w:t>R</w:t>
      </w:r>
      <w:r w:rsidR="0085313B" w:rsidRPr="00621BBD">
        <w:rPr>
          <w:rFonts w:eastAsia="Calibri" w:cs="Times New Roman"/>
          <w:szCs w:val="24"/>
          <w:lang w:eastAsia="ar-SA"/>
        </w:rPr>
        <w:t xml:space="preserve">evīzijas iestāde iesniedza </w:t>
      </w:r>
      <w:r w:rsidR="008F2A5B" w:rsidRPr="00621BBD">
        <w:rPr>
          <w:rFonts w:eastAsia="Calibri" w:cs="Times New Roman"/>
          <w:szCs w:val="24"/>
          <w:lang w:eastAsia="ar-SA"/>
        </w:rPr>
        <w:t xml:space="preserve">Eiropas Ekonomikas zonas finanšu instrumenta komitejai un Norvēģijas Ārlietu ministrijai (turpmāk – </w:t>
      </w:r>
      <w:proofErr w:type="spellStart"/>
      <w:r w:rsidR="00F51A2C">
        <w:rPr>
          <w:rFonts w:eastAsia="Calibri" w:cs="Times New Roman"/>
          <w:szCs w:val="24"/>
          <w:lang w:eastAsia="ar-SA"/>
        </w:rPr>
        <w:t>D</w:t>
      </w:r>
      <w:r w:rsidR="008F2A5B" w:rsidRPr="00621BBD">
        <w:rPr>
          <w:rFonts w:eastAsia="Calibri" w:cs="Times New Roman"/>
          <w:szCs w:val="24"/>
          <w:lang w:eastAsia="ar-SA"/>
        </w:rPr>
        <w:t>onorvalstis</w:t>
      </w:r>
      <w:proofErr w:type="spellEnd"/>
      <w:r w:rsidR="008F2A5B" w:rsidRPr="00621BBD">
        <w:rPr>
          <w:rFonts w:eastAsia="Calibri" w:cs="Times New Roman"/>
          <w:szCs w:val="24"/>
          <w:lang w:eastAsia="ar-SA"/>
        </w:rPr>
        <w:t>)</w:t>
      </w:r>
      <w:r w:rsidR="0085313B" w:rsidRPr="00621BBD">
        <w:rPr>
          <w:rFonts w:eastAsia="Calibri" w:cs="Times New Roman"/>
          <w:szCs w:val="24"/>
          <w:lang w:eastAsia="ar-SA"/>
        </w:rPr>
        <w:t xml:space="preserve"> </w:t>
      </w:r>
      <w:r w:rsidR="004A0795" w:rsidRPr="00621BBD">
        <w:rPr>
          <w:rFonts w:eastAsia="Calibri" w:cs="Times New Roman"/>
          <w:szCs w:val="24"/>
          <w:lang w:eastAsia="ar-SA"/>
        </w:rPr>
        <w:t>g</w:t>
      </w:r>
      <w:r w:rsidRPr="00621BBD">
        <w:rPr>
          <w:rFonts w:eastAsia="Calibri" w:cs="Times New Roman"/>
          <w:szCs w:val="24"/>
          <w:lang w:eastAsia="ar-SA"/>
        </w:rPr>
        <w:t xml:space="preserve">ada </w:t>
      </w:r>
      <w:r w:rsidR="006A6338" w:rsidRPr="00621BBD">
        <w:rPr>
          <w:rFonts w:eastAsia="Calibri" w:cs="Times New Roman"/>
          <w:szCs w:val="24"/>
          <w:lang w:eastAsia="ar-SA"/>
        </w:rPr>
        <w:t xml:space="preserve">revīzijas ziņojumu un </w:t>
      </w:r>
      <w:r w:rsidR="004A0795" w:rsidRPr="00621BBD">
        <w:rPr>
          <w:rFonts w:eastAsia="Calibri" w:cs="Times New Roman"/>
          <w:szCs w:val="24"/>
          <w:lang w:eastAsia="ar-SA"/>
        </w:rPr>
        <w:t>a</w:t>
      </w:r>
      <w:r w:rsidRPr="00621BBD">
        <w:rPr>
          <w:rFonts w:eastAsia="Calibri" w:cs="Times New Roman"/>
          <w:szCs w:val="24"/>
          <w:lang w:eastAsia="ar-SA"/>
        </w:rPr>
        <w:t xml:space="preserve">tzinumu </w:t>
      </w:r>
      <w:r w:rsidR="006A6338" w:rsidRPr="00621BBD">
        <w:rPr>
          <w:rFonts w:eastAsia="Calibri" w:cs="Times New Roman"/>
          <w:szCs w:val="24"/>
          <w:lang w:eastAsia="ar-SA"/>
        </w:rPr>
        <w:t xml:space="preserve">par </w:t>
      </w:r>
      <w:r w:rsidR="00031CF1" w:rsidRPr="00621BBD">
        <w:rPr>
          <w:rFonts w:eastAsia="Calibri" w:cs="Times New Roman"/>
          <w:szCs w:val="24"/>
          <w:lang w:eastAsia="ar-SA"/>
        </w:rPr>
        <w:t xml:space="preserve">Latvijā izveidotās Eiropas Ekonomikas zonas finanšu instrumenta un Norvēģijas finanšu instrumenta (turpmāk – Finanšu instrumenti) </w:t>
      </w:r>
      <w:r w:rsidR="006A6338" w:rsidRPr="00621BBD">
        <w:rPr>
          <w:rFonts w:eastAsia="Calibri" w:cs="Times New Roman"/>
          <w:szCs w:val="24"/>
          <w:lang w:eastAsia="ar-SA"/>
        </w:rPr>
        <w:t xml:space="preserve">vadības un kontroles sistēmas </w:t>
      </w:r>
      <w:r w:rsidR="00F51A2C">
        <w:rPr>
          <w:rFonts w:eastAsia="Calibri" w:cs="Times New Roman"/>
          <w:szCs w:val="24"/>
          <w:lang w:eastAsia="ar-SA"/>
        </w:rPr>
        <w:t xml:space="preserve">darbības efektivitāti un </w:t>
      </w:r>
      <w:proofErr w:type="spellStart"/>
      <w:r w:rsidR="00F51A2C">
        <w:rPr>
          <w:rFonts w:eastAsia="Calibri" w:cs="Times New Roman"/>
          <w:szCs w:val="24"/>
          <w:lang w:eastAsia="ar-SA"/>
        </w:rPr>
        <w:t>D</w:t>
      </w:r>
      <w:r w:rsidR="00F745DF" w:rsidRPr="00621BBD">
        <w:rPr>
          <w:rFonts w:eastAsia="Calibri" w:cs="Times New Roman"/>
          <w:szCs w:val="24"/>
          <w:lang w:eastAsia="ar-SA"/>
        </w:rPr>
        <w:t>onorvalstīm</w:t>
      </w:r>
      <w:proofErr w:type="spellEnd"/>
      <w:r w:rsidR="00F745DF" w:rsidRPr="00621BBD">
        <w:rPr>
          <w:rFonts w:eastAsia="Calibri" w:cs="Times New Roman"/>
          <w:szCs w:val="24"/>
          <w:lang w:eastAsia="ar-SA"/>
        </w:rPr>
        <w:t xml:space="preserve"> deklarēto izdevumu likumību un pareizību.</w:t>
      </w:r>
    </w:p>
    <w:p w:rsidR="009E110E" w:rsidRPr="00621BBD" w:rsidRDefault="008D4FA8" w:rsidP="00431730">
      <w:pPr>
        <w:suppressAutoHyphens/>
        <w:spacing w:before="240" w:after="80"/>
        <w:jc w:val="center"/>
        <w:rPr>
          <w:rFonts w:eastAsia="Calibri" w:cs="Times New Roman"/>
          <w:b/>
          <w:bCs/>
          <w:color w:val="000000"/>
          <w:sz w:val="28"/>
          <w:szCs w:val="24"/>
          <w:lang w:eastAsia="ar-SA"/>
        </w:rPr>
      </w:pPr>
      <w:r w:rsidRPr="00621BBD">
        <w:rPr>
          <w:rFonts w:eastAsia="Calibri" w:cs="Times New Roman"/>
          <w:b/>
          <w:bCs/>
          <w:color w:val="000000"/>
          <w:sz w:val="28"/>
          <w:szCs w:val="24"/>
          <w:lang w:eastAsia="ar-SA"/>
        </w:rPr>
        <w:t>1</w:t>
      </w:r>
      <w:r w:rsidR="00E9422C" w:rsidRPr="00621BBD">
        <w:rPr>
          <w:rFonts w:eastAsia="Calibri" w:cs="Times New Roman"/>
          <w:b/>
          <w:bCs/>
          <w:color w:val="000000"/>
          <w:sz w:val="28"/>
          <w:szCs w:val="24"/>
          <w:lang w:eastAsia="ar-SA"/>
        </w:rPr>
        <w:t xml:space="preserve">. </w:t>
      </w:r>
      <w:r w:rsidR="006E7EE8">
        <w:rPr>
          <w:rFonts w:eastAsia="Calibri" w:cs="Times New Roman"/>
          <w:b/>
          <w:bCs/>
          <w:color w:val="000000"/>
          <w:sz w:val="28"/>
          <w:szCs w:val="24"/>
          <w:lang w:eastAsia="ar-SA"/>
        </w:rPr>
        <w:t>Izveidotās sistēmas novērtējums</w:t>
      </w:r>
    </w:p>
    <w:p w:rsidR="00F745DF" w:rsidRPr="00621BBD" w:rsidRDefault="006E7EE8" w:rsidP="00A10F40">
      <w:pPr>
        <w:suppressAutoHyphens/>
        <w:spacing w:before="80" w:after="80"/>
        <w:ind w:left="567" w:firstLine="567"/>
        <w:jc w:val="both"/>
        <w:rPr>
          <w:rFonts w:eastAsia="Calibri" w:cs="Times New Roman"/>
          <w:szCs w:val="24"/>
          <w:lang w:eastAsia="ar-SA"/>
        </w:rPr>
      </w:pPr>
      <w:r>
        <w:rPr>
          <w:rFonts w:eastAsia="Calibri" w:cs="Times New Roman"/>
          <w:szCs w:val="24"/>
          <w:lang w:eastAsia="ar-SA"/>
        </w:rPr>
        <w:t xml:space="preserve">Lai </w:t>
      </w:r>
      <w:r w:rsidR="0021778D">
        <w:rPr>
          <w:rFonts w:eastAsia="Calibri" w:cs="Times New Roman"/>
          <w:szCs w:val="24"/>
          <w:lang w:eastAsia="ar-SA"/>
        </w:rPr>
        <w:t>v</w:t>
      </w:r>
      <w:r>
        <w:rPr>
          <w:rFonts w:eastAsia="Calibri" w:cs="Times New Roman"/>
          <w:szCs w:val="24"/>
          <w:lang w:eastAsia="ar-SA"/>
        </w:rPr>
        <w:t>arētu paļauties uz valstī izveidoto vadības un kontroles si</w:t>
      </w:r>
      <w:r w:rsidR="00541215">
        <w:rPr>
          <w:rFonts w:eastAsia="Calibri" w:cs="Times New Roman"/>
          <w:szCs w:val="24"/>
          <w:lang w:eastAsia="ar-SA"/>
        </w:rPr>
        <w:t>s</w:t>
      </w:r>
      <w:r>
        <w:rPr>
          <w:rFonts w:eastAsia="Calibri" w:cs="Times New Roman"/>
          <w:szCs w:val="24"/>
          <w:lang w:eastAsia="ar-SA"/>
        </w:rPr>
        <w:t>tēmu un veiktu detalizētās pārbaudes tikai izlases veidā, a</w:t>
      </w:r>
      <w:r w:rsidR="005C171F">
        <w:rPr>
          <w:rFonts w:eastAsia="Calibri" w:cs="Times New Roman"/>
          <w:szCs w:val="24"/>
          <w:lang w:eastAsia="ar-SA"/>
        </w:rPr>
        <w:t xml:space="preserve">tbilstoši </w:t>
      </w:r>
      <w:proofErr w:type="spellStart"/>
      <w:r w:rsidR="00F51A2C">
        <w:rPr>
          <w:rFonts w:eastAsia="Calibri" w:cs="Times New Roman"/>
          <w:szCs w:val="24"/>
          <w:lang w:eastAsia="ar-SA"/>
        </w:rPr>
        <w:t>D</w:t>
      </w:r>
      <w:r w:rsidR="005C171F">
        <w:rPr>
          <w:rFonts w:eastAsia="Calibri" w:cs="Times New Roman"/>
          <w:szCs w:val="24"/>
          <w:lang w:eastAsia="ar-SA"/>
        </w:rPr>
        <w:t>onorvalstu</w:t>
      </w:r>
      <w:proofErr w:type="spellEnd"/>
      <w:r w:rsidR="005C171F">
        <w:rPr>
          <w:rFonts w:eastAsia="Calibri" w:cs="Times New Roman"/>
          <w:szCs w:val="24"/>
          <w:lang w:eastAsia="ar-SA"/>
        </w:rPr>
        <w:t xml:space="preserve"> noteikumiem R</w:t>
      </w:r>
      <w:r w:rsidR="00F745DF" w:rsidRPr="00621BBD">
        <w:rPr>
          <w:rFonts w:eastAsia="Calibri" w:cs="Times New Roman"/>
          <w:szCs w:val="24"/>
          <w:lang w:eastAsia="ar-SA"/>
        </w:rPr>
        <w:t>evīzijas iestādei periodā no 2013.gada līdz 2017.gadam jāveic vismaz vienu programmas vadības un kontroles sistēmas revīziju katrā programmā.</w:t>
      </w:r>
    </w:p>
    <w:p w:rsidR="006E7EE8" w:rsidRDefault="00380908" w:rsidP="00A10F40">
      <w:pPr>
        <w:suppressAutoHyphens/>
        <w:spacing w:before="80" w:after="80"/>
        <w:ind w:left="567" w:firstLine="567"/>
        <w:jc w:val="both"/>
        <w:rPr>
          <w:rFonts w:eastAsia="Calibri" w:cs="Times New Roman"/>
          <w:szCs w:val="24"/>
          <w:lang w:eastAsia="ar-SA"/>
        </w:rPr>
      </w:pPr>
      <w:r w:rsidRPr="00621BBD">
        <w:rPr>
          <w:rFonts w:eastAsia="Calibri" w:cs="Times New Roman"/>
          <w:szCs w:val="24"/>
          <w:lang w:eastAsia="ar-SA"/>
        </w:rPr>
        <w:t xml:space="preserve">Revīzijas iestāde </w:t>
      </w:r>
      <w:r w:rsidR="0010673F" w:rsidRPr="00621BBD">
        <w:rPr>
          <w:rFonts w:eastAsia="Calibri" w:cs="Times New Roman"/>
          <w:szCs w:val="24"/>
          <w:lang w:eastAsia="ar-SA"/>
        </w:rPr>
        <w:t>201</w:t>
      </w:r>
      <w:r w:rsidR="00996784">
        <w:rPr>
          <w:rFonts w:eastAsia="Calibri" w:cs="Times New Roman"/>
          <w:szCs w:val="24"/>
          <w:lang w:eastAsia="ar-SA"/>
        </w:rPr>
        <w:t>7</w:t>
      </w:r>
      <w:r w:rsidR="0010673F" w:rsidRPr="00621BBD">
        <w:rPr>
          <w:rFonts w:eastAsia="Calibri" w:cs="Times New Roman"/>
          <w:szCs w:val="24"/>
          <w:lang w:eastAsia="ar-SA"/>
        </w:rPr>
        <w:t>.gadā</w:t>
      </w:r>
      <w:r w:rsidRPr="00621BBD">
        <w:rPr>
          <w:rFonts w:eastAsia="Calibri" w:cs="Times New Roman"/>
          <w:szCs w:val="24"/>
          <w:lang w:eastAsia="ar-SA"/>
        </w:rPr>
        <w:t xml:space="preserve"> ir veikusi</w:t>
      </w:r>
      <w:r w:rsidR="00996784">
        <w:rPr>
          <w:rFonts w:eastAsia="Calibri" w:cs="Times New Roman"/>
          <w:szCs w:val="24"/>
          <w:lang w:eastAsia="ar-SA"/>
        </w:rPr>
        <w:t xml:space="preserve"> </w:t>
      </w:r>
      <w:r w:rsidR="005E5A29">
        <w:rPr>
          <w:rFonts w:eastAsia="Calibri" w:cs="Times New Roman"/>
          <w:szCs w:val="24"/>
          <w:lang w:eastAsia="ar-SA"/>
        </w:rPr>
        <w:t xml:space="preserve">vienu </w:t>
      </w:r>
      <w:r w:rsidR="00996784">
        <w:rPr>
          <w:rFonts w:eastAsia="Calibri" w:cs="Times New Roman"/>
          <w:szCs w:val="24"/>
          <w:lang w:eastAsia="ar-SA"/>
        </w:rPr>
        <w:t>horizontālo neatbilstību uzskaites sistēmas r</w:t>
      </w:r>
      <w:r w:rsidR="002E336D">
        <w:rPr>
          <w:rFonts w:eastAsia="Calibri" w:cs="Times New Roman"/>
          <w:szCs w:val="24"/>
          <w:lang w:eastAsia="ar-SA"/>
        </w:rPr>
        <w:t xml:space="preserve">evīziju un pabeigusi </w:t>
      </w:r>
      <w:r w:rsidR="005E5A29">
        <w:rPr>
          <w:rFonts w:eastAsia="Calibri" w:cs="Times New Roman"/>
          <w:szCs w:val="24"/>
          <w:lang w:eastAsia="ar-SA"/>
        </w:rPr>
        <w:t xml:space="preserve">vienu </w:t>
      </w:r>
      <w:r w:rsidR="002E336D">
        <w:rPr>
          <w:rFonts w:eastAsia="Calibri" w:cs="Times New Roman"/>
          <w:szCs w:val="24"/>
          <w:lang w:eastAsia="ar-SA"/>
        </w:rPr>
        <w:t>2016.gadā</w:t>
      </w:r>
      <w:r w:rsidR="00996784">
        <w:rPr>
          <w:rFonts w:eastAsia="Calibri" w:cs="Times New Roman"/>
          <w:szCs w:val="24"/>
          <w:lang w:eastAsia="ar-SA"/>
        </w:rPr>
        <w:t xml:space="preserve"> uzsākto sistēmas revīziju Izglītības un Zinātnes ministrijā un Valsts izglītības attīstības aģentūrā. Par šo</w:t>
      </w:r>
      <w:r w:rsidRPr="00621BBD">
        <w:rPr>
          <w:rFonts w:eastAsia="Calibri" w:cs="Times New Roman"/>
          <w:szCs w:val="24"/>
          <w:lang w:eastAsia="ar-SA"/>
        </w:rPr>
        <w:t xml:space="preserve"> </w:t>
      </w:r>
      <w:r w:rsidR="00996784">
        <w:rPr>
          <w:rFonts w:eastAsia="Calibri" w:cs="Times New Roman"/>
          <w:szCs w:val="24"/>
          <w:lang w:eastAsia="ar-SA"/>
        </w:rPr>
        <w:t>revīziju</w:t>
      </w:r>
      <w:r w:rsidR="004A0795" w:rsidRPr="00621BBD">
        <w:rPr>
          <w:rFonts w:eastAsia="Calibri" w:cs="Times New Roman"/>
          <w:szCs w:val="24"/>
          <w:lang w:eastAsia="ar-SA"/>
        </w:rPr>
        <w:t xml:space="preserve"> rezultātiem tika ziņots </w:t>
      </w:r>
      <w:proofErr w:type="spellStart"/>
      <w:r w:rsidR="006E7EE8">
        <w:rPr>
          <w:rFonts w:eastAsia="Calibri" w:cs="Times New Roman"/>
          <w:szCs w:val="24"/>
          <w:lang w:eastAsia="ar-SA"/>
        </w:rPr>
        <w:t>Donorvalstīm</w:t>
      </w:r>
      <w:proofErr w:type="spellEnd"/>
      <w:r w:rsidR="006E7EE8">
        <w:rPr>
          <w:rFonts w:eastAsia="Calibri" w:cs="Times New Roman"/>
          <w:szCs w:val="24"/>
          <w:lang w:eastAsia="ar-SA"/>
        </w:rPr>
        <w:t xml:space="preserve"> iesniegtajā </w:t>
      </w:r>
      <w:r w:rsidR="004A0795" w:rsidRPr="00621BBD">
        <w:rPr>
          <w:rFonts w:eastAsia="Calibri" w:cs="Times New Roman"/>
          <w:szCs w:val="24"/>
          <w:lang w:eastAsia="ar-SA"/>
        </w:rPr>
        <w:t>gada kontroles ziņojumā.</w:t>
      </w:r>
      <w:r w:rsidR="006E7EE8">
        <w:rPr>
          <w:rFonts w:eastAsia="Calibri" w:cs="Times New Roman"/>
          <w:szCs w:val="24"/>
          <w:lang w:eastAsia="ar-SA"/>
        </w:rPr>
        <w:t xml:space="preserve"> </w:t>
      </w:r>
      <w:r w:rsidR="00996784">
        <w:rPr>
          <w:rFonts w:eastAsia="Calibri" w:cs="Times New Roman"/>
          <w:szCs w:val="24"/>
          <w:lang w:eastAsia="ar-SA"/>
        </w:rPr>
        <w:t>Horizontālā neatbilst</w:t>
      </w:r>
      <w:r w:rsidR="004E60D6">
        <w:rPr>
          <w:rFonts w:eastAsia="Calibri" w:cs="Times New Roman"/>
          <w:szCs w:val="24"/>
          <w:lang w:eastAsia="ar-SA"/>
        </w:rPr>
        <w:t>ību administrēšanas</w:t>
      </w:r>
      <w:r w:rsidR="00996784">
        <w:rPr>
          <w:rFonts w:eastAsia="Calibri" w:cs="Times New Roman"/>
          <w:szCs w:val="24"/>
          <w:lang w:eastAsia="ar-SA"/>
        </w:rPr>
        <w:t xml:space="preserve"> sistēmas revīzija</w:t>
      </w:r>
      <w:r w:rsidR="006E7EE8">
        <w:rPr>
          <w:rFonts w:eastAsia="Calibri" w:cs="Times New Roman"/>
          <w:szCs w:val="24"/>
          <w:lang w:eastAsia="ar-SA"/>
        </w:rPr>
        <w:t xml:space="preserve"> </w:t>
      </w:r>
      <w:r w:rsidR="00372BB7" w:rsidRPr="00621BBD">
        <w:rPr>
          <w:rFonts w:eastAsia="Calibri" w:cs="Times New Roman"/>
          <w:szCs w:val="24"/>
          <w:lang w:eastAsia="ar-SA"/>
        </w:rPr>
        <w:t>aptvēra</w:t>
      </w:r>
      <w:r w:rsidR="00CB2516" w:rsidRPr="00621BBD">
        <w:rPr>
          <w:rFonts w:eastAsia="Calibri" w:cs="Times New Roman"/>
          <w:szCs w:val="24"/>
          <w:lang w:eastAsia="ar-SA"/>
        </w:rPr>
        <w:t xml:space="preserve"> </w:t>
      </w:r>
      <w:r w:rsidR="002A4854">
        <w:rPr>
          <w:rFonts w:eastAsia="Calibri" w:cs="Times New Roman"/>
          <w:szCs w:val="24"/>
          <w:lang w:eastAsia="ar-SA"/>
        </w:rPr>
        <w:t>12 no</w:t>
      </w:r>
      <w:r w:rsidR="00CB2516" w:rsidRPr="00621BBD">
        <w:rPr>
          <w:rFonts w:eastAsia="Calibri" w:cs="Times New Roman"/>
          <w:szCs w:val="24"/>
          <w:lang w:eastAsia="ar-SA"/>
        </w:rPr>
        <w:t xml:space="preserve"> 13</w:t>
      </w:r>
      <w:r w:rsidR="00F745DF" w:rsidRPr="00621BBD">
        <w:rPr>
          <w:rFonts w:eastAsia="Calibri" w:cs="Times New Roman"/>
          <w:szCs w:val="24"/>
          <w:lang w:eastAsia="ar-SA"/>
        </w:rPr>
        <w:t xml:space="preserve"> Finanšu instrumentu</w:t>
      </w:r>
      <w:r w:rsidR="00996784">
        <w:rPr>
          <w:rFonts w:eastAsia="Calibri" w:cs="Times New Roman"/>
          <w:szCs w:val="24"/>
          <w:lang w:eastAsia="ar-SA"/>
        </w:rPr>
        <w:t xml:space="preserve"> administrēšanā iesaistītās institūcijas</w:t>
      </w:r>
      <w:r w:rsidR="002A4854">
        <w:rPr>
          <w:rFonts w:eastAsia="Calibri" w:cs="Times New Roman"/>
          <w:szCs w:val="24"/>
          <w:lang w:eastAsia="ar-SA"/>
        </w:rPr>
        <w:t xml:space="preserve"> (izņemot Iepirkumu uzraudzības biroju, kura funkcijas nav saistītas ar neatbilstību uzskaiti)</w:t>
      </w:r>
      <w:r w:rsidR="00996784">
        <w:rPr>
          <w:rFonts w:eastAsia="Calibri" w:cs="Times New Roman"/>
          <w:szCs w:val="24"/>
          <w:lang w:eastAsia="ar-SA"/>
        </w:rPr>
        <w:t>.</w:t>
      </w:r>
      <w:r w:rsidR="006E7EE8">
        <w:rPr>
          <w:rFonts w:eastAsia="Calibri" w:cs="Times New Roman"/>
          <w:szCs w:val="24"/>
          <w:lang w:eastAsia="ar-SA"/>
        </w:rPr>
        <w:t xml:space="preserve"> </w:t>
      </w:r>
    </w:p>
    <w:p w:rsidR="0021778D" w:rsidRPr="0023343C" w:rsidRDefault="00F745DF" w:rsidP="00EA0109">
      <w:pPr>
        <w:ind w:left="567" w:firstLine="567"/>
        <w:jc w:val="both"/>
        <w:rPr>
          <w:rFonts w:cs="Times New Roman"/>
          <w:sz w:val="20"/>
          <w:szCs w:val="20"/>
        </w:rPr>
      </w:pPr>
      <w:r w:rsidRPr="0024797B">
        <w:rPr>
          <w:rFonts w:eastAsia="Calibri" w:cs="Times New Roman"/>
          <w:szCs w:val="24"/>
          <w:lang w:eastAsia="ar-SA"/>
        </w:rPr>
        <w:t xml:space="preserve">Apkopojot visu veikto sistēmu </w:t>
      </w:r>
      <w:r w:rsidR="00B16FB1">
        <w:rPr>
          <w:rFonts w:eastAsia="Calibri" w:cs="Times New Roman"/>
          <w:szCs w:val="24"/>
          <w:lang w:eastAsia="ar-SA"/>
        </w:rPr>
        <w:t>revīziju</w:t>
      </w:r>
      <w:r w:rsidR="00B16FB1" w:rsidRPr="0024797B">
        <w:rPr>
          <w:rFonts w:eastAsia="Calibri" w:cs="Times New Roman"/>
          <w:szCs w:val="24"/>
          <w:lang w:eastAsia="ar-SA"/>
        </w:rPr>
        <w:t xml:space="preserve"> </w:t>
      </w:r>
      <w:r w:rsidRPr="0024797B">
        <w:rPr>
          <w:rFonts w:eastAsia="Calibri" w:cs="Times New Roman"/>
          <w:szCs w:val="24"/>
          <w:lang w:eastAsia="ar-SA"/>
        </w:rPr>
        <w:t>rezultātus,</w:t>
      </w:r>
      <w:r w:rsidR="006B738C" w:rsidRPr="0024797B">
        <w:rPr>
          <w:rFonts w:eastAsia="Calibri" w:cs="Times New Roman"/>
          <w:szCs w:val="24"/>
          <w:lang w:eastAsia="ar-SA"/>
        </w:rPr>
        <w:t xml:space="preserve"> kā arī ņemot vērā iepriekš veikto </w:t>
      </w:r>
      <w:r w:rsidR="00B16FB1">
        <w:rPr>
          <w:rFonts w:eastAsia="Calibri" w:cs="Times New Roman"/>
          <w:szCs w:val="24"/>
          <w:lang w:eastAsia="ar-SA"/>
        </w:rPr>
        <w:t>revīziju</w:t>
      </w:r>
      <w:r w:rsidR="00B16FB1" w:rsidRPr="0024797B">
        <w:rPr>
          <w:rFonts w:eastAsia="Calibri" w:cs="Times New Roman"/>
          <w:szCs w:val="24"/>
          <w:lang w:eastAsia="ar-SA"/>
        </w:rPr>
        <w:t xml:space="preserve"> </w:t>
      </w:r>
      <w:r w:rsidR="006B738C" w:rsidRPr="0024797B">
        <w:rPr>
          <w:rFonts w:eastAsia="Calibri" w:cs="Times New Roman"/>
          <w:szCs w:val="24"/>
          <w:lang w:eastAsia="ar-SA"/>
        </w:rPr>
        <w:t xml:space="preserve">rezultātus un analizējot Vadības un kontroles sistēmā veiktās izmaiņas, </w:t>
      </w:r>
      <w:r w:rsidRPr="0024797B">
        <w:rPr>
          <w:rFonts w:eastAsia="Calibri" w:cs="Times New Roman"/>
          <w:szCs w:val="24"/>
          <w:lang w:eastAsia="ar-SA"/>
        </w:rPr>
        <w:t xml:space="preserve"> </w:t>
      </w:r>
      <w:r w:rsidR="00AC4609" w:rsidRPr="0024797B">
        <w:rPr>
          <w:rFonts w:eastAsia="Calibri" w:cs="Times New Roman"/>
          <w:szCs w:val="24"/>
          <w:lang w:eastAsia="ar-SA"/>
        </w:rPr>
        <w:t>R</w:t>
      </w:r>
      <w:r w:rsidRPr="0024797B">
        <w:rPr>
          <w:rFonts w:eastAsia="Calibri" w:cs="Times New Roman"/>
          <w:szCs w:val="24"/>
          <w:lang w:eastAsia="ar-SA"/>
        </w:rPr>
        <w:t xml:space="preserve">evīzijas iestāde nonāca pie secinājuma, ka Latvijā izveidotā </w:t>
      </w:r>
      <w:r w:rsidR="00866FDE" w:rsidRPr="0024797B">
        <w:rPr>
          <w:rFonts w:eastAsia="Calibri" w:cs="Times New Roman"/>
          <w:szCs w:val="24"/>
          <w:lang w:eastAsia="ar-SA"/>
        </w:rPr>
        <w:t>Finanšu instrumentu</w:t>
      </w:r>
      <w:r w:rsidRPr="0024797B">
        <w:rPr>
          <w:rFonts w:eastAsia="Calibri" w:cs="Times New Roman"/>
          <w:szCs w:val="24"/>
          <w:lang w:eastAsia="ar-SA"/>
        </w:rPr>
        <w:t xml:space="preserve"> vadības un kontroles sistēma darbojas, </w:t>
      </w:r>
      <w:r w:rsidR="006A48E4" w:rsidRPr="0024797B">
        <w:rPr>
          <w:rFonts w:eastAsia="Calibri" w:cs="Times New Roman"/>
          <w:szCs w:val="24"/>
          <w:lang w:eastAsia="ar-SA"/>
        </w:rPr>
        <w:t>izņemot vāju būvniecības projektu uzraudzību, kur konstatētā kļūda ir virs noteiktā 2% būtiskuma līmeņa.</w:t>
      </w:r>
      <w:r w:rsidR="0024797B" w:rsidRPr="0024797B">
        <w:rPr>
          <w:rFonts w:eastAsia="Calibri" w:cs="Times New Roman"/>
          <w:szCs w:val="24"/>
          <w:lang w:eastAsia="ar-SA"/>
        </w:rPr>
        <w:t xml:space="preserve"> Kā arī </w:t>
      </w:r>
      <w:r w:rsidR="00B16FB1">
        <w:rPr>
          <w:rFonts w:cs="Times New Roman"/>
          <w:color w:val="000000" w:themeColor="text1"/>
          <w:szCs w:val="24"/>
        </w:rPr>
        <w:t>Finanšu instrumentu</w:t>
      </w:r>
      <w:r w:rsidR="0024797B" w:rsidRPr="0024797B">
        <w:rPr>
          <w:rFonts w:cs="Times New Roman"/>
          <w:color w:val="000000" w:themeColor="text1"/>
          <w:szCs w:val="24"/>
        </w:rPr>
        <w:t xml:space="preserve"> vadībā iesaistītās institūcijās izveidotā vadības </w:t>
      </w:r>
      <w:r w:rsidR="0024797B" w:rsidRPr="0024797B">
        <w:rPr>
          <w:rFonts w:cs="Times New Roman"/>
          <w:bCs/>
          <w:color w:val="000000" w:themeColor="text1"/>
          <w:szCs w:val="24"/>
        </w:rPr>
        <w:t xml:space="preserve">un kontroles </w:t>
      </w:r>
      <w:r w:rsidR="0024797B" w:rsidRPr="0024797B">
        <w:rPr>
          <w:rFonts w:cs="Times New Roman"/>
          <w:color w:val="000000" w:themeColor="text1"/>
          <w:szCs w:val="24"/>
        </w:rPr>
        <w:t xml:space="preserve">sistēma neatbilstību administrēšanas jomā kopumā darbojas un atbilst </w:t>
      </w:r>
      <w:proofErr w:type="spellStart"/>
      <w:r w:rsidR="0024797B" w:rsidRPr="0024797B">
        <w:rPr>
          <w:rFonts w:cs="Times New Roman"/>
          <w:color w:val="000000" w:themeColor="text1"/>
          <w:szCs w:val="24"/>
        </w:rPr>
        <w:t>Donorvalstu</w:t>
      </w:r>
      <w:proofErr w:type="spellEnd"/>
      <w:r w:rsidR="0024797B" w:rsidRPr="0024797B">
        <w:rPr>
          <w:rFonts w:cs="Times New Roman"/>
          <w:bCs/>
          <w:color w:val="000000" w:themeColor="text1"/>
          <w:szCs w:val="24"/>
          <w:lang w:eastAsia="lv-LV"/>
        </w:rPr>
        <w:t xml:space="preserve"> un </w:t>
      </w:r>
      <w:r w:rsidR="0024797B" w:rsidRPr="0024797B">
        <w:rPr>
          <w:rFonts w:cs="Times New Roman"/>
          <w:color w:val="000000" w:themeColor="text1"/>
          <w:szCs w:val="24"/>
        </w:rPr>
        <w:t xml:space="preserve">Latvijas Republikas normatīvajiem aktiem, lai arī tai pietrūkst vienotas pārvaldības. </w:t>
      </w:r>
      <w:r w:rsidR="00543DF3">
        <w:rPr>
          <w:rFonts w:cs="Times New Roman"/>
          <w:color w:val="000000" w:themeColor="text1"/>
          <w:szCs w:val="24"/>
        </w:rPr>
        <w:t>Revīzijas iestāde</w:t>
      </w:r>
      <w:r w:rsidR="0024797B" w:rsidRPr="0024797B">
        <w:rPr>
          <w:rFonts w:cs="Times New Roman"/>
          <w:color w:val="000000" w:themeColor="text1"/>
          <w:szCs w:val="24"/>
        </w:rPr>
        <w:t xml:space="preserve"> ir secinājusi, ka </w:t>
      </w:r>
      <w:proofErr w:type="spellStart"/>
      <w:r w:rsidR="0024797B" w:rsidRPr="0024797B">
        <w:rPr>
          <w:rFonts w:cs="Times New Roman"/>
        </w:rPr>
        <w:t>Donorvalstu</w:t>
      </w:r>
      <w:proofErr w:type="spellEnd"/>
      <w:r w:rsidR="0024797B" w:rsidRPr="0024797B">
        <w:rPr>
          <w:rFonts w:cs="Times New Roman"/>
        </w:rPr>
        <w:t xml:space="preserve"> noteikumu un </w:t>
      </w:r>
      <w:r w:rsidR="0023343C">
        <w:rPr>
          <w:rFonts w:cs="Times New Roman"/>
        </w:rPr>
        <w:t>Ministru kabineta</w:t>
      </w:r>
      <w:r w:rsidR="002118A1">
        <w:rPr>
          <w:rFonts w:cs="Times New Roman"/>
        </w:rPr>
        <w:t xml:space="preserve"> </w:t>
      </w:r>
      <w:hyperlink r:id="rId8" w:tgtFrame="_new" w:history="1">
        <w:r w:rsidR="002118A1" w:rsidRPr="002118A1">
          <w:rPr>
            <w:rFonts w:cs="Times New Roman"/>
            <w:color w:val="000000" w:themeColor="text1"/>
            <w:szCs w:val="24"/>
          </w:rPr>
          <w:t xml:space="preserve">2013.gada 29.janvāra </w:t>
        </w:r>
      </w:hyperlink>
      <w:r w:rsidR="0023343C" w:rsidRPr="002118A1">
        <w:rPr>
          <w:rFonts w:cs="Times New Roman"/>
          <w:color w:val="000000" w:themeColor="text1"/>
          <w:szCs w:val="24"/>
        </w:rPr>
        <w:t xml:space="preserve"> n</w:t>
      </w:r>
      <w:r w:rsidR="0023343C">
        <w:rPr>
          <w:rFonts w:cs="Times New Roman"/>
        </w:rPr>
        <w:t xml:space="preserve">oteikumu Nr.67 </w:t>
      </w:r>
      <w:r w:rsidR="0023343C" w:rsidRPr="00EA0109">
        <w:rPr>
          <w:rFonts w:cs="Times New Roman"/>
          <w:i/>
          <w:szCs w:val="24"/>
        </w:rPr>
        <w:t>“</w:t>
      </w:r>
      <w:r w:rsidR="0023343C" w:rsidRPr="00EA0109">
        <w:rPr>
          <w:rFonts w:cs="Times New Roman"/>
          <w:bCs/>
          <w:i/>
          <w:szCs w:val="24"/>
        </w:rPr>
        <w:t>Eiropas Ekonomikas zonas finanšu instrumenta un Norvēģijas finanšu instrumenta 2009.–2014.gada perioda uzraudzības noteikumi</w:t>
      </w:r>
      <w:r w:rsidR="0023343C" w:rsidRPr="00EA0109">
        <w:rPr>
          <w:rFonts w:cs="Times New Roman"/>
          <w:i/>
          <w:szCs w:val="24"/>
        </w:rPr>
        <w:t>”</w:t>
      </w:r>
      <w:r w:rsidR="0023343C" w:rsidRPr="00EA0109">
        <w:rPr>
          <w:rFonts w:cs="Times New Roman"/>
        </w:rPr>
        <w:t xml:space="preserve"> </w:t>
      </w:r>
      <w:r w:rsidR="0024797B" w:rsidRPr="0024797B">
        <w:rPr>
          <w:rFonts w:cs="Times New Roman"/>
        </w:rPr>
        <w:t xml:space="preserve">prasības vien nenodrošina pietiekami vienotas un uzticamas neatbilstību uzskaites sistēmas izveidi, lai </w:t>
      </w:r>
      <w:r w:rsidR="007B733C" w:rsidRPr="00621BBD">
        <w:rPr>
          <w:rFonts w:eastAsia="Calibri" w:cs="Times New Roman"/>
          <w:szCs w:val="24"/>
          <w:lang w:eastAsia="ar-SA"/>
        </w:rPr>
        <w:t>Revīzijas iestāde</w:t>
      </w:r>
      <w:r w:rsidR="007B733C" w:rsidRPr="0024797B" w:rsidDel="007B733C">
        <w:rPr>
          <w:rFonts w:cs="Times New Roman"/>
        </w:rPr>
        <w:t xml:space="preserve"> </w:t>
      </w:r>
      <w:r w:rsidR="0024797B" w:rsidRPr="0024797B">
        <w:rPr>
          <w:rFonts w:cs="Times New Roman"/>
        </w:rPr>
        <w:t xml:space="preserve">varētu pilnībā paļauties uz sistēmu, tādēļ </w:t>
      </w:r>
      <w:r w:rsidR="007B733C" w:rsidRPr="00621BBD">
        <w:rPr>
          <w:rFonts w:eastAsia="Calibri" w:cs="Times New Roman"/>
          <w:szCs w:val="24"/>
          <w:lang w:eastAsia="ar-SA"/>
        </w:rPr>
        <w:t>Revīzijas iestāde</w:t>
      </w:r>
      <w:r w:rsidR="0024797B" w:rsidRPr="0024797B">
        <w:rPr>
          <w:rFonts w:cs="Times New Roman"/>
          <w:color w:val="000000" w:themeColor="text1"/>
          <w:szCs w:val="24"/>
        </w:rPr>
        <w:t xml:space="preserve">, veicot programmas noslēguma revīziju, varēs daļēji paļauties uz izveidoto </w:t>
      </w:r>
      <w:r w:rsidR="007B733C">
        <w:rPr>
          <w:rFonts w:cs="Times New Roman"/>
          <w:color w:val="000000" w:themeColor="text1"/>
          <w:szCs w:val="24"/>
        </w:rPr>
        <w:t>sistēmu</w:t>
      </w:r>
      <w:r w:rsidR="007B733C" w:rsidRPr="0024797B">
        <w:rPr>
          <w:rFonts w:cs="Times New Roman"/>
          <w:color w:val="000000" w:themeColor="text1"/>
          <w:szCs w:val="24"/>
        </w:rPr>
        <w:t xml:space="preserve"> </w:t>
      </w:r>
      <w:r w:rsidR="0024797B" w:rsidRPr="0024797B">
        <w:rPr>
          <w:rFonts w:cs="Times New Roman"/>
          <w:color w:val="000000" w:themeColor="text1"/>
          <w:szCs w:val="24"/>
        </w:rPr>
        <w:t xml:space="preserve">attiecībā uz neatbilstību administrēšanu un veiks liela apjoma substantīvās pārbaudes. </w:t>
      </w:r>
    </w:p>
    <w:p w:rsidR="00380908" w:rsidRPr="0024797B" w:rsidRDefault="00FA0090" w:rsidP="00447ED7">
      <w:pPr>
        <w:suppressAutoHyphens/>
        <w:spacing w:before="80" w:after="80"/>
        <w:ind w:left="567" w:right="-3" w:firstLine="567"/>
        <w:jc w:val="both"/>
        <w:rPr>
          <w:rFonts w:eastAsia="Calibri" w:cs="Times New Roman"/>
          <w:szCs w:val="24"/>
          <w:lang w:eastAsia="ar-SA"/>
        </w:rPr>
      </w:pPr>
      <w:r w:rsidRPr="0024797B">
        <w:rPr>
          <w:rFonts w:eastAsia="Calibri" w:cs="Times New Roman"/>
          <w:szCs w:val="24"/>
          <w:lang w:eastAsia="ar-SA"/>
        </w:rPr>
        <w:t>Revīzijas iestāde sniedza ieteikumus sistēmas pilnveidošanai</w:t>
      </w:r>
      <w:r w:rsidR="00C756BF">
        <w:rPr>
          <w:rFonts w:eastAsia="Calibri" w:cs="Times New Roman"/>
          <w:szCs w:val="24"/>
          <w:lang w:eastAsia="ar-SA"/>
        </w:rPr>
        <w:t>.</w:t>
      </w:r>
      <w:r w:rsidRPr="0024797B">
        <w:rPr>
          <w:rFonts w:eastAsia="Calibri" w:cs="Times New Roman"/>
          <w:szCs w:val="24"/>
          <w:lang w:eastAsia="ar-SA"/>
        </w:rPr>
        <w:t xml:space="preserve"> </w:t>
      </w:r>
      <w:r w:rsidR="00C756BF">
        <w:rPr>
          <w:rFonts w:eastAsia="Calibri" w:cs="Times New Roman"/>
          <w:szCs w:val="24"/>
          <w:lang w:eastAsia="ar-SA"/>
        </w:rPr>
        <w:t>A</w:t>
      </w:r>
      <w:r w:rsidRPr="0024797B">
        <w:rPr>
          <w:rFonts w:eastAsia="Calibri" w:cs="Times New Roman"/>
          <w:szCs w:val="24"/>
          <w:lang w:eastAsia="ar-SA"/>
        </w:rPr>
        <w:t>r auditējamām iestādēm ir saskaņoti pasākumu plāni trūkumu novēršanai.</w:t>
      </w:r>
    </w:p>
    <w:p w:rsidR="003E0F91" w:rsidRPr="00621BBD" w:rsidRDefault="008D4FA8" w:rsidP="00447ED7">
      <w:pPr>
        <w:suppressAutoHyphens/>
        <w:spacing w:before="240" w:after="80"/>
        <w:ind w:right="-3"/>
        <w:jc w:val="center"/>
        <w:rPr>
          <w:rFonts w:eastAsia="Calibri" w:cs="Times New Roman"/>
          <w:b/>
          <w:bCs/>
          <w:color w:val="000000"/>
          <w:sz w:val="28"/>
          <w:szCs w:val="24"/>
          <w:lang w:eastAsia="ar-SA"/>
        </w:rPr>
      </w:pPr>
      <w:r w:rsidRPr="00621BBD">
        <w:rPr>
          <w:rFonts w:eastAsia="Calibri" w:cs="Times New Roman"/>
          <w:b/>
          <w:bCs/>
          <w:color w:val="000000"/>
          <w:sz w:val="28"/>
          <w:szCs w:val="24"/>
          <w:lang w:eastAsia="ar-SA"/>
        </w:rPr>
        <w:t>2</w:t>
      </w:r>
      <w:r w:rsidR="0036487D" w:rsidRPr="00621BBD">
        <w:rPr>
          <w:rFonts w:eastAsia="Calibri" w:cs="Times New Roman"/>
          <w:b/>
          <w:bCs/>
          <w:color w:val="000000"/>
          <w:sz w:val="28"/>
          <w:szCs w:val="24"/>
          <w:lang w:eastAsia="ar-SA"/>
        </w:rPr>
        <w:t>.</w:t>
      </w:r>
      <w:r w:rsidR="00E9422C" w:rsidRPr="00621BBD">
        <w:rPr>
          <w:rFonts w:eastAsia="Calibri" w:cs="Times New Roman"/>
          <w:b/>
          <w:bCs/>
          <w:color w:val="000000"/>
          <w:sz w:val="28"/>
          <w:szCs w:val="24"/>
          <w:lang w:eastAsia="ar-SA"/>
        </w:rPr>
        <w:t xml:space="preserve"> </w:t>
      </w:r>
      <w:r w:rsidR="007C699A" w:rsidRPr="00621BBD">
        <w:rPr>
          <w:rFonts w:eastAsia="Calibri" w:cs="Times New Roman"/>
          <w:b/>
          <w:bCs/>
          <w:color w:val="000000"/>
          <w:sz w:val="28"/>
          <w:szCs w:val="24"/>
          <w:lang w:eastAsia="ar-SA"/>
        </w:rPr>
        <w:t>Projektu</w:t>
      </w:r>
      <w:r w:rsidR="00E9422C" w:rsidRPr="00621BBD">
        <w:rPr>
          <w:rFonts w:eastAsia="Calibri" w:cs="Times New Roman"/>
          <w:b/>
          <w:bCs/>
          <w:color w:val="000000"/>
          <w:sz w:val="28"/>
          <w:szCs w:val="24"/>
          <w:lang w:eastAsia="ar-SA"/>
        </w:rPr>
        <w:t xml:space="preserve"> </w:t>
      </w:r>
      <w:r w:rsidR="000C52C5" w:rsidRPr="00621BBD">
        <w:rPr>
          <w:rFonts w:eastAsia="Calibri" w:cs="Times New Roman"/>
          <w:b/>
          <w:bCs/>
          <w:color w:val="000000"/>
          <w:sz w:val="28"/>
          <w:szCs w:val="24"/>
          <w:lang w:eastAsia="ar-SA"/>
        </w:rPr>
        <w:t>revīzijas</w:t>
      </w:r>
    </w:p>
    <w:p w:rsidR="00E263A3" w:rsidRPr="00621BBD" w:rsidRDefault="006E7EE8" w:rsidP="00447ED7">
      <w:pPr>
        <w:suppressAutoHyphens/>
        <w:spacing w:before="80" w:after="80"/>
        <w:ind w:left="567" w:right="-3" w:firstLine="567"/>
        <w:jc w:val="both"/>
        <w:rPr>
          <w:rFonts w:eastAsia="Calibri" w:cs="Times New Roman"/>
          <w:szCs w:val="24"/>
          <w:lang w:eastAsia="ar-SA"/>
        </w:rPr>
      </w:pPr>
      <w:r>
        <w:rPr>
          <w:rFonts w:eastAsia="Calibri" w:cs="Times New Roman"/>
          <w:szCs w:val="24"/>
          <w:lang w:eastAsia="ar-SA"/>
        </w:rPr>
        <w:t xml:space="preserve">Lai pārliecinātos, ka izveidotā sistēma darbojas un ir pietiekami efektīva, </w:t>
      </w:r>
      <w:r w:rsidR="00330AF3" w:rsidRPr="00621BBD">
        <w:rPr>
          <w:rFonts w:eastAsia="Calibri" w:cs="Times New Roman"/>
          <w:szCs w:val="24"/>
          <w:lang w:eastAsia="ar-SA"/>
        </w:rPr>
        <w:t xml:space="preserve">Revīzijas iestāde veica </w:t>
      </w:r>
      <w:r w:rsidR="00543DF3">
        <w:rPr>
          <w:rFonts w:eastAsia="Calibri" w:cs="Times New Roman"/>
          <w:szCs w:val="24"/>
          <w:lang w:eastAsia="ar-SA"/>
        </w:rPr>
        <w:t>15</w:t>
      </w:r>
      <w:r>
        <w:rPr>
          <w:rFonts w:eastAsia="Calibri" w:cs="Times New Roman"/>
          <w:szCs w:val="24"/>
          <w:lang w:eastAsia="ar-SA"/>
        </w:rPr>
        <w:t xml:space="preserve"> </w:t>
      </w:r>
      <w:r w:rsidR="00330AF3" w:rsidRPr="00621BBD">
        <w:rPr>
          <w:rFonts w:eastAsia="Calibri" w:cs="Times New Roman"/>
          <w:szCs w:val="24"/>
          <w:lang w:eastAsia="ar-SA"/>
        </w:rPr>
        <w:t>projektu revīzij</w:t>
      </w:r>
      <w:r>
        <w:rPr>
          <w:rFonts w:eastAsia="Calibri" w:cs="Times New Roman"/>
          <w:szCs w:val="24"/>
          <w:lang w:eastAsia="ar-SA"/>
        </w:rPr>
        <w:t>as. Pā</w:t>
      </w:r>
      <w:r w:rsidR="00330AF3" w:rsidRPr="00621BBD">
        <w:rPr>
          <w:rFonts w:eastAsia="Calibri" w:cs="Times New Roman"/>
          <w:szCs w:val="24"/>
          <w:lang w:eastAsia="ar-SA"/>
        </w:rPr>
        <w:t>rbaudām</w:t>
      </w:r>
      <w:r>
        <w:rPr>
          <w:rFonts w:eastAsia="Calibri" w:cs="Times New Roman"/>
          <w:szCs w:val="24"/>
          <w:lang w:eastAsia="ar-SA"/>
        </w:rPr>
        <w:t>ie</w:t>
      </w:r>
      <w:r w:rsidR="00330AF3" w:rsidRPr="00621BBD">
        <w:rPr>
          <w:rFonts w:eastAsia="Calibri" w:cs="Times New Roman"/>
          <w:szCs w:val="24"/>
          <w:lang w:eastAsia="ar-SA"/>
        </w:rPr>
        <w:t xml:space="preserve"> projekti</w:t>
      </w:r>
      <w:r w:rsidR="0080714A" w:rsidRPr="00621BBD">
        <w:rPr>
          <w:rFonts w:eastAsia="Calibri" w:cs="Times New Roman"/>
          <w:szCs w:val="24"/>
          <w:lang w:eastAsia="ar-SA"/>
        </w:rPr>
        <w:t xml:space="preserve"> tika atlasīt</w:t>
      </w:r>
      <w:r>
        <w:rPr>
          <w:rFonts w:eastAsia="Calibri" w:cs="Times New Roman"/>
          <w:szCs w:val="24"/>
          <w:lang w:eastAsia="ar-SA"/>
        </w:rPr>
        <w:t>i,</w:t>
      </w:r>
      <w:r w:rsidR="00B225BC" w:rsidRPr="00621BBD">
        <w:rPr>
          <w:rFonts w:eastAsia="Calibri" w:cs="Times New Roman"/>
          <w:szCs w:val="24"/>
          <w:lang w:eastAsia="ar-SA"/>
        </w:rPr>
        <w:t xml:space="preserve"> balstoties uz risku </w:t>
      </w:r>
      <w:proofErr w:type="spellStart"/>
      <w:r w:rsidR="00B225BC" w:rsidRPr="00621BBD">
        <w:rPr>
          <w:rFonts w:eastAsia="Calibri" w:cs="Times New Roman"/>
          <w:szCs w:val="24"/>
          <w:lang w:eastAsia="ar-SA"/>
        </w:rPr>
        <w:t>izvērtējumu</w:t>
      </w:r>
      <w:proofErr w:type="spellEnd"/>
      <w:r w:rsidR="00B225BC" w:rsidRPr="00621BBD">
        <w:rPr>
          <w:rFonts w:eastAsia="Calibri" w:cs="Times New Roman"/>
          <w:szCs w:val="24"/>
          <w:lang w:eastAsia="ar-SA"/>
        </w:rPr>
        <w:t xml:space="preserve">, pārbaudēm pakļaujot </w:t>
      </w:r>
      <w:r w:rsidR="00543DF3">
        <w:rPr>
          <w:rFonts w:eastAsia="Calibri" w:cs="Times New Roman"/>
          <w:szCs w:val="24"/>
          <w:lang w:eastAsia="ar-SA"/>
        </w:rPr>
        <w:t xml:space="preserve">vienu </w:t>
      </w:r>
      <w:r w:rsidR="005F4A0D" w:rsidRPr="00621BBD">
        <w:rPr>
          <w:rFonts w:eastAsia="Calibri" w:cs="Times New Roman"/>
          <w:szCs w:val="24"/>
          <w:lang w:eastAsia="ar-SA"/>
        </w:rPr>
        <w:t xml:space="preserve">augsta riska </w:t>
      </w:r>
      <w:r w:rsidR="00543DF3">
        <w:rPr>
          <w:rFonts w:eastAsia="Calibri" w:cs="Times New Roman"/>
          <w:szCs w:val="24"/>
          <w:lang w:eastAsia="ar-SA"/>
        </w:rPr>
        <w:t>projektu un 14 vidēja un zema riska projektus</w:t>
      </w:r>
      <w:r w:rsidR="00E263A3" w:rsidRPr="00621BBD">
        <w:rPr>
          <w:rFonts w:eastAsia="Calibri" w:cs="Times New Roman"/>
          <w:szCs w:val="24"/>
          <w:lang w:eastAsia="ar-SA"/>
        </w:rPr>
        <w:t>.</w:t>
      </w:r>
    </w:p>
    <w:p w:rsidR="007B03CB" w:rsidRDefault="004E60D6" w:rsidP="00447ED7">
      <w:pPr>
        <w:suppressAutoHyphens/>
        <w:spacing w:before="80" w:after="80"/>
        <w:ind w:left="567" w:right="-3" w:firstLine="567"/>
        <w:jc w:val="both"/>
        <w:rPr>
          <w:rFonts w:eastAsia="Calibri" w:cs="Times New Roman"/>
          <w:szCs w:val="24"/>
          <w:lang w:eastAsia="ar-SA"/>
        </w:rPr>
      </w:pPr>
      <w:r>
        <w:rPr>
          <w:rFonts w:eastAsia="Calibri" w:cs="Times New Roman"/>
          <w:szCs w:val="24"/>
          <w:lang w:eastAsia="ar-SA"/>
        </w:rPr>
        <w:t>N</w:t>
      </w:r>
      <w:r w:rsidR="006E7EE8">
        <w:rPr>
          <w:rFonts w:eastAsia="Calibri" w:cs="Times New Roman"/>
          <w:szCs w:val="24"/>
          <w:lang w:eastAsia="ar-SA"/>
        </w:rPr>
        <w:t>o</w:t>
      </w:r>
      <w:r w:rsidR="00A31B01" w:rsidRPr="003D0010">
        <w:rPr>
          <w:rFonts w:eastAsia="Calibri" w:cs="Times New Roman"/>
          <w:szCs w:val="24"/>
          <w:lang w:eastAsia="ar-SA"/>
        </w:rPr>
        <w:t xml:space="preserve"> </w:t>
      </w:r>
      <w:r w:rsidR="00543DF3">
        <w:rPr>
          <w:rFonts w:eastAsia="Calibri" w:cs="Times New Roman"/>
          <w:szCs w:val="24"/>
          <w:lang w:eastAsia="ar-SA"/>
        </w:rPr>
        <w:t>15</w:t>
      </w:r>
      <w:r w:rsidR="00A31B01" w:rsidRPr="003D0010">
        <w:rPr>
          <w:rFonts w:eastAsia="Calibri" w:cs="Times New Roman"/>
          <w:szCs w:val="24"/>
          <w:lang w:eastAsia="ar-SA"/>
        </w:rPr>
        <w:t xml:space="preserve"> p</w:t>
      </w:r>
      <w:r w:rsidR="006E7EE8">
        <w:rPr>
          <w:rFonts w:eastAsia="Calibri" w:cs="Times New Roman"/>
          <w:szCs w:val="24"/>
          <w:lang w:eastAsia="ar-SA"/>
        </w:rPr>
        <w:t>ārbaudītajiem p</w:t>
      </w:r>
      <w:r w:rsidR="00A31B01" w:rsidRPr="003D0010">
        <w:rPr>
          <w:rFonts w:eastAsia="Calibri" w:cs="Times New Roman"/>
          <w:szCs w:val="24"/>
          <w:lang w:eastAsia="ar-SA"/>
        </w:rPr>
        <w:t>rojekti</w:t>
      </w:r>
      <w:r w:rsidR="006E7EE8">
        <w:rPr>
          <w:rFonts w:eastAsia="Calibri" w:cs="Times New Roman"/>
          <w:szCs w:val="24"/>
          <w:lang w:eastAsia="ar-SA"/>
        </w:rPr>
        <w:t>em</w:t>
      </w:r>
      <w:r w:rsidR="007B03CB">
        <w:rPr>
          <w:rFonts w:eastAsia="Calibri" w:cs="Times New Roman"/>
          <w:szCs w:val="24"/>
          <w:lang w:eastAsia="ar-SA"/>
        </w:rPr>
        <w:t>:</w:t>
      </w:r>
    </w:p>
    <w:p w:rsidR="00543DF3" w:rsidRPr="009A7948" w:rsidRDefault="00543DF3" w:rsidP="00447ED7">
      <w:pPr>
        <w:pStyle w:val="ListParagraph"/>
        <w:numPr>
          <w:ilvl w:val="0"/>
          <w:numId w:val="13"/>
        </w:numPr>
        <w:suppressAutoHyphens/>
        <w:spacing w:before="80" w:after="80"/>
        <w:ind w:right="-3"/>
        <w:jc w:val="both"/>
        <w:rPr>
          <w:rFonts w:eastAsia="Calibri" w:cs="Times New Roman"/>
          <w:szCs w:val="24"/>
          <w:lang w:eastAsia="ar-SA"/>
        </w:rPr>
      </w:pPr>
      <w:r w:rsidRPr="009A7948">
        <w:rPr>
          <w:rFonts w:eastAsia="Calibri" w:cs="Times New Roman"/>
          <w:szCs w:val="24"/>
          <w:lang w:eastAsia="ar-SA"/>
        </w:rPr>
        <w:t>divi projekti bija no Vides aizsardzības un reģionālās attīstības ministrijas un Valsts reģionālās attīstības aģentūras administrētās programmas “</w:t>
      </w:r>
      <w:hyperlink r:id="rId9" w:tgtFrame="_blank" w:history="1">
        <w:r w:rsidRPr="009A7948">
          <w:rPr>
            <w:rFonts w:cs="Times New Roman"/>
            <w:szCs w:val="24"/>
          </w:rPr>
          <w:t>Nacionālā klimata politika</w:t>
        </w:r>
      </w:hyperlink>
      <w:r w:rsidR="004945D8">
        <w:rPr>
          <w:rFonts w:eastAsia="Calibri" w:cs="Times New Roman"/>
          <w:szCs w:val="24"/>
          <w:lang w:eastAsia="ar-SA"/>
        </w:rPr>
        <w:t>”;</w:t>
      </w:r>
      <w:r w:rsidRPr="009A7948">
        <w:rPr>
          <w:rFonts w:eastAsia="Calibri" w:cs="Times New Roman"/>
          <w:szCs w:val="24"/>
          <w:lang w:eastAsia="ar-SA"/>
        </w:rPr>
        <w:t xml:space="preserve"> </w:t>
      </w:r>
    </w:p>
    <w:p w:rsidR="00543DF3" w:rsidRPr="009A7948" w:rsidRDefault="00543DF3" w:rsidP="00447ED7">
      <w:pPr>
        <w:pStyle w:val="ListParagraph"/>
        <w:numPr>
          <w:ilvl w:val="0"/>
          <w:numId w:val="13"/>
        </w:numPr>
        <w:suppressAutoHyphens/>
        <w:spacing w:before="80" w:after="80"/>
        <w:ind w:right="-3"/>
        <w:jc w:val="both"/>
        <w:rPr>
          <w:rFonts w:eastAsia="Calibri" w:cs="Times New Roman"/>
          <w:szCs w:val="24"/>
          <w:lang w:eastAsia="ar-SA"/>
        </w:rPr>
      </w:pPr>
      <w:r w:rsidRPr="009A7948">
        <w:rPr>
          <w:rFonts w:eastAsia="Calibri" w:cs="Times New Roman"/>
          <w:szCs w:val="24"/>
          <w:lang w:eastAsia="ar-SA"/>
        </w:rPr>
        <w:t>viens projekts bija no Sabiedrības integrācijas fonda administrētās programmas “</w:t>
      </w:r>
      <w:hyperlink r:id="rId10" w:tgtFrame="_blank" w:history="1">
        <w:r w:rsidRPr="009A7948">
          <w:rPr>
            <w:rFonts w:cs="Times New Roman"/>
            <w:szCs w:val="24"/>
          </w:rPr>
          <w:t>NVO fonds</w:t>
        </w:r>
      </w:hyperlink>
      <w:r w:rsidR="004945D8">
        <w:rPr>
          <w:rFonts w:eastAsia="Calibri" w:cs="Times New Roman"/>
          <w:szCs w:val="24"/>
          <w:lang w:eastAsia="ar-SA"/>
        </w:rPr>
        <w:t>”;</w:t>
      </w:r>
    </w:p>
    <w:p w:rsidR="007B03CB" w:rsidRPr="009A7948" w:rsidRDefault="00543DF3" w:rsidP="00447ED7">
      <w:pPr>
        <w:pStyle w:val="ListParagraph"/>
        <w:numPr>
          <w:ilvl w:val="0"/>
          <w:numId w:val="13"/>
        </w:numPr>
        <w:suppressAutoHyphens/>
        <w:spacing w:before="80" w:after="80"/>
        <w:ind w:right="-3"/>
        <w:jc w:val="both"/>
        <w:rPr>
          <w:rFonts w:eastAsia="Calibri" w:cs="Times New Roman"/>
          <w:szCs w:val="24"/>
          <w:lang w:eastAsia="ar-SA"/>
        </w:rPr>
      </w:pPr>
      <w:r w:rsidRPr="009A7948">
        <w:rPr>
          <w:rFonts w:eastAsia="Calibri" w:cs="Times New Roman"/>
          <w:szCs w:val="24"/>
          <w:lang w:eastAsia="ar-SA"/>
        </w:rPr>
        <w:t>trīs</w:t>
      </w:r>
      <w:r w:rsidR="00447ED7">
        <w:rPr>
          <w:rFonts w:eastAsia="Calibri" w:cs="Times New Roman"/>
          <w:szCs w:val="24"/>
          <w:lang w:eastAsia="ar-SA"/>
        </w:rPr>
        <w:t xml:space="preserve"> projekti - </w:t>
      </w:r>
      <w:r w:rsidR="00F46E22" w:rsidRPr="009A7948">
        <w:rPr>
          <w:rFonts w:eastAsia="Calibri" w:cs="Times New Roman"/>
          <w:szCs w:val="24"/>
          <w:lang w:eastAsia="ar-SA"/>
        </w:rPr>
        <w:t>no Kultūras ministrijas administrētās programmas “Kultūras un dabas mantojum</w:t>
      </w:r>
      <w:r w:rsidR="004945D8">
        <w:rPr>
          <w:rFonts w:eastAsia="Calibri" w:cs="Times New Roman"/>
          <w:szCs w:val="24"/>
          <w:lang w:eastAsia="ar-SA"/>
        </w:rPr>
        <w:t>a saglabāšana un atjaunināšana”;</w:t>
      </w:r>
      <w:r w:rsidR="00A31B01" w:rsidRPr="009A7948">
        <w:rPr>
          <w:rFonts w:eastAsia="Calibri" w:cs="Times New Roman"/>
          <w:szCs w:val="24"/>
          <w:lang w:eastAsia="ar-SA"/>
        </w:rPr>
        <w:t xml:space="preserve"> </w:t>
      </w:r>
    </w:p>
    <w:p w:rsidR="009A7948" w:rsidRPr="009A7948" w:rsidRDefault="00447ED7" w:rsidP="00447ED7">
      <w:pPr>
        <w:pStyle w:val="ListParagraph"/>
        <w:numPr>
          <w:ilvl w:val="0"/>
          <w:numId w:val="13"/>
        </w:numPr>
        <w:suppressAutoHyphens/>
        <w:spacing w:before="80" w:after="80"/>
        <w:ind w:right="-3"/>
        <w:jc w:val="both"/>
        <w:rPr>
          <w:rFonts w:eastAsia="Calibri" w:cs="Times New Roman"/>
          <w:szCs w:val="24"/>
          <w:lang w:eastAsia="ar-SA"/>
        </w:rPr>
      </w:pPr>
      <w:r>
        <w:rPr>
          <w:rFonts w:eastAsia="Calibri" w:cs="Times New Roman"/>
          <w:szCs w:val="24"/>
          <w:lang w:eastAsia="ar-SA"/>
        </w:rPr>
        <w:t xml:space="preserve">pieci projekti - </w:t>
      </w:r>
      <w:r w:rsidR="009A7948" w:rsidRPr="009A7948">
        <w:rPr>
          <w:rFonts w:eastAsia="Calibri" w:cs="Times New Roman"/>
          <w:szCs w:val="24"/>
          <w:lang w:eastAsia="ar-SA"/>
        </w:rPr>
        <w:t xml:space="preserve">no </w:t>
      </w:r>
      <w:r w:rsidR="009A7948" w:rsidRPr="009A7948">
        <w:rPr>
          <w:rFonts w:cs="Times New Roman"/>
          <w:szCs w:val="24"/>
        </w:rPr>
        <w:t>Izglītības un zinātnes ministrijas un Valsts izglītības attīstības aģentūras administrētās programmas “</w:t>
      </w:r>
      <w:hyperlink r:id="rId11" w:tgtFrame="_blank" w:history="1">
        <w:r w:rsidR="009A7948" w:rsidRPr="009A7948">
          <w:rPr>
            <w:rFonts w:cs="Times New Roman"/>
            <w:szCs w:val="24"/>
          </w:rPr>
          <w:t>Pētniecība un stipendijas</w:t>
        </w:r>
      </w:hyperlink>
      <w:r w:rsidR="004945D8">
        <w:rPr>
          <w:rFonts w:cs="Times New Roman"/>
          <w:szCs w:val="24"/>
        </w:rPr>
        <w:t>”;</w:t>
      </w:r>
    </w:p>
    <w:p w:rsidR="007B03CB" w:rsidRPr="009A7948" w:rsidRDefault="009A7948" w:rsidP="00447ED7">
      <w:pPr>
        <w:pStyle w:val="ListParagraph"/>
        <w:numPr>
          <w:ilvl w:val="0"/>
          <w:numId w:val="13"/>
        </w:numPr>
        <w:suppressAutoHyphens/>
        <w:spacing w:before="80" w:after="80"/>
        <w:ind w:right="-3"/>
        <w:jc w:val="both"/>
        <w:rPr>
          <w:rFonts w:eastAsia="Calibri" w:cs="Times New Roman"/>
          <w:szCs w:val="24"/>
          <w:lang w:eastAsia="ar-SA"/>
        </w:rPr>
      </w:pPr>
      <w:r w:rsidRPr="009A7948">
        <w:rPr>
          <w:rFonts w:eastAsia="Calibri" w:cs="Times New Roman"/>
          <w:szCs w:val="24"/>
          <w:lang w:eastAsia="ar-SA"/>
        </w:rPr>
        <w:t>divi projekti</w:t>
      </w:r>
      <w:r w:rsidR="00447ED7">
        <w:rPr>
          <w:rFonts w:eastAsia="Calibri" w:cs="Times New Roman"/>
          <w:szCs w:val="24"/>
          <w:lang w:eastAsia="ar-SA"/>
        </w:rPr>
        <w:t xml:space="preserve"> -</w:t>
      </w:r>
      <w:r w:rsidR="00F46E22" w:rsidRPr="009A7948">
        <w:rPr>
          <w:rFonts w:eastAsia="Calibri" w:cs="Times New Roman"/>
          <w:szCs w:val="24"/>
          <w:lang w:eastAsia="ar-SA"/>
        </w:rPr>
        <w:t xml:space="preserve"> no Ekonomikas ministrijas un Latvijas Investīciju attīstības aģentūras administrētās programmas “Ino</w:t>
      </w:r>
      <w:r w:rsidR="004945D8">
        <w:rPr>
          <w:rFonts w:eastAsia="Calibri" w:cs="Times New Roman"/>
          <w:szCs w:val="24"/>
          <w:lang w:eastAsia="ar-SA"/>
        </w:rPr>
        <w:t>vācijas “zaļās” ražošanas jomā”;</w:t>
      </w:r>
      <w:r w:rsidR="00F46E22" w:rsidRPr="009A7948">
        <w:rPr>
          <w:rFonts w:eastAsia="Calibri" w:cs="Times New Roman"/>
          <w:szCs w:val="24"/>
          <w:lang w:eastAsia="ar-SA"/>
        </w:rPr>
        <w:t xml:space="preserve"> </w:t>
      </w:r>
    </w:p>
    <w:p w:rsidR="00A31B01" w:rsidRPr="009A7948" w:rsidRDefault="009A7948" w:rsidP="00447ED7">
      <w:pPr>
        <w:pStyle w:val="ListParagraph"/>
        <w:numPr>
          <w:ilvl w:val="0"/>
          <w:numId w:val="13"/>
        </w:numPr>
        <w:suppressAutoHyphens/>
        <w:spacing w:before="80" w:after="80"/>
        <w:ind w:right="-3"/>
        <w:jc w:val="both"/>
        <w:rPr>
          <w:rFonts w:eastAsia="Calibri" w:cs="Times New Roman"/>
          <w:szCs w:val="24"/>
          <w:lang w:eastAsia="ar-SA"/>
        </w:rPr>
      </w:pPr>
      <w:r w:rsidRPr="009A7948">
        <w:rPr>
          <w:rFonts w:eastAsia="Calibri" w:cs="Times New Roman"/>
          <w:szCs w:val="24"/>
          <w:lang w:eastAsia="ar-SA"/>
        </w:rPr>
        <w:t>divi</w:t>
      </w:r>
      <w:r w:rsidR="00F46E22" w:rsidRPr="009A7948">
        <w:rPr>
          <w:rFonts w:eastAsia="Calibri" w:cs="Times New Roman"/>
          <w:szCs w:val="24"/>
          <w:lang w:eastAsia="ar-SA"/>
        </w:rPr>
        <w:t xml:space="preserve"> projekti</w:t>
      </w:r>
      <w:r w:rsidR="00447ED7">
        <w:rPr>
          <w:rFonts w:eastAsia="Calibri" w:cs="Times New Roman"/>
          <w:szCs w:val="24"/>
          <w:lang w:eastAsia="ar-SA"/>
        </w:rPr>
        <w:t xml:space="preserve"> -</w:t>
      </w:r>
      <w:r w:rsidR="005F4A0D" w:rsidRPr="009A7948">
        <w:rPr>
          <w:rFonts w:eastAsia="Calibri" w:cs="Times New Roman"/>
          <w:szCs w:val="24"/>
          <w:lang w:eastAsia="ar-SA"/>
        </w:rPr>
        <w:t xml:space="preserve"> no Tieslietu ministrijas un </w:t>
      </w:r>
      <w:proofErr w:type="spellStart"/>
      <w:r w:rsidR="005F4A0D" w:rsidRPr="009A7948">
        <w:rPr>
          <w:rFonts w:eastAsia="Calibri" w:cs="Times New Roman"/>
          <w:szCs w:val="24"/>
          <w:lang w:eastAsia="ar-SA"/>
        </w:rPr>
        <w:t>Iekšlietu</w:t>
      </w:r>
      <w:proofErr w:type="spellEnd"/>
      <w:r w:rsidR="005F4A0D" w:rsidRPr="009A7948">
        <w:rPr>
          <w:rFonts w:eastAsia="Calibri" w:cs="Times New Roman"/>
          <w:szCs w:val="24"/>
          <w:lang w:eastAsia="ar-SA"/>
        </w:rPr>
        <w:t xml:space="preserve"> ministrijas administrētās programmas “Latvijas korekcijas dienestu un Valsts policijas īslaicīgā</w:t>
      </w:r>
      <w:r w:rsidR="00F46E22" w:rsidRPr="009A7948">
        <w:rPr>
          <w:rFonts w:eastAsia="Calibri" w:cs="Times New Roman"/>
          <w:szCs w:val="24"/>
          <w:lang w:eastAsia="ar-SA"/>
        </w:rPr>
        <w:t>s aizturēšanas vietu reforma”</w:t>
      </w:r>
      <w:r w:rsidR="00A31B01" w:rsidRPr="009A7948">
        <w:rPr>
          <w:rFonts w:eastAsia="Calibri" w:cs="Times New Roman"/>
          <w:szCs w:val="24"/>
          <w:lang w:eastAsia="ar-SA"/>
        </w:rPr>
        <w:t>.</w:t>
      </w:r>
    </w:p>
    <w:p w:rsidR="00D00C9D" w:rsidRPr="009A7948" w:rsidRDefault="00330AF3" w:rsidP="00447ED7">
      <w:pPr>
        <w:suppressAutoHyphens/>
        <w:spacing w:before="80" w:after="80"/>
        <w:ind w:left="567" w:right="-3" w:firstLine="567"/>
        <w:jc w:val="both"/>
        <w:rPr>
          <w:rFonts w:eastAsia="Calibri" w:cs="Times New Roman"/>
          <w:szCs w:val="24"/>
          <w:lang w:eastAsia="ar-SA"/>
        </w:rPr>
      </w:pPr>
      <w:r w:rsidRPr="009A7948">
        <w:rPr>
          <w:rFonts w:eastAsia="Calibri" w:cs="Times New Roman"/>
          <w:szCs w:val="24"/>
          <w:lang w:eastAsia="ar-SA"/>
        </w:rPr>
        <w:t xml:space="preserve">Kopā tika pārbaudīti </w:t>
      </w:r>
      <w:r w:rsidR="00DD3217" w:rsidRPr="009A7948">
        <w:rPr>
          <w:rFonts w:eastAsia="Calibri" w:cs="Times New Roman"/>
          <w:szCs w:val="24"/>
          <w:lang w:eastAsia="ar-SA"/>
        </w:rPr>
        <w:t xml:space="preserve">izdevumi </w:t>
      </w:r>
      <w:r w:rsidR="009A7948" w:rsidRPr="009A7948">
        <w:rPr>
          <w:szCs w:val="24"/>
          <w:lang w:eastAsia="lv-LV"/>
        </w:rPr>
        <w:t>2 847 701.84</w:t>
      </w:r>
      <w:r w:rsidRPr="009A7948">
        <w:rPr>
          <w:rFonts w:eastAsia="Calibri" w:cs="Times New Roman"/>
          <w:szCs w:val="24"/>
          <w:lang w:eastAsia="ar-SA"/>
        </w:rPr>
        <w:t xml:space="preserve"> EUR apmērā (skat. </w:t>
      </w:r>
      <w:r w:rsidR="00621BBD" w:rsidRPr="009A7948">
        <w:rPr>
          <w:rFonts w:eastAsia="Calibri" w:cs="Times New Roman"/>
          <w:szCs w:val="24"/>
          <w:lang w:eastAsia="ar-SA"/>
        </w:rPr>
        <w:t>tabulā</w:t>
      </w:r>
      <w:r w:rsidR="0021778D" w:rsidRPr="009A7948">
        <w:rPr>
          <w:rFonts w:eastAsia="Calibri" w:cs="Times New Roman"/>
          <w:szCs w:val="24"/>
          <w:lang w:eastAsia="ar-SA"/>
        </w:rPr>
        <w:t xml:space="preserve"> “</w:t>
      </w:r>
      <w:r w:rsidR="0021778D" w:rsidRPr="009A7948">
        <w:rPr>
          <w:rFonts w:eastAsia="Calibri" w:cs="Times New Roman"/>
          <w:i/>
          <w:szCs w:val="24"/>
          <w:lang w:eastAsia="ar-SA"/>
        </w:rPr>
        <w:t>Projektu revīziju kopsavilkums</w:t>
      </w:r>
      <w:r w:rsidR="0021778D" w:rsidRPr="009A7948">
        <w:rPr>
          <w:rFonts w:eastAsia="Calibri" w:cs="Times New Roman"/>
          <w:szCs w:val="24"/>
          <w:lang w:eastAsia="ar-SA"/>
        </w:rPr>
        <w:t>”</w:t>
      </w:r>
      <w:r w:rsidRPr="009A7948">
        <w:rPr>
          <w:rFonts w:eastAsia="Calibri" w:cs="Times New Roman"/>
          <w:szCs w:val="24"/>
          <w:lang w:eastAsia="ar-SA"/>
        </w:rPr>
        <w:t xml:space="preserve">). </w:t>
      </w:r>
      <w:r w:rsidR="00156BD1" w:rsidRPr="009A7948">
        <w:rPr>
          <w:rFonts w:eastAsia="Calibri" w:cs="Times New Roman"/>
          <w:szCs w:val="24"/>
          <w:lang w:eastAsia="ar-SA"/>
        </w:rPr>
        <w:t xml:space="preserve">Revīzijas iestāde pārbaudīja </w:t>
      </w:r>
      <w:r w:rsidR="009A7948" w:rsidRPr="009A7948">
        <w:rPr>
          <w:rFonts w:eastAsia="Calibri" w:cs="Times New Roman"/>
          <w:szCs w:val="24"/>
          <w:lang w:eastAsia="ar-SA"/>
        </w:rPr>
        <w:t>12</w:t>
      </w:r>
      <w:r w:rsidR="00713438" w:rsidRPr="009A7948">
        <w:rPr>
          <w:rFonts w:eastAsia="Calibri" w:cs="Times New Roman"/>
          <w:szCs w:val="24"/>
          <w:lang w:eastAsia="ar-SA"/>
        </w:rPr>
        <w:t>%</w:t>
      </w:r>
      <w:r w:rsidR="00156BD1" w:rsidRPr="009A7948">
        <w:rPr>
          <w:rFonts w:eastAsia="Calibri" w:cs="Times New Roman"/>
          <w:szCs w:val="24"/>
          <w:lang w:eastAsia="ar-SA"/>
        </w:rPr>
        <w:t xml:space="preserve"> no izdevumiem, kas bija </w:t>
      </w:r>
      <w:r w:rsidR="007C699A" w:rsidRPr="009A7948">
        <w:rPr>
          <w:rFonts w:eastAsia="Calibri" w:cs="Times New Roman"/>
          <w:szCs w:val="24"/>
          <w:lang w:eastAsia="ar-SA"/>
        </w:rPr>
        <w:t xml:space="preserve">deklarēti </w:t>
      </w:r>
      <w:proofErr w:type="spellStart"/>
      <w:r w:rsidR="00F51A2C" w:rsidRPr="009A7948">
        <w:rPr>
          <w:rFonts w:eastAsia="Calibri" w:cs="Times New Roman"/>
          <w:szCs w:val="24"/>
          <w:lang w:eastAsia="ar-SA"/>
        </w:rPr>
        <w:t>D</w:t>
      </w:r>
      <w:r w:rsidR="007C699A" w:rsidRPr="009A7948">
        <w:rPr>
          <w:rFonts w:eastAsia="Calibri" w:cs="Times New Roman"/>
          <w:szCs w:val="24"/>
          <w:lang w:eastAsia="ar-SA"/>
        </w:rPr>
        <w:t>onorvalstīm</w:t>
      </w:r>
      <w:proofErr w:type="spellEnd"/>
      <w:r w:rsidR="007C699A" w:rsidRPr="009A7948">
        <w:rPr>
          <w:rFonts w:eastAsia="Calibri" w:cs="Times New Roman"/>
          <w:szCs w:val="24"/>
          <w:lang w:eastAsia="ar-SA"/>
        </w:rPr>
        <w:t xml:space="preserve"> </w:t>
      </w:r>
      <w:r w:rsidR="009A7948" w:rsidRPr="009A7948">
        <w:rPr>
          <w:rFonts w:eastAsia="Calibri" w:cs="Times New Roman"/>
          <w:szCs w:val="24"/>
          <w:lang w:eastAsia="ar-SA"/>
        </w:rPr>
        <w:t>par periodu</w:t>
      </w:r>
      <w:r w:rsidR="00D00C9D" w:rsidRPr="009A7948">
        <w:rPr>
          <w:rFonts w:eastAsia="Calibri" w:cs="Times New Roman"/>
          <w:szCs w:val="24"/>
          <w:lang w:eastAsia="ar-SA"/>
        </w:rPr>
        <w:t xml:space="preserve"> no </w:t>
      </w:r>
      <w:r w:rsidR="00D00C9D" w:rsidRPr="002118A1">
        <w:rPr>
          <w:rFonts w:eastAsia="Calibri" w:cs="Times New Roman"/>
          <w:szCs w:val="24"/>
          <w:lang w:eastAsia="ar-SA"/>
        </w:rPr>
        <w:t>201</w:t>
      </w:r>
      <w:r w:rsidR="009A7948" w:rsidRPr="002118A1">
        <w:rPr>
          <w:rFonts w:eastAsia="Calibri" w:cs="Times New Roman"/>
          <w:szCs w:val="24"/>
          <w:lang w:eastAsia="ar-SA"/>
        </w:rPr>
        <w:t>6</w:t>
      </w:r>
      <w:r w:rsidR="00D00C9D" w:rsidRPr="002118A1">
        <w:rPr>
          <w:rFonts w:eastAsia="Calibri" w:cs="Times New Roman"/>
          <w:szCs w:val="24"/>
          <w:lang w:eastAsia="ar-SA"/>
        </w:rPr>
        <w:t>.gada 1.</w:t>
      </w:r>
      <w:r w:rsidR="0021778D" w:rsidRPr="002118A1">
        <w:rPr>
          <w:rFonts w:eastAsia="Calibri" w:cs="Times New Roman"/>
          <w:szCs w:val="24"/>
          <w:lang w:eastAsia="ar-SA"/>
        </w:rPr>
        <w:t>janvāra</w:t>
      </w:r>
      <w:r w:rsidR="009A7948" w:rsidRPr="009A7948">
        <w:rPr>
          <w:rFonts w:eastAsia="Calibri" w:cs="Times New Roman"/>
          <w:szCs w:val="24"/>
          <w:lang w:eastAsia="ar-SA"/>
        </w:rPr>
        <w:t xml:space="preserve"> līdz </w:t>
      </w:r>
      <w:r w:rsidR="009A7948" w:rsidRPr="002118A1">
        <w:rPr>
          <w:rFonts w:eastAsia="Calibri" w:cs="Times New Roman"/>
          <w:szCs w:val="24"/>
          <w:lang w:eastAsia="ar-SA"/>
        </w:rPr>
        <w:t>2016</w:t>
      </w:r>
      <w:r w:rsidR="00D00C9D" w:rsidRPr="002118A1">
        <w:rPr>
          <w:rFonts w:eastAsia="Calibri" w:cs="Times New Roman"/>
          <w:szCs w:val="24"/>
          <w:lang w:eastAsia="ar-SA"/>
        </w:rPr>
        <w:t>.gada 3</w:t>
      </w:r>
      <w:r w:rsidR="00310D5B" w:rsidRPr="002118A1">
        <w:rPr>
          <w:rFonts w:eastAsia="Calibri" w:cs="Times New Roman"/>
          <w:szCs w:val="24"/>
          <w:lang w:eastAsia="ar-SA"/>
        </w:rPr>
        <w:t>1</w:t>
      </w:r>
      <w:r w:rsidR="00D00C9D" w:rsidRPr="002118A1">
        <w:rPr>
          <w:rFonts w:eastAsia="Calibri" w:cs="Times New Roman"/>
          <w:szCs w:val="24"/>
          <w:lang w:eastAsia="ar-SA"/>
        </w:rPr>
        <w:t>.</w:t>
      </w:r>
      <w:r w:rsidR="00310D5B" w:rsidRPr="002118A1">
        <w:rPr>
          <w:rFonts w:eastAsia="Calibri" w:cs="Times New Roman"/>
          <w:szCs w:val="24"/>
          <w:lang w:eastAsia="ar-SA"/>
        </w:rPr>
        <w:t>decembrim</w:t>
      </w:r>
      <w:r w:rsidR="00156BD1" w:rsidRPr="009A7948">
        <w:rPr>
          <w:rFonts w:eastAsia="Calibri" w:cs="Times New Roman"/>
          <w:szCs w:val="24"/>
          <w:lang w:eastAsia="ar-SA"/>
        </w:rPr>
        <w:t xml:space="preserve">. </w:t>
      </w:r>
    </w:p>
    <w:p w:rsidR="001D44E1" w:rsidRPr="00D33AB0" w:rsidRDefault="00621BBD" w:rsidP="00447ED7">
      <w:pPr>
        <w:suppressAutoHyphens/>
        <w:ind w:left="567" w:right="-3" w:firstLine="567"/>
        <w:jc w:val="right"/>
        <w:rPr>
          <w:rFonts w:eastAsia="Calibri" w:cs="Times New Roman"/>
          <w:szCs w:val="24"/>
          <w:lang w:eastAsia="ar-SA"/>
        </w:rPr>
      </w:pPr>
      <w:r w:rsidRPr="00D33AB0">
        <w:rPr>
          <w:rFonts w:eastAsia="Calibri" w:cs="Times New Roman"/>
          <w:i/>
          <w:szCs w:val="24"/>
          <w:lang w:eastAsia="ar-SA"/>
        </w:rPr>
        <w:t>Tabula</w:t>
      </w:r>
      <w:r w:rsidRPr="00D33AB0">
        <w:rPr>
          <w:rFonts w:eastAsia="Calibri" w:cs="Times New Roman"/>
          <w:szCs w:val="24"/>
          <w:lang w:eastAsia="ar-SA"/>
        </w:rPr>
        <w:t xml:space="preserve"> Projektu revīziju kopsavilkums</w:t>
      </w:r>
    </w:p>
    <w:tbl>
      <w:tblPr>
        <w:tblW w:w="935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6"/>
        <w:gridCol w:w="2694"/>
      </w:tblGrid>
      <w:tr w:rsidR="008A141D" w:rsidRPr="00D33AB0" w:rsidTr="00B24ADC">
        <w:trPr>
          <w:trHeight w:val="50"/>
        </w:trPr>
        <w:tc>
          <w:tcPr>
            <w:tcW w:w="6656" w:type="dxa"/>
            <w:shd w:val="clear" w:color="auto" w:fill="B8CCE4" w:themeFill="accent1" w:themeFillTint="66"/>
            <w:vAlign w:val="center"/>
          </w:tcPr>
          <w:p w:rsidR="008A141D" w:rsidRPr="00D33AB0" w:rsidRDefault="008A141D" w:rsidP="00447ED7">
            <w:pPr>
              <w:spacing w:before="120"/>
              <w:ind w:right="-3"/>
              <w:rPr>
                <w:rFonts w:cs="Times New Roman"/>
                <w:b/>
                <w:szCs w:val="24"/>
                <w:lang w:eastAsia="lv-LV"/>
              </w:rPr>
            </w:pPr>
            <w:r w:rsidRPr="00D33AB0">
              <w:rPr>
                <w:rFonts w:cs="Times New Roman"/>
                <w:b/>
                <w:szCs w:val="24"/>
                <w:lang w:eastAsia="lv-LV"/>
              </w:rPr>
              <w:t>Izlases kopa (</w:t>
            </w:r>
            <w:r w:rsidR="00EC2DB3" w:rsidRPr="00D33AB0">
              <w:rPr>
                <w:rFonts w:cs="Times New Roman"/>
                <w:b/>
                <w:szCs w:val="24"/>
                <w:lang w:eastAsia="lv-LV"/>
              </w:rPr>
              <w:t>periodā</w:t>
            </w:r>
            <w:r w:rsidRPr="00D33AB0">
              <w:rPr>
                <w:rFonts w:cs="Times New Roman"/>
                <w:b/>
                <w:szCs w:val="24"/>
                <w:lang w:eastAsia="lv-LV"/>
              </w:rPr>
              <w:t xml:space="preserve"> no 01.0</w:t>
            </w:r>
            <w:r w:rsidR="00C85298">
              <w:rPr>
                <w:rFonts w:cs="Times New Roman"/>
                <w:b/>
                <w:szCs w:val="24"/>
                <w:lang w:eastAsia="lv-LV"/>
              </w:rPr>
              <w:t>1</w:t>
            </w:r>
            <w:r w:rsidRPr="00D33AB0">
              <w:rPr>
                <w:rFonts w:cs="Times New Roman"/>
                <w:b/>
                <w:szCs w:val="24"/>
                <w:lang w:eastAsia="lv-LV"/>
              </w:rPr>
              <w:t>.201</w:t>
            </w:r>
            <w:r w:rsidR="009A7948">
              <w:rPr>
                <w:rFonts w:cs="Times New Roman"/>
                <w:b/>
                <w:szCs w:val="24"/>
                <w:lang w:eastAsia="lv-LV"/>
              </w:rPr>
              <w:t>6</w:t>
            </w:r>
            <w:r w:rsidRPr="00D33AB0">
              <w:rPr>
                <w:rFonts w:cs="Times New Roman"/>
                <w:b/>
                <w:szCs w:val="24"/>
                <w:lang w:eastAsia="lv-LV"/>
              </w:rPr>
              <w:t xml:space="preserve">. līdz </w:t>
            </w:r>
            <w:r w:rsidR="00DD3217" w:rsidRPr="00D33AB0">
              <w:rPr>
                <w:rFonts w:cs="Times New Roman"/>
                <w:b/>
                <w:szCs w:val="24"/>
                <w:lang w:eastAsia="lv-LV"/>
              </w:rPr>
              <w:t>3</w:t>
            </w:r>
            <w:r w:rsidR="00C85298">
              <w:rPr>
                <w:rFonts w:cs="Times New Roman"/>
                <w:b/>
                <w:szCs w:val="24"/>
                <w:lang w:eastAsia="lv-LV"/>
              </w:rPr>
              <w:t>1</w:t>
            </w:r>
            <w:r w:rsidR="00DD3217" w:rsidRPr="00D33AB0">
              <w:rPr>
                <w:rFonts w:cs="Times New Roman"/>
                <w:b/>
                <w:szCs w:val="24"/>
                <w:lang w:eastAsia="lv-LV"/>
              </w:rPr>
              <w:t>.</w:t>
            </w:r>
            <w:r w:rsidR="00C85298">
              <w:rPr>
                <w:rFonts w:cs="Times New Roman"/>
                <w:b/>
                <w:szCs w:val="24"/>
                <w:lang w:eastAsia="lv-LV"/>
              </w:rPr>
              <w:t>12</w:t>
            </w:r>
            <w:r w:rsidR="00DD3217" w:rsidRPr="00D33AB0">
              <w:rPr>
                <w:rFonts w:cs="Times New Roman"/>
                <w:b/>
                <w:szCs w:val="24"/>
                <w:lang w:eastAsia="lv-LV"/>
              </w:rPr>
              <w:t>.201</w:t>
            </w:r>
            <w:r w:rsidR="009A7948">
              <w:rPr>
                <w:rFonts w:cs="Times New Roman"/>
                <w:b/>
                <w:szCs w:val="24"/>
                <w:lang w:eastAsia="lv-LV"/>
              </w:rPr>
              <w:t>6</w:t>
            </w:r>
            <w:r w:rsidR="00C85298">
              <w:rPr>
                <w:rFonts w:cs="Times New Roman"/>
                <w:b/>
                <w:szCs w:val="24"/>
                <w:lang w:eastAsia="lv-LV"/>
              </w:rPr>
              <w:t>. deklarētie</w:t>
            </w:r>
            <w:r w:rsidRPr="00D33AB0">
              <w:rPr>
                <w:rFonts w:cs="Times New Roman"/>
                <w:b/>
                <w:szCs w:val="24"/>
                <w:lang w:eastAsia="lv-LV"/>
              </w:rPr>
              <w:t xml:space="preserve"> izdevumi)</w:t>
            </w:r>
            <w:r w:rsidR="001D3195" w:rsidRPr="00D33AB0">
              <w:rPr>
                <w:rFonts w:cs="Times New Roman"/>
                <w:b/>
                <w:szCs w:val="24"/>
                <w:lang w:eastAsia="lv-LV"/>
              </w:rPr>
              <w:t xml:space="preserve"> (</w:t>
            </w:r>
            <w:r w:rsidR="00DD3217" w:rsidRPr="00D33AB0">
              <w:rPr>
                <w:rFonts w:cs="Times New Roman"/>
                <w:b/>
                <w:szCs w:val="24"/>
                <w:lang w:eastAsia="lv-LV"/>
              </w:rPr>
              <w:t>EUR</w:t>
            </w:r>
            <w:r w:rsidR="001D3195" w:rsidRPr="00D33AB0">
              <w:rPr>
                <w:rFonts w:cs="Times New Roman"/>
                <w:b/>
                <w:szCs w:val="24"/>
                <w:lang w:eastAsia="lv-LV"/>
              </w:rPr>
              <w:t>)</w:t>
            </w:r>
            <w:r w:rsidRPr="00D33AB0">
              <w:rPr>
                <w:rFonts w:cs="Times New Roman"/>
                <w:b/>
                <w:szCs w:val="24"/>
                <w:lang w:eastAsia="lv-LV"/>
              </w:rPr>
              <w:t>, t.sk.:</w:t>
            </w:r>
            <w:r w:rsidR="001D3195" w:rsidRPr="00D33AB0">
              <w:rPr>
                <w:rFonts w:cs="Times New Roman"/>
                <w:b/>
                <w:szCs w:val="24"/>
                <w:lang w:eastAsia="lv-LV"/>
              </w:rPr>
              <w:t xml:space="preserve"> </w:t>
            </w:r>
          </w:p>
        </w:tc>
        <w:tc>
          <w:tcPr>
            <w:tcW w:w="2694" w:type="dxa"/>
            <w:vAlign w:val="center"/>
          </w:tcPr>
          <w:p w:rsidR="008A141D" w:rsidRPr="009A7948" w:rsidRDefault="007E0A6C" w:rsidP="00447ED7">
            <w:pPr>
              <w:ind w:right="-3"/>
              <w:jc w:val="center"/>
              <w:rPr>
                <w:rFonts w:cs="Times New Roman"/>
                <w:color w:val="000000"/>
                <w:szCs w:val="24"/>
                <w:lang w:eastAsia="lv-LV"/>
              </w:rPr>
            </w:pPr>
            <w:r w:rsidRPr="003F2934">
              <w:rPr>
                <w:b/>
                <w:bCs/>
                <w:color w:val="000000"/>
                <w:sz w:val="26"/>
                <w:szCs w:val="26"/>
                <w:lang w:eastAsia="lv-LV"/>
              </w:rPr>
              <w:t>24 607 741</w:t>
            </w:r>
          </w:p>
        </w:tc>
      </w:tr>
      <w:tr w:rsidR="008A141D" w:rsidRPr="00A36BA9" w:rsidTr="00B24ADC">
        <w:trPr>
          <w:trHeight w:val="144"/>
        </w:trPr>
        <w:tc>
          <w:tcPr>
            <w:tcW w:w="6656" w:type="dxa"/>
            <w:tcBorders>
              <w:top w:val="single" w:sz="4" w:space="0" w:color="auto"/>
            </w:tcBorders>
            <w:shd w:val="clear" w:color="auto" w:fill="B8CCE4" w:themeFill="accent1" w:themeFillTint="66"/>
            <w:noWrap/>
            <w:vAlign w:val="center"/>
          </w:tcPr>
          <w:p w:rsidR="008A141D" w:rsidRPr="00A36BA9" w:rsidRDefault="008A141D" w:rsidP="00447ED7">
            <w:pPr>
              <w:spacing w:before="120"/>
              <w:ind w:right="-3"/>
              <w:rPr>
                <w:rFonts w:cs="Times New Roman"/>
                <w:b/>
                <w:szCs w:val="24"/>
                <w:lang w:eastAsia="lv-LV"/>
              </w:rPr>
            </w:pPr>
            <w:r w:rsidRPr="00A36BA9">
              <w:rPr>
                <w:rFonts w:cs="Times New Roman"/>
                <w:b/>
                <w:szCs w:val="24"/>
                <w:lang w:eastAsia="lv-LV"/>
              </w:rPr>
              <w:t>Pārbaudītie izdevumi</w:t>
            </w:r>
            <w:r w:rsidR="00B24ADC">
              <w:rPr>
                <w:rFonts w:cs="Times New Roman"/>
                <w:b/>
                <w:szCs w:val="24"/>
                <w:lang w:eastAsia="lv-LV"/>
              </w:rPr>
              <w:t>, ieskaitot avansa maksājumus</w:t>
            </w:r>
            <w:r w:rsidRPr="00A36BA9">
              <w:rPr>
                <w:rFonts w:cs="Times New Roman"/>
                <w:b/>
                <w:szCs w:val="24"/>
                <w:lang w:eastAsia="lv-LV"/>
              </w:rPr>
              <w:t xml:space="preserve"> (</w:t>
            </w:r>
            <w:r w:rsidR="00DD3217" w:rsidRPr="00A36BA9">
              <w:rPr>
                <w:rFonts w:cs="Times New Roman"/>
                <w:b/>
                <w:szCs w:val="24"/>
                <w:lang w:eastAsia="lv-LV"/>
              </w:rPr>
              <w:t>EUR</w:t>
            </w:r>
            <w:r w:rsidRPr="00A36BA9">
              <w:rPr>
                <w:rFonts w:cs="Times New Roman"/>
                <w:b/>
                <w:szCs w:val="24"/>
                <w:lang w:eastAsia="lv-LV"/>
              </w:rPr>
              <w:t>)</w:t>
            </w:r>
          </w:p>
        </w:tc>
        <w:tc>
          <w:tcPr>
            <w:tcW w:w="2694" w:type="dxa"/>
            <w:tcBorders>
              <w:top w:val="single" w:sz="4" w:space="0" w:color="auto"/>
            </w:tcBorders>
            <w:vAlign w:val="center"/>
          </w:tcPr>
          <w:p w:rsidR="008A141D" w:rsidRPr="009A7948" w:rsidRDefault="007E0A6C" w:rsidP="00447ED7">
            <w:pPr>
              <w:ind w:right="-3"/>
              <w:jc w:val="center"/>
              <w:rPr>
                <w:rFonts w:cs="Times New Roman"/>
                <w:b/>
                <w:color w:val="000000"/>
                <w:szCs w:val="24"/>
                <w:lang w:eastAsia="lv-LV"/>
              </w:rPr>
            </w:pPr>
            <w:r>
              <w:rPr>
                <w:b/>
                <w:szCs w:val="24"/>
                <w:lang w:eastAsia="lv-LV"/>
              </w:rPr>
              <w:t>2 847 702</w:t>
            </w:r>
          </w:p>
        </w:tc>
      </w:tr>
      <w:tr w:rsidR="008A141D" w:rsidRPr="00A36BA9" w:rsidTr="00B24ADC">
        <w:trPr>
          <w:trHeight w:val="192"/>
        </w:trPr>
        <w:tc>
          <w:tcPr>
            <w:tcW w:w="6656" w:type="dxa"/>
            <w:tcBorders>
              <w:top w:val="single" w:sz="4" w:space="0" w:color="auto"/>
            </w:tcBorders>
            <w:shd w:val="clear" w:color="auto" w:fill="B8CCE4" w:themeFill="accent1" w:themeFillTint="66"/>
            <w:noWrap/>
            <w:vAlign w:val="center"/>
          </w:tcPr>
          <w:p w:rsidR="008A141D" w:rsidRPr="00A36BA9" w:rsidRDefault="008A141D" w:rsidP="00447ED7">
            <w:pPr>
              <w:spacing w:before="120"/>
              <w:ind w:right="-3"/>
              <w:rPr>
                <w:rFonts w:cs="Times New Roman"/>
                <w:b/>
                <w:szCs w:val="24"/>
                <w:lang w:eastAsia="lv-LV"/>
              </w:rPr>
            </w:pPr>
            <w:r w:rsidRPr="00A36BA9">
              <w:rPr>
                <w:rFonts w:cs="Times New Roman"/>
                <w:b/>
                <w:szCs w:val="24"/>
                <w:lang w:eastAsia="lv-LV"/>
              </w:rPr>
              <w:t>Pārbaudītie izdevumi</w:t>
            </w:r>
            <w:r w:rsidR="00C85298">
              <w:rPr>
                <w:rFonts w:cs="Times New Roman"/>
                <w:b/>
                <w:szCs w:val="24"/>
                <w:lang w:eastAsia="lv-LV"/>
              </w:rPr>
              <w:t>, ieskaitot avansa maksājumus</w:t>
            </w:r>
            <w:r w:rsidRPr="00A36BA9">
              <w:rPr>
                <w:rFonts w:cs="Times New Roman"/>
                <w:b/>
                <w:szCs w:val="24"/>
                <w:lang w:eastAsia="lv-LV"/>
              </w:rPr>
              <w:t xml:space="preserve"> (%)</w:t>
            </w:r>
          </w:p>
        </w:tc>
        <w:tc>
          <w:tcPr>
            <w:tcW w:w="2694" w:type="dxa"/>
            <w:tcBorders>
              <w:top w:val="single" w:sz="4" w:space="0" w:color="auto"/>
            </w:tcBorders>
            <w:vAlign w:val="center"/>
          </w:tcPr>
          <w:p w:rsidR="008A141D" w:rsidRPr="009A7948" w:rsidRDefault="009A7948" w:rsidP="00447ED7">
            <w:pPr>
              <w:ind w:right="-3"/>
              <w:jc w:val="center"/>
              <w:rPr>
                <w:rFonts w:cs="Times New Roman"/>
                <w:b/>
                <w:color w:val="000000"/>
                <w:szCs w:val="24"/>
                <w:lang w:eastAsia="lv-LV"/>
              </w:rPr>
            </w:pPr>
            <w:r w:rsidRPr="009A7948">
              <w:rPr>
                <w:rFonts w:cs="Times New Roman"/>
                <w:b/>
                <w:color w:val="000000"/>
                <w:szCs w:val="24"/>
                <w:lang w:eastAsia="lv-LV"/>
              </w:rPr>
              <w:t>12</w:t>
            </w:r>
            <w:r w:rsidR="00553231" w:rsidRPr="009A7948">
              <w:rPr>
                <w:rFonts w:cs="Times New Roman"/>
                <w:b/>
                <w:color w:val="000000"/>
                <w:szCs w:val="24"/>
                <w:lang w:eastAsia="lv-LV"/>
              </w:rPr>
              <w:t xml:space="preserve"> </w:t>
            </w:r>
            <w:r w:rsidR="00AB6FB4" w:rsidRPr="009A7948">
              <w:rPr>
                <w:rFonts w:cs="Times New Roman"/>
                <w:b/>
                <w:color w:val="000000"/>
                <w:szCs w:val="24"/>
                <w:lang w:eastAsia="lv-LV"/>
              </w:rPr>
              <w:t>%</w:t>
            </w:r>
          </w:p>
        </w:tc>
      </w:tr>
      <w:tr w:rsidR="008A141D" w:rsidRPr="00A36BA9" w:rsidTr="00B24ADC">
        <w:trPr>
          <w:trHeight w:val="85"/>
        </w:trPr>
        <w:tc>
          <w:tcPr>
            <w:tcW w:w="6656" w:type="dxa"/>
            <w:shd w:val="clear" w:color="auto" w:fill="B8CCE4" w:themeFill="accent1" w:themeFillTint="66"/>
            <w:noWrap/>
            <w:vAlign w:val="center"/>
          </w:tcPr>
          <w:p w:rsidR="008A141D" w:rsidRPr="00A36BA9" w:rsidRDefault="008A141D" w:rsidP="00447ED7">
            <w:pPr>
              <w:spacing w:before="120"/>
              <w:ind w:right="-3"/>
              <w:rPr>
                <w:rFonts w:cs="Times New Roman"/>
                <w:b/>
                <w:szCs w:val="24"/>
                <w:lang w:eastAsia="lv-LV"/>
              </w:rPr>
            </w:pPr>
            <w:r w:rsidRPr="00A36BA9">
              <w:rPr>
                <w:rFonts w:cs="Times New Roman"/>
                <w:b/>
                <w:szCs w:val="24"/>
                <w:lang w:eastAsia="lv-LV"/>
              </w:rPr>
              <w:t>Konstatētie neattiecināmie izdevumi (</w:t>
            </w:r>
            <w:r w:rsidR="00DD3217" w:rsidRPr="00A36BA9">
              <w:rPr>
                <w:rFonts w:cs="Times New Roman"/>
                <w:b/>
                <w:szCs w:val="24"/>
                <w:lang w:eastAsia="lv-LV"/>
              </w:rPr>
              <w:t>EUR</w:t>
            </w:r>
            <w:r w:rsidRPr="00A36BA9">
              <w:rPr>
                <w:rFonts w:cs="Times New Roman"/>
                <w:b/>
                <w:szCs w:val="24"/>
                <w:lang w:eastAsia="lv-LV"/>
              </w:rPr>
              <w:t>)</w:t>
            </w:r>
          </w:p>
        </w:tc>
        <w:tc>
          <w:tcPr>
            <w:tcW w:w="2694" w:type="dxa"/>
            <w:vAlign w:val="center"/>
          </w:tcPr>
          <w:p w:rsidR="008A141D" w:rsidRPr="009A7948" w:rsidRDefault="007E0A6C" w:rsidP="00447ED7">
            <w:pPr>
              <w:ind w:right="-3"/>
              <w:jc w:val="center"/>
              <w:rPr>
                <w:rFonts w:cs="Times New Roman"/>
                <w:b/>
                <w:color w:val="000000"/>
                <w:szCs w:val="24"/>
                <w:lang w:eastAsia="lv-LV"/>
              </w:rPr>
            </w:pPr>
            <w:r>
              <w:rPr>
                <w:b/>
                <w:bCs/>
                <w:szCs w:val="24"/>
                <w:lang w:eastAsia="lv-LV"/>
              </w:rPr>
              <w:t>75 310</w:t>
            </w:r>
          </w:p>
        </w:tc>
      </w:tr>
      <w:tr w:rsidR="00AB6FB4" w:rsidRPr="00A36BA9" w:rsidTr="00B24ADC">
        <w:trPr>
          <w:trHeight w:val="132"/>
        </w:trPr>
        <w:tc>
          <w:tcPr>
            <w:tcW w:w="6656" w:type="dxa"/>
            <w:tcBorders>
              <w:left w:val="single" w:sz="4" w:space="0" w:color="auto"/>
            </w:tcBorders>
            <w:shd w:val="clear" w:color="auto" w:fill="B8CCE4" w:themeFill="accent1" w:themeFillTint="66"/>
            <w:noWrap/>
            <w:vAlign w:val="center"/>
          </w:tcPr>
          <w:p w:rsidR="00AB6FB4" w:rsidRPr="00A36BA9" w:rsidRDefault="00DD3217" w:rsidP="00447ED7">
            <w:pPr>
              <w:spacing w:before="120"/>
              <w:ind w:right="-3"/>
              <w:rPr>
                <w:rFonts w:cs="Times New Roman"/>
                <w:b/>
                <w:szCs w:val="24"/>
                <w:lang w:eastAsia="lv-LV"/>
              </w:rPr>
            </w:pPr>
            <w:r w:rsidRPr="00A36BA9">
              <w:rPr>
                <w:rFonts w:cs="Times New Roman"/>
                <w:b/>
                <w:szCs w:val="24"/>
                <w:lang w:eastAsia="lv-LV"/>
              </w:rPr>
              <w:t>Kļūdas līmenis</w:t>
            </w:r>
            <w:r w:rsidR="00AB6FB4" w:rsidRPr="00A36BA9">
              <w:rPr>
                <w:rFonts w:cs="Times New Roman"/>
                <w:b/>
                <w:szCs w:val="24"/>
                <w:lang w:eastAsia="lv-LV"/>
              </w:rPr>
              <w:t xml:space="preserve"> (%) </w:t>
            </w:r>
          </w:p>
        </w:tc>
        <w:tc>
          <w:tcPr>
            <w:tcW w:w="2694" w:type="dxa"/>
            <w:shd w:val="clear" w:color="auto" w:fill="FFFFFF"/>
            <w:vAlign w:val="center"/>
          </w:tcPr>
          <w:p w:rsidR="00AB6FB4" w:rsidRPr="009A7948" w:rsidRDefault="009A7948" w:rsidP="00447ED7">
            <w:pPr>
              <w:ind w:right="-3"/>
              <w:jc w:val="center"/>
              <w:rPr>
                <w:rFonts w:cs="Times New Roman"/>
                <w:b/>
                <w:color w:val="000000"/>
                <w:szCs w:val="24"/>
                <w:lang w:eastAsia="lv-LV"/>
              </w:rPr>
            </w:pPr>
            <w:r>
              <w:rPr>
                <w:rFonts w:cs="Times New Roman"/>
                <w:b/>
                <w:color w:val="000000"/>
                <w:szCs w:val="24"/>
                <w:lang w:eastAsia="lv-LV"/>
              </w:rPr>
              <w:t>2.</w:t>
            </w:r>
            <w:r w:rsidRPr="009A7948">
              <w:rPr>
                <w:rFonts w:cs="Times New Roman"/>
                <w:b/>
                <w:color w:val="000000"/>
                <w:szCs w:val="24"/>
                <w:lang w:eastAsia="lv-LV"/>
              </w:rPr>
              <w:t>6</w:t>
            </w:r>
            <w:r w:rsidR="00AB6FB4" w:rsidRPr="009A7948">
              <w:rPr>
                <w:rFonts w:cs="Times New Roman"/>
                <w:b/>
                <w:color w:val="000000"/>
                <w:szCs w:val="24"/>
                <w:lang w:eastAsia="lv-LV"/>
              </w:rPr>
              <w:t>%</w:t>
            </w:r>
          </w:p>
        </w:tc>
      </w:tr>
    </w:tbl>
    <w:p w:rsidR="001D44E1" w:rsidRPr="0099040B" w:rsidRDefault="001D44E1" w:rsidP="00447ED7">
      <w:pPr>
        <w:suppressAutoHyphens/>
        <w:ind w:left="567" w:right="-3" w:firstLine="567"/>
        <w:jc w:val="both"/>
        <w:rPr>
          <w:rFonts w:eastAsia="Calibri" w:cs="Times New Roman"/>
          <w:szCs w:val="24"/>
          <w:lang w:eastAsia="ar-SA"/>
        </w:rPr>
      </w:pPr>
    </w:p>
    <w:p w:rsidR="00E85FDB" w:rsidRPr="0099040B" w:rsidRDefault="00AB6FB4" w:rsidP="00447ED7">
      <w:pPr>
        <w:suppressAutoHyphens/>
        <w:spacing w:before="80" w:after="80"/>
        <w:ind w:left="567" w:right="-3" w:firstLine="567"/>
        <w:jc w:val="both"/>
        <w:rPr>
          <w:rFonts w:eastAsia="Calibri" w:cs="Times New Roman"/>
          <w:szCs w:val="24"/>
          <w:lang w:eastAsia="ar-SA"/>
        </w:rPr>
      </w:pPr>
      <w:r w:rsidRPr="0099040B">
        <w:rPr>
          <w:rFonts w:eastAsia="Calibri" w:cs="Times New Roman"/>
          <w:szCs w:val="24"/>
          <w:lang w:eastAsia="ar-SA"/>
        </w:rPr>
        <w:t>P</w:t>
      </w:r>
      <w:r w:rsidR="00E85FDB" w:rsidRPr="0099040B">
        <w:rPr>
          <w:rFonts w:eastAsia="Calibri" w:cs="Times New Roman"/>
          <w:szCs w:val="24"/>
          <w:lang w:eastAsia="ar-SA"/>
        </w:rPr>
        <w:t xml:space="preserve">ieļaujamais kļūdas līmenis ir </w:t>
      </w:r>
      <w:r w:rsidR="00713438">
        <w:rPr>
          <w:rFonts w:eastAsia="Calibri" w:cs="Times New Roman"/>
          <w:szCs w:val="24"/>
          <w:lang w:eastAsia="ar-SA"/>
        </w:rPr>
        <w:t>2%</w:t>
      </w:r>
      <w:r w:rsidR="0036487D" w:rsidRPr="0099040B">
        <w:rPr>
          <w:rFonts w:eastAsia="Calibri" w:cs="Times New Roman"/>
          <w:szCs w:val="24"/>
          <w:lang w:eastAsia="ar-SA"/>
        </w:rPr>
        <w:t xml:space="preserve">. </w:t>
      </w:r>
      <w:r w:rsidR="00E85FDB" w:rsidRPr="0099040B">
        <w:rPr>
          <w:rFonts w:eastAsia="Calibri" w:cs="Times New Roman"/>
          <w:szCs w:val="24"/>
          <w:lang w:eastAsia="ar-SA"/>
        </w:rPr>
        <w:t xml:space="preserve">No </w:t>
      </w:r>
      <w:r w:rsidR="0099040B" w:rsidRPr="0099040B">
        <w:rPr>
          <w:rFonts w:eastAsia="Calibri" w:cs="Times New Roman"/>
          <w:szCs w:val="24"/>
          <w:lang w:eastAsia="ar-SA"/>
        </w:rPr>
        <w:t>tabulas</w:t>
      </w:r>
      <w:r w:rsidR="0036487D" w:rsidRPr="0099040B">
        <w:rPr>
          <w:rFonts w:eastAsia="Calibri" w:cs="Times New Roman"/>
          <w:szCs w:val="24"/>
          <w:lang w:eastAsia="ar-SA"/>
        </w:rPr>
        <w:t xml:space="preserve"> </w:t>
      </w:r>
      <w:r w:rsidR="00E85FDB" w:rsidRPr="0099040B">
        <w:rPr>
          <w:rFonts w:eastAsia="Calibri" w:cs="Times New Roman"/>
          <w:szCs w:val="24"/>
          <w:lang w:eastAsia="ar-SA"/>
        </w:rPr>
        <w:t xml:space="preserve">datiem redzams, ka </w:t>
      </w:r>
      <w:r w:rsidR="0099040B" w:rsidRPr="0099040B">
        <w:rPr>
          <w:rFonts w:eastAsia="Calibri" w:cs="Times New Roman"/>
          <w:szCs w:val="24"/>
          <w:lang w:eastAsia="ar-SA"/>
        </w:rPr>
        <w:t>R</w:t>
      </w:r>
      <w:r w:rsidRPr="0099040B">
        <w:rPr>
          <w:rFonts w:eastAsia="Calibri" w:cs="Times New Roman"/>
          <w:szCs w:val="24"/>
          <w:lang w:eastAsia="ar-SA"/>
        </w:rPr>
        <w:t>evīzijas iestādes pārbaudītajos izdevumos</w:t>
      </w:r>
      <w:r w:rsidR="00E85FDB" w:rsidRPr="0099040B">
        <w:rPr>
          <w:rFonts w:eastAsia="Calibri" w:cs="Times New Roman"/>
          <w:szCs w:val="24"/>
          <w:lang w:eastAsia="ar-SA"/>
        </w:rPr>
        <w:t xml:space="preserve"> konstatētais kļūdas līmenis </w:t>
      </w:r>
      <w:r w:rsidR="009A7948">
        <w:rPr>
          <w:rFonts w:eastAsia="Calibri" w:cs="Times New Roman"/>
          <w:szCs w:val="24"/>
          <w:lang w:eastAsia="ar-SA"/>
        </w:rPr>
        <w:t>2,6</w:t>
      </w:r>
      <w:r w:rsidR="00713438">
        <w:rPr>
          <w:rFonts w:eastAsia="Calibri" w:cs="Times New Roman"/>
          <w:szCs w:val="24"/>
          <w:lang w:eastAsia="ar-SA"/>
        </w:rPr>
        <w:t xml:space="preserve">% </w:t>
      </w:r>
      <w:r w:rsidR="009A7948">
        <w:rPr>
          <w:rFonts w:eastAsia="Calibri" w:cs="Times New Roman"/>
          <w:szCs w:val="24"/>
          <w:lang w:eastAsia="ar-SA"/>
        </w:rPr>
        <w:t>pārsniedz pieļaujamo kļūdu līmeni.</w:t>
      </w:r>
    </w:p>
    <w:p w:rsidR="00F7451C" w:rsidRDefault="00611FEB" w:rsidP="00447ED7">
      <w:pPr>
        <w:suppressAutoHyphens/>
        <w:spacing w:before="240" w:after="80"/>
        <w:ind w:right="-3"/>
        <w:jc w:val="center"/>
        <w:rPr>
          <w:rFonts w:eastAsia="Calibri" w:cs="Times New Roman"/>
          <w:b/>
          <w:bCs/>
          <w:color w:val="000000"/>
          <w:sz w:val="28"/>
          <w:szCs w:val="24"/>
          <w:lang w:eastAsia="ar-SA"/>
        </w:rPr>
      </w:pPr>
      <w:r w:rsidRPr="00621BBD">
        <w:rPr>
          <w:rFonts w:eastAsia="Calibri" w:cs="Times New Roman"/>
          <w:b/>
          <w:bCs/>
          <w:color w:val="000000"/>
          <w:sz w:val="28"/>
          <w:szCs w:val="24"/>
          <w:lang w:eastAsia="ar-SA"/>
        </w:rPr>
        <w:t>3. Konstatētas problēmas</w:t>
      </w:r>
    </w:p>
    <w:p w:rsidR="005229AA" w:rsidRDefault="005A4418" w:rsidP="00447ED7">
      <w:pPr>
        <w:suppressAutoHyphens/>
        <w:spacing w:before="80" w:after="80"/>
        <w:ind w:left="567" w:right="-3" w:firstLine="567"/>
        <w:jc w:val="both"/>
        <w:rPr>
          <w:rFonts w:eastAsia="Calibri" w:cs="Times New Roman"/>
          <w:szCs w:val="24"/>
          <w:lang w:eastAsia="ar-SA"/>
        </w:rPr>
      </w:pPr>
      <w:r>
        <w:rPr>
          <w:rFonts w:eastAsia="Calibri" w:cs="Times New Roman"/>
          <w:szCs w:val="24"/>
          <w:lang w:eastAsia="ar-SA"/>
        </w:rPr>
        <w:t>Trīs</w:t>
      </w:r>
      <w:r w:rsidRPr="007E7478">
        <w:rPr>
          <w:rFonts w:eastAsia="Calibri" w:cs="Times New Roman"/>
          <w:szCs w:val="24"/>
          <w:lang w:eastAsia="ar-SA"/>
        </w:rPr>
        <w:t xml:space="preserve"> </w:t>
      </w:r>
      <w:r w:rsidR="00977B3A" w:rsidRPr="007E7478">
        <w:rPr>
          <w:rFonts w:eastAsia="Calibri" w:cs="Times New Roman"/>
          <w:szCs w:val="24"/>
          <w:lang w:eastAsia="ar-SA"/>
        </w:rPr>
        <w:t xml:space="preserve">projektu revīziju rezultātā tika konstatēta vāja </w:t>
      </w:r>
      <w:r w:rsidR="001F204C" w:rsidRPr="007E7478">
        <w:rPr>
          <w:rFonts w:eastAsia="Calibri" w:cs="Times New Roman"/>
          <w:szCs w:val="24"/>
          <w:lang w:eastAsia="ar-SA"/>
        </w:rPr>
        <w:t xml:space="preserve">programmas </w:t>
      </w:r>
      <w:proofErr w:type="spellStart"/>
      <w:r w:rsidR="001F204C" w:rsidRPr="007E7478">
        <w:rPr>
          <w:rFonts w:eastAsia="Calibri" w:cs="Times New Roman"/>
          <w:szCs w:val="24"/>
          <w:lang w:eastAsia="ar-SA"/>
        </w:rPr>
        <w:t>apsaimniekotāju</w:t>
      </w:r>
      <w:proofErr w:type="spellEnd"/>
      <w:r w:rsidR="001F204C">
        <w:rPr>
          <w:rFonts w:eastAsia="Calibri" w:cs="Times New Roman"/>
          <w:szCs w:val="24"/>
          <w:lang w:eastAsia="ar-SA"/>
        </w:rPr>
        <w:t>/</w:t>
      </w:r>
      <w:r>
        <w:rPr>
          <w:rFonts w:eastAsia="Calibri" w:cs="Times New Roman"/>
          <w:szCs w:val="24"/>
          <w:lang w:eastAsia="ar-SA"/>
        </w:rPr>
        <w:t>aģentūru</w:t>
      </w:r>
      <w:r w:rsidRPr="007E7478">
        <w:rPr>
          <w:rFonts w:eastAsia="Calibri" w:cs="Times New Roman"/>
          <w:szCs w:val="24"/>
          <w:lang w:eastAsia="ar-SA"/>
        </w:rPr>
        <w:t xml:space="preserve"> </w:t>
      </w:r>
      <w:r w:rsidR="00977B3A" w:rsidRPr="007E7478">
        <w:rPr>
          <w:rFonts w:eastAsia="Calibri" w:cs="Times New Roman"/>
          <w:szCs w:val="24"/>
          <w:lang w:eastAsia="ar-SA"/>
        </w:rPr>
        <w:t>būvniecības projektu uzraudzība: divos gadījumos būvniecības darbos tika konstatēti neatbilstoši veiktie izdevumi par kopsummu 61 686.69 EUR vai 82% no visu projektu ietvaros konstatēto neatbilstību summas, visos trīs gadījumos tika konstatēti</w:t>
      </w:r>
      <w:r w:rsidR="00745488">
        <w:rPr>
          <w:rFonts w:eastAsia="Calibri" w:cs="Times New Roman"/>
          <w:szCs w:val="24"/>
          <w:lang w:eastAsia="ar-SA"/>
        </w:rPr>
        <w:t xml:space="preserve"> arī</w:t>
      </w:r>
      <w:r w:rsidR="00977B3A" w:rsidRPr="007E7478">
        <w:rPr>
          <w:rFonts w:eastAsia="Calibri" w:cs="Times New Roman"/>
          <w:szCs w:val="24"/>
          <w:lang w:eastAsia="ar-SA"/>
        </w:rPr>
        <w:t xml:space="preserve"> defekti būvniecības darbu izpildē, kurus ir iespējams novērst bez finansiālās ietekmes uz projektu. Revīzijas iestāde ir izteikusi ieteikumus defektu novēršanai.</w:t>
      </w:r>
      <w:r w:rsidR="005229AA" w:rsidRPr="007E7478">
        <w:rPr>
          <w:rFonts w:eastAsia="Calibri" w:cs="Times New Roman"/>
          <w:szCs w:val="24"/>
          <w:lang w:eastAsia="ar-SA"/>
        </w:rPr>
        <w:t xml:space="preserve"> Vienā no šiem gadījumiem (Kultūras ministrijas administrētās programmas projektā) ir konstatētas aizdomas par krāpšanu</w:t>
      </w:r>
      <w:r w:rsidR="001F204C">
        <w:rPr>
          <w:rFonts w:eastAsia="Calibri" w:cs="Times New Roman"/>
          <w:szCs w:val="24"/>
          <w:lang w:eastAsia="ar-SA"/>
        </w:rPr>
        <w:t>.</w:t>
      </w:r>
      <w:r w:rsidR="005229AA" w:rsidRPr="007E7478">
        <w:rPr>
          <w:rFonts w:eastAsia="Calibri" w:cs="Times New Roman"/>
          <w:szCs w:val="24"/>
          <w:lang w:eastAsia="ar-SA"/>
        </w:rPr>
        <w:t xml:space="preserve"> </w:t>
      </w:r>
      <w:r w:rsidR="001F204C">
        <w:rPr>
          <w:rFonts w:eastAsia="Calibri" w:cs="Times New Roman"/>
          <w:szCs w:val="24"/>
          <w:lang w:eastAsia="ar-SA"/>
        </w:rPr>
        <w:t>M</w:t>
      </w:r>
      <w:r w:rsidR="005229AA" w:rsidRPr="007E7478">
        <w:rPr>
          <w:rFonts w:eastAsia="Calibri" w:cs="Times New Roman"/>
          <w:szCs w:val="24"/>
          <w:lang w:eastAsia="ar-SA"/>
        </w:rPr>
        <w:t>ateriāli par</w:t>
      </w:r>
      <w:r w:rsidR="005249CC">
        <w:rPr>
          <w:rFonts w:eastAsia="Calibri" w:cs="Times New Roman"/>
          <w:szCs w:val="24"/>
          <w:lang w:eastAsia="ar-SA"/>
        </w:rPr>
        <w:t xml:space="preserve"> projektā</w:t>
      </w:r>
      <w:r w:rsidR="005229AA" w:rsidRPr="007E7478">
        <w:rPr>
          <w:rFonts w:eastAsia="Calibri" w:cs="Times New Roman"/>
          <w:szCs w:val="24"/>
          <w:lang w:eastAsia="ar-SA"/>
        </w:rPr>
        <w:t xml:space="preserve"> paredzēto darbu neizpildi par summu</w:t>
      </w:r>
      <w:r w:rsidR="001D70D7" w:rsidRPr="007E7478">
        <w:rPr>
          <w:rFonts w:eastAsia="Calibri" w:cs="Times New Roman"/>
          <w:szCs w:val="24"/>
          <w:lang w:eastAsia="ar-SA"/>
        </w:rPr>
        <w:t xml:space="preserve"> </w:t>
      </w:r>
      <w:r w:rsidR="001D70D7" w:rsidRPr="007E7478">
        <w:rPr>
          <w:szCs w:val="24"/>
          <w:lang w:eastAsia="lv-LV"/>
        </w:rPr>
        <w:t xml:space="preserve">57 222.03 EUR </w:t>
      </w:r>
      <w:r w:rsidR="002118A1">
        <w:rPr>
          <w:szCs w:val="24"/>
          <w:lang w:eastAsia="lv-LV"/>
        </w:rPr>
        <w:t>2017.gada 14.jūlijā</w:t>
      </w:r>
      <w:r w:rsidR="00447ED7">
        <w:rPr>
          <w:szCs w:val="24"/>
          <w:lang w:eastAsia="lv-LV"/>
        </w:rPr>
        <w:t xml:space="preserve"> </w:t>
      </w:r>
      <w:r w:rsidR="001D70D7" w:rsidRPr="007E7478">
        <w:rPr>
          <w:szCs w:val="24"/>
          <w:lang w:eastAsia="lv-LV"/>
        </w:rPr>
        <w:t>tika nosūtīti   izmeklēšanai Korupcijas novēršanas apkarošanas birojam un Ekonomisko noziegumu apkarošanas pārvaldei, atbilde par izmeklēšanas rezultātiem uz šī ziņojuma sagatavošanas brīdi vēl nav saņemta. Tomēr,</w:t>
      </w:r>
      <w:r w:rsidR="002118A1">
        <w:rPr>
          <w:szCs w:val="24"/>
          <w:lang w:eastAsia="lv-LV"/>
        </w:rPr>
        <w:t xml:space="preserve"> 2018.gada 9.janvārī</w:t>
      </w:r>
      <w:r w:rsidR="001D70D7" w:rsidRPr="007E7478">
        <w:rPr>
          <w:szCs w:val="24"/>
          <w:lang w:eastAsia="lv-LV"/>
        </w:rPr>
        <w:t xml:space="preserve"> </w:t>
      </w:r>
      <w:r w:rsidR="007E7478" w:rsidRPr="007E7478">
        <w:rPr>
          <w:szCs w:val="24"/>
          <w:lang w:eastAsia="lv-LV"/>
        </w:rPr>
        <w:t xml:space="preserve"> Kultūra</w:t>
      </w:r>
      <w:r w:rsidR="00447ED7">
        <w:rPr>
          <w:szCs w:val="24"/>
          <w:lang w:eastAsia="lv-LV"/>
        </w:rPr>
        <w:t>s ministrija</w:t>
      </w:r>
      <w:r w:rsidR="007E7478" w:rsidRPr="007E7478">
        <w:rPr>
          <w:szCs w:val="24"/>
          <w:lang w:eastAsia="lv-LV"/>
        </w:rPr>
        <w:t xml:space="preserve"> kā Programmas </w:t>
      </w:r>
      <w:proofErr w:type="spellStart"/>
      <w:r w:rsidR="007E7478" w:rsidRPr="007E7478">
        <w:rPr>
          <w:szCs w:val="24"/>
          <w:lang w:eastAsia="lv-LV"/>
        </w:rPr>
        <w:t>apsaimniekotāja</w:t>
      </w:r>
      <w:proofErr w:type="spellEnd"/>
      <w:r w:rsidR="007E7478" w:rsidRPr="007E7478">
        <w:rPr>
          <w:szCs w:val="24"/>
          <w:lang w:eastAsia="lv-LV"/>
        </w:rPr>
        <w:t xml:space="preserve"> iestāde, pieņēma lēmumu ieturēt no projekta finansējuma saņēmēja mazāku summu - 21 710.94 EUR</w:t>
      </w:r>
      <w:r w:rsidR="001F204C">
        <w:rPr>
          <w:szCs w:val="24"/>
          <w:lang w:eastAsia="lv-LV"/>
        </w:rPr>
        <w:t>.</w:t>
      </w:r>
      <w:r w:rsidR="007E7478" w:rsidRPr="007E7478">
        <w:rPr>
          <w:szCs w:val="24"/>
          <w:lang w:eastAsia="lv-LV"/>
        </w:rPr>
        <w:t xml:space="preserve"> </w:t>
      </w:r>
      <w:r w:rsidR="001F204C">
        <w:rPr>
          <w:szCs w:val="24"/>
          <w:lang w:eastAsia="lv-LV"/>
        </w:rPr>
        <w:t>N</w:t>
      </w:r>
      <w:r w:rsidR="007E7478" w:rsidRPr="007E7478">
        <w:rPr>
          <w:szCs w:val="24"/>
          <w:lang w:eastAsia="lv-LV"/>
        </w:rPr>
        <w:t xml:space="preserve">o </w:t>
      </w:r>
      <w:proofErr w:type="spellStart"/>
      <w:r w:rsidR="007E7478" w:rsidRPr="007E7478">
        <w:rPr>
          <w:szCs w:val="24"/>
          <w:lang w:eastAsia="lv-LV"/>
        </w:rPr>
        <w:t>Donorvalstīm</w:t>
      </w:r>
      <w:proofErr w:type="spellEnd"/>
      <w:r w:rsidR="007E7478" w:rsidRPr="007E7478">
        <w:rPr>
          <w:szCs w:val="24"/>
          <w:lang w:eastAsia="lv-LV"/>
        </w:rPr>
        <w:t xml:space="preserve"> deklarētajiem izdevumiem jau iepriekš tika ieturēta Revīzijas iestādes konstatētā summa 57 222.03 EUR</w:t>
      </w:r>
      <w:r w:rsidR="007E7478">
        <w:rPr>
          <w:sz w:val="20"/>
          <w:lang w:eastAsia="lv-LV"/>
        </w:rPr>
        <w:t>.</w:t>
      </w:r>
    </w:p>
    <w:p w:rsidR="005229AA" w:rsidRPr="00977B3A" w:rsidRDefault="005A4418" w:rsidP="00447ED7">
      <w:pPr>
        <w:suppressAutoHyphens/>
        <w:spacing w:before="80" w:after="80"/>
        <w:ind w:left="567" w:right="-3" w:firstLine="567"/>
        <w:jc w:val="both"/>
        <w:rPr>
          <w:rFonts w:eastAsia="Calibri" w:cs="Times New Roman"/>
          <w:szCs w:val="24"/>
          <w:lang w:eastAsia="ar-SA"/>
        </w:rPr>
      </w:pPr>
      <w:r>
        <w:rPr>
          <w:rFonts w:eastAsia="Calibri" w:cs="Times New Roman"/>
          <w:szCs w:val="24"/>
          <w:lang w:eastAsia="ar-SA"/>
        </w:rPr>
        <w:t xml:space="preserve">Viena </w:t>
      </w:r>
      <w:r w:rsidR="001D70D7">
        <w:rPr>
          <w:rFonts w:eastAsia="Calibri" w:cs="Times New Roman"/>
          <w:szCs w:val="24"/>
          <w:lang w:eastAsia="ar-SA"/>
        </w:rPr>
        <w:t xml:space="preserve">projekta ietvaros </w:t>
      </w:r>
      <w:r w:rsidR="007E7478">
        <w:rPr>
          <w:rFonts w:eastAsia="Calibri" w:cs="Times New Roman"/>
          <w:szCs w:val="24"/>
          <w:lang w:eastAsia="ar-SA"/>
        </w:rPr>
        <w:t xml:space="preserve">tika konstatēti </w:t>
      </w:r>
      <w:r w:rsidR="00447ED7">
        <w:rPr>
          <w:rFonts w:eastAsia="Calibri" w:cs="Times New Roman"/>
          <w:szCs w:val="24"/>
          <w:lang w:eastAsia="ar-SA"/>
        </w:rPr>
        <w:t xml:space="preserve">pārkāpumi </w:t>
      </w:r>
      <w:r w:rsidR="007E7478">
        <w:rPr>
          <w:rFonts w:eastAsia="Calibri" w:cs="Times New Roman"/>
          <w:szCs w:val="24"/>
          <w:lang w:eastAsia="ar-SA"/>
        </w:rPr>
        <w:t>iepirkumu proced</w:t>
      </w:r>
      <w:r w:rsidR="001E15BC">
        <w:rPr>
          <w:rFonts w:eastAsia="Calibri" w:cs="Times New Roman"/>
          <w:szCs w:val="24"/>
          <w:lang w:eastAsia="ar-SA"/>
        </w:rPr>
        <w:t>ūrā</w:t>
      </w:r>
      <w:r w:rsidR="001F204C">
        <w:rPr>
          <w:rFonts w:eastAsia="Calibri" w:cs="Times New Roman"/>
          <w:szCs w:val="24"/>
          <w:lang w:eastAsia="ar-SA"/>
        </w:rPr>
        <w:t xml:space="preserve"> un</w:t>
      </w:r>
      <w:r w:rsidR="001E15BC">
        <w:rPr>
          <w:rFonts w:eastAsia="Calibri" w:cs="Times New Roman"/>
          <w:szCs w:val="24"/>
          <w:lang w:eastAsia="ar-SA"/>
        </w:rPr>
        <w:t xml:space="preserve"> tika piemērota proporcionālā finanšu korekcija – 25% no noslēgtā līguma kopsummas.</w:t>
      </w:r>
    </w:p>
    <w:p w:rsidR="00F90642" w:rsidRDefault="004337A0" w:rsidP="00447ED7">
      <w:pPr>
        <w:suppressAutoHyphens/>
        <w:spacing w:before="80" w:after="80"/>
        <w:ind w:left="567" w:right="-3" w:firstLine="567"/>
        <w:jc w:val="both"/>
        <w:rPr>
          <w:szCs w:val="24"/>
        </w:rPr>
      </w:pPr>
      <w:r>
        <w:rPr>
          <w:szCs w:val="24"/>
          <w:lang w:eastAsia="ar-SA"/>
        </w:rPr>
        <w:t>Tieslietu ministrijas/</w:t>
      </w:r>
      <w:proofErr w:type="spellStart"/>
      <w:r>
        <w:rPr>
          <w:szCs w:val="24"/>
          <w:lang w:eastAsia="ar-SA"/>
        </w:rPr>
        <w:t>Iekšlietu</w:t>
      </w:r>
      <w:proofErr w:type="spellEnd"/>
      <w:r>
        <w:rPr>
          <w:szCs w:val="24"/>
          <w:lang w:eastAsia="ar-SA"/>
        </w:rPr>
        <w:t xml:space="preserve"> ministrijas administrētā projekta</w:t>
      </w:r>
      <w:r w:rsidR="00517DCC" w:rsidRPr="00E33EFD">
        <w:rPr>
          <w:rFonts w:eastAsia="Calibri" w:cs="Times New Roman"/>
          <w:szCs w:val="24"/>
          <w:lang w:eastAsia="ar-SA"/>
        </w:rPr>
        <w:t xml:space="preserve"> </w:t>
      </w:r>
      <w:r w:rsidR="001E15BC">
        <w:rPr>
          <w:rFonts w:eastAsia="Calibri" w:cs="Times New Roman"/>
          <w:szCs w:val="24"/>
          <w:lang w:eastAsia="ar-SA"/>
        </w:rPr>
        <w:t>darbiniece</w:t>
      </w:r>
      <w:r w:rsidR="009E1DFD" w:rsidRPr="00E33EFD">
        <w:rPr>
          <w:rFonts w:eastAsia="Calibri" w:cs="Times New Roman"/>
          <w:szCs w:val="24"/>
          <w:lang w:eastAsia="ar-SA"/>
        </w:rPr>
        <w:t xml:space="preserve"> </w:t>
      </w:r>
      <w:r w:rsidR="00A84079">
        <w:rPr>
          <w:rFonts w:eastAsia="Calibri" w:cs="Times New Roman"/>
          <w:szCs w:val="24"/>
          <w:lang w:eastAsia="ar-SA"/>
        </w:rPr>
        <w:t>veic</w:t>
      </w:r>
      <w:r w:rsidR="001E15BC">
        <w:rPr>
          <w:rFonts w:eastAsia="Calibri" w:cs="Times New Roman"/>
          <w:szCs w:val="24"/>
          <w:lang w:eastAsia="ar-SA"/>
        </w:rPr>
        <w:t>a</w:t>
      </w:r>
      <w:r w:rsidR="00A84079">
        <w:rPr>
          <w:rFonts w:eastAsia="Calibri" w:cs="Times New Roman"/>
          <w:szCs w:val="24"/>
          <w:lang w:eastAsia="ar-SA"/>
        </w:rPr>
        <w:t xml:space="preserve"> savus pienākumus </w:t>
      </w:r>
      <w:r w:rsidR="001E1648" w:rsidRPr="00E33EFD">
        <w:rPr>
          <w:rFonts w:eastAsia="Calibri" w:cs="Times New Roman"/>
          <w:szCs w:val="24"/>
          <w:lang w:eastAsia="ar-SA"/>
        </w:rPr>
        <w:t>projektā</w:t>
      </w:r>
      <w:r w:rsidR="00CC299E" w:rsidRPr="00E33EFD">
        <w:rPr>
          <w:rFonts w:eastAsia="Calibri" w:cs="Times New Roman"/>
          <w:szCs w:val="24"/>
          <w:lang w:eastAsia="ar-SA"/>
        </w:rPr>
        <w:t xml:space="preserve"> papildus tiešiem pienākumiem, par ko saņem virsstundu darba samaksu</w:t>
      </w:r>
      <w:r w:rsidR="001E15BC">
        <w:rPr>
          <w:rFonts w:eastAsia="Calibri" w:cs="Times New Roman"/>
          <w:szCs w:val="24"/>
          <w:lang w:eastAsia="ar-SA"/>
        </w:rPr>
        <w:t xml:space="preserve">. </w:t>
      </w:r>
      <w:r w:rsidR="00CC299E" w:rsidRPr="00E33EFD">
        <w:rPr>
          <w:rFonts w:eastAsia="Calibri" w:cs="Times New Roman"/>
          <w:szCs w:val="24"/>
          <w:lang w:eastAsia="ar-SA"/>
        </w:rPr>
        <w:t xml:space="preserve"> </w:t>
      </w:r>
      <w:r w:rsidR="007B03CB">
        <w:rPr>
          <w:szCs w:val="24"/>
        </w:rPr>
        <w:t>V</w:t>
      </w:r>
      <w:r w:rsidR="00517DCC" w:rsidRPr="00E33EFD">
        <w:rPr>
          <w:szCs w:val="24"/>
        </w:rPr>
        <w:t xml:space="preserve">irsstundas </w:t>
      </w:r>
      <w:r w:rsidR="007B03CB">
        <w:rPr>
          <w:szCs w:val="24"/>
        </w:rPr>
        <w:t>ir uzskaitītas arī tad</w:t>
      </w:r>
      <w:r w:rsidR="00517DCC" w:rsidRPr="00E33EFD">
        <w:rPr>
          <w:szCs w:val="24"/>
        </w:rPr>
        <w:t xml:space="preserve">, kad darbinieks atradies </w:t>
      </w:r>
      <w:r w:rsidR="007B03CB">
        <w:rPr>
          <w:szCs w:val="24"/>
        </w:rPr>
        <w:t>komandējumā</w:t>
      </w:r>
      <w:r w:rsidR="001E15BC">
        <w:rPr>
          <w:szCs w:val="24"/>
        </w:rPr>
        <w:t>.</w:t>
      </w:r>
      <w:r w:rsidR="002C22B0">
        <w:rPr>
          <w:szCs w:val="24"/>
        </w:rPr>
        <w:t xml:space="preserve"> </w:t>
      </w:r>
      <w:r w:rsidR="002C22B0">
        <w:rPr>
          <w:rFonts w:eastAsia="Calibri" w:cs="Times New Roman"/>
          <w:szCs w:val="24"/>
          <w:lang w:eastAsia="ar-SA"/>
        </w:rPr>
        <w:t>Vienā projektā bija nepareizi aprēķi</w:t>
      </w:r>
      <w:r w:rsidR="006C7116">
        <w:rPr>
          <w:rFonts w:eastAsia="Calibri" w:cs="Times New Roman"/>
          <w:szCs w:val="24"/>
          <w:lang w:eastAsia="ar-SA"/>
        </w:rPr>
        <w:t>n</w:t>
      </w:r>
      <w:r w:rsidR="002C22B0">
        <w:rPr>
          <w:rFonts w:eastAsia="Calibri" w:cs="Times New Roman"/>
          <w:szCs w:val="24"/>
          <w:lang w:eastAsia="ar-SA"/>
        </w:rPr>
        <w:t>āta atvaļinājuma naudas proporcija. Summa nav būtiska.</w:t>
      </w:r>
    </w:p>
    <w:p w:rsidR="009F1D6C" w:rsidRDefault="00F90642" w:rsidP="00447ED7">
      <w:pPr>
        <w:suppressAutoHyphens/>
        <w:spacing w:before="80" w:after="80"/>
        <w:ind w:left="567" w:right="-3" w:firstLine="567"/>
        <w:jc w:val="both"/>
        <w:rPr>
          <w:rFonts w:eastAsia="Calibri" w:cs="Times New Roman"/>
          <w:szCs w:val="24"/>
          <w:lang w:eastAsia="ar-SA"/>
        </w:rPr>
      </w:pPr>
      <w:r>
        <w:rPr>
          <w:rFonts w:eastAsia="Calibri" w:cs="Times New Roman"/>
          <w:szCs w:val="24"/>
          <w:lang w:eastAsia="ar-SA"/>
        </w:rPr>
        <w:t>Vienā projektā</w:t>
      </w:r>
      <w:r w:rsidR="009F1D6C" w:rsidRPr="00E33EFD">
        <w:rPr>
          <w:rFonts w:eastAsia="Calibri" w:cs="Times New Roman"/>
          <w:szCs w:val="24"/>
          <w:lang w:eastAsia="ar-SA"/>
        </w:rPr>
        <w:t xml:space="preserve"> ir konstatēt</w:t>
      </w:r>
      <w:r w:rsidR="00E4290E">
        <w:rPr>
          <w:rFonts w:eastAsia="Calibri" w:cs="Times New Roman"/>
          <w:szCs w:val="24"/>
          <w:lang w:eastAsia="ar-SA"/>
        </w:rPr>
        <w:t>as</w:t>
      </w:r>
      <w:r w:rsidR="009F1D6C" w:rsidRPr="00E33EFD">
        <w:rPr>
          <w:rFonts w:eastAsia="Calibri" w:cs="Times New Roman"/>
          <w:szCs w:val="24"/>
          <w:lang w:eastAsia="ar-SA"/>
        </w:rPr>
        <w:t xml:space="preserve"> nepilnības kapitālieguldījumu grāmatvedības uzskait</w:t>
      </w:r>
      <w:r w:rsidR="00E4290E">
        <w:rPr>
          <w:rFonts w:eastAsia="Calibri" w:cs="Times New Roman"/>
          <w:szCs w:val="24"/>
          <w:lang w:eastAsia="ar-SA"/>
        </w:rPr>
        <w:t>ē</w:t>
      </w:r>
      <w:r w:rsidR="009F1D6C" w:rsidRPr="00E33EFD">
        <w:rPr>
          <w:rFonts w:eastAsia="Calibri" w:cs="Times New Roman"/>
          <w:szCs w:val="24"/>
          <w:lang w:eastAsia="ar-SA"/>
        </w:rPr>
        <w:t xml:space="preserve">. </w:t>
      </w:r>
    </w:p>
    <w:p w:rsidR="00726927" w:rsidRDefault="00F90642" w:rsidP="006C7116">
      <w:pPr>
        <w:suppressAutoHyphens/>
        <w:spacing w:before="80" w:after="80"/>
        <w:ind w:left="567" w:right="-3" w:firstLine="567"/>
        <w:jc w:val="both"/>
        <w:rPr>
          <w:rFonts w:eastAsia="Calibri" w:cs="Times New Roman"/>
          <w:szCs w:val="24"/>
          <w:lang w:eastAsia="ar-SA"/>
        </w:rPr>
      </w:pPr>
      <w:r>
        <w:rPr>
          <w:rFonts w:eastAsia="Calibri" w:cs="Times New Roman"/>
          <w:szCs w:val="24"/>
          <w:lang w:eastAsia="ar-SA"/>
        </w:rPr>
        <w:t>Viens projekts</w:t>
      </w:r>
      <w:r w:rsidR="00517C6A">
        <w:rPr>
          <w:rFonts w:eastAsia="Calibri" w:cs="Times New Roman"/>
          <w:szCs w:val="24"/>
          <w:lang w:eastAsia="ar-SA"/>
        </w:rPr>
        <w:t xml:space="preserve"> “Rakstniecības un mūzikas muzeja rekonstrukcija”</w:t>
      </w:r>
      <w:r>
        <w:rPr>
          <w:rFonts w:eastAsia="Calibri" w:cs="Times New Roman"/>
          <w:szCs w:val="24"/>
          <w:lang w:eastAsia="ar-SA"/>
        </w:rPr>
        <w:t xml:space="preserve"> </w:t>
      </w:r>
      <w:r w:rsidR="002F2C99">
        <w:rPr>
          <w:rFonts w:eastAsia="Calibri" w:cs="Times New Roman"/>
          <w:szCs w:val="24"/>
          <w:lang w:eastAsia="ar-SA"/>
        </w:rPr>
        <w:t>netika pabeigts tā īstenošanas termiņā – līdz 30.04.2017. Visa</w:t>
      </w:r>
      <w:r w:rsidR="005249CC">
        <w:rPr>
          <w:rFonts w:eastAsia="Calibri" w:cs="Times New Roman"/>
          <w:szCs w:val="24"/>
          <w:lang w:eastAsia="ar-SA"/>
        </w:rPr>
        <w:t xml:space="preserve"> </w:t>
      </w:r>
      <w:r w:rsidR="002F2C99">
        <w:rPr>
          <w:rFonts w:eastAsia="Calibri" w:cs="Times New Roman"/>
          <w:szCs w:val="24"/>
          <w:lang w:eastAsia="ar-SA"/>
        </w:rPr>
        <w:t>Finanšu instrumentu birojam  iepriekš deklarētā summa 1 590 149 EUR ir atzīta par neatbilstoši veikto. Zi</w:t>
      </w:r>
      <w:r w:rsidR="00447ED7">
        <w:rPr>
          <w:rFonts w:eastAsia="Calibri" w:cs="Times New Roman"/>
          <w:szCs w:val="24"/>
          <w:lang w:eastAsia="ar-SA"/>
        </w:rPr>
        <w:t>ņojum</w:t>
      </w:r>
      <w:r w:rsidR="005249CC">
        <w:rPr>
          <w:rFonts w:eastAsia="Calibri" w:cs="Times New Roman"/>
          <w:szCs w:val="24"/>
          <w:lang w:eastAsia="ar-SA"/>
        </w:rPr>
        <w:t>u</w:t>
      </w:r>
      <w:r w:rsidR="002F2C99">
        <w:rPr>
          <w:rFonts w:eastAsia="Calibri" w:cs="Times New Roman"/>
          <w:szCs w:val="24"/>
          <w:lang w:eastAsia="ar-SA"/>
        </w:rPr>
        <w:t xml:space="preserve"> par konstatēto neatbilst</w:t>
      </w:r>
      <w:r w:rsidR="00447ED7">
        <w:rPr>
          <w:rFonts w:eastAsia="Calibri" w:cs="Times New Roman"/>
          <w:szCs w:val="24"/>
          <w:lang w:eastAsia="ar-SA"/>
        </w:rPr>
        <w:t>ību</w:t>
      </w:r>
      <w:r w:rsidR="002F2C99">
        <w:rPr>
          <w:rFonts w:eastAsia="Calibri" w:cs="Times New Roman"/>
          <w:szCs w:val="24"/>
          <w:lang w:eastAsia="ar-SA"/>
        </w:rPr>
        <w:t xml:space="preserve"> </w:t>
      </w:r>
      <w:r w:rsidR="00D078C9">
        <w:rPr>
          <w:rFonts w:eastAsia="Calibri" w:cs="Times New Roman"/>
          <w:szCs w:val="24"/>
          <w:lang w:eastAsia="ar-SA"/>
        </w:rPr>
        <w:t>08</w:t>
      </w:r>
      <w:r w:rsidR="00B175E7">
        <w:rPr>
          <w:rFonts w:eastAsia="Calibri" w:cs="Times New Roman"/>
          <w:szCs w:val="24"/>
          <w:lang w:eastAsia="ar-SA"/>
        </w:rPr>
        <w:t>.11.2017.</w:t>
      </w:r>
      <w:r w:rsidR="00447ED7">
        <w:rPr>
          <w:rFonts w:eastAsia="Calibri" w:cs="Times New Roman"/>
          <w:szCs w:val="24"/>
          <w:lang w:eastAsia="ar-SA"/>
        </w:rPr>
        <w:t xml:space="preserve"> sag</w:t>
      </w:r>
      <w:r w:rsidR="005249CC">
        <w:rPr>
          <w:rFonts w:eastAsia="Calibri" w:cs="Times New Roman"/>
          <w:szCs w:val="24"/>
          <w:lang w:eastAsia="ar-SA"/>
        </w:rPr>
        <w:t>a</w:t>
      </w:r>
      <w:r w:rsidR="00447ED7">
        <w:rPr>
          <w:rFonts w:eastAsia="Calibri" w:cs="Times New Roman"/>
          <w:szCs w:val="24"/>
          <w:lang w:eastAsia="ar-SA"/>
        </w:rPr>
        <w:t xml:space="preserve">tavoja Programmas </w:t>
      </w:r>
      <w:proofErr w:type="spellStart"/>
      <w:r w:rsidR="00447ED7">
        <w:rPr>
          <w:rFonts w:eastAsia="Calibri" w:cs="Times New Roman"/>
          <w:szCs w:val="24"/>
          <w:lang w:eastAsia="ar-SA"/>
        </w:rPr>
        <w:t>apsaimniekotājs</w:t>
      </w:r>
      <w:proofErr w:type="spellEnd"/>
      <w:r w:rsidR="00447ED7">
        <w:rPr>
          <w:rFonts w:eastAsia="Calibri" w:cs="Times New Roman"/>
          <w:szCs w:val="24"/>
          <w:lang w:eastAsia="ar-SA"/>
        </w:rPr>
        <w:t>.</w:t>
      </w:r>
    </w:p>
    <w:p w:rsidR="00A87FD1" w:rsidRDefault="00CF579A" w:rsidP="00447ED7">
      <w:pPr>
        <w:suppressAutoHyphens/>
        <w:spacing w:before="80" w:after="80"/>
        <w:ind w:left="567" w:right="-3" w:firstLine="567"/>
        <w:jc w:val="both"/>
        <w:rPr>
          <w:rFonts w:eastAsia="Calibri" w:cs="Times New Roman"/>
          <w:szCs w:val="24"/>
          <w:lang w:eastAsia="ar-SA"/>
        </w:rPr>
      </w:pPr>
      <w:r w:rsidRPr="00447ED7">
        <w:rPr>
          <w:rFonts w:eastAsia="Calibri" w:cs="Times New Roman"/>
          <w:szCs w:val="24"/>
          <w:lang w:eastAsia="ar-SA"/>
        </w:rPr>
        <w:t>Citas konstatētās nepiln</w:t>
      </w:r>
      <w:r w:rsidR="00447ED7" w:rsidRPr="00447ED7">
        <w:rPr>
          <w:rFonts w:eastAsia="Calibri" w:cs="Times New Roman"/>
          <w:szCs w:val="24"/>
          <w:lang w:eastAsia="ar-SA"/>
        </w:rPr>
        <w:t>ības ir bez finansiālās</w:t>
      </w:r>
      <w:r w:rsidRPr="00447ED7">
        <w:rPr>
          <w:rFonts w:eastAsia="Calibri" w:cs="Times New Roman"/>
          <w:szCs w:val="24"/>
          <w:lang w:eastAsia="ar-SA"/>
        </w:rPr>
        <w:t xml:space="preserve"> ietekmes: </w:t>
      </w:r>
      <w:r w:rsidR="005A4418">
        <w:rPr>
          <w:rFonts w:eastAsia="Calibri" w:cs="Times New Roman"/>
          <w:szCs w:val="24"/>
          <w:lang w:eastAsia="ar-SA"/>
        </w:rPr>
        <w:t>viena</w:t>
      </w:r>
      <w:r w:rsidR="005A4418" w:rsidRPr="00447ED7">
        <w:rPr>
          <w:rFonts w:eastAsia="Calibri" w:cs="Times New Roman"/>
          <w:szCs w:val="24"/>
          <w:lang w:eastAsia="ar-SA"/>
        </w:rPr>
        <w:t xml:space="preserve"> </w:t>
      </w:r>
      <w:r w:rsidR="009118B0" w:rsidRPr="00447ED7">
        <w:rPr>
          <w:rFonts w:eastAsia="Calibri" w:cs="Times New Roman"/>
          <w:szCs w:val="24"/>
          <w:lang w:eastAsia="ar-SA"/>
        </w:rPr>
        <w:t>projekta ietvaros iegādātā iekārta pēc projekta īstenošanas beigām tika pārvietota un atrodas izgatavotāja un piegādātāja teritorijā.</w:t>
      </w:r>
      <w:r w:rsidR="00447ED7" w:rsidRPr="00447ED7">
        <w:rPr>
          <w:rFonts w:eastAsia="Calibri" w:cs="Times New Roman"/>
          <w:szCs w:val="24"/>
          <w:lang w:eastAsia="ar-SA"/>
        </w:rPr>
        <w:t xml:space="preserve"> Revīzijas iestāde izteica ieteikumu Aģentūrai pārliecināties par </w:t>
      </w:r>
      <w:r w:rsidR="00447ED7" w:rsidRPr="00447ED7">
        <w:rPr>
          <w:color w:val="000000" w:themeColor="text1"/>
          <w:szCs w:val="24"/>
        </w:rPr>
        <w:t>iekārtas izmantošanu atbilstoši projektā paredzētajam mērķim</w:t>
      </w:r>
      <w:r w:rsidR="00447ED7">
        <w:rPr>
          <w:color w:val="000000" w:themeColor="text1"/>
          <w:szCs w:val="24"/>
        </w:rPr>
        <w:t>.</w:t>
      </w:r>
      <w:r w:rsidR="00447ED7">
        <w:rPr>
          <w:rFonts w:eastAsia="Calibri" w:cs="Times New Roman"/>
          <w:szCs w:val="24"/>
          <w:lang w:eastAsia="ar-SA"/>
        </w:rPr>
        <w:t xml:space="preserve"> </w:t>
      </w:r>
    </w:p>
    <w:p w:rsidR="00CF579A" w:rsidRPr="00E33EFD" w:rsidRDefault="00CF579A" w:rsidP="00447ED7">
      <w:pPr>
        <w:suppressAutoHyphens/>
        <w:spacing w:before="80" w:after="80"/>
        <w:ind w:left="567" w:right="-3" w:firstLine="567"/>
        <w:jc w:val="both"/>
        <w:rPr>
          <w:rFonts w:eastAsia="Calibri" w:cs="Times New Roman"/>
          <w:szCs w:val="24"/>
          <w:lang w:eastAsia="ar-SA"/>
        </w:rPr>
      </w:pPr>
      <w:r>
        <w:rPr>
          <w:rFonts w:eastAsia="Calibri" w:cs="Times New Roman"/>
          <w:szCs w:val="24"/>
          <w:lang w:eastAsia="ar-SA"/>
        </w:rPr>
        <w:t xml:space="preserve">Latvijas Investīciju un attīstības aģentūra kā Aģentūra ir samazinājusi </w:t>
      </w:r>
      <w:r w:rsidR="005E5A29">
        <w:rPr>
          <w:rFonts w:eastAsia="Calibri" w:cs="Times New Roman"/>
          <w:szCs w:val="24"/>
          <w:lang w:eastAsia="ar-SA"/>
        </w:rPr>
        <w:t>n</w:t>
      </w:r>
      <w:r w:rsidR="005E5A29" w:rsidRPr="00CF579A">
        <w:rPr>
          <w:rFonts w:eastAsia="Calibri" w:cs="Times New Roman"/>
          <w:szCs w:val="24"/>
          <w:lang w:eastAsia="ar-SA"/>
        </w:rPr>
        <w:t xml:space="preserve">eliela </w:t>
      </w:r>
      <w:r w:rsidRPr="00CF579A">
        <w:rPr>
          <w:rFonts w:eastAsia="Calibri" w:cs="Times New Roman"/>
          <w:szCs w:val="24"/>
          <w:lang w:eastAsia="ar-SA"/>
        </w:rPr>
        <w:t xml:space="preserve">apjoma </w:t>
      </w:r>
      <w:proofErr w:type="spellStart"/>
      <w:r w:rsidRPr="00CF579A">
        <w:rPr>
          <w:rFonts w:eastAsia="Calibri" w:cs="Times New Roman"/>
          <w:szCs w:val="24"/>
          <w:lang w:eastAsia="ar-SA"/>
        </w:rPr>
        <w:t>grantu</w:t>
      </w:r>
      <w:proofErr w:type="spellEnd"/>
      <w:r w:rsidRPr="00CF579A">
        <w:rPr>
          <w:rFonts w:eastAsia="Calibri" w:cs="Times New Roman"/>
          <w:szCs w:val="24"/>
          <w:lang w:eastAsia="ar-SA"/>
        </w:rPr>
        <w:t xml:space="preserve"> shēmas konkursa</w:t>
      </w:r>
      <w:r>
        <w:rPr>
          <w:rFonts w:eastAsia="Calibri" w:cs="Times New Roman"/>
          <w:szCs w:val="24"/>
          <w:lang w:eastAsia="ar-SA"/>
        </w:rPr>
        <w:t xml:space="preserve"> projektiem (23 </w:t>
      </w:r>
      <w:proofErr w:type="spellStart"/>
      <w:r>
        <w:rPr>
          <w:rFonts w:eastAsia="Calibri" w:cs="Times New Roman"/>
          <w:szCs w:val="24"/>
          <w:lang w:eastAsia="ar-SA"/>
        </w:rPr>
        <w:t>gb</w:t>
      </w:r>
      <w:proofErr w:type="spellEnd"/>
      <w:r w:rsidR="006C7116">
        <w:rPr>
          <w:rFonts w:eastAsia="Calibri" w:cs="Times New Roman"/>
          <w:szCs w:val="24"/>
          <w:lang w:eastAsia="ar-SA"/>
        </w:rPr>
        <w:t>.</w:t>
      </w:r>
      <w:r>
        <w:rPr>
          <w:rFonts w:eastAsia="Calibri" w:cs="Times New Roman"/>
          <w:szCs w:val="24"/>
          <w:lang w:eastAsia="ar-SA"/>
        </w:rPr>
        <w:t xml:space="preserve">) </w:t>
      </w:r>
      <w:proofErr w:type="spellStart"/>
      <w:r>
        <w:rPr>
          <w:rFonts w:eastAsia="Calibri" w:cs="Times New Roman"/>
          <w:szCs w:val="24"/>
          <w:lang w:eastAsia="ar-SA"/>
        </w:rPr>
        <w:t>pēcuzraudzības</w:t>
      </w:r>
      <w:proofErr w:type="spellEnd"/>
      <w:r>
        <w:rPr>
          <w:rFonts w:eastAsia="Calibri" w:cs="Times New Roman"/>
          <w:szCs w:val="24"/>
          <w:lang w:eastAsia="ar-SA"/>
        </w:rPr>
        <w:t xml:space="preserve"> periodu no </w:t>
      </w:r>
      <w:r w:rsidR="005E5A29">
        <w:rPr>
          <w:rFonts w:eastAsia="Calibri" w:cs="Times New Roman"/>
          <w:szCs w:val="24"/>
          <w:lang w:eastAsia="ar-SA"/>
        </w:rPr>
        <w:t xml:space="preserve">pieciem </w:t>
      </w:r>
      <w:r>
        <w:rPr>
          <w:rFonts w:eastAsia="Calibri" w:cs="Times New Roman"/>
          <w:szCs w:val="24"/>
          <w:lang w:eastAsia="ar-SA"/>
        </w:rPr>
        <w:t xml:space="preserve">gadiem uz </w:t>
      </w:r>
      <w:r w:rsidR="005E5A29">
        <w:rPr>
          <w:rFonts w:eastAsia="Calibri" w:cs="Times New Roman"/>
          <w:szCs w:val="24"/>
          <w:lang w:eastAsia="ar-SA"/>
        </w:rPr>
        <w:t xml:space="preserve">vienu </w:t>
      </w:r>
      <w:r>
        <w:rPr>
          <w:rFonts w:eastAsia="Calibri" w:cs="Times New Roman"/>
          <w:szCs w:val="24"/>
          <w:lang w:eastAsia="ar-SA"/>
        </w:rPr>
        <w:t>gadu. Tajā pašā laikā</w:t>
      </w:r>
      <w:r w:rsidR="005249CC">
        <w:rPr>
          <w:rFonts w:eastAsia="Calibri" w:cs="Times New Roman"/>
          <w:szCs w:val="24"/>
          <w:lang w:eastAsia="ar-SA"/>
        </w:rPr>
        <w:t xml:space="preserve"> Revīzijas iestāde,</w:t>
      </w:r>
      <w:r>
        <w:rPr>
          <w:rFonts w:eastAsia="Calibri" w:cs="Times New Roman"/>
          <w:szCs w:val="24"/>
          <w:lang w:eastAsia="ar-SA"/>
        </w:rPr>
        <w:t xml:space="preserve"> veicot pārbaudi vienā no programmas projektiem, konstat</w:t>
      </w:r>
      <w:r w:rsidR="005249CC">
        <w:rPr>
          <w:rFonts w:eastAsia="Calibri" w:cs="Times New Roman"/>
          <w:szCs w:val="24"/>
          <w:lang w:eastAsia="ar-SA"/>
        </w:rPr>
        <w:t>ēja</w:t>
      </w:r>
      <w:r>
        <w:rPr>
          <w:rFonts w:eastAsia="Calibri" w:cs="Times New Roman"/>
          <w:szCs w:val="24"/>
          <w:lang w:eastAsia="ar-SA"/>
        </w:rPr>
        <w:t>, ka 97.5% no projekta ietvaros saražotās produkcijas nav izmantot</w:t>
      </w:r>
      <w:r w:rsidR="00A87FD1">
        <w:rPr>
          <w:rFonts w:eastAsia="Calibri" w:cs="Times New Roman"/>
          <w:szCs w:val="24"/>
          <w:lang w:eastAsia="ar-SA"/>
        </w:rPr>
        <w:t>a</w:t>
      </w:r>
      <w:r>
        <w:rPr>
          <w:rFonts w:eastAsia="Calibri" w:cs="Times New Roman"/>
          <w:szCs w:val="24"/>
          <w:lang w:eastAsia="ar-SA"/>
        </w:rPr>
        <w:t xml:space="preserve"> atbilstoši projekta mērķim, bet atrodas finansējuma saņēmēja noliktav</w:t>
      </w:r>
      <w:r w:rsidR="00427E9C">
        <w:rPr>
          <w:rFonts w:eastAsia="Calibri" w:cs="Times New Roman"/>
          <w:szCs w:val="24"/>
          <w:lang w:eastAsia="ar-SA"/>
        </w:rPr>
        <w:t>ā</w:t>
      </w:r>
      <w:r w:rsidR="00A87FD1">
        <w:rPr>
          <w:rFonts w:eastAsia="Calibri" w:cs="Times New Roman"/>
          <w:szCs w:val="24"/>
          <w:lang w:eastAsia="ar-SA"/>
        </w:rPr>
        <w:t>.</w:t>
      </w:r>
      <w:r w:rsidR="00427E9C">
        <w:rPr>
          <w:rFonts w:eastAsia="Calibri" w:cs="Times New Roman"/>
          <w:szCs w:val="24"/>
          <w:lang w:eastAsia="ar-SA"/>
        </w:rPr>
        <w:t xml:space="preserve"> </w:t>
      </w:r>
      <w:r w:rsidR="00A87FD1">
        <w:rPr>
          <w:rFonts w:eastAsia="Calibri" w:cs="Times New Roman"/>
          <w:szCs w:val="24"/>
          <w:lang w:eastAsia="ar-SA"/>
        </w:rPr>
        <w:t>P</w:t>
      </w:r>
      <w:r w:rsidR="00427E9C">
        <w:rPr>
          <w:rFonts w:eastAsia="Calibri" w:cs="Times New Roman"/>
          <w:szCs w:val="24"/>
          <w:lang w:eastAsia="ar-SA"/>
        </w:rPr>
        <w:t xml:space="preserve">rojekta </w:t>
      </w:r>
      <w:proofErr w:type="spellStart"/>
      <w:r w:rsidR="00427E9C">
        <w:rPr>
          <w:rFonts w:eastAsia="Calibri" w:cs="Times New Roman"/>
          <w:szCs w:val="24"/>
          <w:lang w:eastAsia="ar-SA"/>
        </w:rPr>
        <w:t>pēcuzraudzības</w:t>
      </w:r>
      <w:proofErr w:type="spellEnd"/>
      <w:r w:rsidR="00427E9C">
        <w:rPr>
          <w:rFonts w:eastAsia="Calibri" w:cs="Times New Roman"/>
          <w:szCs w:val="24"/>
          <w:lang w:eastAsia="ar-SA"/>
        </w:rPr>
        <w:t xml:space="preserve"> periods ir beidzies</w:t>
      </w:r>
      <w:r w:rsidR="00A87FD1">
        <w:rPr>
          <w:rFonts w:eastAsia="Calibri" w:cs="Times New Roman"/>
          <w:szCs w:val="24"/>
          <w:lang w:eastAsia="ar-SA"/>
        </w:rPr>
        <w:t>, taču ilgtspēja nav nodrošināta</w:t>
      </w:r>
      <w:r w:rsidR="00427E9C">
        <w:rPr>
          <w:rFonts w:eastAsia="Calibri" w:cs="Times New Roman"/>
          <w:szCs w:val="24"/>
          <w:lang w:eastAsia="ar-SA"/>
        </w:rPr>
        <w:t xml:space="preserve">. </w:t>
      </w:r>
    </w:p>
    <w:p w:rsidR="00C108CA" w:rsidRPr="0078377E" w:rsidRDefault="00611FEB" w:rsidP="00447ED7">
      <w:pPr>
        <w:suppressAutoHyphens/>
        <w:spacing w:before="240" w:after="80"/>
        <w:ind w:right="-3"/>
        <w:jc w:val="center"/>
        <w:rPr>
          <w:rFonts w:eastAsia="Calibri" w:cs="Times New Roman"/>
          <w:b/>
          <w:bCs/>
          <w:color w:val="000000"/>
          <w:sz w:val="28"/>
          <w:szCs w:val="24"/>
          <w:lang w:eastAsia="ar-SA"/>
        </w:rPr>
      </w:pPr>
      <w:r w:rsidRPr="0078377E">
        <w:rPr>
          <w:rFonts w:eastAsia="Calibri" w:cs="Times New Roman"/>
          <w:b/>
          <w:bCs/>
          <w:color w:val="000000"/>
          <w:sz w:val="28"/>
          <w:szCs w:val="24"/>
          <w:lang w:eastAsia="ar-SA"/>
        </w:rPr>
        <w:t>4</w:t>
      </w:r>
      <w:r w:rsidR="008D4FA8" w:rsidRPr="0078377E">
        <w:rPr>
          <w:rFonts w:eastAsia="Calibri" w:cs="Times New Roman"/>
          <w:b/>
          <w:bCs/>
          <w:color w:val="000000"/>
          <w:sz w:val="28"/>
          <w:szCs w:val="24"/>
          <w:lang w:eastAsia="ar-SA"/>
        </w:rPr>
        <w:t xml:space="preserve">. Kopsavilkums </w:t>
      </w:r>
    </w:p>
    <w:p w:rsidR="00341073" w:rsidRDefault="008D4FA8" w:rsidP="00447ED7">
      <w:pPr>
        <w:suppressAutoHyphens/>
        <w:spacing w:before="80" w:after="80"/>
        <w:ind w:left="567" w:right="-3" w:firstLine="567"/>
        <w:jc w:val="both"/>
        <w:rPr>
          <w:rFonts w:eastAsia="Calibri" w:cs="Times New Roman"/>
          <w:szCs w:val="24"/>
          <w:lang w:eastAsia="ar-SA"/>
        </w:rPr>
      </w:pPr>
      <w:r w:rsidRPr="0078377E">
        <w:rPr>
          <w:rFonts w:eastAsia="Calibri" w:cs="Times New Roman"/>
          <w:szCs w:val="24"/>
          <w:lang w:eastAsia="ar-SA"/>
        </w:rPr>
        <w:t>Balstotie</w:t>
      </w:r>
      <w:r w:rsidR="00BF226B" w:rsidRPr="0078377E">
        <w:rPr>
          <w:rFonts w:eastAsia="Calibri" w:cs="Times New Roman"/>
          <w:szCs w:val="24"/>
          <w:lang w:eastAsia="ar-SA"/>
        </w:rPr>
        <w:t>s uz veikto sistēmu</w:t>
      </w:r>
      <w:r w:rsidRPr="0078377E">
        <w:rPr>
          <w:rFonts w:eastAsia="Calibri" w:cs="Times New Roman"/>
          <w:szCs w:val="24"/>
          <w:lang w:eastAsia="ar-SA"/>
        </w:rPr>
        <w:t xml:space="preserve"> un </w:t>
      </w:r>
      <w:r w:rsidR="00BF226B" w:rsidRPr="0078377E">
        <w:rPr>
          <w:rFonts w:eastAsia="Calibri" w:cs="Times New Roman"/>
          <w:szCs w:val="24"/>
          <w:lang w:eastAsia="ar-SA"/>
        </w:rPr>
        <w:t>projektu</w:t>
      </w:r>
      <w:r w:rsidRPr="0078377E">
        <w:rPr>
          <w:rFonts w:eastAsia="Calibri" w:cs="Times New Roman"/>
          <w:szCs w:val="24"/>
          <w:lang w:eastAsia="ar-SA"/>
        </w:rPr>
        <w:t xml:space="preserve"> </w:t>
      </w:r>
      <w:r w:rsidR="009620A0" w:rsidRPr="0078377E">
        <w:rPr>
          <w:rFonts w:eastAsia="Calibri" w:cs="Times New Roman"/>
          <w:szCs w:val="24"/>
          <w:lang w:eastAsia="ar-SA"/>
        </w:rPr>
        <w:t>revīziju</w:t>
      </w:r>
      <w:r w:rsidR="00BF226B" w:rsidRPr="0078377E">
        <w:rPr>
          <w:rFonts w:eastAsia="Calibri" w:cs="Times New Roman"/>
          <w:szCs w:val="24"/>
          <w:lang w:eastAsia="ar-SA"/>
        </w:rPr>
        <w:t xml:space="preserve"> rezultātiem un ie</w:t>
      </w:r>
      <w:r w:rsidR="006B4589" w:rsidRPr="0078377E">
        <w:rPr>
          <w:rFonts w:eastAsia="Calibri" w:cs="Times New Roman"/>
          <w:szCs w:val="24"/>
          <w:lang w:eastAsia="ar-SA"/>
        </w:rPr>
        <w:t xml:space="preserve">gūtajiem auditu pierādījumiem, </w:t>
      </w:r>
      <w:r w:rsidR="00AA3658" w:rsidRPr="0078377E">
        <w:rPr>
          <w:rFonts w:eastAsia="Calibri" w:cs="Times New Roman"/>
          <w:szCs w:val="24"/>
          <w:lang w:eastAsia="ar-SA"/>
        </w:rPr>
        <w:t>R</w:t>
      </w:r>
      <w:r w:rsidR="00BF226B" w:rsidRPr="0078377E">
        <w:rPr>
          <w:rFonts w:eastAsia="Calibri" w:cs="Times New Roman"/>
          <w:szCs w:val="24"/>
          <w:lang w:eastAsia="ar-SA"/>
        </w:rPr>
        <w:t>evīzijas iestāde secināja, ka Latvijā izveidotā Finanšu instrumentu sistēma ir vērtējama 2.kategorijā</w:t>
      </w:r>
      <w:r w:rsidR="00B175E7">
        <w:rPr>
          <w:rFonts w:eastAsia="Calibri" w:cs="Times New Roman"/>
          <w:szCs w:val="24"/>
          <w:lang w:eastAsia="ar-SA"/>
        </w:rPr>
        <w:t xml:space="preserve"> </w:t>
      </w:r>
      <w:r w:rsidR="00BF226B" w:rsidRPr="0078377E">
        <w:rPr>
          <w:rFonts w:eastAsia="Calibri" w:cs="Times New Roman"/>
          <w:szCs w:val="24"/>
          <w:lang w:eastAsia="ar-SA"/>
        </w:rPr>
        <w:t>(sistēma darbojas, taču tajā ir nepieciešami atsevišķi pilnveidojumi</w:t>
      </w:r>
      <w:r w:rsidR="00B175E7">
        <w:rPr>
          <w:rFonts w:eastAsia="Calibri" w:cs="Times New Roman"/>
          <w:szCs w:val="24"/>
          <w:lang w:eastAsia="ar-SA"/>
        </w:rPr>
        <w:t xml:space="preserve"> būvniecības projektu uzraudzībā</w:t>
      </w:r>
      <w:r w:rsidR="00BF226B" w:rsidRPr="0078377E">
        <w:rPr>
          <w:rFonts w:eastAsia="Calibri" w:cs="Times New Roman"/>
          <w:szCs w:val="24"/>
          <w:lang w:eastAsia="ar-SA"/>
        </w:rPr>
        <w:t>) un</w:t>
      </w:r>
      <w:r w:rsidR="005F7CEB">
        <w:rPr>
          <w:rFonts w:eastAsia="Calibri" w:cs="Times New Roman"/>
          <w:szCs w:val="24"/>
          <w:lang w:eastAsia="ar-SA"/>
        </w:rPr>
        <w:t xml:space="preserve"> atklātais kļūdas līmenis ir </w:t>
      </w:r>
      <w:r w:rsidR="00B175E7">
        <w:rPr>
          <w:rFonts w:eastAsia="Calibri" w:cs="Times New Roman"/>
          <w:szCs w:val="24"/>
          <w:lang w:eastAsia="ar-SA"/>
        </w:rPr>
        <w:t>2.6</w:t>
      </w:r>
      <w:r w:rsidR="00C23CB9">
        <w:rPr>
          <w:rFonts w:eastAsia="Calibri" w:cs="Times New Roman"/>
          <w:szCs w:val="24"/>
          <w:lang w:eastAsia="ar-SA"/>
        </w:rPr>
        <w:t>%</w:t>
      </w:r>
      <w:r w:rsidR="00BF226B" w:rsidRPr="0078377E">
        <w:rPr>
          <w:rFonts w:eastAsia="Calibri" w:cs="Times New Roman"/>
          <w:szCs w:val="24"/>
          <w:lang w:eastAsia="ar-SA"/>
        </w:rPr>
        <w:t xml:space="preserve"> ir </w:t>
      </w:r>
      <w:r w:rsidR="00B175E7">
        <w:rPr>
          <w:rFonts w:eastAsia="Calibri" w:cs="Times New Roman"/>
          <w:szCs w:val="24"/>
          <w:lang w:eastAsia="ar-SA"/>
        </w:rPr>
        <w:t>virs</w:t>
      </w:r>
      <w:r w:rsidR="00BF226B" w:rsidRPr="0078377E">
        <w:rPr>
          <w:rFonts w:eastAsia="Calibri" w:cs="Times New Roman"/>
          <w:szCs w:val="24"/>
          <w:lang w:eastAsia="ar-SA"/>
        </w:rPr>
        <w:t xml:space="preserve"> </w:t>
      </w:r>
      <w:r w:rsidR="00B175E7">
        <w:rPr>
          <w:rFonts w:eastAsia="Calibri" w:cs="Times New Roman"/>
          <w:szCs w:val="24"/>
          <w:lang w:eastAsia="ar-SA"/>
        </w:rPr>
        <w:t xml:space="preserve">būtiskuma </w:t>
      </w:r>
      <w:r w:rsidR="00447ED7">
        <w:rPr>
          <w:rFonts w:eastAsia="Calibri" w:cs="Times New Roman"/>
          <w:szCs w:val="24"/>
          <w:lang w:eastAsia="ar-SA"/>
        </w:rPr>
        <w:t>sliekšņa</w:t>
      </w:r>
      <w:r w:rsidR="00BF226B" w:rsidRPr="0078377E">
        <w:rPr>
          <w:rFonts w:eastAsia="Calibri" w:cs="Times New Roman"/>
          <w:szCs w:val="24"/>
          <w:lang w:eastAsia="ar-SA"/>
        </w:rPr>
        <w:t xml:space="preserve"> (</w:t>
      </w:r>
      <w:r w:rsidR="002E6930">
        <w:rPr>
          <w:rFonts w:eastAsia="Calibri" w:cs="Times New Roman"/>
          <w:szCs w:val="24"/>
          <w:lang w:eastAsia="ar-SA"/>
        </w:rPr>
        <w:t>2%</w:t>
      </w:r>
      <w:r w:rsidR="00BF226B" w:rsidRPr="0078377E">
        <w:rPr>
          <w:rFonts w:eastAsia="Calibri" w:cs="Times New Roman"/>
          <w:szCs w:val="24"/>
          <w:lang w:eastAsia="ar-SA"/>
        </w:rPr>
        <w:t xml:space="preserve">), līdz ar to </w:t>
      </w:r>
      <w:proofErr w:type="spellStart"/>
      <w:r w:rsidR="00F51A2C" w:rsidRPr="0078377E">
        <w:rPr>
          <w:rFonts w:eastAsia="Calibri" w:cs="Times New Roman"/>
          <w:szCs w:val="24"/>
          <w:lang w:eastAsia="ar-SA"/>
        </w:rPr>
        <w:t>D</w:t>
      </w:r>
      <w:r w:rsidR="00BF226B" w:rsidRPr="0078377E">
        <w:rPr>
          <w:rFonts w:eastAsia="Calibri" w:cs="Times New Roman"/>
          <w:szCs w:val="24"/>
          <w:lang w:eastAsia="ar-SA"/>
        </w:rPr>
        <w:t>onorvalstīm</w:t>
      </w:r>
      <w:proofErr w:type="spellEnd"/>
      <w:r w:rsidR="00BF226B" w:rsidRPr="0078377E">
        <w:rPr>
          <w:rFonts w:eastAsia="Calibri" w:cs="Times New Roman"/>
          <w:szCs w:val="24"/>
          <w:lang w:eastAsia="ar-SA"/>
        </w:rPr>
        <w:t xml:space="preserve"> tika iesnie</w:t>
      </w:r>
      <w:r w:rsidR="00B175E7">
        <w:rPr>
          <w:rFonts w:eastAsia="Calibri" w:cs="Times New Roman"/>
          <w:szCs w:val="24"/>
          <w:lang w:eastAsia="ar-SA"/>
        </w:rPr>
        <w:t>gts audita atzinums ar iebildi</w:t>
      </w:r>
      <w:r w:rsidR="006C7116">
        <w:rPr>
          <w:rFonts w:eastAsia="Calibri" w:cs="Times New Roman"/>
          <w:szCs w:val="24"/>
          <w:lang w:eastAsia="ar-SA"/>
        </w:rPr>
        <w:t>.</w:t>
      </w:r>
      <w:r w:rsidR="00341073">
        <w:rPr>
          <w:rFonts w:eastAsia="Calibri" w:cs="Times New Roman"/>
          <w:szCs w:val="24"/>
          <w:lang w:eastAsia="ar-SA"/>
        </w:rPr>
        <w:t xml:space="preserve"> </w:t>
      </w:r>
    </w:p>
    <w:p w:rsidR="008D4FA8" w:rsidRDefault="00341073" w:rsidP="00447ED7">
      <w:pPr>
        <w:suppressAutoHyphens/>
        <w:spacing w:before="80" w:after="80"/>
        <w:ind w:left="567" w:right="-3" w:firstLine="567"/>
        <w:jc w:val="both"/>
        <w:rPr>
          <w:rFonts w:eastAsia="Calibri" w:cs="Times New Roman"/>
          <w:szCs w:val="24"/>
          <w:lang w:eastAsia="ar-SA"/>
        </w:rPr>
      </w:pPr>
      <w:r>
        <w:rPr>
          <w:rFonts w:eastAsia="Calibri" w:cs="Times New Roman"/>
          <w:szCs w:val="24"/>
          <w:lang w:eastAsia="ar-SA"/>
        </w:rPr>
        <w:t>Papi</w:t>
      </w:r>
      <w:r w:rsidR="00EC7FD3">
        <w:rPr>
          <w:rFonts w:eastAsia="Calibri" w:cs="Times New Roman"/>
          <w:szCs w:val="24"/>
          <w:lang w:eastAsia="ar-SA"/>
        </w:rPr>
        <w:t xml:space="preserve">ldus tam, </w:t>
      </w:r>
      <w:r w:rsidR="007B733C" w:rsidRPr="00621BBD">
        <w:rPr>
          <w:rFonts w:eastAsia="Calibri" w:cs="Times New Roman"/>
          <w:szCs w:val="24"/>
          <w:lang w:eastAsia="ar-SA"/>
        </w:rPr>
        <w:t>Revīzijas iestāde</w:t>
      </w:r>
      <w:r w:rsidR="007B733C" w:rsidDel="007B733C">
        <w:rPr>
          <w:rFonts w:eastAsia="Calibri" w:cs="Times New Roman"/>
          <w:szCs w:val="24"/>
          <w:lang w:eastAsia="ar-SA"/>
        </w:rPr>
        <w:t xml:space="preserve"> </w:t>
      </w:r>
      <w:r w:rsidR="00EC7FD3">
        <w:rPr>
          <w:rFonts w:eastAsia="Calibri" w:cs="Times New Roman"/>
          <w:szCs w:val="24"/>
          <w:lang w:eastAsia="ar-SA"/>
        </w:rPr>
        <w:t>konst</w:t>
      </w:r>
      <w:r>
        <w:rPr>
          <w:rFonts w:eastAsia="Calibri" w:cs="Times New Roman"/>
          <w:szCs w:val="24"/>
          <w:lang w:eastAsia="ar-SA"/>
        </w:rPr>
        <w:t>a</w:t>
      </w:r>
      <w:r w:rsidR="00EC7FD3">
        <w:rPr>
          <w:rFonts w:eastAsia="Calibri" w:cs="Times New Roman"/>
          <w:szCs w:val="24"/>
          <w:lang w:eastAsia="ar-SA"/>
        </w:rPr>
        <w:t>t</w:t>
      </w:r>
      <w:r>
        <w:rPr>
          <w:rFonts w:eastAsia="Calibri" w:cs="Times New Roman"/>
          <w:szCs w:val="24"/>
          <w:lang w:eastAsia="ar-SA"/>
        </w:rPr>
        <w:t>ēja, ka, lai arī kontroles sistēma</w:t>
      </w:r>
      <w:r w:rsidR="00F311EB">
        <w:rPr>
          <w:rFonts w:eastAsia="Calibri" w:cs="Times New Roman"/>
          <w:szCs w:val="24"/>
          <w:lang w:eastAsia="ar-SA"/>
        </w:rPr>
        <w:t xml:space="preserve"> kopumā</w:t>
      </w:r>
      <w:r>
        <w:rPr>
          <w:rFonts w:eastAsia="Calibri" w:cs="Times New Roman"/>
          <w:szCs w:val="24"/>
          <w:lang w:eastAsia="ar-SA"/>
        </w:rPr>
        <w:t xml:space="preserve"> ir izveidota atbilstoši </w:t>
      </w:r>
      <w:proofErr w:type="spellStart"/>
      <w:r>
        <w:rPr>
          <w:rFonts w:eastAsia="Calibri" w:cs="Times New Roman"/>
          <w:szCs w:val="24"/>
          <w:lang w:eastAsia="ar-SA"/>
        </w:rPr>
        <w:t>Donorvalstu</w:t>
      </w:r>
      <w:proofErr w:type="spellEnd"/>
      <w:r>
        <w:rPr>
          <w:rFonts w:eastAsia="Calibri" w:cs="Times New Roman"/>
          <w:szCs w:val="24"/>
          <w:lang w:eastAsia="ar-SA"/>
        </w:rPr>
        <w:t xml:space="preserve"> noteikumiem, tās efektivitāte nav pietiekama un </w:t>
      </w:r>
      <w:r w:rsidR="007B733C" w:rsidRPr="00621BBD">
        <w:rPr>
          <w:rFonts w:eastAsia="Calibri" w:cs="Times New Roman"/>
          <w:szCs w:val="24"/>
          <w:lang w:eastAsia="ar-SA"/>
        </w:rPr>
        <w:t>Revīzijas iestāde</w:t>
      </w:r>
      <w:r w:rsidR="007B733C" w:rsidDel="007B733C">
        <w:rPr>
          <w:rFonts w:eastAsia="Calibri" w:cs="Times New Roman"/>
          <w:szCs w:val="24"/>
          <w:lang w:eastAsia="ar-SA"/>
        </w:rPr>
        <w:t xml:space="preserve"> </w:t>
      </w:r>
      <w:r>
        <w:rPr>
          <w:rFonts w:eastAsia="Calibri" w:cs="Times New Roman"/>
          <w:szCs w:val="24"/>
          <w:lang w:eastAsia="ar-SA"/>
        </w:rPr>
        <w:t xml:space="preserve">programmas noslēgumā nāksies veikt liela apjoma </w:t>
      </w:r>
      <w:r w:rsidR="00EC7FD3">
        <w:rPr>
          <w:rFonts w:eastAsia="Calibri" w:cs="Times New Roman"/>
          <w:szCs w:val="24"/>
          <w:lang w:eastAsia="ar-SA"/>
        </w:rPr>
        <w:t>detalizētās</w:t>
      </w:r>
      <w:r>
        <w:rPr>
          <w:rFonts w:eastAsia="Calibri" w:cs="Times New Roman"/>
          <w:szCs w:val="24"/>
          <w:lang w:eastAsia="ar-SA"/>
        </w:rPr>
        <w:t xml:space="preserve"> procedūras.</w:t>
      </w:r>
    </w:p>
    <w:p w:rsidR="00FA0090" w:rsidRDefault="00FA0090" w:rsidP="00447ED7">
      <w:pPr>
        <w:suppressAutoHyphens/>
        <w:spacing w:before="80" w:after="80"/>
        <w:ind w:left="567" w:right="-3" w:firstLine="567"/>
        <w:rPr>
          <w:rFonts w:eastAsia="Calibri" w:cs="Times New Roman"/>
          <w:szCs w:val="24"/>
          <w:lang w:eastAsia="ar-SA"/>
        </w:rPr>
      </w:pPr>
      <w:r>
        <w:rPr>
          <w:rFonts w:eastAsia="Calibri" w:cs="Times New Roman"/>
          <w:szCs w:val="24"/>
          <w:lang w:eastAsia="ar-SA"/>
        </w:rPr>
        <w:t>Gada revīzijas ziņ</w:t>
      </w:r>
      <w:r w:rsidR="00B175E7">
        <w:rPr>
          <w:rFonts w:eastAsia="Calibri" w:cs="Times New Roman"/>
          <w:szCs w:val="24"/>
          <w:lang w:eastAsia="ar-SA"/>
        </w:rPr>
        <w:t>ojums ir pieejams elektroniski</w:t>
      </w:r>
      <w:r w:rsidR="00322FF7">
        <w:rPr>
          <w:rFonts w:eastAsia="Calibri" w:cs="Times New Roman"/>
          <w:szCs w:val="24"/>
          <w:lang w:eastAsia="ar-SA"/>
        </w:rPr>
        <w:t xml:space="preserve"> EEZ un </w:t>
      </w:r>
      <w:r w:rsidR="00322FF7" w:rsidRPr="00322FF7">
        <w:rPr>
          <w:rFonts w:eastAsia="Calibri" w:cs="Times New Roman"/>
          <w:szCs w:val="24"/>
          <w:lang w:eastAsia="ar-SA"/>
        </w:rPr>
        <w:t>Norvēģijas finanšu instrumentu</w:t>
      </w:r>
      <w:r w:rsidR="00322FF7">
        <w:rPr>
          <w:rFonts w:eastAsia="Calibri" w:cs="Times New Roman"/>
          <w:szCs w:val="24"/>
          <w:lang w:eastAsia="ar-SA"/>
        </w:rPr>
        <w:t xml:space="preserve"> tīmek</w:t>
      </w:r>
      <w:r w:rsidR="00C34AAF">
        <w:rPr>
          <w:rFonts w:eastAsia="Calibri" w:cs="Times New Roman"/>
          <w:szCs w:val="24"/>
          <w:lang w:eastAsia="ar-SA"/>
        </w:rPr>
        <w:t>ļa vietnē -</w:t>
      </w:r>
      <w:r w:rsidR="00B175E7">
        <w:rPr>
          <w:rFonts w:eastAsia="Calibri" w:cs="Times New Roman"/>
          <w:szCs w:val="24"/>
          <w:lang w:eastAsia="ar-SA"/>
        </w:rPr>
        <w:t xml:space="preserve"> </w:t>
      </w:r>
      <w:hyperlink r:id="rId12" w:history="1">
        <w:r w:rsidR="00B175E7" w:rsidRPr="001E428C">
          <w:rPr>
            <w:rStyle w:val="Hyperlink"/>
            <w:rFonts w:eastAsia="Calibri" w:cs="Times New Roman"/>
            <w:szCs w:val="24"/>
            <w:lang w:eastAsia="ar-SA"/>
          </w:rPr>
          <w:t>http://www.eeagrants.lv/files/GRZ_2017_FINAL-publishing.pdf</w:t>
        </w:r>
      </w:hyperlink>
      <w:r w:rsidR="00F94D33">
        <w:rPr>
          <w:rStyle w:val="Hyperlink"/>
          <w:rFonts w:eastAsia="Calibri" w:cs="Times New Roman"/>
          <w:szCs w:val="24"/>
          <w:lang w:eastAsia="ar-SA"/>
        </w:rPr>
        <w:t>.</w:t>
      </w:r>
      <w:r w:rsidR="00B175E7">
        <w:rPr>
          <w:rFonts w:eastAsia="Calibri" w:cs="Times New Roman"/>
          <w:szCs w:val="24"/>
          <w:lang w:eastAsia="ar-SA"/>
        </w:rPr>
        <w:t xml:space="preserve"> </w:t>
      </w:r>
    </w:p>
    <w:p w:rsidR="0036487D" w:rsidRPr="0078377E" w:rsidRDefault="0036487D" w:rsidP="00C02267">
      <w:pPr>
        <w:tabs>
          <w:tab w:val="right" w:pos="9072"/>
        </w:tabs>
        <w:suppressAutoHyphens/>
        <w:ind w:left="567"/>
        <w:rPr>
          <w:rFonts w:eastAsia="Calibri" w:cs="Times New Roman"/>
          <w:szCs w:val="24"/>
          <w:lang w:eastAsia="ar-SA"/>
        </w:rPr>
      </w:pPr>
    </w:p>
    <w:p w:rsidR="00C34AAF" w:rsidRDefault="00C34AAF" w:rsidP="00C02267">
      <w:pPr>
        <w:tabs>
          <w:tab w:val="right" w:pos="9072"/>
        </w:tabs>
        <w:suppressAutoHyphens/>
        <w:ind w:left="567"/>
        <w:rPr>
          <w:rFonts w:eastAsia="Calibri" w:cs="Times New Roman"/>
          <w:szCs w:val="24"/>
          <w:lang w:eastAsia="ar-SA"/>
        </w:rPr>
      </w:pPr>
    </w:p>
    <w:p w:rsidR="00C34AAF" w:rsidRDefault="00C34AAF" w:rsidP="00C02267">
      <w:pPr>
        <w:tabs>
          <w:tab w:val="right" w:pos="9072"/>
        </w:tabs>
        <w:suppressAutoHyphens/>
        <w:ind w:left="567"/>
        <w:rPr>
          <w:rFonts w:eastAsia="Calibri" w:cs="Times New Roman"/>
          <w:szCs w:val="24"/>
          <w:lang w:eastAsia="ar-SA"/>
        </w:rPr>
      </w:pPr>
    </w:p>
    <w:p w:rsidR="0085313B" w:rsidRPr="0078377E" w:rsidRDefault="005F7CEB" w:rsidP="00C02267">
      <w:pPr>
        <w:tabs>
          <w:tab w:val="right" w:pos="9072"/>
        </w:tabs>
        <w:suppressAutoHyphens/>
        <w:ind w:left="567"/>
        <w:rPr>
          <w:rFonts w:eastAsia="Calibri" w:cs="Times New Roman"/>
          <w:szCs w:val="24"/>
          <w:lang w:eastAsia="ar-SA"/>
        </w:rPr>
      </w:pPr>
      <w:r>
        <w:rPr>
          <w:rFonts w:eastAsia="Calibri" w:cs="Times New Roman"/>
          <w:szCs w:val="24"/>
          <w:lang w:eastAsia="ar-SA"/>
        </w:rPr>
        <w:t>Finanšu ministre</w:t>
      </w:r>
      <w:r w:rsidR="0085313B" w:rsidRPr="0078377E">
        <w:rPr>
          <w:rFonts w:eastAsia="Calibri" w:cs="Times New Roman"/>
          <w:szCs w:val="24"/>
          <w:lang w:eastAsia="ar-SA"/>
        </w:rPr>
        <w:tab/>
      </w:r>
      <w:proofErr w:type="spellStart"/>
      <w:r>
        <w:rPr>
          <w:rFonts w:eastAsia="Calibri" w:cs="Times New Roman"/>
          <w:szCs w:val="24"/>
          <w:lang w:eastAsia="ar-SA"/>
        </w:rPr>
        <w:t>D.Reizniece</w:t>
      </w:r>
      <w:proofErr w:type="spellEnd"/>
      <w:r>
        <w:rPr>
          <w:rFonts w:eastAsia="Calibri" w:cs="Times New Roman"/>
          <w:szCs w:val="24"/>
          <w:lang w:eastAsia="ar-SA"/>
        </w:rPr>
        <w:t>-Ozola</w:t>
      </w:r>
      <w:r w:rsidR="0085313B" w:rsidRPr="0078377E">
        <w:rPr>
          <w:rFonts w:eastAsia="Calibri" w:cs="Times New Roman"/>
          <w:szCs w:val="24"/>
          <w:lang w:eastAsia="ar-SA"/>
        </w:rPr>
        <w:t> </w:t>
      </w:r>
    </w:p>
    <w:p w:rsidR="00F55F66" w:rsidRDefault="00F55F66" w:rsidP="009B20E9">
      <w:pPr>
        <w:suppressAutoHyphens/>
        <w:ind w:left="567"/>
        <w:rPr>
          <w:rFonts w:eastAsia="Calibri" w:cs="Times New Roman"/>
          <w:sz w:val="16"/>
          <w:szCs w:val="16"/>
          <w:lang w:eastAsia="ar-SA"/>
        </w:rPr>
      </w:pPr>
    </w:p>
    <w:p w:rsidR="00C34AAF" w:rsidRDefault="00C34AAF" w:rsidP="00B175E7">
      <w:pPr>
        <w:suppressAutoHyphens/>
        <w:ind w:left="567"/>
        <w:rPr>
          <w:rFonts w:eastAsia="Calibri" w:cs="Times New Roman"/>
          <w:sz w:val="16"/>
          <w:szCs w:val="16"/>
          <w:lang w:eastAsia="ar-SA"/>
        </w:rPr>
      </w:pPr>
    </w:p>
    <w:p w:rsidR="00C34AAF" w:rsidRDefault="00C34AAF" w:rsidP="00B175E7">
      <w:pPr>
        <w:suppressAutoHyphens/>
        <w:ind w:left="567"/>
        <w:rPr>
          <w:rFonts w:eastAsia="Calibri" w:cs="Times New Roman"/>
          <w:sz w:val="16"/>
          <w:szCs w:val="16"/>
          <w:lang w:eastAsia="ar-SA"/>
        </w:rPr>
      </w:pPr>
    </w:p>
    <w:p w:rsidR="00F94D33" w:rsidRDefault="00F94D33" w:rsidP="00B175E7">
      <w:pPr>
        <w:suppressAutoHyphens/>
        <w:ind w:left="567"/>
        <w:rPr>
          <w:rFonts w:eastAsia="Calibri" w:cs="Times New Roman"/>
          <w:sz w:val="16"/>
          <w:szCs w:val="16"/>
          <w:lang w:eastAsia="ar-SA"/>
        </w:rPr>
      </w:pPr>
    </w:p>
    <w:p w:rsidR="00F94D33" w:rsidRDefault="00F94D33" w:rsidP="00B175E7">
      <w:pPr>
        <w:suppressAutoHyphens/>
        <w:ind w:left="567"/>
        <w:rPr>
          <w:rFonts w:eastAsia="Calibri" w:cs="Times New Roman"/>
          <w:sz w:val="16"/>
          <w:szCs w:val="16"/>
          <w:lang w:eastAsia="ar-SA"/>
        </w:rPr>
      </w:pPr>
    </w:p>
    <w:p w:rsidR="00F94D33" w:rsidRDefault="00F94D33" w:rsidP="00B175E7">
      <w:pPr>
        <w:suppressAutoHyphens/>
        <w:ind w:left="567"/>
        <w:rPr>
          <w:rFonts w:eastAsia="Calibri" w:cs="Times New Roman"/>
          <w:sz w:val="16"/>
          <w:szCs w:val="16"/>
          <w:lang w:eastAsia="ar-SA"/>
        </w:rPr>
      </w:pPr>
    </w:p>
    <w:p w:rsidR="00F94D33" w:rsidRDefault="00F94D33" w:rsidP="00B175E7">
      <w:pPr>
        <w:suppressAutoHyphens/>
        <w:ind w:left="567"/>
        <w:rPr>
          <w:rFonts w:eastAsia="Calibri" w:cs="Times New Roman"/>
          <w:sz w:val="16"/>
          <w:szCs w:val="16"/>
          <w:lang w:eastAsia="ar-SA"/>
        </w:rPr>
      </w:pPr>
    </w:p>
    <w:p w:rsidR="00F94D33" w:rsidRDefault="00F94D33" w:rsidP="00B175E7">
      <w:pPr>
        <w:suppressAutoHyphens/>
        <w:ind w:left="567"/>
        <w:rPr>
          <w:rFonts w:eastAsia="Calibri" w:cs="Times New Roman"/>
          <w:sz w:val="16"/>
          <w:szCs w:val="16"/>
          <w:lang w:eastAsia="ar-SA"/>
        </w:rPr>
      </w:pPr>
    </w:p>
    <w:p w:rsidR="00F94D33" w:rsidRDefault="00F94D33" w:rsidP="00B175E7">
      <w:pPr>
        <w:suppressAutoHyphens/>
        <w:ind w:left="567"/>
        <w:rPr>
          <w:rFonts w:eastAsia="Calibri" w:cs="Times New Roman"/>
          <w:sz w:val="16"/>
          <w:szCs w:val="16"/>
          <w:lang w:eastAsia="ar-SA"/>
        </w:rPr>
      </w:pPr>
    </w:p>
    <w:p w:rsidR="00F94D33" w:rsidRDefault="00F94D33" w:rsidP="00B175E7">
      <w:pPr>
        <w:suppressAutoHyphens/>
        <w:ind w:left="567"/>
        <w:rPr>
          <w:rFonts w:eastAsia="Calibri" w:cs="Times New Roman"/>
          <w:sz w:val="16"/>
          <w:szCs w:val="16"/>
          <w:lang w:eastAsia="ar-SA"/>
        </w:rPr>
      </w:pPr>
    </w:p>
    <w:p w:rsidR="0029469A" w:rsidRPr="00F55F66" w:rsidRDefault="00F121D9" w:rsidP="009B20E9">
      <w:pPr>
        <w:suppressAutoHyphens/>
        <w:ind w:left="567"/>
        <w:rPr>
          <w:rFonts w:eastAsia="Calibri" w:cs="Times New Roman"/>
          <w:sz w:val="16"/>
          <w:szCs w:val="16"/>
          <w:lang w:eastAsia="ar-SA"/>
        </w:rPr>
      </w:pPr>
      <w:proofErr w:type="spellStart"/>
      <w:r w:rsidRPr="00F55F66">
        <w:rPr>
          <w:rFonts w:eastAsia="Calibri" w:cs="Times New Roman"/>
          <w:sz w:val="16"/>
          <w:szCs w:val="16"/>
          <w:lang w:eastAsia="ar-SA"/>
        </w:rPr>
        <w:t>J.Keirāne</w:t>
      </w:r>
      <w:proofErr w:type="spellEnd"/>
    </w:p>
    <w:p w:rsidR="00EC23F0" w:rsidRPr="00F55F66" w:rsidRDefault="00F121D9" w:rsidP="0099040B">
      <w:pPr>
        <w:suppressAutoHyphens/>
        <w:ind w:left="567"/>
        <w:rPr>
          <w:rFonts w:cs="Times New Roman"/>
          <w:sz w:val="16"/>
          <w:szCs w:val="16"/>
        </w:rPr>
      </w:pPr>
      <w:r w:rsidRPr="00F55F66">
        <w:rPr>
          <w:rFonts w:eastAsia="Calibri" w:cs="Times New Roman"/>
          <w:sz w:val="16"/>
          <w:szCs w:val="16"/>
          <w:lang w:eastAsia="ar-SA"/>
        </w:rPr>
        <w:t>67 083 926</w:t>
      </w:r>
      <w:r w:rsidR="0085313B" w:rsidRPr="00F55F66">
        <w:rPr>
          <w:rFonts w:eastAsia="Calibri" w:cs="Times New Roman"/>
          <w:sz w:val="16"/>
          <w:szCs w:val="16"/>
          <w:lang w:eastAsia="ar-SA"/>
        </w:rPr>
        <w:t xml:space="preserve">; </w:t>
      </w:r>
      <w:hyperlink r:id="rId13" w:history="1">
        <w:r w:rsidR="00A84079" w:rsidRPr="00F55F66">
          <w:rPr>
            <w:rStyle w:val="Hyperlink"/>
            <w:rFonts w:eastAsia="Calibri" w:cs="Times New Roman"/>
            <w:sz w:val="16"/>
            <w:szCs w:val="16"/>
            <w:lang w:eastAsia="ar-SA"/>
          </w:rPr>
          <w:t>jelena.keirane@fm.gov.lv</w:t>
        </w:r>
      </w:hyperlink>
      <w:r w:rsidR="0099040B" w:rsidRPr="00F55F66">
        <w:rPr>
          <w:rFonts w:eastAsia="Calibri" w:cs="Times New Roman"/>
          <w:sz w:val="16"/>
          <w:szCs w:val="16"/>
          <w:lang w:eastAsia="ar-SA"/>
        </w:rPr>
        <w:t xml:space="preserve"> </w:t>
      </w:r>
    </w:p>
    <w:sectPr w:rsidR="00EC23F0" w:rsidRPr="00F55F66" w:rsidSect="004112ED">
      <w:headerReference w:type="default" r:id="rId14"/>
      <w:footerReference w:type="default" r:id="rId15"/>
      <w:footerReference w:type="first" r:id="rId16"/>
      <w:pgSz w:w="11905" w:h="16837"/>
      <w:pgMar w:top="1135" w:right="1134" w:bottom="993" w:left="709" w:header="720"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9A" w:rsidRDefault="00A3359A" w:rsidP="0085313B">
      <w:r>
        <w:separator/>
      </w:r>
    </w:p>
  </w:endnote>
  <w:endnote w:type="continuationSeparator" w:id="0">
    <w:p w:rsidR="00A3359A" w:rsidRDefault="00A3359A" w:rsidP="0085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1F" w:rsidRPr="00286D5B" w:rsidRDefault="00EC23F0" w:rsidP="00EC23F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96DF4">
      <w:rPr>
        <w:noProof/>
        <w:sz w:val="20"/>
        <w:szCs w:val="20"/>
      </w:rPr>
      <w:t>FMZin_08022018_RI_NORrez.docx</w:t>
    </w:r>
    <w:r>
      <w:rPr>
        <w:sz w:val="20"/>
        <w:szCs w:val="20"/>
      </w:rPr>
      <w:fldChar w:fldCharType="end"/>
    </w:r>
    <w:r w:rsidRPr="00672C46">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ED" w:rsidRPr="00E537C8" w:rsidRDefault="00E537C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96DF4">
      <w:rPr>
        <w:noProof/>
        <w:sz w:val="20"/>
        <w:szCs w:val="20"/>
      </w:rPr>
      <w:t>FMZin_08022018_RI_NORrez.docx</w:t>
    </w:r>
    <w:r>
      <w:rPr>
        <w:sz w:val="20"/>
        <w:szCs w:val="20"/>
      </w:rPr>
      <w:fldChar w:fldCharType="end"/>
    </w:r>
    <w:r w:rsidRPr="00672C4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9A" w:rsidRDefault="00A3359A" w:rsidP="0085313B">
      <w:r>
        <w:separator/>
      </w:r>
    </w:p>
  </w:footnote>
  <w:footnote w:type="continuationSeparator" w:id="0">
    <w:p w:rsidR="00A3359A" w:rsidRDefault="00A3359A" w:rsidP="0085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42589"/>
      <w:docPartObj>
        <w:docPartGallery w:val="Page Numbers (Top of Page)"/>
        <w:docPartUnique/>
      </w:docPartObj>
    </w:sdtPr>
    <w:sdtEndPr>
      <w:rPr>
        <w:noProof/>
      </w:rPr>
    </w:sdtEndPr>
    <w:sdtContent>
      <w:p w:rsidR="008C42DE" w:rsidRDefault="008C42DE">
        <w:pPr>
          <w:pStyle w:val="Header"/>
          <w:jc w:val="center"/>
        </w:pPr>
        <w:r>
          <w:fldChar w:fldCharType="begin"/>
        </w:r>
        <w:r>
          <w:instrText xml:space="preserve"> PAGE   \* MERGEFORMAT </w:instrText>
        </w:r>
        <w:r>
          <w:fldChar w:fldCharType="separate"/>
        </w:r>
        <w:r w:rsidR="00BB5507">
          <w:rPr>
            <w:noProof/>
          </w:rPr>
          <w:t>2</w:t>
        </w:r>
        <w:r>
          <w:rPr>
            <w:noProof/>
          </w:rPr>
          <w:fldChar w:fldCharType="end"/>
        </w:r>
      </w:p>
    </w:sdtContent>
  </w:sdt>
  <w:p w:rsidR="008C42DE" w:rsidRDefault="008C4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008A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41685"/>
    <w:multiLevelType w:val="multilevel"/>
    <w:tmpl w:val="64D830A4"/>
    <w:lvl w:ilvl="0">
      <w:start w:val="3"/>
      <w:numFmt w:val="decimal"/>
      <w:lvlText w:val="%1."/>
      <w:lvlJc w:val="left"/>
      <w:pPr>
        <w:ind w:left="360" w:hanging="360"/>
      </w:pPr>
      <w:rPr>
        <w:rFonts w:eastAsiaTheme="minorHAnsi" w:cstheme="minorBidi" w:hint="default"/>
      </w:rPr>
    </w:lvl>
    <w:lvl w:ilvl="1">
      <w:start w:val="1"/>
      <w:numFmt w:val="decimal"/>
      <w:lvlText w:val="%1.%2."/>
      <w:lvlJc w:val="left"/>
      <w:pPr>
        <w:ind w:left="1494" w:hanging="360"/>
      </w:pPr>
      <w:rPr>
        <w:rFonts w:eastAsiaTheme="minorHAnsi" w:cstheme="minorBidi" w:hint="default"/>
      </w:rPr>
    </w:lvl>
    <w:lvl w:ilvl="2">
      <w:start w:val="1"/>
      <w:numFmt w:val="decimal"/>
      <w:lvlText w:val="%1.%2.%3."/>
      <w:lvlJc w:val="left"/>
      <w:pPr>
        <w:ind w:left="2988" w:hanging="720"/>
      </w:pPr>
      <w:rPr>
        <w:rFonts w:eastAsiaTheme="minorHAnsi" w:cstheme="minorBidi" w:hint="default"/>
      </w:rPr>
    </w:lvl>
    <w:lvl w:ilvl="3">
      <w:start w:val="1"/>
      <w:numFmt w:val="decimal"/>
      <w:lvlText w:val="%1.%2.%3.%4."/>
      <w:lvlJc w:val="left"/>
      <w:pPr>
        <w:ind w:left="4122" w:hanging="720"/>
      </w:pPr>
      <w:rPr>
        <w:rFonts w:eastAsiaTheme="minorHAnsi" w:cstheme="minorBidi" w:hint="default"/>
      </w:rPr>
    </w:lvl>
    <w:lvl w:ilvl="4">
      <w:start w:val="1"/>
      <w:numFmt w:val="decimal"/>
      <w:lvlText w:val="%1.%2.%3.%4.%5."/>
      <w:lvlJc w:val="left"/>
      <w:pPr>
        <w:ind w:left="5616" w:hanging="1080"/>
      </w:pPr>
      <w:rPr>
        <w:rFonts w:eastAsiaTheme="minorHAnsi" w:cstheme="minorBidi" w:hint="default"/>
      </w:rPr>
    </w:lvl>
    <w:lvl w:ilvl="5">
      <w:start w:val="1"/>
      <w:numFmt w:val="decimal"/>
      <w:lvlText w:val="%1.%2.%3.%4.%5.%6."/>
      <w:lvlJc w:val="left"/>
      <w:pPr>
        <w:ind w:left="6750" w:hanging="1080"/>
      </w:pPr>
      <w:rPr>
        <w:rFonts w:eastAsiaTheme="minorHAnsi" w:cstheme="minorBidi" w:hint="default"/>
      </w:rPr>
    </w:lvl>
    <w:lvl w:ilvl="6">
      <w:start w:val="1"/>
      <w:numFmt w:val="decimal"/>
      <w:lvlText w:val="%1.%2.%3.%4.%5.%6.%7."/>
      <w:lvlJc w:val="left"/>
      <w:pPr>
        <w:ind w:left="8244" w:hanging="1440"/>
      </w:pPr>
      <w:rPr>
        <w:rFonts w:eastAsiaTheme="minorHAnsi" w:cstheme="minorBidi" w:hint="default"/>
      </w:rPr>
    </w:lvl>
    <w:lvl w:ilvl="7">
      <w:start w:val="1"/>
      <w:numFmt w:val="decimal"/>
      <w:lvlText w:val="%1.%2.%3.%4.%5.%6.%7.%8."/>
      <w:lvlJc w:val="left"/>
      <w:pPr>
        <w:ind w:left="9378" w:hanging="1440"/>
      </w:pPr>
      <w:rPr>
        <w:rFonts w:eastAsiaTheme="minorHAnsi" w:cstheme="minorBidi" w:hint="default"/>
      </w:rPr>
    </w:lvl>
    <w:lvl w:ilvl="8">
      <w:start w:val="1"/>
      <w:numFmt w:val="decimal"/>
      <w:lvlText w:val="%1.%2.%3.%4.%5.%6.%7.%8.%9."/>
      <w:lvlJc w:val="left"/>
      <w:pPr>
        <w:ind w:left="10872" w:hanging="1800"/>
      </w:pPr>
      <w:rPr>
        <w:rFonts w:eastAsiaTheme="minorHAnsi" w:cstheme="minorBidi" w:hint="default"/>
      </w:rPr>
    </w:lvl>
  </w:abstractNum>
  <w:abstractNum w:abstractNumId="2" w15:restartNumberingAfterBreak="0">
    <w:nsid w:val="05E54168"/>
    <w:multiLevelType w:val="hybridMultilevel"/>
    <w:tmpl w:val="C5AAA14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 w15:restartNumberingAfterBreak="0">
    <w:nsid w:val="07B55F10"/>
    <w:multiLevelType w:val="multilevel"/>
    <w:tmpl w:val="880835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A2446"/>
    <w:multiLevelType w:val="hybridMultilevel"/>
    <w:tmpl w:val="7FAEA4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0DB3461"/>
    <w:multiLevelType w:val="hybridMultilevel"/>
    <w:tmpl w:val="4C9C81B8"/>
    <w:lvl w:ilvl="0" w:tplc="A6CC49A4">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FC69C9"/>
    <w:multiLevelType w:val="hybridMultilevel"/>
    <w:tmpl w:val="F0905812"/>
    <w:lvl w:ilvl="0" w:tplc="35CACD0A">
      <w:start w:val="1"/>
      <w:numFmt w:val="decimal"/>
      <w:lvlText w:val="%1."/>
      <w:lvlJc w:val="left"/>
      <w:pPr>
        <w:ind w:left="502" w:hanging="360"/>
      </w:pPr>
      <w:rPr>
        <w:rFonts w:ascii="Times New Roman" w:hAnsi="Times New Roman" w:hint="default"/>
        <w:b w:val="0"/>
        <w:i w:val="0"/>
        <w:smallCaps w:val="0"/>
        <w:color w:val="auto"/>
        <w:sz w:val="24"/>
        <w:szCs w:val="24"/>
      </w:rPr>
    </w:lvl>
    <w:lvl w:ilvl="1" w:tplc="A6CC49A4">
      <w:start w:val="1"/>
      <w:numFmt w:val="bullet"/>
      <w:lvlText w:val="−"/>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262E83"/>
    <w:multiLevelType w:val="multilevel"/>
    <w:tmpl w:val="26E464E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65510DED"/>
    <w:multiLevelType w:val="hybridMultilevel"/>
    <w:tmpl w:val="CF441CC8"/>
    <w:lvl w:ilvl="0" w:tplc="9800C5D6">
      <w:start w:val="1"/>
      <w:numFmt w:val="decimal"/>
      <w:lvlText w:val="%1."/>
      <w:lvlJc w:val="left"/>
      <w:pPr>
        <w:ind w:left="2280" w:hanging="84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6FA26AF8"/>
    <w:multiLevelType w:val="hybridMultilevel"/>
    <w:tmpl w:val="519A182C"/>
    <w:lvl w:ilvl="0" w:tplc="35CACD0A">
      <w:start w:val="1"/>
      <w:numFmt w:val="decimal"/>
      <w:lvlText w:val="%1."/>
      <w:lvlJc w:val="left"/>
      <w:pPr>
        <w:ind w:left="502" w:hanging="360"/>
      </w:pPr>
      <w:rPr>
        <w:rFonts w:ascii="Times New Roman" w:hAnsi="Times New Roman" w:hint="default"/>
        <w:b w:val="0"/>
        <w:i w:val="0"/>
        <w:smallCaps w:val="0"/>
        <w:color w:val="auto"/>
        <w:sz w:val="24"/>
        <w:szCs w:val="24"/>
      </w:rPr>
    </w:lvl>
    <w:lvl w:ilvl="1" w:tplc="B2DAC3E0">
      <w:start w:val="1"/>
      <w:numFmt w:val="decimal"/>
      <w:lvlText w:val="5.%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D608A6"/>
    <w:multiLevelType w:val="hybridMultilevel"/>
    <w:tmpl w:val="00DAEE04"/>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79173CDB"/>
    <w:multiLevelType w:val="multilevel"/>
    <w:tmpl w:val="B7DAB8D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C161B3B"/>
    <w:multiLevelType w:val="hybridMultilevel"/>
    <w:tmpl w:val="D14024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10"/>
  </w:num>
  <w:num w:numId="8">
    <w:abstractNumId w:val="8"/>
  </w:num>
  <w:num w:numId="9">
    <w:abstractNumId w:val="7"/>
  </w:num>
  <w:num w:numId="10">
    <w:abstractNumId w:val="3"/>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3B"/>
    <w:rsid w:val="00000DE7"/>
    <w:rsid w:val="000073FD"/>
    <w:rsid w:val="00010E40"/>
    <w:rsid w:val="000111A0"/>
    <w:rsid w:val="000111E0"/>
    <w:rsid w:val="00013909"/>
    <w:rsid w:val="000243F4"/>
    <w:rsid w:val="000267DF"/>
    <w:rsid w:val="00027BE0"/>
    <w:rsid w:val="00031CF1"/>
    <w:rsid w:val="00046366"/>
    <w:rsid w:val="000501F3"/>
    <w:rsid w:val="00050D74"/>
    <w:rsid w:val="00061A78"/>
    <w:rsid w:val="0006635E"/>
    <w:rsid w:val="000815D5"/>
    <w:rsid w:val="00085B4D"/>
    <w:rsid w:val="00086C85"/>
    <w:rsid w:val="000910CD"/>
    <w:rsid w:val="0009453D"/>
    <w:rsid w:val="000A6358"/>
    <w:rsid w:val="000A7FE5"/>
    <w:rsid w:val="000B2FB9"/>
    <w:rsid w:val="000C52C5"/>
    <w:rsid w:val="000C6740"/>
    <w:rsid w:val="000C6DBC"/>
    <w:rsid w:val="000D124F"/>
    <w:rsid w:val="000D594E"/>
    <w:rsid w:val="000E1C2A"/>
    <w:rsid w:val="000E5405"/>
    <w:rsid w:val="000F16E1"/>
    <w:rsid w:val="000F32FC"/>
    <w:rsid w:val="000F3B58"/>
    <w:rsid w:val="00100ECA"/>
    <w:rsid w:val="0010673F"/>
    <w:rsid w:val="00123EB6"/>
    <w:rsid w:val="00124249"/>
    <w:rsid w:val="001316A7"/>
    <w:rsid w:val="0013194A"/>
    <w:rsid w:val="0014565B"/>
    <w:rsid w:val="00156BD1"/>
    <w:rsid w:val="0016001B"/>
    <w:rsid w:val="00162E35"/>
    <w:rsid w:val="00163596"/>
    <w:rsid w:val="00167F46"/>
    <w:rsid w:val="001A0AD1"/>
    <w:rsid w:val="001A40B8"/>
    <w:rsid w:val="001B2F64"/>
    <w:rsid w:val="001C4001"/>
    <w:rsid w:val="001D3195"/>
    <w:rsid w:val="001D44E1"/>
    <w:rsid w:val="001D70D7"/>
    <w:rsid w:val="001D7507"/>
    <w:rsid w:val="001E15BC"/>
    <w:rsid w:val="001E1648"/>
    <w:rsid w:val="001E1EBD"/>
    <w:rsid w:val="001F204C"/>
    <w:rsid w:val="001F7ACB"/>
    <w:rsid w:val="002118A1"/>
    <w:rsid w:val="00214B33"/>
    <w:rsid w:val="00216A65"/>
    <w:rsid w:val="0021778D"/>
    <w:rsid w:val="002210FC"/>
    <w:rsid w:val="0022241F"/>
    <w:rsid w:val="00224196"/>
    <w:rsid w:val="00224E76"/>
    <w:rsid w:val="00225D1E"/>
    <w:rsid w:val="002327E0"/>
    <w:rsid w:val="0023343C"/>
    <w:rsid w:val="002362E1"/>
    <w:rsid w:val="0024797B"/>
    <w:rsid w:val="002544D4"/>
    <w:rsid w:val="00255203"/>
    <w:rsid w:val="00260746"/>
    <w:rsid w:val="0027003E"/>
    <w:rsid w:val="00270E0D"/>
    <w:rsid w:val="00285F1B"/>
    <w:rsid w:val="00286D5B"/>
    <w:rsid w:val="0029469A"/>
    <w:rsid w:val="002972CE"/>
    <w:rsid w:val="002A23D1"/>
    <w:rsid w:val="002A4854"/>
    <w:rsid w:val="002B7778"/>
    <w:rsid w:val="002C22B0"/>
    <w:rsid w:val="002C4F91"/>
    <w:rsid w:val="002D3B82"/>
    <w:rsid w:val="002D5878"/>
    <w:rsid w:val="002D5F53"/>
    <w:rsid w:val="002E1428"/>
    <w:rsid w:val="002E336D"/>
    <w:rsid w:val="002E6930"/>
    <w:rsid w:val="002E7429"/>
    <w:rsid w:val="002F2C99"/>
    <w:rsid w:val="0031046F"/>
    <w:rsid w:val="00310D5B"/>
    <w:rsid w:val="00311B5C"/>
    <w:rsid w:val="00322FF7"/>
    <w:rsid w:val="00326270"/>
    <w:rsid w:val="00330AF3"/>
    <w:rsid w:val="0033663E"/>
    <w:rsid w:val="00341073"/>
    <w:rsid w:val="003419BA"/>
    <w:rsid w:val="00346B26"/>
    <w:rsid w:val="00357189"/>
    <w:rsid w:val="0036487D"/>
    <w:rsid w:val="00365D0C"/>
    <w:rsid w:val="00372BB7"/>
    <w:rsid w:val="00374AA9"/>
    <w:rsid w:val="00376409"/>
    <w:rsid w:val="00380908"/>
    <w:rsid w:val="00392D1E"/>
    <w:rsid w:val="0039602C"/>
    <w:rsid w:val="003976D2"/>
    <w:rsid w:val="003A022F"/>
    <w:rsid w:val="003A3502"/>
    <w:rsid w:val="003B2BDC"/>
    <w:rsid w:val="003C0EA0"/>
    <w:rsid w:val="003C1A76"/>
    <w:rsid w:val="003C7BED"/>
    <w:rsid w:val="003D0010"/>
    <w:rsid w:val="003E0F91"/>
    <w:rsid w:val="003E1764"/>
    <w:rsid w:val="003E277A"/>
    <w:rsid w:val="003E76A6"/>
    <w:rsid w:val="00402EAF"/>
    <w:rsid w:val="00403058"/>
    <w:rsid w:val="004036B5"/>
    <w:rsid w:val="004112ED"/>
    <w:rsid w:val="004126A1"/>
    <w:rsid w:val="00427E9C"/>
    <w:rsid w:val="00431730"/>
    <w:rsid w:val="004337A0"/>
    <w:rsid w:val="0043512B"/>
    <w:rsid w:val="00441E2A"/>
    <w:rsid w:val="00447ED7"/>
    <w:rsid w:val="00464EDD"/>
    <w:rsid w:val="00466C6D"/>
    <w:rsid w:val="00474B16"/>
    <w:rsid w:val="00487796"/>
    <w:rsid w:val="00491A3D"/>
    <w:rsid w:val="004945D8"/>
    <w:rsid w:val="00496DF4"/>
    <w:rsid w:val="004A0795"/>
    <w:rsid w:val="004A64D9"/>
    <w:rsid w:val="004B7340"/>
    <w:rsid w:val="004C7148"/>
    <w:rsid w:val="004D0C31"/>
    <w:rsid w:val="004E1F48"/>
    <w:rsid w:val="004E2849"/>
    <w:rsid w:val="004E60D6"/>
    <w:rsid w:val="004E7005"/>
    <w:rsid w:val="004F0C07"/>
    <w:rsid w:val="0050348A"/>
    <w:rsid w:val="00503740"/>
    <w:rsid w:val="00517C6A"/>
    <w:rsid w:val="00517DCC"/>
    <w:rsid w:val="005229AA"/>
    <w:rsid w:val="005249CC"/>
    <w:rsid w:val="00526186"/>
    <w:rsid w:val="00530EC1"/>
    <w:rsid w:val="0053189E"/>
    <w:rsid w:val="005339B7"/>
    <w:rsid w:val="00536130"/>
    <w:rsid w:val="00541215"/>
    <w:rsid w:val="00541666"/>
    <w:rsid w:val="00543DF3"/>
    <w:rsid w:val="00546F3F"/>
    <w:rsid w:val="00553231"/>
    <w:rsid w:val="00570487"/>
    <w:rsid w:val="005771D5"/>
    <w:rsid w:val="00593E2E"/>
    <w:rsid w:val="005A4418"/>
    <w:rsid w:val="005A451F"/>
    <w:rsid w:val="005B32C6"/>
    <w:rsid w:val="005C171F"/>
    <w:rsid w:val="005D6F73"/>
    <w:rsid w:val="005D7605"/>
    <w:rsid w:val="005E5A29"/>
    <w:rsid w:val="005F4A0D"/>
    <w:rsid w:val="005F7CEB"/>
    <w:rsid w:val="00611FEB"/>
    <w:rsid w:val="00621BBD"/>
    <w:rsid w:val="006230D3"/>
    <w:rsid w:val="00625F23"/>
    <w:rsid w:val="00626AC1"/>
    <w:rsid w:val="00631B8C"/>
    <w:rsid w:val="00641E55"/>
    <w:rsid w:val="00672C46"/>
    <w:rsid w:val="006849BE"/>
    <w:rsid w:val="00690773"/>
    <w:rsid w:val="006A14C9"/>
    <w:rsid w:val="006A2FF5"/>
    <w:rsid w:val="006A48E4"/>
    <w:rsid w:val="006A5E29"/>
    <w:rsid w:val="006A6338"/>
    <w:rsid w:val="006A70A9"/>
    <w:rsid w:val="006B4589"/>
    <w:rsid w:val="006B738C"/>
    <w:rsid w:val="006C7116"/>
    <w:rsid w:val="006E0298"/>
    <w:rsid w:val="006E7EE8"/>
    <w:rsid w:val="0070446B"/>
    <w:rsid w:val="00710900"/>
    <w:rsid w:val="00713438"/>
    <w:rsid w:val="00716A80"/>
    <w:rsid w:val="00723540"/>
    <w:rsid w:val="0072676C"/>
    <w:rsid w:val="00726927"/>
    <w:rsid w:val="00726DBA"/>
    <w:rsid w:val="00737415"/>
    <w:rsid w:val="00745488"/>
    <w:rsid w:val="00745C45"/>
    <w:rsid w:val="00747F86"/>
    <w:rsid w:val="00751EFD"/>
    <w:rsid w:val="00753A5E"/>
    <w:rsid w:val="00760A78"/>
    <w:rsid w:val="00766F81"/>
    <w:rsid w:val="0078377E"/>
    <w:rsid w:val="00787AF5"/>
    <w:rsid w:val="007945A6"/>
    <w:rsid w:val="007B03CB"/>
    <w:rsid w:val="007B733C"/>
    <w:rsid w:val="007B794E"/>
    <w:rsid w:val="007C699A"/>
    <w:rsid w:val="007C6AE9"/>
    <w:rsid w:val="007C6F44"/>
    <w:rsid w:val="007E0A6C"/>
    <w:rsid w:val="007E7478"/>
    <w:rsid w:val="007F1763"/>
    <w:rsid w:val="007F1EF9"/>
    <w:rsid w:val="00802410"/>
    <w:rsid w:val="008069F7"/>
    <w:rsid w:val="0080714A"/>
    <w:rsid w:val="0080758B"/>
    <w:rsid w:val="008132E9"/>
    <w:rsid w:val="0081581C"/>
    <w:rsid w:val="008200FC"/>
    <w:rsid w:val="008223D1"/>
    <w:rsid w:val="008339FB"/>
    <w:rsid w:val="0085313B"/>
    <w:rsid w:val="00854EA1"/>
    <w:rsid w:val="00854F69"/>
    <w:rsid w:val="0086318E"/>
    <w:rsid w:val="00866FDE"/>
    <w:rsid w:val="008834AA"/>
    <w:rsid w:val="008866BC"/>
    <w:rsid w:val="008902A5"/>
    <w:rsid w:val="008A141D"/>
    <w:rsid w:val="008A42D9"/>
    <w:rsid w:val="008A6253"/>
    <w:rsid w:val="008B7939"/>
    <w:rsid w:val="008C0611"/>
    <w:rsid w:val="008C3466"/>
    <w:rsid w:val="008C42DE"/>
    <w:rsid w:val="008D4FA8"/>
    <w:rsid w:val="008D7C03"/>
    <w:rsid w:val="008E261B"/>
    <w:rsid w:val="008E56A6"/>
    <w:rsid w:val="008E5D8C"/>
    <w:rsid w:val="008F09D7"/>
    <w:rsid w:val="008F2A5B"/>
    <w:rsid w:val="008F7B80"/>
    <w:rsid w:val="009118B0"/>
    <w:rsid w:val="00913633"/>
    <w:rsid w:val="009328E4"/>
    <w:rsid w:val="00935232"/>
    <w:rsid w:val="0094763D"/>
    <w:rsid w:val="009620A0"/>
    <w:rsid w:val="0096663D"/>
    <w:rsid w:val="0097529B"/>
    <w:rsid w:val="00977B3A"/>
    <w:rsid w:val="009803BE"/>
    <w:rsid w:val="00980713"/>
    <w:rsid w:val="00986149"/>
    <w:rsid w:val="0099040B"/>
    <w:rsid w:val="00996784"/>
    <w:rsid w:val="009A2183"/>
    <w:rsid w:val="009A7948"/>
    <w:rsid w:val="009B20E9"/>
    <w:rsid w:val="009C17D8"/>
    <w:rsid w:val="009D0176"/>
    <w:rsid w:val="009D2886"/>
    <w:rsid w:val="009E0C1F"/>
    <w:rsid w:val="009E110E"/>
    <w:rsid w:val="009E1DFD"/>
    <w:rsid w:val="009E6FD9"/>
    <w:rsid w:val="009F1D6C"/>
    <w:rsid w:val="009F7DA3"/>
    <w:rsid w:val="00A10F40"/>
    <w:rsid w:val="00A111A2"/>
    <w:rsid w:val="00A13055"/>
    <w:rsid w:val="00A2314C"/>
    <w:rsid w:val="00A31B01"/>
    <w:rsid w:val="00A3359A"/>
    <w:rsid w:val="00A36BA9"/>
    <w:rsid w:val="00A40328"/>
    <w:rsid w:val="00A40BD8"/>
    <w:rsid w:val="00A56B5A"/>
    <w:rsid w:val="00A5721C"/>
    <w:rsid w:val="00A636A6"/>
    <w:rsid w:val="00A84079"/>
    <w:rsid w:val="00A87FD1"/>
    <w:rsid w:val="00A96E6B"/>
    <w:rsid w:val="00AA3552"/>
    <w:rsid w:val="00AA3658"/>
    <w:rsid w:val="00AB6FB4"/>
    <w:rsid w:val="00AC4609"/>
    <w:rsid w:val="00AC7A7F"/>
    <w:rsid w:val="00AD4424"/>
    <w:rsid w:val="00AE1B91"/>
    <w:rsid w:val="00AF6643"/>
    <w:rsid w:val="00AF6D7F"/>
    <w:rsid w:val="00B01CD2"/>
    <w:rsid w:val="00B01FBE"/>
    <w:rsid w:val="00B127DA"/>
    <w:rsid w:val="00B16FB1"/>
    <w:rsid w:val="00B175E7"/>
    <w:rsid w:val="00B225BC"/>
    <w:rsid w:val="00B241D1"/>
    <w:rsid w:val="00B24ADC"/>
    <w:rsid w:val="00B2735C"/>
    <w:rsid w:val="00B3539C"/>
    <w:rsid w:val="00B379E1"/>
    <w:rsid w:val="00B4101C"/>
    <w:rsid w:val="00B43449"/>
    <w:rsid w:val="00B50F4E"/>
    <w:rsid w:val="00B65EC6"/>
    <w:rsid w:val="00B80524"/>
    <w:rsid w:val="00B85853"/>
    <w:rsid w:val="00B9124A"/>
    <w:rsid w:val="00B928B5"/>
    <w:rsid w:val="00B956EE"/>
    <w:rsid w:val="00BB5507"/>
    <w:rsid w:val="00BD1CFE"/>
    <w:rsid w:val="00BE1108"/>
    <w:rsid w:val="00BE7D80"/>
    <w:rsid w:val="00BF226B"/>
    <w:rsid w:val="00BF4A15"/>
    <w:rsid w:val="00C013BA"/>
    <w:rsid w:val="00C02267"/>
    <w:rsid w:val="00C06E1F"/>
    <w:rsid w:val="00C108CA"/>
    <w:rsid w:val="00C13ABF"/>
    <w:rsid w:val="00C20260"/>
    <w:rsid w:val="00C23CB9"/>
    <w:rsid w:val="00C34AAF"/>
    <w:rsid w:val="00C3655F"/>
    <w:rsid w:val="00C45FF0"/>
    <w:rsid w:val="00C468F4"/>
    <w:rsid w:val="00C51062"/>
    <w:rsid w:val="00C5481F"/>
    <w:rsid w:val="00C63DAD"/>
    <w:rsid w:val="00C7287F"/>
    <w:rsid w:val="00C756BF"/>
    <w:rsid w:val="00C85298"/>
    <w:rsid w:val="00CA5736"/>
    <w:rsid w:val="00CB2516"/>
    <w:rsid w:val="00CB3B2D"/>
    <w:rsid w:val="00CB4355"/>
    <w:rsid w:val="00CB7CD4"/>
    <w:rsid w:val="00CC299E"/>
    <w:rsid w:val="00CC4E80"/>
    <w:rsid w:val="00CD1A9B"/>
    <w:rsid w:val="00CF1646"/>
    <w:rsid w:val="00CF28AE"/>
    <w:rsid w:val="00CF29A2"/>
    <w:rsid w:val="00CF579A"/>
    <w:rsid w:val="00D00C9D"/>
    <w:rsid w:val="00D078C9"/>
    <w:rsid w:val="00D135A9"/>
    <w:rsid w:val="00D228AF"/>
    <w:rsid w:val="00D2487C"/>
    <w:rsid w:val="00D30F6C"/>
    <w:rsid w:val="00D33AB0"/>
    <w:rsid w:val="00D35EC9"/>
    <w:rsid w:val="00D43AD0"/>
    <w:rsid w:val="00D4624D"/>
    <w:rsid w:val="00D60222"/>
    <w:rsid w:val="00D679DE"/>
    <w:rsid w:val="00D92C1F"/>
    <w:rsid w:val="00D97E06"/>
    <w:rsid w:val="00DA22D9"/>
    <w:rsid w:val="00DA416A"/>
    <w:rsid w:val="00DC15C4"/>
    <w:rsid w:val="00DC4379"/>
    <w:rsid w:val="00DD0814"/>
    <w:rsid w:val="00DD3217"/>
    <w:rsid w:val="00DF4251"/>
    <w:rsid w:val="00E211DE"/>
    <w:rsid w:val="00E217B8"/>
    <w:rsid w:val="00E263A3"/>
    <w:rsid w:val="00E27CA4"/>
    <w:rsid w:val="00E33EFD"/>
    <w:rsid w:val="00E4290E"/>
    <w:rsid w:val="00E42C0A"/>
    <w:rsid w:val="00E43A36"/>
    <w:rsid w:val="00E537C8"/>
    <w:rsid w:val="00E606C9"/>
    <w:rsid w:val="00E673E8"/>
    <w:rsid w:val="00E703FE"/>
    <w:rsid w:val="00E85FDB"/>
    <w:rsid w:val="00E9422C"/>
    <w:rsid w:val="00E97C09"/>
    <w:rsid w:val="00EA0109"/>
    <w:rsid w:val="00EA02BC"/>
    <w:rsid w:val="00EA0C32"/>
    <w:rsid w:val="00EA1E29"/>
    <w:rsid w:val="00EA3E60"/>
    <w:rsid w:val="00EA6D30"/>
    <w:rsid w:val="00EC23F0"/>
    <w:rsid w:val="00EC2DB3"/>
    <w:rsid w:val="00EC5C8E"/>
    <w:rsid w:val="00EC7537"/>
    <w:rsid w:val="00EC7FD3"/>
    <w:rsid w:val="00ED1B41"/>
    <w:rsid w:val="00EE301D"/>
    <w:rsid w:val="00EE720B"/>
    <w:rsid w:val="00EF1CC3"/>
    <w:rsid w:val="00F05647"/>
    <w:rsid w:val="00F121D9"/>
    <w:rsid w:val="00F27293"/>
    <w:rsid w:val="00F311EB"/>
    <w:rsid w:val="00F41CB4"/>
    <w:rsid w:val="00F447AA"/>
    <w:rsid w:val="00F46E22"/>
    <w:rsid w:val="00F46EB7"/>
    <w:rsid w:val="00F500AF"/>
    <w:rsid w:val="00F51A2C"/>
    <w:rsid w:val="00F55F66"/>
    <w:rsid w:val="00F57BAB"/>
    <w:rsid w:val="00F60867"/>
    <w:rsid w:val="00F67D81"/>
    <w:rsid w:val="00F7451C"/>
    <w:rsid w:val="00F745DF"/>
    <w:rsid w:val="00F74EA0"/>
    <w:rsid w:val="00F90642"/>
    <w:rsid w:val="00F93B44"/>
    <w:rsid w:val="00F94D33"/>
    <w:rsid w:val="00FA0090"/>
    <w:rsid w:val="00FA2321"/>
    <w:rsid w:val="00FC7B1C"/>
    <w:rsid w:val="00FD0705"/>
    <w:rsid w:val="00FD0927"/>
    <w:rsid w:val="00FD5269"/>
    <w:rsid w:val="00FD5EFE"/>
    <w:rsid w:val="00FE24F6"/>
    <w:rsid w:val="00FE55B1"/>
    <w:rsid w:val="00FF3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7519"/>
  <w15:docId w15:val="{3253BD38-83DB-4F5F-814C-0F57601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uiPriority w:val="99"/>
    <w:unhideWhenUsed/>
    <w:rsid w:val="0085313B"/>
    <w:rPr>
      <w:sz w:val="20"/>
      <w:szCs w:val="20"/>
    </w:rPr>
  </w:style>
  <w:style w:type="character" w:customStyle="1" w:styleId="FootnoteTextChar">
    <w:name w:val="Footnote Text Char"/>
    <w:aliases w:val="Footnote Char"/>
    <w:basedOn w:val="DefaultParagraphFont"/>
    <w:link w:val="FootnoteText"/>
    <w:uiPriority w:val="99"/>
    <w:rsid w:val="0085313B"/>
    <w:rPr>
      <w:sz w:val="20"/>
      <w:szCs w:val="20"/>
    </w:rPr>
  </w:style>
  <w:style w:type="paragraph" w:styleId="Footer">
    <w:name w:val="footer"/>
    <w:basedOn w:val="Normal"/>
    <w:link w:val="FooterChar"/>
    <w:uiPriority w:val="99"/>
    <w:rsid w:val="0085313B"/>
    <w:pPr>
      <w:tabs>
        <w:tab w:val="center" w:pos="4153"/>
        <w:tab w:val="right" w:pos="8306"/>
      </w:tabs>
      <w:suppressAutoHyphens/>
    </w:pPr>
    <w:rPr>
      <w:rFonts w:eastAsia="Calibri" w:cs="Times New Roman"/>
      <w:sz w:val="28"/>
      <w:lang w:eastAsia="ar-SA"/>
    </w:rPr>
  </w:style>
  <w:style w:type="character" w:customStyle="1" w:styleId="FooterChar">
    <w:name w:val="Footer Char"/>
    <w:basedOn w:val="DefaultParagraphFont"/>
    <w:link w:val="Footer"/>
    <w:uiPriority w:val="99"/>
    <w:rsid w:val="0085313B"/>
    <w:rPr>
      <w:rFonts w:eastAsia="Calibri" w:cs="Times New Roman"/>
      <w:sz w:val="28"/>
      <w:lang w:eastAsia="ar-SA"/>
    </w:rPr>
  </w:style>
  <w:style w:type="character" w:styleId="FootnoteReference">
    <w:name w:val="footnote reference"/>
    <w:uiPriority w:val="99"/>
    <w:unhideWhenUsed/>
    <w:rsid w:val="0085313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5B32C6"/>
    <w:rPr>
      <w:rFonts w:ascii="Tahoma" w:hAnsi="Tahoma" w:cs="Tahoma"/>
      <w:sz w:val="16"/>
      <w:szCs w:val="16"/>
    </w:rPr>
  </w:style>
  <w:style w:type="character" w:customStyle="1" w:styleId="BalloonTextChar">
    <w:name w:val="Balloon Text Char"/>
    <w:basedOn w:val="DefaultParagraphFont"/>
    <w:link w:val="BalloonText"/>
    <w:uiPriority w:val="99"/>
    <w:semiHidden/>
    <w:rsid w:val="005B32C6"/>
    <w:rPr>
      <w:rFonts w:ascii="Tahoma" w:hAnsi="Tahoma" w:cs="Tahoma"/>
      <w:sz w:val="16"/>
      <w:szCs w:val="16"/>
    </w:rPr>
  </w:style>
  <w:style w:type="character" w:styleId="CommentReference">
    <w:name w:val="annotation reference"/>
    <w:basedOn w:val="DefaultParagraphFont"/>
    <w:uiPriority w:val="99"/>
    <w:semiHidden/>
    <w:unhideWhenUsed/>
    <w:rsid w:val="001316A7"/>
    <w:rPr>
      <w:sz w:val="16"/>
      <w:szCs w:val="16"/>
    </w:rPr>
  </w:style>
  <w:style w:type="paragraph" w:styleId="CommentText">
    <w:name w:val="annotation text"/>
    <w:basedOn w:val="Normal"/>
    <w:link w:val="CommentTextChar"/>
    <w:uiPriority w:val="99"/>
    <w:semiHidden/>
    <w:unhideWhenUsed/>
    <w:rsid w:val="001316A7"/>
    <w:rPr>
      <w:sz w:val="20"/>
      <w:szCs w:val="20"/>
    </w:rPr>
  </w:style>
  <w:style w:type="character" w:customStyle="1" w:styleId="CommentTextChar">
    <w:name w:val="Comment Text Char"/>
    <w:basedOn w:val="DefaultParagraphFont"/>
    <w:link w:val="CommentText"/>
    <w:uiPriority w:val="99"/>
    <w:semiHidden/>
    <w:rsid w:val="001316A7"/>
    <w:rPr>
      <w:sz w:val="20"/>
      <w:szCs w:val="20"/>
    </w:rPr>
  </w:style>
  <w:style w:type="paragraph" w:styleId="CommentSubject">
    <w:name w:val="annotation subject"/>
    <w:basedOn w:val="CommentText"/>
    <w:next w:val="CommentText"/>
    <w:link w:val="CommentSubjectChar"/>
    <w:uiPriority w:val="99"/>
    <w:semiHidden/>
    <w:unhideWhenUsed/>
    <w:rsid w:val="001316A7"/>
    <w:rPr>
      <w:b/>
      <w:bCs/>
    </w:rPr>
  </w:style>
  <w:style w:type="character" w:customStyle="1" w:styleId="CommentSubjectChar">
    <w:name w:val="Comment Subject Char"/>
    <w:basedOn w:val="CommentTextChar"/>
    <w:link w:val="CommentSubject"/>
    <w:uiPriority w:val="99"/>
    <w:semiHidden/>
    <w:rsid w:val="001316A7"/>
    <w:rPr>
      <w:b/>
      <w:bCs/>
      <w:sz w:val="20"/>
      <w:szCs w:val="20"/>
    </w:rPr>
  </w:style>
  <w:style w:type="paragraph" w:styleId="ListParagraph">
    <w:name w:val="List Paragraph"/>
    <w:basedOn w:val="Normal"/>
    <w:uiPriority w:val="34"/>
    <w:qFormat/>
    <w:rsid w:val="00100ECA"/>
    <w:pPr>
      <w:ind w:left="720"/>
      <w:contextualSpacing/>
    </w:pPr>
  </w:style>
  <w:style w:type="paragraph" w:styleId="Header">
    <w:name w:val="header"/>
    <w:basedOn w:val="Normal"/>
    <w:link w:val="HeaderChar"/>
    <w:uiPriority w:val="99"/>
    <w:unhideWhenUsed/>
    <w:rsid w:val="006230D3"/>
    <w:pPr>
      <w:tabs>
        <w:tab w:val="center" w:pos="4153"/>
        <w:tab w:val="right" w:pos="8306"/>
      </w:tabs>
    </w:pPr>
  </w:style>
  <w:style w:type="character" w:customStyle="1" w:styleId="HeaderChar">
    <w:name w:val="Header Char"/>
    <w:basedOn w:val="DefaultParagraphFont"/>
    <w:link w:val="Header"/>
    <w:uiPriority w:val="99"/>
    <w:rsid w:val="006230D3"/>
  </w:style>
  <w:style w:type="paragraph" w:customStyle="1" w:styleId="tv2131">
    <w:name w:val="tv2131"/>
    <w:basedOn w:val="Normal"/>
    <w:rsid w:val="007945A6"/>
    <w:pPr>
      <w:spacing w:before="240" w:line="360" w:lineRule="auto"/>
      <w:ind w:firstLine="300"/>
      <w:jc w:val="both"/>
    </w:pPr>
    <w:rPr>
      <w:rFonts w:ascii="Verdana" w:eastAsia="Times New Roman" w:hAnsi="Verdana" w:cs="Times New Roman"/>
      <w:sz w:val="18"/>
      <w:szCs w:val="18"/>
      <w:lang w:eastAsia="lv-LV"/>
    </w:rPr>
  </w:style>
  <w:style w:type="paragraph" w:styleId="NoSpacing">
    <w:name w:val="No Spacing"/>
    <w:uiPriority w:val="1"/>
    <w:qFormat/>
    <w:rsid w:val="00DA22D9"/>
    <w:rPr>
      <w:rFonts w:eastAsia="Times New Roman" w:cs="Times New Roman"/>
      <w:sz w:val="22"/>
    </w:rPr>
  </w:style>
  <w:style w:type="paragraph" w:customStyle="1" w:styleId="EYBodyText">
    <w:name w:val="EY Body Text"/>
    <w:basedOn w:val="Normal"/>
    <w:uiPriority w:val="99"/>
    <w:rsid w:val="00766F81"/>
    <w:pPr>
      <w:overflowPunct w:val="0"/>
      <w:autoSpaceDE w:val="0"/>
      <w:autoSpaceDN w:val="0"/>
      <w:adjustRightInd w:val="0"/>
      <w:spacing w:after="120" w:line="280" w:lineRule="atLeast"/>
      <w:textAlignment w:val="baseline"/>
    </w:pPr>
    <w:rPr>
      <w:rFonts w:eastAsia="MS Mincho" w:cs="Arial"/>
      <w:bCs/>
      <w:sz w:val="22"/>
      <w:szCs w:val="20"/>
    </w:rPr>
  </w:style>
  <w:style w:type="character" w:styleId="Hyperlink">
    <w:name w:val="Hyperlink"/>
    <w:basedOn w:val="DefaultParagraphFont"/>
    <w:uiPriority w:val="99"/>
    <w:unhideWhenUsed/>
    <w:rsid w:val="00326270"/>
    <w:rPr>
      <w:color w:val="0000FF" w:themeColor="hyperlink"/>
      <w:u w:val="single"/>
    </w:rPr>
  </w:style>
  <w:style w:type="paragraph" w:styleId="Revision">
    <w:name w:val="Revision"/>
    <w:hidden/>
    <w:uiPriority w:val="99"/>
    <w:semiHidden/>
    <w:rsid w:val="00E9422C"/>
  </w:style>
  <w:style w:type="paragraph" w:styleId="ListBullet">
    <w:name w:val="List Bullet"/>
    <w:basedOn w:val="Normal"/>
    <w:uiPriority w:val="99"/>
    <w:unhideWhenUsed/>
    <w:rsid w:val="00027BE0"/>
    <w:pPr>
      <w:numPr>
        <w:numId w:val="12"/>
      </w:numPr>
      <w:contextualSpacing/>
    </w:pPr>
  </w:style>
  <w:style w:type="character" w:styleId="FollowedHyperlink">
    <w:name w:val="FollowedHyperlink"/>
    <w:basedOn w:val="DefaultParagraphFont"/>
    <w:uiPriority w:val="99"/>
    <w:semiHidden/>
    <w:unhideWhenUsed/>
    <w:rsid w:val="00322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8707">
      <w:bodyDiv w:val="1"/>
      <w:marLeft w:val="0"/>
      <w:marRight w:val="0"/>
      <w:marTop w:val="0"/>
      <w:marBottom w:val="0"/>
      <w:divBdr>
        <w:top w:val="none" w:sz="0" w:space="0" w:color="auto"/>
        <w:left w:val="none" w:sz="0" w:space="0" w:color="auto"/>
        <w:bottom w:val="none" w:sz="0" w:space="0" w:color="auto"/>
        <w:right w:val="none" w:sz="0" w:space="0" w:color="auto"/>
      </w:divBdr>
      <w:divsChild>
        <w:div w:id="382292247">
          <w:marLeft w:val="0"/>
          <w:marRight w:val="0"/>
          <w:marTop w:val="0"/>
          <w:marBottom w:val="0"/>
          <w:divBdr>
            <w:top w:val="none" w:sz="0" w:space="0" w:color="auto"/>
            <w:left w:val="none" w:sz="0" w:space="0" w:color="auto"/>
            <w:bottom w:val="none" w:sz="0" w:space="0" w:color="auto"/>
            <w:right w:val="none" w:sz="0" w:space="0" w:color="auto"/>
          </w:divBdr>
        </w:div>
      </w:divsChild>
    </w:div>
    <w:div w:id="775632871">
      <w:bodyDiv w:val="1"/>
      <w:marLeft w:val="0"/>
      <w:marRight w:val="0"/>
      <w:marTop w:val="0"/>
      <w:marBottom w:val="0"/>
      <w:divBdr>
        <w:top w:val="none" w:sz="0" w:space="0" w:color="auto"/>
        <w:left w:val="none" w:sz="0" w:space="0" w:color="auto"/>
        <w:bottom w:val="none" w:sz="0" w:space="0" w:color="auto"/>
        <w:right w:val="none" w:sz="0" w:space="0" w:color="auto"/>
      </w:divBdr>
      <w:divsChild>
        <w:div w:id="386301373">
          <w:marLeft w:val="0"/>
          <w:marRight w:val="0"/>
          <w:marTop w:val="0"/>
          <w:marBottom w:val="0"/>
          <w:divBdr>
            <w:top w:val="none" w:sz="0" w:space="0" w:color="auto"/>
            <w:left w:val="none" w:sz="0" w:space="0" w:color="auto"/>
            <w:bottom w:val="none" w:sz="0" w:space="0" w:color="auto"/>
            <w:right w:val="none" w:sz="0" w:space="0" w:color="auto"/>
          </w:divBdr>
        </w:div>
      </w:divsChild>
    </w:div>
    <w:div w:id="1496604889">
      <w:bodyDiv w:val="1"/>
      <w:marLeft w:val="0"/>
      <w:marRight w:val="0"/>
      <w:marTop w:val="0"/>
      <w:marBottom w:val="0"/>
      <w:divBdr>
        <w:top w:val="none" w:sz="0" w:space="0" w:color="auto"/>
        <w:left w:val="none" w:sz="0" w:space="0" w:color="auto"/>
        <w:bottom w:val="none" w:sz="0" w:space="0" w:color="auto"/>
        <w:right w:val="none" w:sz="0" w:space="0" w:color="auto"/>
      </w:divBdr>
    </w:div>
    <w:div w:id="2107773616">
      <w:bodyDiv w:val="1"/>
      <w:marLeft w:val="0"/>
      <w:marRight w:val="0"/>
      <w:marTop w:val="0"/>
      <w:marBottom w:val="0"/>
      <w:divBdr>
        <w:top w:val="none" w:sz="0" w:space="0" w:color="auto"/>
        <w:left w:val="none" w:sz="0" w:space="0" w:color="auto"/>
        <w:bottom w:val="none" w:sz="0" w:space="0" w:color="auto"/>
        <w:right w:val="none" w:sz="0" w:space="0" w:color="auto"/>
      </w:divBdr>
      <w:divsChild>
        <w:div w:id="180488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4715" TargetMode="External"/><Relationship Id="rId13" Type="http://schemas.openxmlformats.org/officeDocument/2006/relationships/hyperlink" Target="mailto:jelena.keirane@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grants.lv/files/GRZ_2017_FINAL-publish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a.gov.lv/lat/starpt_fin_intrumenti/norvegijas_finansu_instruments/eez_norvegijas_fin_ins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f.lv/index.php?option=com_content&amp;view=section&amp;id=8&amp;Itemid=121&amp;lang=lv" TargetMode="External"/><Relationship Id="rId4" Type="http://schemas.openxmlformats.org/officeDocument/2006/relationships/settings" Target="settings.xml"/><Relationship Id="rId9" Type="http://schemas.openxmlformats.org/officeDocument/2006/relationships/hyperlink" Target="http://www.varam.gov.lv/lat/fondi/grants/EEZ_2009_2014/nacionala_klimata_politika/?doc=149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D7F29-70C6-47DD-AE7A-B730833B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6376</Words>
  <Characters>3635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Informatīvais ziņojums „Par Revīzijas iestādes 2017.gada Eiropas Ekonomikas zonas finanšu instrumenta un Norvēģijas finanšu instrumenta revīziju rezultātiem”</vt:lpstr>
    </vt:vector>
  </TitlesOfParts>
  <Manager>nata.lasmane@fm.gov.lv</Manager>
  <Company>Finanšu ministrija</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Revīzijas iestādes 2017.gada Eiropas Ekonomikas zonas finanšu instrumenta un Norvēģijas finanšu instrumenta revīziju rezultātiem”</dc:title>
  <dc:subject>Informatīvais ziņojums Ministru kabinetam</dc:subject>
  <dc:creator>jelena.keirane@fm.gov.lv</dc:creator>
  <dc:description>Tālr.67083926; jelena.keirane@fm.gov.lv</dc:description>
  <cp:lastModifiedBy>Jeļena Keirāne</cp:lastModifiedBy>
  <cp:revision>6</cp:revision>
  <cp:lastPrinted>2018-02-08T08:48:00Z</cp:lastPrinted>
  <dcterms:created xsi:type="dcterms:W3CDTF">2018-02-08T14:25:00Z</dcterms:created>
  <dcterms:modified xsi:type="dcterms:W3CDTF">2018-02-13T12:30:00Z</dcterms:modified>
  <cp:category/>
</cp:coreProperties>
</file>