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D3BC" w14:textId="77777777" w:rsidR="00924203" w:rsidRPr="00453D76"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 xml:space="preserve">Ministru kabineta noteikumu projekta </w:t>
      </w:r>
    </w:p>
    <w:p w14:paraId="1511A559" w14:textId="77777777" w:rsidR="00924203"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w:t>
      </w:r>
      <w:sdt>
        <w:sdtPr>
          <w:rPr>
            <w:rFonts w:ascii="Times New Roman" w:eastAsia="Times New Roman" w:hAnsi="Times New Roman" w:cs="Times New Roman"/>
            <w:b/>
            <w:bCs/>
            <w:sz w:val="28"/>
            <w:szCs w:val="28"/>
            <w:lang w:eastAsia="lv-LV"/>
          </w:rPr>
          <w:id w:val="882755678"/>
          <w:placeholder>
            <w:docPart w:val="8DA1E54007224375ABDB15ADC577FEFF"/>
          </w:placeholder>
        </w:sdtPr>
        <w:sdtEndPr/>
        <w:sdtContent>
          <w:r w:rsidRPr="000A75E4">
            <w:rPr>
              <w:rFonts w:ascii="Times New Roman" w:eastAsia="Times New Roman" w:hAnsi="Times New Roman" w:cs="Times New Roman"/>
              <w:b/>
              <w:bCs/>
              <w:sz w:val="28"/>
              <w:szCs w:val="28"/>
              <w:lang w:eastAsia="lv-LV"/>
            </w:rPr>
            <w:t xml:space="preserve">Noteikumi par interaktīvās azartspēles vai interaktīvās izlozes organizēšanā izmantojamās spēles programmas atbilstības pārskatā </w:t>
          </w:r>
          <w:r>
            <w:rPr>
              <w:rFonts w:ascii="Times New Roman" w:eastAsia="Times New Roman" w:hAnsi="Times New Roman" w:cs="Times New Roman"/>
              <w:b/>
              <w:bCs/>
              <w:sz w:val="28"/>
              <w:szCs w:val="28"/>
              <w:lang w:eastAsia="lv-LV"/>
            </w:rPr>
            <w:t>i</w:t>
          </w:r>
          <w:r w:rsidRPr="000A75E4">
            <w:rPr>
              <w:rFonts w:ascii="Times New Roman" w:eastAsia="Times New Roman" w:hAnsi="Times New Roman" w:cs="Times New Roman"/>
              <w:b/>
              <w:bCs/>
              <w:sz w:val="28"/>
              <w:szCs w:val="28"/>
              <w:lang w:eastAsia="lv-LV"/>
            </w:rPr>
            <w:t>ekļaujamo informāciju</w:t>
          </w:r>
          <w:r>
            <w:rPr>
              <w:rFonts w:ascii="Times New Roman" w:eastAsia="Times New Roman" w:hAnsi="Times New Roman" w:cs="Times New Roman"/>
              <w:b/>
              <w:bCs/>
              <w:sz w:val="28"/>
              <w:szCs w:val="28"/>
              <w:lang w:eastAsia="lv-LV"/>
            </w:rPr>
            <w:t xml:space="preserve"> </w:t>
          </w:r>
          <w:r w:rsidRPr="00453D76">
            <w:rPr>
              <w:rFonts w:ascii="Times New Roman" w:eastAsia="Times New Roman" w:hAnsi="Times New Roman" w:cs="Times New Roman"/>
              <w:b/>
              <w:bCs/>
              <w:sz w:val="28"/>
              <w:szCs w:val="28"/>
              <w:lang w:eastAsia="lv-LV"/>
            </w:rPr>
            <w:t>”</w:t>
          </w:r>
        </w:sdtContent>
      </w:sdt>
      <w:r>
        <w:rPr>
          <w:rFonts w:ascii="Times New Roman" w:eastAsia="Times New Roman" w:hAnsi="Times New Roman" w:cs="Times New Roman"/>
          <w:b/>
          <w:bCs/>
          <w:sz w:val="28"/>
          <w:szCs w:val="28"/>
          <w:lang w:eastAsia="lv-LV"/>
        </w:rPr>
        <w:t xml:space="preserve"> </w:t>
      </w:r>
    </w:p>
    <w:p w14:paraId="6100F6D6" w14:textId="0F36C12F" w:rsidR="00924203"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453D76">
        <w:rPr>
          <w:rFonts w:ascii="Times New Roman" w:eastAsia="Times New Roman" w:hAnsi="Times New Roman" w:cs="Times New Roman"/>
          <w:b/>
          <w:bCs/>
          <w:sz w:val="28"/>
          <w:szCs w:val="28"/>
          <w:lang w:eastAsia="lv-LV"/>
        </w:rPr>
        <w:t>sākotnējās ietekmes novērtējuma ziņojums (anotācija)</w:t>
      </w:r>
    </w:p>
    <w:p w14:paraId="429DD4A8" w14:textId="29C49020" w:rsidR="00DE51FE"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p w14:paraId="74D9E19B" w14:textId="77777777" w:rsidR="00DE51FE"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DE51FE" w:rsidRPr="00887A3A" w14:paraId="01D00273"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D94244" w14:textId="77777777" w:rsidR="00DE51FE" w:rsidRPr="00E96F8F"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3"/>
                <w:szCs w:val="23"/>
                <w:lang w:eastAsia="lv-LV"/>
              </w:rPr>
            </w:pPr>
            <w:r w:rsidRPr="00E96F8F">
              <w:rPr>
                <w:rFonts w:ascii="Times New Roman" w:eastAsia="Times New Roman" w:hAnsi="Times New Roman" w:cs="Times New Roman"/>
                <w:b/>
                <w:bCs/>
                <w:sz w:val="23"/>
                <w:szCs w:val="23"/>
                <w:lang w:eastAsia="lv-LV"/>
              </w:rPr>
              <w:t>Tiesību akta projekta anotācijas kopsavilkums</w:t>
            </w:r>
          </w:p>
        </w:tc>
      </w:tr>
      <w:tr w:rsidR="00DE51FE" w:rsidRPr="00887A3A" w14:paraId="0301E8BF" w14:textId="77777777" w:rsidTr="00A85D67">
        <w:tc>
          <w:tcPr>
            <w:tcW w:w="2000" w:type="pct"/>
            <w:tcBorders>
              <w:top w:val="outset" w:sz="6" w:space="0" w:color="414142"/>
              <w:left w:val="outset" w:sz="6" w:space="0" w:color="414142"/>
              <w:bottom w:val="outset" w:sz="6" w:space="0" w:color="414142"/>
              <w:right w:val="outset" w:sz="6" w:space="0" w:color="414142"/>
            </w:tcBorders>
            <w:hideMark/>
          </w:tcPr>
          <w:p w14:paraId="23FA9DCB" w14:textId="77777777" w:rsidR="00DE51FE" w:rsidRPr="00E96F8F" w:rsidRDefault="00DE51FE" w:rsidP="00A85D67">
            <w:pPr>
              <w:spacing w:after="0" w:line="240" w:lineRule="auto"/>
              <w:jc w:val="both"/>
              <w:rPr>
                <w:rFonts w:ascii="Times New Roman" w:eastAsia="Times New Roman" w:hAnsi="Times New Roman" w:cs="Times New Roman"/>
                <w:sz w:val="23"/>
                <w:szCs w:val="23"/>
                <w:lang w:eastAsia="lv-LV"/>
              </w:rPr>
            </w:pPr>
            <w:r w:rsidRPr="00E96F8F">
              <w:rPr>
                <w:rFonts w:ascii="Times New Roman" w:eastAsia="Times New Roman" w:hAnsi="Times New Roman" w:cs="Times New Roman"/>
                <w:sz w:val="23"/>
                <w:szCs w:val="23"/>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9023BA4" w14:textId="7FF126DA" w:rsidR="00DE51FE" w:rsidRDefault="00DE51FE" w:rsidP="00A85D67">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Lai tiktu nodrošināti godīgi </w:t>
            </w:r>
            <w:r w:rsidRPr="001442FD">
              <w:rPr>
                <w:rFonts w:ascii="Times New Roman" w:hAnsi="Times New Roman" w:cs="Times New Roman"/>
                <w:bCs/>
                <w:sz w:val="23"/>
                <w:szCs w:val="23"/>
                <w:shd w:val="clear" w:color="auto" w:fill="FFFFFF"/>
              </w:rPr>
              <w:t>interaktīvo azartspēļu</w:t>
            </w:r>
            <w:r>
              <w:rPr>
                <w:rFonts w:ascii="Times New Roman" w:hAnsi="Times New Roman" w:cs="Times New Roman"/>
                <w:bCs/>
                <w:sz w:val="23"/>
                <w:szCs w:val="23"/>
                <w:shd w:val="clear" w:color="auto" w:fill="FFFFFF"/>
              </w:rPr>
              <w:t xml:space="preserve"> principi</w:t>
            </w:r>
            <w:r w:rsidR="005F583A">
              <w:rPr>
                <w:rFonts w:ascii="Times New Roman" w:hAnsi="Times New Roman" w:cs="Times New Roman"/>
                <w:bCs/>
                <w:sz w:val="23"/>
                <w:szCs w:val="23"/>
                <w:shd w:val="clear" w:color="auto" w:fill="FFFFFF"/>
              </w:rPr>
              <w:t xml:space="preserve"> un</w:t>
            </w:r>
            <w:r w:rsidRPr="001442FD">
              <w:rPr>
                <w:rFonts w:ascii="Times New Roman" w:hAnsi="Times New Roman" w:cs="Times New Roman"/>
                <w:bCs/>
                <w:sz w:val="23"/>
                <w:szCs w:val="23"/>
                <w:shd w:val="clear" w:color="auto" w:fill="FFFFFF"/>
              </w:rPr>
              <w:t xml:space="preserve"> interaktīvo izložu</w:t>
            </w:r>
            <w:r w:rsidRPr="009B7B90">
              <w:rPr>
                <w:rFonts w:ascii="Times New Roman" w:hAnsi="Times New Roman" w:cs="Times New Roman"/>
                <w:sz w:val="23"/>
                <w:szCs w:val="23"/>
                <w:shd w:val="clear" w:color="auto" w:fill="FFFFFF"/>
              </w:rPr>
              <w:t xml:space="preserve"> </w:t>
            </w:r>
            <w:r w:rsidRPr="0044175F">
              <w:rPr>
                <w:rFonts w:ascii="Times New Roman" w:hAnsi="Times New Roman" w:cs="Times New Roman"/>
                <w:sz w:val="23"/>
                <w:szCs w:val="23"/>
                <w:shd w:val="clear" w:color="auto" w:fill="FFFFFF"/>
              </w:rPr>
              <w:t>principi,</w:t>
            </w:r>
            <w:r>
              <w:rPr>
                <w:rFonts w:ascii="Times New Roman" w:hAnsi="Times New Roman" w:cs="Times New Roman"/>
                <w:sz w:val="23"/>
                <w:szCs w:val="23"/>
                <w:shd w:val="clear" w:color="auto" w:fill="FFFFFF"/>
              </w:rPr>
              <w:t xml:space="preserve"> </w:t>
            </w:r>
            <w:r w:rsidR="00B50ADA" w:rsidRPr="00B50ADA">
              <w:rPr>
                <w:rFonts w:ascii="Times New Roman" w:eastAsia="Times New Roman" w:hAnsi="Times New Roman" w:cs="Times New Roman"/>
                <w:sz w:val="23"/>
                <w:szCs w:val="23"/>
              </w:rPr>
              <w:t>Ministru kabineta noteikumu projekt</w:t>
            </w:r>
            <w:r w:rsidR="00B50ADA">
              <w:rPr>
                <w:rFonts w:ascii="Times New Roman" w:eastAsia="Times New Roman" w:hAnsi="Times New Roman" w:cs="Times New Roman"/>
                <w:sz w:val="23"/>
                <w:szCs w:val="23"/>
              </w:rPr>
              <w:t>s</w:t>
            </w:r>
            <w:r w:rsidR="00B50ADA" w:rsidRPr="00B50ADA">
              <w:rPr>
                <w:rFonts w:ascii="Times New Roman" w:eastAsia="Times New Roman" w:hAnsi="Times New Roman" w:cs="Times New Roman"/>
                <w:sz w:val="23"/>
                <w:szCs w:val="23"/>
              </w:rPr>
              <w:t xml:space="preserve"> “Noteikumi par interaktīvās azartspēles vai interaktīvās izlozes organizēšanā izmantojamās spēles programmas atbilstības pārskatā iekļaujamo informāciju ”</w:t>
            </w:r>
            <w:r w:rsidR="00B50ADA">
              <w:rPr>
                <w:rFonts w:ascii="Times New Roman" w:eastAsia="Times New Roman" w:hAnsi="Times New Roman" w:cs="Times New Roman"/>
                <w:sz w:val="23"/>
                <w:szCs w:val="23"/>
              </w:rPr>
              <w:t xml:space="preserve"> (turpmāk - MK noteikumu projekts) </w:t>
            </w:r>
            <w:r>
              <w:rPr>
                <w:rFonts w:ascii="Times New Roman" w:hAnsi="Times New Roman" w:cs="Times New Roman"/>
                <w:sz w:val="23"/>
                <w:szCs w:val="23"/>
                <w:shd w:val="clear" w:color="auto" w:fill="FFFFFF"/>
              </w:rPr>
              <w:t xml:space="preserve">paredz </w:t>
            </w:r>
            <w:r w:rsidR="005F583A">
              <w:rPr>
                <w:rFonts w:ascii="Times New Roman" w:hAnsi="Times New Roman" w:cs="Times New Roman"/>
                <w:bCs/>
                <w:sz w:val="23"/>
                <w:szCs w:val="23"/>
                <w:shd w:val="clear" w:color="auto" w:fill="FFFFFF"/>
              </w:rPr>
              <w:t>interaktīvo azartspēļu un</w:t>
            </w:r>
            <w:r w:rsidRPr="001442FD">
              <w:rPr>
                <w:rFonts w:ascii="Times New Roman" w:hAnsi="Times New Roman" w:cs="Times New Roman"/>
                <w:bCs/>
                <w:sz w:val="23"/>
                <w:szCs w:val="23"/>
                <w:shd w:val="clear" w:color="auto" w:fill="FFFFFF"/>
              </w:rPr>
              <w:t xml:space="preserve"> interaktīvo izložu</w:t>
            </w:r>
            <w:r w:rsidR="005F583A">
              <w:rPr>
                <w:rFonts w:ascii="Times New Roman" w:hAnsi="Times New Roman" w:cs="Times New Roman"/>
                <w:bCs/>
                <w:sz w:val="23"/>
                <w:szCs w:val="23"/>
                <w:shd w:val="clear" w:color="auto" w:fill="FFFFFF"/>
              </w:rPr>
              <w:t xml:space="preserve"> spēļu programmu </w:t>
            </w:r>
            <w:r>
              <w:rPr>
                <w:rFonts w:ascii="Times New Roman" w:hAnsi="Times New Roman" w:cs="Times New Roman"/>
                <w:sz w:val="23"/>
                <w:szCs w:val="23"/>
                <w:shd w:val="clear" w:color="auto" w:fill="FFFFFF"/>
              </w:rPr>
              <w:t>pārbaudes nosacījumus,</w:t>
            </w:r>
            <w:r w:rsidRPr="00245A09">
              <w:rPr>
                <w:rFonts w:ascii="Times New Roman" w:hAnsi="Times New Roman" w:cs="Times New Roman"/>
                <w:sz w:val="23"/>
                <w:szCs w:val="23"/>
                <w:shd w:val="clear" w:color="auto" w:fill="FFFFFF"/>
              </w:rPr>
              <w:t xml:space="preserve"> kurus izvērtē sertifikācijas institūcija, sniedzot </w:t>
            </w:r>
            <w:r w:rsidR="005F583A">
              <w:rPr>
                <w:rFonts w:ascii="Times New Roman" w:hAnsi="Times New Roman" w:cs="Times New Roman"/>
                <w:sz w:val="23"/>
                <w:szCs w:val="23"/>
                <w:shd w:val="clear" w:color="auto" w:fill="FFFFFF"/>
              </w:rPr>
              <w:t xml:space="preserve">atbilstības pārskatā informāciju </w:t>
            </w:r>
            <w:r w:rsidRPr="00245A09">
              <w:rPr>
                <w:rFonts w:ascii="Times New Roman" w:hAnsi="Times New Roman" w:cs="Times New Roman"/>
                <w:sz w:val="23"/>
                <w:szCs w:val="23"/>
                <w:shd w:val="clear" w:color="auto" w:fill="FFFFFF"/>
              </w:rPr>
              <w:t xml:space="preserve"> </w:t>
            </w:r>
            <w:r w:rsidR="005F583A">
              <w:rPr>
                <w:rFonts w:ascii="Times New Roman" w:hAnsi="Times New Roman" w:cs="Times New Roman"/>
                <w:sz w:val="23"/>
                <w:szCs w:val="23"/>
                <w:shd w:val="clear" w:color="auto" w:fill="FFFFFF"/>
              </w:rPr>
              <w:t xml:space="preserve">par </w:t>
            </w:r>
            <w:r w:rsidR="005F583A">
              <w:rPr>
                <w:rFonts w:ascii="Times New Roman" w:hAnsi="Times New Roman" w:cs="Times New Roman"/>
                <w:bCs/>
                <w:sz w:val="23"/>
                <w:szCs w:val="23"/>
                <w:shd w:val="clear" w:color="auto" w:fill="FFFFFF"/>
              </w:rPr>
              <w:t>interaktīvo azartspēļu un</w:t>
            </w:r>
            <w:r w:rsidR="005F583A" w:rsidRPr="001442FD">
              <w:rPr>
                <w:rFonts w:ascii="Times New Roman" w:hAnsi="Times New Roman" w:cs="Times New Roman"/>
                <w:bCs/>
                <w:sz w:val="23"/>
                <w:szCs w:val="23"/>
                <w:shd w:val="clear" w:color="auto" w:fill="FFFFFF"/>
              </w:rPr>
              <w:t xml:space="preserve">  interaktīvo izložu</w:t>
            </w:r>
            <w:r w:rsidR="005F583A">
              <w:rPr>
                <w:rFonts w:ascii="Times New Roman" w:hAnsi="Times New Roman" w:cs="Times New Roman"/>
                <w:bCs/>
                <w:sz w:val="23"/>
                <w:szCs w:val="23"/>
                <w:shd w:val="clear" w:color="auto" w:fill="FFFFFF"/>
              </w:rPr>
              <w:t xml:space="preserve"> spēļu programmu</w:t>
            </w:r>
            <w:r w:rsidR="005F583A">
              <w:rPr>
                <w:rFonts w:ascii="Times New Roman" w:hAnsi="Times New Roman" w:cs="Times New Roman"/>
                <w:sz w:val="23"/>
                <w:szCs w:val="23"/>
                <w:shd w:val="clear" w:color="auto" w:fill="FFFFFF"/>
              </w:rPr>
              <w:t xml:space="preserve"> atbilstību </w:t>
            </w:r>
            <w:r w:rsidR="005D51D4">
              <w:rPr>
                <w:rFonts w:ascii="Times New Roman" w:hAnsi="Times New Roman" w:cs="Times New Roman"/>
                <w:sz w:val="23"/>
                <w:szCs w:val="23"/>
                <w:shd w:val="clear" w:color="auto" w:fill="FFFFFF"/>
              </w:rPr>
              <w:t>šajā</w:t>
            </w:r>
            <w:r w:rsidR="00A1395E">
              <w:rPr>
                <w:rFonts w:ascii="Times New Roman" w:hAnsi="Times New Roman" w:cs="Times New Roman"/>
                <w:sz w:val="23"/>
                <w:szCs w:val="23"/>
                <w:shd w:val="clear" w:color="auto" w:fill="FFFFFF"/>
              </w:rPr>
              <w:t xml:space="preserve"> MK</w:t>
            </w:r>
            <w:r w:rsidR="005F583A">
              <w:rPr>
                <w:rFonts w:ascii="Times New Roman" w:hAnsi="Times New Roman" w:cs="Times New Roman"/>
                <w:sz w:val="23"/>
                <w:szCs w:val="23"/>
                <w:shd w:val="clear" w:color="auto" w:fill="FFFFFF"/>
              </w:rPr>
              <w:t xml:space="preserve"> noteikumu projektā minētajām prasībām. </w:t>
            </w:r>
            <w:r w:rsidR="00A1395E">
              <w:rPr>
                <w:rFonts w:ascii="Times New Roman" w:hAnsi="Times New Roman" w:cs="Times New Roman"/>
                <w:sz w:val="23"/>
                <w:szCs w:val="23"/>
                <w:shd w:val="clear" w:color="auto" w:fill="FFFFFF"/>
              </w:rPr>
              <w:t>MK n</w:t>
            </w:r>
            <w:r w:rsidR="005F583A">
              <w:rPr>
                <w:rFonts w:ascii="Times New Roman" w:hAnsi="Times New Roman" w:cs="Times New Roman"/>
                <w:sz w:val="23"/>
                <w:szCs w:val="23"/>
                <w:shd w:val="clear" w:color="auto" w:fill="FFFFFF"/>
              </w:rPr>
              <w:t>oteikumu projekts nosaka arī, kāda vispārīga informācija sertifikācijas institūcijai ir jāsniedz atbilstības pārskatā, piemēram, sertifikācijas institūcijas nosaukums, attiecīgās interaktīvās spēles programmas nosaukums, tās ražotāja nosaukums u.c.</w:t>
            </w:r>
          </w:p>
          <w:p w14:paraId="235B16AC" w14:textId="1DA63B3A" w:rsidR="00951D56" w:rsidRDefault="00A1395E" w:rsidP="00B50AD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MK </w:t>
            </w:r>
            <w:r w:rsidR="00DC034B">
              <w:rPr>
                <w:rFonts w:ascii="Times New Roman" w:eastAsia="Times New Roman" w:hAnsi="Times New Roman" w:cs="Times New Roman"/>
                <w:sz w:val="23"/>
                <w:szCs w:val="23"/>
              </w:rPr>
              <w:t>n</w:t>
            </w:r>
            <w:r w:rsidR="00951D56">
              <w:rPr>
                <w:rFonts w:ascii="Times New Roman" w:eastAsia="Times New Roman" w:hAnsi="Times New Roman" w:cs="Times New Roman"/>
                <w:sz w:val="23"/>
                <w:szCs w:val="23"/>
              </w:rPr>
              <w:t>oteikumu projekts paredz, ja par i</w:t>
            </w:r>
            <w:r w:rsidR="00951D56" w:rsidRPr="00945015">
              <w:rPr>
                <w:rFonts w:ascii="Times New Roman" w:eastAsia="Times New Roman" w:hAnsi="Times New Roman" w:cs="Times New Roman"/>
                <w:sz w:val="23"/>
                <w:szCs w:val="23"/>
              </w:rPr>
              <w:t>nteraktīvās azartspēles vai interaktīvās izlozes organizētāja konkrētai</w:t>
            </w:r>
            <w:r w:rsidR="00951D56" w:rsidRPr="00945015">
              <w:rPr>
                <w:rFonts w:ascii="Times New Roman" w:eastAsia="Times New Roman" w:hAnsi="Times New Roman" w:cs="Times New Roman"/>
                <w:i/>
                <w:sz w:val="23"/>
                <w:szCs w:val="23"/>
              </w:rPr>
              <w:t xml:space="preserve"> </w:t>
            </w:r>
            <w:r w:rsidR="00951D56" w:rsidRPr="00945015">
              <w:rPr>
                <w:rFonts w:ascii="Times New Roman" w:eastAsia="Times New Roman" w:hAnsi="Times New Roman" w:cs="Times New Roman"/>
                <w:sz w:val="23"/>
                <w:szCs w:val="23"/>
              </w:rPr>
              <w:t xml:space="preserve">interaktīvajai azartspēlei vai interaktīvajai izlozei </w:t>
            </w:r>
            <w:r w:rsidR="00951D56">
              <w:rPr>
                <w:rFonts w:ascii="Times New Roman" w:eastAsia="Times New Roman" w:hAnsi="Times New Roman" w:cs="Times New Roman"/>
                <w:sz w:val="23"/>
                <w:szCs w:val="23"/>
              </w:rPr>
              <w:t xml:space="preserve">līdz 2018.gada 1.janvārim ir izsniegts </w:t>
            </w:r>
            <w:r w:rsidR="00951D56" w:rsidRPr="00945015">
              <w:rPr>
                <w:rFonts w:ascii="Times New Roman" w:eastAsia="Times New Roman" w:hAnsi="Times New Roman" w:cs="Times New Roman"/>
                <w:sz w:val="23"/>
                <w:szCs w:val="23"/>
              </w:rPr>
              <w:t>sertifikācijas institūcijas atbilstošais interaktīvās spēles programmas atbilstības pārskats,</w:t>
            </w:r>
            <w:r w:rsidR="00951D56">
              <w:rPr>
                <w:rFonts w:ascii="Times New Roman" w:eastAsia="Times New Roman" w:hAnsi="Times New Roman" w:cs="Times New Roman"/>
                <w:sz w:val="23"/>
                <w:szCs w:val="23"/>
              </w:rPr>
              <w:t xml:space="preserve"> tad tas</w:t>
            </w:r>
            <w:r w:rsidR="00951D56" w:rsidRPr="00945015">
              <w:rPr>
                <w:rFonts w:ascii="Times New Roman" w:eastAsia="Times New Roman" w:hAnsi="Times New Roman" w:cs="Times New Roman"/>
                <w:i/>
                <w:sz w:val="23"/>
                <w:szCs w:val="23"/>
              </w:rPr>
              <w:t xml:space="preserve"> </w:t>
            </w:r>
            <w:r w:rsidR="00951D56" w:rsidRPr="00945015">
              <w:rPr>
                <w:rFonts w:ascii="Times New Roman" w:eastAsia="Times New Roman" w:hAnsi="Times New Roman" w:cs="Times New Roman"/>
                <w:sz w:val="23"/>
                <w:szCs w:val="23"/>
              </w:rPr>
              <w:t>ir derīgs līdz laikam, kamēr nav veiktas izmaiņas konkrētajā interaktīvās spēles programmā.</w:t>
            </w:r>
            <w:r w:rsidR="00951D56">
              <w:rPr>
                <w:rFonts w:ascii="Times New Roman" w:eastAsia="Times New Roman" w:hAnsi="Times New Roman" w:cs="Times New Roman"/>
                <w:sz w:val="23"/>
                <w:szCs w:val="23"/>
              </w:rPr>
              <w:t xml:space="preserve"> Tādējādi ar šo</w:t>
            </w:r>
            <w:r w:rsidR="00B50ADA">
              <w:rPr>
                <w:rFonts w:ascii="Times New Roman" w:eastAsia="Times New Roman" w:hAnsi="Times New Roman" w:cs="Times New Roman"/>
                <w:sz w:val="23"/>
                <w:szCs w:val="23"/>
              </w:rPr>
              <w:t xml:space="preserve"> </w:t>
            </w:r>
            <w:r w:rsidR="00951D56">
              <w:rPr>
                <w:rFonts w:ascii="Times New Roman" w:eastAsia="Times New Roman" w:hAnsi="Times New Roman" w:cs="Times New Roman"/>
                <w:sz w:val="23"/>
                <w:szCs w:val="23"/>
              </w:rPr>
              <w:t>MK noteikumu projekt</w:t>
            </w:r>
            <w:r w:rsidR="00B50ADA">
              <w:rPr>
                <w:rFonts w:ascii="Times New Roman" w:eastAsia="Times New Roman" w:hAnsi="Times New Roman" w:cs="Times New Roman"/>
                <w:sz w:val="23"/>
                <w:szCs w:val="23"/>
              </w:rPr>
              <w:t xml:space="preserve">u </w:t>
            </w:r>
            <w:r w:rsidR="00951D56">
              <w:rPr>
                <w:rFonts w:ascii="Times New Roman" w:eastAsia="Times New Roman" w:hAnsi="Times New Roman" w:cs="Times New Roman"/>
                <w:sz w:val="23"/>
                <w:szCs w:val="23"/>
              </w:rPr>
              <w:t>izdošanu tiek sakārtots tiesiskais regulējums.</w:t>
            </w:r>
            <w:r w:rsidR="007D615B">
              <w:rPr>
                <w:rFonts w:ascii="Times New Roman" w:eastAsia="Times New Roman" w:hAnsi="Times New Roman" w:cs="Times New Roman"/>
                <w:sz w:val="23"/>
                <w:szCs w:val="23"/>
              </w:rPr>
              <w:t xml:space="preserve"> </w:t>
            </w:r>
            <w:r w:rsidR="00951D56">
              <w:rPr>
                <w:rFonts w:ascii="Times New Roman" w:eastAsia="Times New Roman" w:hAnsi="Times New Roman" w:cs="Times New Roman"/>
                <w:sz w:val="23"/>
                <w:szCs w:val="23"/>
              </w:rPr>
              <w:t>Vi</w:t>
            </w:r>
            <w:r w:rsidR="007D615B">
              <w:rPr>
                <w:rFonts w:ascii="Times New Roman" w:eastAsia="Times New Roman" w:hAnsi="Times New Roman" w:cs="Times New Roman"/>
                <w:sz w:val="23"/>
                <w:szCs w:val="23"/>
              </w:rPr>
              <w:t xml:space="preserve">enlaicīgi MK noteikumu projektā </w:t>
            </w:r>
            <w:r w:rsidR="00951D56">
              <w:rPr>
                <w:rFonts w:ascii="Times New Roman" w:eastAsia="Times New Roman" w:hAnsi="Times New Roman" w:cs="Times New Roman"/>
                <w:sz w:val="23"/>
                <w:szCs w:val="23"/>
              </w:rPr>
              <w:t xml:space="preserve">ir noteikts, ka gadījumos, ja </w:t>
            </w:r>
            <w:r w:rsidR="00951D56" w:rsidRPr="00945015">
              <w:rPr>
                <w:rFonts w:ascii="Times New Roman" w:eastAsia="Times New Roman" w:hAnsi="Times New Roman" w:cs="Times New Roman"/>
                <w:sz w:val="23"/>
                <w:szCs w:val="23"/>
              </w:rPr>
              <w:t>nav sertifikācijas institūcijas izsniegts atbilstošs interaktīvās spēles programmas atbilstības pārskats</w:t>
            </w:r>
            <w:r w:rsidR="00951D56">
              <w:rPr>
                <w:rFonts w:ascii="Times New Roman" w:eastAsia="Times New Roman" w:hAnsi="Times New Roman" w:cs="Times New Roman"/>
                <w:sz w:val="23"/>
                <w:szCs w:val="23"/>
              </w:rPr>
              <w:t>, tad</w:t>
            </w:r>
            <w:r w:rsidR="00951D56" w:rsidRPr="00945015">
              <w:rPr>
                <w:rFonts w:ascii="Times New Roman" w:eastAsia="Times New Roman" w:hAnsi="Times New Roman" w:cs="Times New Roman"/>
                <w:sz w:val="23"/>
                <w:szCs w:val="23"/>
              </w:rPr>
              <w:t xml:space="preserve"> </w:t>
            </w:r>
            <w:r w:rsidR="00951D56">
              <w:rPr>
                <w:rFonts w:ascii="Times New Roman" w:eastAsia="Times New Roman" w:hAnsi="Times New Roman" w:cs="Times New Roman"/>
                <w:sz w:val="23"/>
                <w:szCs w:val="23"/>
              </w:rPr>
              <w:t>sešu</w:t>
            </w:r>
            <w:r w:rsidR="00951D56" w:rsidRPr="00945015">
              <w:rPr>
                <w:rFonts w:ascii="Times New Roman" w:eastAsia="Times New Roman" w:hAnsi="Times New Roman" w:cs="Times New Roman"/>
                <w:sz w:val="23"/>
                <w:szCs w:val="23"/>
              </w:rPr>
              <w:t xml:space="preserve"> mēnešu laikā pēc šo noteikumu spēkā stāšanās interaktīvo azartspēļu organizētājs vai interaktīvo izložu organizētājs iesniedz Izložu un azartspēļu uzraudzības inspekcijā atbilstības pārskatu atbilstoši šajos noteikumos minētajām prasībām.</w:t>
            </w:r>
          </w:p>
          <w:p w14:paraId="75B6DB24" w14:textId="54AA00DA" w:rsidR="005D51D4" w:rsidRPr="005D51D4" w:rsidRDefault="00A1395E" w:rsidP="00A1395E">
            <w:pPr>
              <w:spacing w:after="0" w:line="240"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MK n</w:t>
            </w:r>
            <w:r w:rsidR="005D51D4" w:rsidRPr="005B35F3">
              <w:rPr>
                <w:rFonts w:ascii="Times New Roman" w:hAnsi="Times New Roman" w:cs="Times New Roman"/>
                <w:sz w:val="23"/>
                <w:szCs w:val="23"/>
                <w:shd w:val="clear" w:color="auto" w:fill="FFFFFF"/>
              </w:rPr>
              <w:t xml:space="preserve">oteikumu projekts stāsies spēkā </w:t>
            </w:r>
            <w:r w:rsidR="005D51D4">
              <w:rPr>
                <w:rFonts w:ascii="Times New Roman" w:hAnsi="Times New Roman" w:cs="Times New Roman"/>
                <w:sz w:val="23"/>
                <w:szCs w:val="23"/>
                <w:shd w:val="clear" w:color="auto" w:fill="FFFFFF"/>
              </w:rPr>
              <w:t xml:space="preserve">nākamajā dienā </w:t>
            </w:r>
            <w:r w:rsidR="005D51D4" w:rsidRPr="005B35F3">
              <w:rPr>
                <w:rFonts w:ascii="Times New Roman" w:hAnsi="Times New Roman" w:cs="Times New Roman"/>
                <w:sz w:val="23"/>
                <w:szCs w:val="23"/>
                <w:shd w:val="clear" w:color="auto" w:fill="FFFFFF"/>
              </w:rPr>
              <w:t xml:space="preserve">pēc tā </w:t>
            </w:r>
            <w:r w:rsidR="005D51D4">
              <w:rPr>
                <w:rFonts w:ascii="Times New Roman" w:hAnsi="Times New Roman" w:cs="Times New Roman"/>
                <w:sz w:val="23"/>
                <w:szCs w:val="23"/>
                <w:shd w:val="clear" w:color="auto" w:fill="FFFFFF"/>
              </w:rPr>
              <w:t>izsludināšana</w:t>
            </w:r>
            <w:bookmarkStart w:id="0" w:name="_GoBack"/>
            <w:bookmarkEnd w:id="0"/>
            <w:r w:rsidR="005D51D4">
              <w:rPr>
                <w:rFonts w:ascii="Times New Roman" w:hAnsi="Times New Roman" w:cs="Times New Roman"/>
                <w:sz w:val="23"/>
                <w:szCs w:val="23"/>
                <w:shd w:val="clear" w:color="auto" w:fill="FFFFFF"/>
              </w:rPr>
              <w:t>s</w:t>
            </w:r>
            <w:r w:rsidR="005D51D4" w:rsidRPr="005B35F3">
              <w:rPr>
                <w:rFonts w:ascii="Times New Roman" w:hAnsi="Times New Roman" w:cs="Times New Roman"/>
                <w:sz w:val="23"/>
                <w:szCs w:val="23"/>
                <w:shd w:val="clear" w:color="auto" w:fill="FFFFFF"/>
              </w:rPr>
              <w:t>.</w:t>
            </w:r>
          </w:p>
        </w:tc>
      </w:tr>
    </w:tbl>
    <w:p w14:paraId="7D0A4FB9" w14:textId="77777777" w:rsidR="00924203" w:rsidRPr="00453D76"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924203" w:rsidRPr="008C0F3F" w14:paraId="3CF43EE6"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16033"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 Tiesību akta projekta izstrādes nepieciešamība</w:t>
            </w:r>
          </w:p>
        </w:tc>
      </w:tr>
      <w:tr w:rsidR="00924203" w:rsidRPr="008C0F3F" w14:paraId="20ABE001"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011DC424"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6DFA5099"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36F2EE47" w14:textId="77777777" w:rsidR="00924203" w:rsidRPr="00600514" w:rsidRDefault="00924203" w:rsidP="000B6793">
            <w:pPr>
              <w:spacing w:after="0" w:line="240" w:lineRule="auto"/>
              <w:jc w:val="both"/>
              <w:rPr>
                <w:rFonts w:ascii="Times New Roman" w:eastAsia="Times New Roman" w:hAnsi="Times New Roman" w:cs="Times New Roman"/>
                <w:sz w:val="23"/>
                <w:szCs w:val="23"/>
                <w:lang w:eastAsia="lv-LV"/>
              </w:rPr>
            </w:pPr>
            <w:r w:rsidRPr="00600514">
              <w:rPr>
                <w:rFonts w:ascii="Times New Roman" w:eastAsia="Times New Roman" w:hAnsi="Times New Roman" w:cs="Times New Roman"/>
                <w:sz w:val="23"/>
                <w:szCs w:val="23"/>
              </w:rPr>
              <w:t>Azartspēļu un izložu likuma 47.panta ceturtā daļa,  80.panta sestā daļa</w:t>
            </w:r>
            <w:r w:rsidRPr="00600514">
              <w:rPr>
                <w:rFonts w:ascii="Times New Roman" w:hAnsi="Times New Roman" w:cs="Times New Roman"/>
                <w:sz w:val="23"/>
                <w:szCs w:val="23"/>
              </w:rPr>
              <w:t xml:space="preserve"> un pārejas noteikumu 19.punkts.</w:t>
            </w:r>
          </w:p>
        </w:tc>
      </w:tr>
      <w:tr w:rsidR="00924203" w:rsidRPr="008C0F3F" w14:paraId="1832286F"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CBD4167"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38311B8" w14:textId="77777777" w:rsidR="000D21A8"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Pašreizējā situācija un problēmas, kuru risināšanai tiesību akta projekts </w:t>
            </w:r>
            <w:r w:rsidRPr="008C0F3F">
              <w:rPr>
                <w:rFonts w:ascii="Times New Roman" w:eastAsia="Times New Roman" w:hAnsi="Times New Roman" w:cs="Times New Roman"/>
                <w:sz w:val="23"/>
                <w:szCs w:val="23"/>
                <w:lang w:eastAsia="lv-LV"/>
              </w:rPr>
              <w:lastRenderedPageBreak/>
              <w:t>izstrādāts, tiesiskā regulējuma mērķis un būtība</w:t>
            </w:r>
          </w:p>
          <w:p w14:paraId="564B78B7" w14:textId="77777777" w:rsidR="000D21A8" w:rsidRPr="000D21A8" w:rsidRDefault="000D21A8" w:rsidP="000D21A8">
            <w:pPr>
              <w:rPr>
                <w:rFonts w:ascii="Times New Roman" w:eastAsia="Times New Roman" w:hAnsi="Times New Roman" w:cs="Times New Roman"/>
                <w:sz w:val="23"/>
                <w:szCs w:val="23"/>
                <w:lang w:eastAsia="lv-LV"/>
              </w:rPr>
            </w:pPr>
          </w:p>
          <w:p w14:paraId="2862D927" w14:textId="77777777" w:rsidR="000D21A8" w:rsidRPr="000D21A8" w:rsidRDefault="000D21A8" w:rsidP="000D21A8">
            <w:pPr>
              <w:rPr>
                <w:rFonts w:ascii="Times New Roman" w:eastAsia="Times New Roman" w:hAnsi="Times New Roman" w:cs="Times New Roman"/>
                <w:sz w:val="23"/>
                <w:szCs w:val="23"/>
                <w:lang w:eastAsia="lv-LV"/>
              </w:rPr>
            </w:pPr>
          </w:p>
          <w:p w14:paraId="73316A62" w14:textId="77777777" w:rsidR="000D21A8" w:rsidRPr="000D21A8" w:rsidRDefault="000D21A8" w:rsidP="000D21A8">
            <w:pPr>
              <w:rPr>
                <w:rFonts w:ascii="Times New Roman" w:eastAsia="Times New Roman" w:hAnsi="Times New Roman" w:cs="Times New Roman"/>
                <w:sz w:val="23"/>
                <w:szCs w:val="23"/>
                <w:lang w:eastAsia="lv-LV"/>
              </w:rPr>
            </w:pPr>
          </w:p>
          <w:p w14:paraId="49CB1ACD" w14:textId="77777777" w:rsidR="000D21A8" w:rsidRPr="000D21A8" w:rsidRDefault="000D21A8" w:rsidP="000D21A8">
            <w:pPr>
              <w:rPr>
                <w:rFonts w:ascii="Times New Roman" w:eastAsia="Times New Roman" w:hAnsi="Times New Roman" w:cs="Times New Roman"/>
                <w:sz w:val="23"/>
                <w:szCs w:val="23"/>
                <w:lang w:eastAsia="lv-LV"/>
              </w:rPr>
            </w:pPr>
          </w:p>
          <w:p w14:paraId="0FD00537" w14:textId="77777777" w:rsidR="000D21A8" w:rsidRPr="000D21A8" w:rsidRDefault="000D21A8" w:rsidP="000D21A8">
            <w:pPr>
              <w:rPr>
                <w:rFonts w:ascii="Times New Roman" w:eastAsia="Times New Roman" w:hAnsi="Times New Roman" w:cs="Times New Roman"/>
                <w:sz w:val="23"/>
                <w:szCs w:val="23"/>
                <w:lang w:eastAsia="lv-LV"/>
              </w:rPr>
            </w:pPr>
          </w:p>
          <w:p w14:paraId="3A64C12F" w14:textId="77777777" w:rsidR="000D21A8" w:rsidRPr="000D21A8" w:rsidRDefault="000D21A8" w:rsidP="000D21A8">
            <w:pPr>
              <w:rPr>
                <w:rFonts w:ascii="Times New Roman" w:eastAsia="Times New Roman" w:hAnsi="Times New Roman" w:cs="Times New Roman"/>
                <w:sz w:val="23"/>
                <w:szCs w:val="23"/>
                <w:lang w:eastAsia="lv-LV"/>
              </w:rPr>
            </w:pPr>
          </w:p>
          <w:p w14:paraId="4653F660" w14:textId="77777777" w:rsidR="000D21A8" w:rsidRPr="000D21A8" w:rsidRDefault="000D21A8" w:rsidP="000D21A8">
            <w:pPr>
              <w:rPr>
                <w:rFonts w:ascii="Times New Roman" w:eastAsia="Times New Roman" w:hAnsi="Times New Roman" w:cs="Times New Roman"/>
                <w:sz w:val="23"/>
                <w:szCs w:val="23"/>
                <w:lang w:eastAsia="lv-LV"/>
              </w:rPr>
            </w:pPr>
          </w:p>
          <w:p w14:paraId="1E1F9399" w14:textId="77777777" w:rsidR="000D21A8" w:rsidRPr="000D21A8" w:rsidRDefault="000D21A8" w:rsidP="000D21A8">
            <w:pPr>
              <w:rPr>
                <w:rFonts w:ascii="Times New Roman" w:eastAsia="Times New Roman" w:hAnsi="Times New Roman" w:cs="Times New Roman"/>
                <w:sz w:val="23"/>
                <w:szCs w:val="23"/>
                <w:lang w:eastAsia="lv-LV"/>
              </w:rPr>
            </w:pPr>
          </w:p>
          <w:p w14:paraId="3C6E1C70" w14:textId="77777777" w:rsidR="000D21A8" w:rsidRPr="000D21A8" w:rsidRDefault="000D21A8" w:rsidP="000D21A8">
            <w:pPr>
              <w:rPr>
                <w:rFonts w:ascii="Times New Roman" w:eastAsia="Times New Roman" w:hAnsi="Times New Roman" w:cs="Times New Roman"/>
                <w:sz w:val="23"/>
                <w:szCs w:val="23"/>
                <w:lang w:eastAsia="lv-LV"/>
              </w:rPr>
            </w:pPr>
          </w:p>
          <w:p w14:paraId="6745D5F1" w14:textId="77777777" w:rsidR="000D21A8" w:rsidRPr="000D21A8" w:rsidRDefault="000D21A8" w:rsidP="000D21A8">
            <w:pPr>
              <w:rPr>
                <w:rFonts w:ascii="Times New Roman" w:eastAsia="Times New Roman" w:hAnsi="Times New Roman" w:cs="Times New Roman"/>
                <w:sz w:val="23"/>
                <w:szCs w:val="23"/>
                <w:lang w:eastAsia="lv-LV"/>
              </w:rPr>
            </w:pPr>
          </w:p>
          <w:p w14:paraId="7D2D75E8" w14:textId="77777777" w:rsidR="000D21A8" w:rsidRPr="000D21A8" w:rsidRDefault="000D21A8" w:rsidP="000D21A8">
            <w:pPr>
              <w:rPr>
                <w:rFonts w:ascii="Times New Roman" w:eastAsia="Times New Roman" w:hAnsi="Times New Roman" w:cs="Times New Roman"/>
                <w:sz w:val="23"/>
                <w:szCs w:val="23"/>
                <w:lang w:eastAsia="lv-LV"/>
              </w:rPr>
            </w:pPr>
          </w:p>
          <w:p w14:paraId="5411530B" w14:textId="77777777" w:rsidR="000D21A8" w:rsidRPr="000D21A8" w:rsidRDefault="000D21A8" w:rsidP="000D21A8">
            <w:pPr>
              <w:rPr>
                <w:rFonts w:ascii="Times New Roman" w:eastAsia="Times New Roman" w:hAnsi="Times New Roman" w:cs="Times New Roman"/>
                <w:sz w:val="23"/>
                <w:szCs w:val="23"/>
                <w:lang w:eastAsia="lv-LV"/>
              </w:rPr>
            </w:pPr>
          </w:p>
          <w:p w14:paraId="37ABC050" w14:textId="77777777" w:rsidR="000D21A8" w:rsidRPr="000D21A8" w:rsidRDefault="000D21A8" w:rsidP="000D21A8">
            <w:pPr>
              <w:rPr>
                <w:rFonts w:ascii="Times New Roman" w:eastAsia="Times New Roman" w:hAnsi="Times New Roman" w:cs="Times New Roman"/>
                <w:sz w:val="23"/>
                <w:szCs w:val="23"/>
                <w:lang w:eastAsia="lv-LV"/>
              </w:rPr>
            </w:pPr>
          </w:p>
          <w:p w14:paraId="52FD8571" w14:textId="77777777" w:rsidR="000D21A8" w:rsidRPr="000D21A8" w:rsidRDefault="000D21A8" w:rsidP="000D21A8">
            <w:pPr>
              <w:rPr>
                <w:rFonts w:ascii="Times New Roman" w:eastAsia="Times New Roman" w:hAnsi="Times New Roman" w:cs="Times New Roman"/>
                <w:sz w:val="23"/>
                <w:szCs w:val="23"/>
                <w:lang w:eastAsia="lv-LV"/>
              </w:rPr>
            </w:pPr>
          </w:p>
          <w:p w14:paraId="62F52BB9" w14:textId="77777777" w:rsidR="000D21A8" w:rsidRPr="000D21A8" w:rsidRDefault="000D21A8" w:rsidP="000D21A8">
            <w:pPr>
              <w:rPr>
                <w:rFonts w:ascii="Times New Roman" w:eastAsia="Times New Roman" w:hAnsi="Times New Roman" w:cs="Times New Roman"/>
                <w:sz w:val="23"/>
                <w:szCs w:val="23"/>
                <w:lang w:eastAsia="lv-LV"/>
              </w:rPr>
            </w:pPr>
          </w:p>
          <w:p w14:paraId="729B32B8" w14:textId="77777777" w:rsidR="000D21A8" w:rsidRPr="000D21A8" w:rsidRDefault="000D21A8" w:rsidP="000D21A8">
            <w:pPr>
              <w:rPr>
                <w:rFonts w:ascii="Times New Roman" w:eastAsia="Times New Roman" w:hAnsi="Times New Roman" w:cs="Times New Roman"/>
                <w:sz w:val="23"/>
                <w:szCs w:val="23"/>
                <w:lang w:eastAsia="lv-LV"/>
              </w:rPr>
            </w:pPr>
          </w:p>
          <w:p w14:paraId="46F5A6DE" w14:textId="77777777" w:rsidR="000D21A8" w:rsidRPr="000D21A8" w:rsidRDefault="000D21A8" w:rsidP="000D21A8">
            <w:pPr>
              <w:rPr>
                <w:rFonts w:ascii="Times New Roman" w:eastAsia="Times New Roman" w:hAnsi="Times New Roman" w:cs="Times New Roman"/>
                <w:sz w:val="23"/>
                <w:szCs w:val="23"/>
                <w:lang w:eastAsia="lv-LV"/>
              </w:rPr>
            </w:pPr>
          </w:p>
          <w:p w14:paraId="590F6D63" w14:textId="77777777" w:rsidR="000D21A8" w:rsidRPr="000D21A8" w:rsidRDefault="000D21A8" w:rsidP="000D21A8">
            <w:pPr>
              <w:rPr>
                <w:rFonts w:ascii="Times New Roman" w:eastAsia="Times New Roman" w:hAnsi="Times New Roman" w:cs="Times New Roman"/>
                <w:sz w:val="23"/>
                <w:szCs w:val="23"/>
                <w:lang w:eastAsia="lv-LV"/>
              </w:rPr>
            </w:pPr>
          </w:p>
          <w:p w14:paraId="3FE44788" w14:textId="77777777" w:rsidR="000D21A8" w:rsidRPr="000D21A8" w:rsidRDefault="000D21A8" w:rsidP="000D21A8">
            <w:pPr>
              <w:rPr>
                <w:rFonts w:ascii="Times New Roman" w:eastAsia="Times New Roman" w:hAnsi="Times New Roman" w:cs="Times New Roman"/>
                <w:sz w:val="23"/>
                <w:szCs w:val="23"/>
                <w:lang w:eastAsia="lv-LV"/>
              </w:rPr>
            </w:pPr>
          </w:p>
          <w:p w14:paraId="3398FAB5" w14:textId="77777777" w:rsidR="000D21A8" w:rsidRPr="000D21A8" w:rsidRDefault="000D21A8" w:rsidP="000D21A8">
            <w:pPr>
              <w:rPr>
                <w:rFonts w:ascii="Times New Roman" w:eastAsia="Times New Roman" w:hAnsi="Times New Roman" w:cs="Times New Roman"/>
                <w:sz w:val="23"/>
                <w:szCs w:val="23"/>
                <w:lang w:eastAsia="lv-LV"/>
              </w:rPr>
            </w:pPr>
          </w:p>
          <w:p w14:paraId="0ED6C47A" w14:textId="77777777" w:rsidR="000D21A8" w:rsidRPr="000D21A8" w:rsidRDefault="000D21A8" w:rsidP="000D21A8">
            <w:pPr>
              <w:rPr>
                <w:rFonts w:ascii="Times New Roman" w:eastAsia="Times New Roman" w:hAnsi="Times New Roman" w:cs="Times New Roman"/>
                <w:sz w:val="23"/>
                <w:szCs w:val="23"/>
                <w:lang w:eastAsia="lv-LV"/>
              </w:rPr>
            </w:pPr>
          </w:p>
          <w:p w14:paraId="603C442D" w14:textId="77777777" w:rsidR="000D21A8" w:rsidRPr="000D21A8" w:rsidRDefault="000D21A8" w:rsidP="000D21A8">
            <w:pPr>
              <w:rPr>
                <w:rFonts w:ascii="Times New Roman" w:eastAsia="Times New Roman" w:hAnsi="Times New Roman" w:cs="Times New Roman"/>
                <w:sz w:val="23"/>
                <w:szCs w:val="23"/>
                <w:lang w:eastAsia="lv-LV"/>
              </w:rPr>
            </w:pPr>
          </w:p>
          <w:p w14:paraId="0310539C" w14:textId="77777777" w:rsidR="00924203" w:rsidRPr="000D21A8" w:rsidRDefault="00924203" w:rsidP="000D21A8">
            <w:pPr>
              <w:rPr>
                <w:rFonts w:ascii="Times New Roman" w:eastAsia="Times New Roman" w:hAnsi="Times New Roman" w:cs="Times New Roman"/>
                <w:sz w:val="23"/>
                <w:szCs w:val="23"/>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2464324F" w14:textId="77777777" w:rsidR="00E344E9" w:rsidRPr="00600514" w:rsidRDefault="00E344E9" w:rsidP="001E017D">
            <w:pPr>
              <w:spacing w:after="0" w:line="240" w:lineRule="auto"/>
              <w:jc w:val="both"/>
              <w:rPr>
                <w:rFonts w:ascii="Times New Roman" w:eastAsia="Times New Roman" w:hAnsi="Times New Roman" w:cs="Times New Roman"/>
                <w:sz w:val="23"/>
                <w:szCs w:val="23"/>
              </w:rPr>
            </w:pPr>
            <w:r w:rsidRPr="00600514">
              <w:rPr>
                <w:rFonts w:ascii="Times New Roman" w:eastAsia="Times New Roman" w:hAnsi="Times New Roman" w:cs="Times New Roman"/>
                <w:sz w:val="23"/>
                <w:szCs w:val="23"/>
              </w:rPr>
              <w:lastRenderedPageBreak/>
              <w:t xml:space="preserve">Azartspēļu un izložu likuma 47.panta ceturtā daļa nosaka, ka Ministru kabinets nosaka informāciju, kas iekļaujama tās interaktīvo azartspēļu programmas atbilstības pārskatā, kura </w:t>
            </w:r>
            <w:r w:rsidRPr="00600514">
              <w:rPr>
                <w:rFonts w:ascii="Times New Roman" w:eastAsia="Times New Roman" w:hAnsi="Times New Roman" w:cs="Times New Roman"/>
                <w:sz w:val="23"/>
                <w:szCs w:val="23"/>
              </w:rPr>
              <w:lastRenderedPageBreak/>
              <w:t xml:space="preserve">izmantota interaktīvās azartspēles organizēšanai. Azartspēļu un izložu likuma </w:t>
            </w:r>
            <w:r w:rsidR="00A67059">
              <w:rPr>
                <w:rFonts w:ascii="Times New Roman" w:eastAsia="Times New Roman" w:hAnsi="Times New Roman" w:cs="Times New Roman"/>
                <w:sz w:val="23"/>
                <w:szCs w:val="23"/>
              </w:rPr>
              <w:t xml:space="preserve">80.panta </w:t>
            </w:r>
            <w:r w:rsidRPr="00600514">
              <w:rPr>
                <w:rFonts w:ascii="Times New Roman" w:eastAsia="Times New Roman" w:hAnsi="Times New Roman" w:cs="Times New Roman"/>
                <w:sz w:val="23"/>
                <w:szCs w:val="23"/>
              </w:rPr>
              <w:t>sestā daļa nosaka, ka Ministru kabinets nosaka informāciju, kas iekļaujama tās interaktīvo izložu programmas atbilstības pārskatā, kura izmantota interaktīvās izlozes organizēšanai.</w:t>
            </w:r>
          </w:p>
          <w:p w14:paraId="32EAC1BE" w14:textId="77777777" w:rsidR="00924203" w:rsidRPr="00600514" w:rsidRDefault="00924203" w:rsidP="001E017D">
            <w:pPr>
              <w:spacing w:after="0" w:line="240" w:lineRule="auto"/>
              <w:jc w:val="both"/>
              <w:rPr>
                <w:rFonts w:ascii="Times New Roman" w:eastAsia="Times New Roman" w:hAnsi="Times New Roman" w:cs="Times New Roman"/>
                <w:sz w:val="23"/>
                <w:szCs w:val="23"/>
              </w:rPr>
            </w:pPr>
            <w:r w:rsidRPr="00600514">
              <w:rPr>
                <w:rFonts w:ascii="Times New Roman" w:eastAsia="Times New Roman" w:hAnsi="Times New Roman" w:cs="Times New Roman"/>
                <w:sz w:val="23"/>
                <w:szCs w:val="23"/>
              </w:rPr>
              <w:t xml:space="preserve">Šobrīd atbilstoši Ministru kabineta 2007.gada 20.novembra noteikumiem Nr.786 “Azartspēļu automāta, iekārtas un azartspēļu automāta spēles programmas atbilstības sertifikātā iekļaujamā informācija” (turpmāk – MK noteikumi Nr.786) </w:t>
            </w:r>
            <w:r>
              <w:rPr>
                <w:rFonts w:ascii="Times New Roman" w:eastAsia="Times New Roman" w:hAnsi="Times New Roman" w:cs="Times New Roman"/>
                <w:sz w:val="23"/>
                <w:szCs w:val="23"/>
              </w:rPr>
              <w:t>akreditētas</w:t>
            </w:r>
            <w:r w:rsidRPr="00600514">
              <w:rPr>
                <w:rFonts w:ascii="Times New Roman" w:eastAsia="Times New Roman" w:hAnsi="Times New Roman" w:cs="Times New Roman"/>
                <w:sz w:val="23"/>
                <w:szCs w:val="23"/>
              </w:rPr>
              <w:t xml:space="preserve"> sertifikācijas institūcijas atbilstoši </w:t>
            </w:r>
            <w:r>
              <w:rPr>
                <w:rFonts w:ascii="Times New Roman" w:eastAsia="Times New Roman" w:hAnsi="Times New Roman" w:cs="Times New Roman"/>
                <w:sz w:val="23"/>
                <w:szCs w:val="23"/>
              </w:rPr>
              <w:t>iepriekšminētajos</w:t>
            </w:r>
            <w:r w:rsidRPr="00600514">
              <w:rPr>
                <w:rFonts w:ascii="Times New Roman" w:eastAsia="Times New Roman" w:hAnsi="Times New Roman" w:cs="Times New Roman"/>
                <w:sz w:val="23"/>
                <w:szCs w:val="23"/>
              </w:rPr>
              <w:t xml:space="preserve"> noteikumos minētajām prasībām izsniedz </w:t>
            </w:r>
            <w:r>
              <w:rPr>
                <w:rFonts w:ascii="Times New Roman" w:eastAsia="Times New Roman" w:hAnsi="Times New Roman" w:cs="Times New Roman"/>
                <w:sz w:val="23"/>
                <w:szCs w:val="23"/>
              </w:rPr>
              <w:t xml:space="preserve">attiecīgi </w:t>
            </w:r>
            <w:r w:rsidRPr="00600514">
              <w:rPr>
                <w:rFonts w:ascii="Times New Roman" w:eastAsia="Times New Roman" w:hAnsi="Times New Roman" w:cs="Times New Roman"/>
                <w:sz w:val="23"/>
                <w:szCs w:val="23"/>
              </w:rPr>
              <w:t xml:space="preserve">azartspēļu automāta atbilstības sertifikātu vai azartspēļu automāta spēles programmas atbilstības sertifikātu. </w:t>
            </w:r>
          </w:p>
          <w:p w14:paraId="7317539D" w14:textId="2031C583" w:rsidR="0070068C" w:rsidRPr="00B06CCC" w:rsidRDefault="002252D4" w:rsidP="0070068C">
            <w:pPr>
              <w:spacing w:after="0" w:line="240" w:lineRule="auto"/>
              <w:jc w:val="both"/>
              <w:rPr>
                <w:rFonts w:ascii="Times New Roman" w:hAnsi="Times New Roman" w:cs="Times New Roman"/>
                <w:color w:val="FF0000"/>
                <w:sz w:val="23"/>
                <w:szCs w:val="23"/>
                <w:lang w:eastAsia="lv-LV"/>
              </w:rPr>
            </w:pPr>
            <w:r>
              <w:rPr>
                <w:rFonts w:ascii="Times New Roman" w:eastAsia="Times New Roman" w:hAnsi="Times New Roman" w:cs="Times New Roman"/>
                <w:sz w:val="23"/>
                <w:szCs w:val="23"/>
              </w:rPr>
              <w:t>Analoga uzraudzība</w:t>
            </w:r>
            <w:r w:rsidR="00924203" w:rsidRPr="00600514">
              <w:rPr>
                <w:rFonts w:ascii="Times New Roman" w:eastAsia="Times New Roman" w:hAnsi="Times New Roman" w:cs="Times New Roman"/>
                <w:sz w:val="23"/>
                <w:szCs w:val="23"/>
              </w:rPr>
              <w:t xml:space="preserve"> ir nepieciešama arī interaktīvās azartspēles vai interaktīvās i</w:t>
            </w:r>
            <w:r>
              <w:rPr>
                <w:rFonts w:ascii="Times New Roman" w:eastAsia="Times New Roman" w:hAnsi="Times New Roman" w:cs="Times New Roman"/>
                <w:sz w:val="23"/>
                <w:szCs w:val="23"/>
              </w:rPr>
              <w:t>zlozes organizēšanā izmantojamām spēles programmām. T</w:t>
            </w:r>
            <w:r w:rsidR="00924203" w:rsidRPr="00600514">
              <w:rPr>
                <w:rFonts w:ascii="Times New Roman" w:eastAsia="Times New Roman" w:hAnsi="Times New Roman" w:cs="Times New Roman"/>
                <w:sz w:val="23"/>
                <w:szCs w:val="23"/>
              </w:rPr>
              <w:t xml:space="preserve">ādējādi </w:t>
            </w:r>
            <w:r w:rsidR="0070068C">
              <w:rPr>
                <w:rFonts w:ascii="Times New Roman" w:eastAsia="Times New Roman" w:hAnsi="Times New Roman" w:cs="Times New Roman"/>
                <w:sz w:val="23"/>
                <w:szCs w:val="23"/>
              </w:rPr>
              <w:t xml:space="preserve">MK </w:t>
            </w:r>
            <w:r w:rsidR="00924203" w:rsidRPr="00600514">
              <w:rPr>
                <w:rFonts w:ascii="Times New Roman" w:eastAsia="Times New Roman" w:hAnsi="Times New Roman" w:cs="Times New Roman"/>
                <w:sz w:val="23"/>
                <w:szCs w:val="23"/>
              </w:rPr>
              <w:t>noteikumu projekta mērķis ir noteikt interaktīvās azartspēles vai interaktīvās izlozes organizēšanā izmantojamās spēles programmas (turpmāk - interaktīvās spēles programma) atbilstības pārskatā iekļaujamo informāciju par interaktīvās spēles programmas a</w:t>
            </w:r>
            <w:r w:rsidR="00924203">
              <w:rPr>
                <w:rFonts w:ascii="Times New Roman" w:eastAsia="Times New Roman" w:hAnsi="Times New Roman" w:cs="Times New Roman"/>
                <w:sz w:val="23"/>
                <w:szCs w:val="23"/>
              </w:rPr>
              <w:t>tbilstību vai neatbilstību šajā</w:t>
            </w:r>
            <w:r w:rsidR="00924203" w:rsidRPr="00600514">
              <w:rPr>
                <w:rFonts w:ascii="Times New Roman" w:eastAsia="Times New Roman" w:hAnsi="Times New Roman" w:cs="Times New Roman"/>
                <w:sz w:val="23"/>
                <w:szCs w:val="23"/>
              </w:rPr>
              <w:t xml:space="preserve"> </w:t>
            </w:r>
            <w:r w:rsidR="0070068C">
              <w:rPr>
                <w:rFonts w:ascii="Times New Roman" w:eastAsia="Times New Roman" w:hAnsi="Times New Roman" w:cs="Times New Roman"/>
                <w:sz w:val="23"/>
                <w:szCs w:val="23"/>
              </w:rPr>
              <w:t>MK</w:t>
            </w:r>
            <w:r w:rsidR="00924203" w:rsidRPr="00600514">
              <w:rPr>
                <w:rFonts w:ascii="Times New Roman" w:eastAsia="Times New Roman" w:hAnsi="Times New Roman" w:cs="Times New Roman"/>
                <w:sz w:val="23"/>
                <w:szCs w:val="23"/>
              </w:rPr>
              <w:t xml:space="preserve"> </w:t>
            </w:r>
            <w:r w:rsidR="00924203">
              <w:rPr>
                <w:rFonts w:ascii="Times New Roman" w:eastAsia="Times New Roman" w:hAnsi="Times New Roman" w:cs="Times New Roman"/>
                <w:sz w:val="23"/>
                <w:szCs w:val="23"/>
              </w:rPr>
              <w:t>noteikumu projektā</w:t>
            </w:r>
            <w:r w:rsidR="00924203" w:rsidRPr="00600514">
              <w:rPr>
                <w:rFonts w:ascii="Times New Roman" w:eastAsia="Times New Roman" w:hAnsi="Times New Roman" w:cs="Times New Roman"/>
                <w:sz w:val="23"/>
                <w:szCs w:val="23"/>
              </w:rPr>
              <w:t xml:space="preserve"> min</w:t>
            </w:r>
            <w:r w:rsidR="00A46E97">
              <w:rPr>
                <w:rFonts w:ascii="Times New Roman" w:eastAsia="Times New Roman" w:hAnsi="Times New Roman" w:cs="Times New Roman"/>
                <w:sz w:val="23"/>
                <w:szCs w:val="23"/>
              </w:rPr>
              <w:t>ētajām prasībām, kas ir noteiktas</w:t>
            </w:r>
            <w:r w:rsidR="00924203" w:rsidRPr="00600514">
              <w:rPr>
                <w:rFonts w:ascii="Times New Roman" w:eastAsia="Times New Roman" w:hAnsi="Times New Roman" w:cs="Times New Roman"/>
                <w:sz w:val="23"/>
                <w:szCs w:val="23"/>
              </w:rPr>
              <w:t xml:space="preserve"> līdzīgi kā MK noteikumu Nr.786 III nodaļā.</w:t>
            </w:r>
            <w:r w:rsidR="002B3AF9">
              <w:rPr>
                <w:rFonts w:ascii="Times New Roman" w:eastAsia="Times New Roman" w:hAnsi="Times New Roman" w:cs="Times New Roman"/>
                <w:sz w:val="23"/>
                <w:szCs w:val="23"/>
              </w:rPr>
              <w:t xml:space="preserve"> </w:t>
            </w:r>
            <w:r w:rsidR="009B0E93">
              <w:rPr>
                <w:rFonts w:ascii="Times New Roman" w:hAnsi="Times New Roman" w:cs="Times New Roman"/>
                <w:sz w:val="23"/>
                <w:szCs w:val="23"/>
                <w:lang w:eastAsia="lv-LV"/>
              </w:rPr>
              <w:t>MK noteikumu projektā t</w:t>
            </w:r>
            <w:r w:rsidR="0070068C" w:rsidRPr="0070068C">
              <w:rPr>
                <w:rFonts w:ascii="Times New Roman" w:hAnsi="Times New Roman" w:cs="Times New Roman"/>
                <w:sz w:val="23"/>
                <w:szCs w:val="23"/>
                <w:lang w:eastAsia="lv-LV"/>
              </w:rPr>
              <w:t>ermins “atbilstība”</w:t>
            </w:r>
            <w:r w:rsidR="009B0E93">
              <w:rPr>
                <w:rFonts w:ascii="Times New Roman" w:hAnsi="Times New Roman" w:cs="Times New Roman"/>
                <w:sz w:val="23"/>
                <w:szCs w:val="23"/>
                <w:lang w:eastAsia="lv-LV"/>
              </w:rPr>
              <w:t xml:space="preserve"> tiek lietots, jo </w:t>
            </w:r>
            <w:r w:rsidR="009B0E93" w:rsidRPr="0070068C">
              <w:rPr>
                <w:rFonts w:ascii="Times New Roman" w:hAnsi="Times New Roman" w:cs="Times New Roman"/>
                <w:sz w:val="23"/>
                <w:szCs w:val="23"/>
                <w:lang w:eastAsia="lv-LV"/>
              </w:rPr>
              <w:t xml:space="preserve">deleģējumā </w:t>
            </w:r>
            <w:r w:rsidR="009B0E93">
              <w:rPr>
                <w:rFonts w:ascii="Times New Roman" w:hAnsi="Times New Roman" w:cs="Times New Roman"/>
                <w:sz w:val="23"/>
                <w:szCs w:val="23"/>
                <w:lang w:eastAsia="lv-LV"/>
              </w:rPr>
              <w:t>ir minēts</w:t>
            </w:r>
            <w:r w:rsidR="009B0E93" w:rsidRPr="0070068C">
              <w:rPr>
                <w:rFonts w:ascii="Times New Roman" w:hAnsi="Times New Roman" w:cs="Times New Roman"/>
                <w:sz w:val="23"/>
                <w:szCs w:val="23"/>
                <w:lang w:eastAsia="lv-LV"/>
              </w:rPr>
              <w:t xml:space="preserve"> termins “</w:t>
            </w:r>
            <w:r w:rsidR="009B0E93" w:rsidRPr="0070068C">
              <w:rPr>
                <w:rFonts w:ascii="Times New Roman" w:hAnsi="Times New Roman" w:cs="Times New Roman"/>
                <w:sz w:val="23"/>
                <w:szCs w:val="23"/>
                <w:u w:val="single"/>
                <w:lang w:eastAsia="lv-LV"/>
              </w:rPr>
              <w:t>atbilstības</w:t>
            </w:r>
            <w:r w:rsidR="009B0E93" w:rsidRPr="0070068C">
              <w:rPr>
                <w:rFonts w:ascii="Times New Roman" w:hAnsi="Times New Roman" w:cs="Times New Roman"/>
                <w:sz w:val="23"/>
                <w:szCs w:val="23"/>
                <w:lang w:eastAsia="lv-LV"/>
              </w:rPr>
              <w:t xml:space="preserve"> pārskats”</w:t>
            </w:r>
            <w:r w:rsidR="00C67F01">
              <w:rPr>
                <w:rFonts w:ascii="Times New Roman" w:hAnsi="Times New Roman" w:cs="Times New Roman"/>
                <w:sz w:val="23"/>
                <w:szCs w:val="23"/>
                <w:lang w:eastAsia="lv-LV"/>
              </w:rPr>
              <w:t xml:space="preserve"> un i</w:t>
            </w:r>
            <w:r w:rsidR="0070068C" w:rsidRPr="0070068C">
              <w:rPr>
                <w:rFonts w:ascii="Times New Roman" w:hAnsi="Times New Roman" w:cs="Times New Roman"/>
                <w:sz w:val="23"/>
                <w:szCs w:val="23"/>
                <w:lang w:eastAsia="lv-LV"/>
              </w:rPr>
              <w:t xml:space="preserve">nformāciju par interaktīvo </w:t>
            </w:r>
            <w:r w:rsidR="0070068C" w:rsidRPr="00B06CCC">
              <w:rPr>
                <w:rFonts w:ascii="Times New Roman" w:hAnsi="Times New Roman" w:cs="Times New Roman"/>
                <w:sz w:val="23"/>
                <w:szCs w:val="23"/>
                <w:lang w:eastAsia="lv-LV"/>
              </w:rPr>
              <w:t xml:space="preserve">azartspēļu vai interaktīvo izložu spēles programmām  akreditētā sertifikācijas institūcija </w:t>
            </w:r>
            <w:r w:rsidR="00C67F01" w:rsidRPr="00B06CCC">
              <w:rPr>
                <w:rFonts w:ascii="Times New Roman" w:hAnsi="Times New Roman" w:cs="Times New Roman"/>
                <w:sz w:val="23"/>
                <w:szCs w:val="23"/>
                <w:lang w:eastAsia="lv-LV"/>
              </w:rPr>
              <w:t xml:space="preserve">sniedz atbilstoši </w:t>
            </w:r>
            <w:r w:rsidR="00A1395E">
              <w:rPr>
                <w:rFonts w:ascii="Times New Roman" w:hAnsi="Times New Roman" w:cs="Times New Roman"/>
                <w:sz w:val="23"/>
                <w:szCs w:val="23"/>
                <w:lang w:eastAsia="lv-LV"/>
              </w:rPr>
              <w:t xml:space="preserve">MK </w:t>
            </w:r>
            <w:r w:rsidR="00C67F01" w:rsidRPr="00B06CCC">
              <w:rPr>
                <w:rFonts w:ascii="Times New Roman" w:hAnsi="Times New Roman" w:cs="Times New Roman"/>
                <w:sz w:val="23"/>
                <w:szCs w:val="23"/>
                <w:lang w:eastAsia="lv-LV"/>
              </w:rPr>
              <w:t>n</w:t>
            </w:r>
            <w:r w:rsidR="0070068C" w:rsidRPr="00B06CCC">
              <w:rPr>
                <w:rFonts w:ascii="Times New Roman" w:hAnsi="Times New Roman" w:cs="Times New Roman"/>
                <w:sz w:val="23"/>
                <w:szCs w:val="23"/>
                <w:lang w:eastAsia="lv-LV"/>
              </w:rPr>
              <w:t xml:space="preserve">oteikumu projektā </w:t>
            </w:r>
            <w:r w:rsidR="00684089" w:rsidRPr="00B06CCC">
              <w:rPr>
                <w:rFonts w:ascii="Times New Roman" w:hAnsi="Times New Roman" w:cs="Times New Roman"/>
                <w:sz w:val="23"/>
                <w:szCs w:val="23"/>
                <w:lang w:eastAsia="lv-LV"/>
              </w:rPr>
              <w:t>3.2.apakšpunktā minētajā</w:t>
            </w:r>
            <w:r w:rsidR="00C67F01" w:rsidRPr="00B06CCC">
              <w:rPr>
                <w:rFonts w:ascii="Times New Roman" w:hAnsi="Times New Roman" w:cs="Times New Roman"/>
                <w:sz w:val="23"/>
                <w:szCs w:val="23"/>
                <w:lang w:eastAsia="lv-LV"/>
              </w:rPr>
              <w:t xml:space="preserve">m </w:t>
            </w:r>
            <w:r w:rsidR="009B0E93" w:rsidRPr="00B06CCC">
              <w:rPr>
                <w:rFonts w:ascii="Times New Roman" w:hAnsi="Times New Roman" w:cs="Times New Roman"/>
                <w:sz w:val="23"/>
                <w:szCs w:val="23"/>
                <w:lang w:eastAsia="lv-LV"/>
              </w:rPr>
              <w:t xml:space="preserve">atbilstības </w:t>
            </w:r>
            <w:r w:rsidR="00E84008" w:rsidRPr="00B06CCC">
              <w:rPr>
                <w:rFonts w:ascii="Times New Roman" w:hAnsi="Times New Roman" w:cs="Times New Roman"/>
                <w:sz w:val="23"/>
                <w:szCs w:val="23"/>
                <w:lang w:eastAsia="lv-LV"/>
              </w:rPr>
              <w:t>prasībām</w:t>
            </w:r>
            <w:r w:rsidR="009B0E93" w:rsidRPr="00B06CCC">
              <w:rPr>
                <w:rFonts w:ascii="Times New Roman" w:hAnsi="Times New Roman" w:cs="Times New Roman"/>
                <w:sz w:val="23"/>
                <w:szCs w:val="23"/>
                <w:lang w:eastAsia="lv-LV"/>
              </w:rPr>
              <w:t>.</w:t>
            </w:r>
            <w:r w:rsidR="0070068C" w:rsidRPr="00B06CCC">
              <w:rPr>
                <w:rFonts w:ascii="Times New Roman" w:hAnsi="Times New Roman" w:cs="Times New Roman"/>
                <w:sz w:val="23"/>
                <w:szCs w:val="23"/>
                <w:lang w:eastAsia="lv-LV"/>
              </w:rPr>
              <w:t xml:space="preserve"> Praksē akreditētās sertifikācijas institūcijas informāciju sniedz, norādot</w:t>
            </w:r>
            <w:r w:rsidR="00956AE2" w:rsidRPr="00B06CCC">
              <w:rPr>
                <w:rFonts w:ascii="Times New Roman" w:hAnsi="Times New Roman" w:cs="Times New Roman"/>
                <w:sz w:val="23"/>
                <w:szCs w:val="23"/>
                <w:lang w:eastAsia="lv-LV"/>
              </w:rPr>
              <w:t xml:space="preserve"> MK noteikumos</w:t>
            </w:r>
            <w:r w:rsidR="0070068C" w:rsidRPr="00B06CCC">
              <w:rPr>
                <w:rFonts w:ascii="Times New Roman" w:hAnsi="Times New Roman" w:cs="Times New Roman"/>
                <w:sz w:val="23"/>
                <w:szCs w:val="23"/>
                <w:lang w:eastAsia="lv-LV"/>
              </w:rPr>
              <w:t xml:space="preserve"> </w:t>
            </w:r>
            <w:r w:rsidR="00956AE2" w:rsidRPr="00B06CCC">
              <w:rPr>
                <w:rFonts w:ascii="Times New Roman" w:hAnsi="Times New Roman" w:cs="Times New Roman"/>
                <w:sz w:val="23"/>
                <w:szCs w:val="23"/>
                <w:lang w:eastAsia="lv-LV"/>
              </w:rPr>
              <w:t>noteiktās</w:t>
            </w:r>
            <w:r w:rsidR="0070068C" w:rsidRPr="00B06CCC">
              <w:rPr>
                <w:rFonts w:ascii="Times New Roman" w:hAnsi="Times New Roman" w:cs="Times New Roman"/>
                <w:sz w:val="23"/>
                <w:szCs w:val="23"/>
                <w:lang w:eastAsia="lv-LV"/>
              </w:rPr>
              <w:t xml:space="preserve"> </w:t>
            </w:r>
            <w:r w:rsidR="008C7DD7" w:rsidRPr="00B06CCC">
              <w:rPr>
                <w:rFonts w:ascii="Times New Roman" w:hAnsi="Times New Roman" w:cs="Times New Roman"/>
                <w:sz w:val="23"/>
                <w:szCs w:val="23"/>
                <w:lang w:eastAsia="lv-LV"/>
              </w:rPr>
              <w:t>prasības</w:t>
            </w:r>
            <w:r w:rsidR="006B5B79" w:rsidRPr="00B06CCC">
              <w:rPr>
                <w:rFonts w:ascii="Times New Roman" w:hAnsi="Times New Roman" w:cs="Times New Roman"/>
                <w:sz w:val="23"/>
                <w:szCs w:val="23"/>
                <w:lang w:eastAsia="lv-LV"/>
              </w:rPr>
              <w:t xml:space="preserve"> un attiecīgi pie tā</w:t>
            </w:r>
            <w:r w:rsidR="0070068C" w:rsidRPr="00B06CCC">
              <w:rPr>
                <w:rFonts w:ascii="Times New Roman" w:hAnsi="Times New Roman" w:cs="Times New Roman"/>
                <w:sz w:val="23"/>
                <w:szCs w:val="23"/>
                <w:lang w:eastAsia="lv-LV"/>
              </w:rPr>
              <w:t>m sniedz informāciju – spēles programma atbilst vai neatbilst konkrētaj</w:t>
            </w:r>
            <w:r w:rsidR="008C7DD7" w:rsidRPr="00B06CCC">
              <w:rPr>
                <w:rFonts w:ascii="Times New Roman" w:hAnsi="Times New Roman" w:cs="Times New Roman"/>
                <w:sz w:val="23"/>
                <w:szCs w:val="23"/>
                <w:lang w:eastAsia="lv-LV"/>
              </w:rPr>
              <w:t>ā</w:t>
            </w:r>
            <w:r w:rsidR="0070068C" w:rsidRPr="00B06CCC">
              <w:rPr>
                <w:rFonts w:ascii="Times New Roman" w:hAnsi="Times New Roman" w:cs="Times New Roman"/>
                <w:sz w:val="23"/>
                <w:szCs w:val="23"/>
                <w:lang w:eastAsia="lv-LV"/>
              </w:rPr>
              <w:t xml:space="preserve">m </w:t>
            </w:r>
            <w:r w:rsidR="008C7DD7" w:rsidRPr="00B06CCC">
              <w:rPr>
                <w:rFonts w:ascii="Times New Roman" w:hAnsi="Times New Roman" w:cs="Times New Roman"/>
                <w:sz w:val="23"/>
                <w:szCs w:val="23"/>
                <w:lang w:eastAsia="lv-LV"/>
              </w:rPr>
              <w:t>prasībām</w:t>
            </w:r>
            <w:r w:rsidR="0070068C" w:rsidRPr="00B06CCC">
              <w:rPr>
                <w:rFonts w:ascii="Times New Roman" w:hAnsi="Times New Roman" w:cs="Times New Roman"/>
                <w:sz w:val="23"/>
                <w:szCs w:val="23"/>
                <w:lang w:eastAsia="lv-LV"/>
              </w:rPr>
              <w:t xml:space="preserve">. </w:t>
            </w:r>
          </w:p>
          <w:p w14:paraId="60EF93B6" w14:textId="77777777" w:rsidR="00D4680D" w:rsidRDefault="002B3AF9" w:rsidP="007826AC">
            <w:pPr>
              <w:spacing w:after="0" w:line="240" w:lineRule="auto"/>
              <w:jc w:val="both"/>
              <w:rPr>
                <w:rFonts w:ascii="Times New Roman" w:hAnsi="Times New Roman" w:cs="Times New Roman"/>
                <w:sz w:val="23"/>
                <w:szCs w:val="23"/>
                <w:lang w:eastAsia="lv-LV"/>
              </w:rPr>
            </w:pPr>
            <w:r w:rsidRPr="00B06CCC">
              <w:rPr>
                <w:rFonts w:ascii="Times New Roman" w:hAnsi="Times New Roman" w:cs="Times New Roman"/>
                <w:sz w:val="23"/>
                <w:szCs w:val="23"/>
                <w:lang w:eastAsia="lv-LV"/>
              </w:rPr>
              <w:t xml:space="preserve">Institūcija, kas veic </w:t>
            </w:r>
            <w:r w:rsidR="007400C5" w:rsidRPr="00B06CCC">
              <w:rPr>
                <w:rFonts w:ascii="Times New Roman" w:hAnsi="Times New Roman" w:cs="Times New Roman"/>
                <w:sz w:val="23"/>
                <w:szCs w:val="23"/>
                <w:lang w:eastAsia="lv-LV"/>
              </w:rPr>
              <w:t>sertifikāciju</w:t>
            </w:r>
            <w:r w:rsidRPr="00B06CCC">
              <w:rPr>
                <w:rFonts w:ascii="Times New Roman" w:hAnsi="Times New Roman" w:cs="Times New Roman"/>
                <w:sz w:val="23"/>
                <w:szCs w:val="23"/>
                <w:lang w:eastAsia="lv-LV"/>
              </w:rPr>
              <w:t>, atbilstoš</w:t>
            </w:r>
            <w:r w:rsidR="00D4680D" w:rsidRPr="00B06CCC">
              <w:rPr>
                <w:rFonts w:ascii="Times New Roman" w:hAnsi="Times New Roman" w:cs="Times New Roman"/>
                <w:sz w:val="23"/>
                <w:szCs w:val="23"/>
                <w:lang w:eastAsia="lv-LV"/>
              </w:rPr>
              <w:t xml:space="preserve">i Azartspēļu un izložu likuma 4.panta ceturtajai daļai (redakcija stājas spēkā 01.01.2018., atbilstoši likumprojektam “Grozījumi Azartspēļu un izložu likumā”, kas pieņemts Saeimā 22.11.2017.) ir </w:t>
            </w:r>
            <w:r w:rsidR="00D4680D" w:rsidRPr="00B06CCC">
              <w:rPr>
                <w:rFonts w:ascii="Times New Roman" w:hAnsi="Times New Roman" w:cs="Times New Roman"/>
                <w:sz w:val="23"/>
                <w:szCs w:val="23"/>
                <w:u w:val="single"/>
                <w:lang w:eastAsia="lv-LV"/>
              </w:rPr>
              <w:t>sertifikācijas institūcija</w:t>
            </w:r>
            <w:r w:rsidR="00D4680D" w:rsidRPr="00B06CCC">
              <w:rPr>
                <w:rFonts w:ascii="Times New Roman" w:hAnsi="Times New Roman" w:cs="Times New Roman"/>
                <w:sz w:val="23"/>
                <w:szCs w:val="23"/>
                <w:lang w:eastAsia="lv-LV"/>
              </w:rPr>
              <w:t>, kas akreditēta nacionālajā akreditācijas institūcijā atbilstoši</w:t>
            </w:r>
            <w:r w:rsidR="00D4680D" w:rsidRPr="00D4680D">
              <w:rPr>
                <w:rFonts w:ascii="Times New Roman" w:hAnsi="Times New Roman" w:cs="Times New Roman"/>
                <w:sz w:val="23"/>
                <w:szCs w:val="23"/>
                <w:lang w:eastAsia="lv-LV"/>
              </w:rPr>
              <w:t xml:space="preserve"> normatīvajiem aktiem par atbilstības novērtēšanas institūciju novērtēšanu, akreditāciju un uzraudzību vai citā Eiropas Savienības dalībvalsts vai Eiropas Ekonomikas zonas un Eiropas Brīvās tirdzniecības asociācijas valsts akreditācijas institūcijā par tiesībām veikt testēšanu un </w:t>
            </w:r>
            <w:r w:rsidR="00D4680D">
              <w:rPr>
                <w:rFonts w:ascii="Times New Roman" w:hAnsi="Times New Roman" w:cs="Times New Roman"/>
                <w:sz w:val="23"/>
                <w:szCs w:val="23"/>
                <w:lang w:eastAsia="lv-LV"/>
              </w:rPr>
              <w:t>sertifikāciju attiecīgajā jomā.</w:t>
            </w:r>
            <w:r w:rsidR="007400C5">
              <w:rPr>
                <w:rFonts w:ascii="Times New Roman" w:hAnsi="Times New Roman" w:cs="Times New Roman"/>
                <w:sz w:val="23"/>
                <w:szCs w:val="23"/>
                <w:lang w:eastAsia="lv-LV"/>
              </w:rPr>
              <w:t xml:space="preserve"> </w:t>
            </w:r>
          </w:p>
          <w:p w14:paraId="620299B0" w14:textId="26748E9F" w:rsidR="001E017D" w:rsidRDefault="001E017D" w:rsidP="007826AC">
            <w:pPr>
              <w:spacing w:after="0" w:line="240" w:lineRule="auto"/>
              <w:jc w:val="both"/>
              <w:rPr>
                <w:rFonts w:ascii="Times New Roman" w:hAnsi="Times New Roman" w:cs="Times New Roman"/>
                <w:sz w:val="23"/>
                <w:szCs w:val="23"/>
                <w:lang w:eastAsia="lv-LV"/>
              </w:rPr>
            </w:pPr>
            <w:r w:rsidRPr="001E017D">
              <w:rPr>
                <w:rFonts w:ascii="Times New Roman" w:hAnsi="Times New Roman" w:cs="Times New Roman"/>
                <w:sz w:val="23"/>
                <w:szCs w:val="23"/>
                <w:lang w:eastAsia="lv-LV"/>
              </w:rPr>
              <w:t xml:space="preserve">Tā kā MK noteikumu projekts attiecas uz akreditētām sertifikācijas institūcijām (šobrīd tās ir tikai ārvalstu institūcijas), tad, lai būtu nepārprotami skaidrs, kāda informācija akreditētām sertifikācijas institūcijām ir jāiekļauj atbilstības pārskatā, MK noteikumu projekta </w:t>
            </w:r>
            <w:r w:rsidR="00D00C2D">
              <w:rPr>
                <w:rFonts w:ascii="Times New Roman" w:hAnsi="Times New Roman" w:cs="Times New Roman"/>
                <w:sz w:val="23"/>
                <w:szCs w:val="23"/>
                <w:lang w:eastAsia="lv-LV"/>
              </w:rPr>
              <w:t>3</w:t>
            </w:r>
            <w:r w:rsidRPr="00D00C2D">
              <w:rPr>
                <w:rFonts w:ascii="Times New Roman" w:hAnsi="Times New Roman" w:cs="Times New Roman"/>
                <w:sz w:val="23"/>
                <w:szCs w:val="23"/>
                <w:lang w:eastAsia="lv-LV"/>
              </w:rPr>
              <w:t xml:space="preserve">.punktā </w:t>
            </w:r>
            <w:r w:rsidR="00C67F01">
              <w:rPr>
                <w:rFonts w:ascii="Times New Roman" w:hAnsi="Times New Roman" w:cs="Times New Roman"/>
                <w:sz w:val="23"/>
                <w:szCs w:val="23"/>
                <w:lang w:eastAsia="lv-LV"/>
              </w:rPr>
              <w:t>ir</w:t>
            </w:r>
            <w:r w:rsidRPr="001E017D">
              <w:rPr>
                <w:rFonts w:ascii="Times New Roman" w:hAnsi="Times New Roman" w:cs="Times New Roman"/>
                <w:sz w:val="23"/>
                <w:szCs w:val="23"/>
                <w:lang w:eastAsia="lv-LV"/>
              </w:rPr>
              <w:t xml:space="preserve"> konkrēti norādīts, </w:t>
            </w:r>
            <w:r w:rsidR="0097544B">
              <w:rPr>
                <w:rFonts w:ascii="Times New Roman" w:hAnsi="Times New Roman" w:cs="Times New Roman"/>
                <w:sz w:val="23"/>
                <w:szCs w:val="23"/>
                <w:lang w:eastAsia="lv-LV"/>
              </w:rPr>
              <w:t xml:space="preserve">ka </w:t>
            </w:r>
            <w:r w:rsidR="00D00C2D" w:rsidRPr="00D00C2D">
              <w:rPr>
                <w:rFonts w:ascii="Times New Roman" w:hAnsi="Times New Roman" w:cs="Times New Roman"/>
                <w:sz w:val="23"/>
                <w:szCs w:val="23"/>
                <w:lang w:eastAsia="lv-LV"/>
              </w:rPr>
              <w:t xml:space="preserve">atbilstības pārskatā </w:t>
            </w:r>
            <w:r w:rsidR="00D00C2D">
              <w:rPr>
                <w:rFonts w:ascii="Times New Roman" w:hAnsi="Times New Roman" w:cs="Times New Roman"/>
                <w:sz w:val="23"/>
                <w:szCs w:val="23"/>
                <w:lang w:eastAsia="lv-LV"/>
              </w:rPr>
              <w:t>jāiekļauj</w:t>
            </w:r>
            <w:r w:rsidR="00D00C2D" w:rsidRPr="00D00C2D">
              <w:rPr>
                <w:rFonts w:ascii="Times New Roman" w:hAnsi="Times New Roman" w:cs="Times New Roman"/>
                <w:sz w:val="23"/>
                <w:szCs w:val="23"/>
                <w:lang w:eastAsia="lv-LV"/>
              </w:rPr>
              <w:t xml:space="preserve"> gan vispārīg</w:t>
            </w:r>
            <w:r w:rsidR="006744D3">
              <w:rPr>
                <w:rFonts w:ascii="Times New Roman" w:hAnsi="Times New Roman" w:cs="Times New Roman"/>
                <w:sz w:val="23"/>
                <w:szCs w:val="23"/>
                <w:lang w:eastAsia="lv-LV"/>
              </w:rPr>
              <w:t>a</w:t>
            </w:r>
            <w:r w:rsidR="00D00C2D" w:rsidRPr="00D00C2D">
              <w:rPr>
                <w:rFonts w:ascii="Times New Roman" w:hAnsi="Times New Roman" w:cs="Times New Roman"/>
                <w:sz w:val="23"/>
                <w:szCs w:val="23"/>
                <w:lang w:eastAsia="lv-LV"/>
              </w:rPr>
              <w:t xml:space="preserve"> informācij</w:t>
            </w:r>
            <w:r w:rsidR="006744D3">
              <w:rPr>
                <w:rFonts w:ascii="Times New Roman" w:hAnsi="Times New Roman" w:cs="Times New Roman"/>
                <w:sz w:val="23"/>
                <w:szCs w:val="23"/>
                <w:lang w:eastAsia="lv-LV"/>
              </w:rPr>
              <w:t>a</w:t>
            </w:r>
            <w:r w:rsidR="00D00C2D" w:rsidRPr="00D00C2D">
              <w:rPr>
                <w:rFonts w:ascii="Times New Roman" w:hAnsi="Times New Roman" w:cs="Times New Roman"/>
                <w:sz w:val="23"/>
                <w:szCs w:val="23"/>
                <w:lang w:eastAsia="lv-LV"/>
              </w:rPr>
              <w:t xml:space="preserve">  par sertifikācijas institūciju (MK noteikumu projekta </w:t>
            </w:r>
            <w:r w:rsidR="00D00C2D">
              <w:rPr>
                <w:rFonts w:ascii="Times New Roman" w:hAnsi="Times New Roman" w:cs="Times New Roman"/>
                <w:sz w:val="23"/>
                <w:szCs w:val="23"/>
                <w:lang w:eastAsia="lv-LV"/>
              </w:rPr>
              <w:t>3</w:t>
            </w:r>
            <w:r w:rsidR="00D00C2D" w:rsidRPr="00D00C2D">
              <w:rPr>
                <w:rFonts w:ascii="Times New Roman" w:hAnsi="Times New Roman" w:cs="Times New Roman"/>
                <w:sz w:val="23"/>
                <w:szCs w:val="23"/>
                <w:lang w:eastAsia="lv-LV"/>
              </w:rPr>
              <w:t xml:space="preserve">.1.apakšpunkts), gan </w:t>
            </w:r>
            <w:r w:rsidR="00D00C2D">
              <w:rPr>
                <w:rFonts w:ascii="Times New Roman" w:hAnsi="Times New Roman" w:cs="Times New Roman"/>
                <w:sz w:val="23"/>
                <w:szCs w:val="23"/>
                <w:lang w:eastAsia="lv-LV"/>
              </w:rPr>
              <w:t>informācij</w:t>
            </w:r>
            <w:r w:rsidR="006744D3">
              <w:rPr>
                <w:rFonts w:ascii="Times New Roman" w:hAnsi="Times New Roman" w:cs="Times New Roman"/>
                <w:sz w:val="23"/>
                <w:szCs w:val="23"/>
                <w:lang w:eastAsia="lv-LV"/>
              </w:rPr>
              <w:t>a</w:t>
            </w:r>
            <w:r w:rsidR="00D00C2D">
              <w:rPr>
                <w:rFonts w:ascii="Times New Roman" w:hAnsi="Times New Roman" w:cs="Times New Roman"/>
                <w:sz w:val="23"/>
                <w:szCs w:val="23"/>
                <w:lang w:eastAsia="lv-LV"/>
              </w:rPr>
              <w:t xml:space="preserve"> par spēles </w:t>
            </w:r>
            <w:r w:rsidR="006B5B79">
              <w:rPr>
                <w:rFonts w:ascii="Times New Roman" w:hAnsi="Times New Roman" w:cs="Times New Roman"/>
                <w:sz w:val="23"/>
                <w:szCs w:val="23"/>
                <w:lang w:eastAsia="lv-LV"/>
              </w:rPr>
              <w:t>programmas atbilstību noteiktām</w:t>
            </w:r>
            <w:r w:rsidR="00D00C2D">
              <w:rPr>
                <w:rFonts w:ascii="Times New Roman" w:hAnsi="Times New Roman" w:cs="Times New Roman"/>
                <w:sz w:val="23"/>
                <w:szCs w:val="23"/>
                <w:lang w:eastAsia="lv-LV"/>
              </w:rPr>
              <w:t xml:space="preserve"> </w:t>
            </w:r>
            <w:r w:rsidR="00344922">
              <w:rPr>
                <w:rFonts w:ascii="Times New Roman" w:hAnsi="Times New Roman" w:cs="Times New Roman"/>
                <w:sz w:val="23"/>
                <w:szCs w:val="23"/>
                <w:lang w:eastAsia="lv-LV"/>
              </w:rPr>
              <w:t>prasībām</w:t>
            </w:r>
            <w:r w:rsidR="00D00C2D" w:rsidRPr="00D00C2D">
              <w:rPr>
                <w:rFonts w:ascii="Times New Roman" w:hAnsi="Times New Roman" w:cs="Times New Roman"/>
                <w:sz w:val="23"/>
                <w:szCs w:val="23"/>
                <w:lang w:eastAsia="lv-LV"/>
              </w:rPr>
              <w:t xml:space="preserve"> (MK </w:t>
            </w:r>
            <w:r w:rsidR="00D00C2D" w:rsidRPr="00D00C2D">
              <w:rPr>
                <w:rFonts w:ascii="Times New Roman" w:hAnsi="Times New Roman" w:cs="Times New Roman"/>
                <w:sz w:val="23"/>
                <w:szCs w:val="23"/>
                <w:lang w:eastAsia="lv-LV"/>
              </w:rPr>
              <w:lastRenderedPageBreak/>
              <w:t xml:space="preserve">noteikumu projekta </w:t>
            </w:r>
            <w:r w:rsidR="00D00C2D">
              <w:rPr>
                <w:rFonts w:ascii="Times New Roman" w:hAnsi="Times New Roman" w:cs="Times New Roman"/>
                <w:sz w:val="23"/>
                <w:szCs w:val="23"/>
                <w:lang w:eastAsia="lv-LV"/>
              </w:rPr>
              <w:t>3.2.apakšpunkts)</w:t>
            </w:r>
            <w:r w:rsidR="0097544B">
              <w:rPr>
                <w:rFonts w:ascii="Times New Roman" w:hAnsi="Times New Roman" w:cs="Times New Roman"/>
                <w:sz w:val="23"/>
                <w:szCs w:val="23"/>
                <w:lang w:eastAsia="lv-LV"/>
              </w:rPr>
              <w:t>.</w:t>
            </w:r>
            <w:r w:rsidRPr="001E017D">
              <w:rPr>
                <w:rFonts w:ascii="Times New Roman" w:hAnsi="Times New Roman" w:cs="Times New Roman"/>
                <w:sz w:val="23"/>
                <w:szCs w:val="23"/>
                <w:lang w:eastAsia="lv-LV"/>
              </w:rPr>
              <w:t xml:space="preserve"> MK noteikumu</w:t>
            </w:r>
            <w:r w:rsidR="0070068C">
              <w:rPr>
                <w:rFonts w:ascii="Times New Roman" w:hAnsi="Times New Roman" w:cs="Times New Roman"/>
                <w:sz w:val="23"/>
                <w:szCs w:val="23"/>
                <w:lang w:eastAsia="lv-LV"/>
              </w:rPr>
              <w:t xml:space="preserve"> projekta</w:t>
            </w:r>
            <w:r w:rsidRPr="001E017D">
              <w:rPr>
                <w:rFonts w:ascii="Times New Roman" w:hAnsi="Times New Roman" w:cs="Times New Roman"/>
                <w:sz w:val="23"/>
                <w:szCs w:val="23"/>
                <w:lang w:eastAsia="lv-LV"/>
              </w:rPr>
              <w:t xml:space="preserve"> </w:t>
            </w:r>
            <w:r w:rsidR="00787E45" w:rsidRPr="00D118DA">
              <w:rPr>
                <w:rFonts w:ascii="Times New Roman" w:hAnsi="Times New Roman" w:cs="Times New Roman"/>
                <w:sz w:val="23"/>
                <w:szCs w:val="23"/>
                <w:lang w:eastAsia="lv-LV"/>
              </w:rPr>
              <w:t>2</w:t>
            </w:r>
            <w:r w:rsidRPr="00D118DA">
              <w:rPr>
                <w:rFonts w:ascii="Times New Roman" w:hAnsi="Times New Roman" w:cs="Times New Roman"/>
                <w:sz w:val="23"/>
                <w:szCs w:val="23"/>
                <w:lang w:eastAsia="lv-LV"/>
              </w:rPr>
              <w:t>.</w:t>
            </w:r>
            <w:r w:rsidRPr="00787E45">
              <w:rPr>
                <w:rFonts w:ascii="Times New Roman" w:hAnsi="Times New Roman" w:cs="Times New Roman"/>
                <w:sz w:val="23"/>
                <w:szCs w:val="23"/>
                <w:lang w:eastAsia="lv-LV"/>
              </w:rPr>
              <w:t>punkts</w:t>
            </w:r>
            <w:r w:rsidRPr="009B0E93">
              <w:rPr>
                <w:rFonts w:ascii="Times New Roman" w:hAnsi="Times New Roman" w:cs="Times New Roman"/>
                <w:color w:val="FF0000"/>
                <w:sz w:val="23"/>
                <w:szCs w:val="23"/>
                <w:lang w:eastAsia="lv-LV"/>
              </w:rPr>
              <w:t xml:space="preserve"> </w:t>
            </w:r>
            <w:r w:rsidRPr="001E017D">
              <w:rPr>
                <w:rFonts w:ascii="Times New Roman" w:hAnsi="Times New Roman" w:cs="Times New Roman"/>
                <w:sz w:val="23"/>
                <w:szCs w:val="23"/>
                <w:lang w:eastAsia="lv-LV"/>
              </w:rPr>
              <w:t xml:space="preserve">paskaidro, ar ko ir saprotama interaktīvās spēles programma, par ko sertifikācijas institūcijai ir jāsniedz informācija.  Atbilstoši </w:t>
            </w:r>
            <w:r w:rsidR="00787E45">
              <w:rPr>
                <w:rFonts w:ascii="Times New Roman" w:hAnsi="Times New Roman" w:cs="Times New Roman"/>
                <w:sz w:val="23"/>
                <w:szCs w:val="23"/>
                <w:lang w:eastAsia="lv-LV"/>
              </w:rPr>
              <w:t>4</w:t>
            </w:r>
            <w:r w:rsidRPr="00787E45">
              <w:rPr>
                <w:rFonts w:ascii="Times New Roman" w:hAnsi="Times New Roman" w:cs="Times New Roman"/>
                <w:sz w:val="23"/>
                <w:szCs w:val="23"/>
                <w:lang w:eastAsia="lv-LV"/>
              </w:rPr>
              <w:t xml:space="preserve">.punktam </w:t>
            </w:r>
            <w:r w:rsidRPr="001E017D">
              <w:rPr>
                <w:rFonts w:ascii="Times New Roman" w:hAnsi="Times New Roman" w:cs="Times New Roman"/>
                <w:sz w:val="23"/>
                <w:szCs w:val="23"/>
                <w:lang w:eastAsia="lv-LV"/>
              </w:rPr>
              <w:t>sertifikācijas institūcijai jāpievieno interaktīvās spēles programmas atbilstības pārskatam dokument</w:t>
            </w:r>
            <w:r w:rsidR="006744D3">
              <w:rPr>
                <w:rFonts w:ascii="Times New Roman" w:hAnsi="Times New Roman" w:cs="Times New Roman"/>
                <w:sz w:val="23"/>
                <w:szCs w:val="23"/>
                <w:lang w:eastAsia="lv-LV"/>
              </w:rPr>
              <w:t>s</w:t>
            </w:r>
            <w:r w:rsidRPr="001E017D">
              <w:rPr>
                <w:rFonts w:ascii="Times New Roman" w:hAnsi="Times New Roman" w:cs="Times New Roman"/>
                <w:sz w:val="23"/>
                <w:szCs w:val="23"/>
                <w:lang w:eastAsia="lv-LV"/>
              </w:rPr>
              <w:t>, kas apliecina tās tiesības veikt interaktīvās spēles programmas atbilstības pārbaudi.</w:t>
            </w:r>
          </w:p>
          <w:p w14:paraId="18CED659" w14:textId="11AFF60F" w:rsidR="007400C5" w:rsidRDefault="007400C5" w:rsidP="001A1AE0">
            <w:pPr>
              <w:spacing w:after="0"/>
              <w:jc w:val="both"/>
              <w:rPr>
                <w:rFonts w:ascii="Times New Roman" w:hAnsi="Times New Roman" w:cs="Times New Roman"/>
                <w:sz w:val="23"/>
                <w:szCs w:val="23"/>
                <w:lang w:eastAsia="lv-LV"/>
              </w:rPr>
            </w:pPr>
            <w:r>
              <w:rPr>
                <w:rFonts w:ascii="Times New Roman" w:hAnsi="Times New Roman" w:cs="Times New Roman"/>
                <w:sz w:val="23"/>
                <w:szCs w:val="23"/>
                <w:lang w:eastAsia="lv-LV"/>
              </w:rPr>
              <w:t xml:space="preserve">Papildus atzīmējam, ka atbilstoši iepriekšminētajiem grozījumiem Azartspēļu un izložu likumā, tika </w:t>
            </w:r>
            <w:r w:rsidR="007C5E38">
              <w:rPr>
                <w:rFonts w:ascii="Times New Roman" w:hAnsi="Times New Roman" w:cs="Times New Roman"/>
                <w:sz w:val="23"/>
                <w:szCs w:val="23"/>
                <w:lang w:eastAsia="lv-LV"/>
              </w:rPr>
              <w:t>precizēta</w:t>
            </w:r>
            <w:r>
              <w:rPr>
                <w:rFonts w:ascii="Times New Roman" w:hAnsi="Times New Roman" w:cs="Times New Roman"/>
                <w:sz w:val="23"/>
                <w:szCs w:val="23"/>
                <w:lang w:eastAsia="lv-LV"/>
              </w:rPr>
              <w:t xml:space="preserve"> arī </w:t>
            </w:r>
            <w:r w:rsidRPr="007400C5">
              <w:rPr>
                <w:rFonts w:ascii="Times New Roman" w:hAnsi="Times New Roman" w:cs="Times New Roman"/>
                <w:sz w:val="23"/>
                <w:szCs w:val="23"/>
                <w:lang w:eastAsia="lv-LV"/>
              </w:rPr>
              <w:t>Azartspēļu un izložu</w:t>
            </w:r>
            <w:r>
              <w:rPr>
                <w:rFonts w:ascii="Times New Roman" w:hAnsi="Times New Roman" w:cs="Times New Roman"/>
                <w:sz w:val="23"/>
                <w:szCs w:val="23"/>
                <w:lang w:eastAsia="lv-LV"/>
              </w:rPr>
              <w:t xml:space="preserve"> </w:t>
            </w:r>
            <w:r w:rsidRPr="00D73816">
              <w:rPr>
                <w:rFonts w:ascii="Times New Roman" w:hAnsi="Times New Roman" w:cs="Times New Roman"/>
                <w:sz w:val="23"/>
                <w:szCs w:val="23"/>
                <w:lang w:eastAsia="lv-LV"/>
              </w:rPr>
              <w:t>likuma 4.panta ceturt</w:t>
            </w:r>
            <w:r w:rsidR="001E017D" w:rsidRPr="00D73816">
              <w:rPr>
                <w:rFonts w:ascii="Times New Roman" w:hAnsi="Times New Roman" w:cs="Times New Roman"/>
                <w:sz w:val="23"/>
                <w:szCs w:val="23"/>
                <w:lang w:eastAsia="lv-LV"/>
              </w:rPr>
              <w:t>ā</w:t>
            </w:r>
            <w:r w:rsidRPr="00D73816">
              <w:rPr>
                <w:rFonts w:ascii="Times New Roman" w:hAnsi="Times New Roman" w:cs="Times New Roman"/>
                <w:sz w:val="23"/>
                <w:szCs w:val="23"/>
                <w:lang w:eastAsia="lv-LV"/>
              </w:rPr>
              <w:t xml:space="preserve"> daļa, nosakot, ka sertifikācijas institūcija</w:t>
            </w:r>
            <w:r w:rsidRPr="00AC2F13">
              <w:rPr>
                <w:rFonts w:ascii="Times New Roman" w:hAnsi="Times New Roman" w:cs="Times New Roman"/>
                <w:sz w:val="23"/>
                <w:szCs w:val="23"/>
                <w:lang w:eastAsia="lv-LV"/>
              </w:rPr>
              <w:t xml:space="preserve"> </w:t>
            </w:r>
            <w:r>
              <w:rPr>
                <w:rFonts w:ascii="Times New Roman" w:hAnsi="Times New Roman" w:cs="Times New Roman"/>
                <w:sz w:val="23"/>
                <w:szCs w:val="23"/>
                <w:lang w:eastAsia="lv-LV"/>
              </w:rPr>
              <w:t xml:space="preserve">sertificē arī </w:t>
            </w:r>
            <w:r w:rsidRPr="007400C5">
              <w:rPr>
                <w:rFonts w:ascii="Times New Roman" w:hAnsi="Times New Roman" w:cs="Times New Roman"/>
                <w:sz w:val="23"/>
                <w:szCs w:val="23"/>
                <w:lang w:eastAsia="lv-LV"/>
              </w:rPr>
              <w:t>interaktīvo azartspēļu organizēšanas sistēmu un interaktīvo izložu organizēšanas sistēmu</w:t>
            </w:r>
            <w:r>
              <w:rPr>
                <w:rFonts w:ascii="Times New Roman" w:hAnsi="Times New Roman" w:cs="Times New Roman"/>
                <w:sz w:val="23"/>
                <w:szCs w:val="23"/>
                <w:lang w:eastAsia="lv-LV"/>
              </w:rPr>
              <w:t xml:space="preserve">. Atbilstoši </w:t>
            </w:r>
            <w:r w:rsidR="001A1AE0" w:rsidRPr="001A1AE0">
              <w:rPr>
                <w:rFonts w:ascii="Times New Roman" w:hAnsi="Times New Roman" w:cs="Times New Roman"/>
                <w:sz w:val="23"/>
                <w:szCs w:val="23"/>
                <w:lang w:eastAsia="lv-LV"/>
              </w:rPr>
              <w:t>Ministru kabineta noteikumu projekt</w:t>
            </w:r>
            <w:r w:rsidR="001A1AE0">
              <w:rPr>
                <w:rFonts w:ascii="Times New Roman" w:hAnsi="Times New Roman" w:cs="Times New Roman"/>
                <w:sz w:val="23"/>
                <w:szCs w:val="23"/>
                <w:lang w:eastAsia="lv-LV"/>
              </w:rPr>
              <w:t>am</w:t>
            </w:r>
            <w:r w:rsidR="001A1AE0" w:rsidRPr="001A1AE0">
              <w:rPr>
                <w:rFonts w:ascii="Times New Roman" w:hAnsi="Times New Roman" w:cs="Times New Roman"/>
                <w:sz w:val="23"/>
                <w:szCs w:val="23"/>
                <w:lang w:eastAsia="lv-LV"/>
              </w:rPr>
              <w:t xml:space="preserve"> "Kārtība, kādā iesniedzama informācija par interaktīvo azartspēļu un interaktīvo izložu organizēšanā izmantojamām programmām, paredzētajiem drošības un fizisko personu datu aizsardzības pasākumiem" (izsludināts 2017.gada 20.jūlija Valsts sekretāru sanāksmē (VSS-762)</w:t>
            </w:r>
            <w:r w:rsidR="001A1AE0">
              <w:rPr>
                <w:rFonts w:ascii="Times New Roman" w:hAnsi="Times New Roman" w:cs="Times New Roman"/>
                <w:sz w:val="23"/>
                <w:szCs w:val="23"/>
                <w:lang w:eastAsia="lv-LV"/>
              </w:rPr>
              <w:t xml:space="preserve"> v</w:t>
            </w:r>
            <w:r>
              <w:rPr>
                <w:rFonts w:ascii="Times New Roman" w:hAnsi="Times New Roman" w:cs="Times New Roman"/>
                <w:sz w:val="23"/>
                <w:szCs w:val="23"/>
                <w:lang w:eastAsia="lv-LV"/>
              </w:rPr>
              <w:t xml:space="preserve">iena no </w:t>
            </w:r>
            <w:r w:rsidR="006B5B79">
              <w:rPr>
                <w:rFonts w:ascii="Times New Roman" w:hAnsi="Times New Roman" w:cs="Times New Roman"/>
                <w:sz w:val="23"/>
                <w:szCs w:val="23"/>
                <w:lang w:eastAsia="lv-LV"/>
              </w:rPr>
              <w:t>šo organizēšanas sistēmu</w:t>
            </w:r>
            <w:r>
              <w:rPr>
                <w:rFonts w:ascii="Times New Roman" w:hAnsi="Times New Roman" w:cs="Times New Roman"/>
                <w:sz w:val="23"/>
                <w:szCs w:val="23"/>
                <w:lang w:eastAsia="lv-LV"/>
              </w:rPr>
              <w:t xml:space="preserve"> sastāvdaļām ir</w:t>
            </w:r>
            <w:r w:rsidR="001A1AE0">
              <w:rPr>
                <w:rFonts w:ascii="Times New Roman" w:hAnsi="Times New Roman" w:cs="Times New Roman"/>
                <w:sz w:val="23"/>
                <w:szCs w:val="23"/>
                <w:lang w:eastAsia="lv-LV"/>
              </w:rPr>
              <w:t xml:space="preserve"> interaktīvās spēles programma.</w:t>
            </w:r>
          </w:p>
          <w:p w14:paraId="5201CCE7" w14:textId="77777777" w:rsidR="00875B4D" w:rsidRDefault="002252D4" w:rsidP="001A1AE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Jau šobrīd</w:t>
            </w:r>
            <w:r w:rsidR="00924203">
              <w:rPr>
                <w:rFonts w:ascii="Times New Roman" w:eastAsia="Times New Roman" w:hAnsi="Times New Roman" w:cs="Times New Roman"/>
                <w:sz w:val="23"/>
                <w:szCs w:val="23"/>
              </w:rPr>
              <w:t xml:space="preserve"> interaktīvo</w:t>
            </w:r>
            <w:r w:rsidR="00924203" w:rsidRPr="00AA27AD">
              <w:rPr>
                <w:rFonts w:ascii="Times New Roman" w:eastAsia="Times New Roman" w:hAnsi="Times New Roman" w:cs="Times New Roman"/>
                <w:sz w:val="23"/>
                <w:szCs w:val="23"/>
              </w:rPr>
              <w:t xml:space="preserve"> azar</w:t>
            </w:r>
            <w:r w:rsidR="00924203">
              <w:rPr>
                <w:rFonts w:ascii="Times New Roman" w:eastAsia="Times New Roman" w:hAnsi="Times New Roman" w:cs="Times New Roman"/>
                <w:sz w:val="23"/>
                <w:szCs w:val="23"/>
              </w:rPr>
              <w:t>tspēļu organizētāj</w:t>
            </w:r>
            <w:r w:rsidRPr="002252D4">
              <w:rPr>
                <w:rFonts w:ascii="Times New Roman" w:eastAsia="Times New Roman" w:hAnsi="Times New Roman" w:cs="Times New Roman"/>
                <w:sz w:val="23"/>
                <w:szCs w:val="23"/>
              </w:rPr>
              <w:t>i</w:t>
            </w:r>
            <w:r w:rsidR="00924203">
              <w:rPr>
                <w:rFonts w:ascii="Times New Roman" w:eastAsia="Times New Roman" w:hAnsi="Times New Roman" w:cs="Times New Roman"/>
                <w:sz w:val="23"/>
                <w:szCs w:val="23"/>
              </w:rPr>
              <w:t xml:space="preserve">, pildot </w:t>
            </w:r>
            <w:r w:rsidR="00924203" w:rsidRPr="00AA27AD">
              <w:rPr>
                <w:rFonts w:ascii="Times New Roman" w:eastAsia="Times New Roman" w:hAnsi="Times New Roman" w:cs="Times New Roman"/>
                <w:sz w:val="23"/>
                <w:szCs w:val="23"/>
              </w:rPr>
              <w:t xml:space="preserve">Ministru kabineta </w:t>
            </w:r>
            <w:r w:rsidR="00924203">
              <w:rPr>
                <w:rFonts w:ascii="Times New Roman" w:eastAsia="Times New Roman" w:hAnsi="Times New Roman" w:cs="Times New Roman"/>
                <w:sz w:val="23"/>
                <w:szCs w:val="23"/>
              </w:rPr>
              <w:t>2006.gada 17.oktobra</w:t>
            </w:r>
            <w:r w:rsidR="00924203" w:rsidRPr="00AA27AD">
              <w:rPr>
                <w:rFonts w:ascii="Times New Roman" w:eastAsia="Times New Roman" w:hAnsi="Times New Roman" w:cs="Times New Roman"/>
                <w:sz w:val="23"/>
                <w:szCs w:val="23"/>
              </w:rPr>
              <w:t xml:space="preserve"> </w:t>
            </w:r>
            <w:r w:rsidR="00924203">
              <w:rPr>
                <w:rFonts w:ascii="Times New Roman" w:eastAsia="Times New Roman" w:hAnsi="Times New Roman" w:cs="Times New Roman"/>
                <w:sz w:val="23"/>
                <w:szCs w:val="23"/>
              </w:rPr>
              <w:t>noteikumu</w:t>
            </w:r>
            <w:r w:rsidR="00924203" w:rsidRPr="00AA27AD">
              <w:rPr>
                <w:rFonts w:ascii="Times New Roman" w:eastAsia="Times New Roman" w:hAnsi="Times New Roman" w:cs="Times New Roman"/>
                <w:sz w:val="23"/>
                <w:szCs w:val="23"/>
              </w:rPr>
              <w:t xml:space="preserve"> Nr.853 </w:t>
            </w:r>
            <w:r w:rsidR="00924203">
              <w:rPr>
                <w:rFonts w:ascii="Times New Roman" w:eastAsia="Times New Roman" w:hAnsi="Times New Roman" w:cs="Times New Roman"/>
                <w:sz w:val="23"/>
                <w:szCs w:val="23"/>
              </w:rPr>
              <w:t>“</w:t>
            </w:r>
            <w:r w:rsidR="00924203" w:rsidRPr="00AA27AD">
              <w:rPr>
                <w:rFonts w:ascii="Times New Roman" w:eastAsia="Times New Roman" w:hAnsi="Times New Roman" w:cs="Times New Roman"/>
                <w:sz w:val="23"/>
                <w:szCs w:val="23"/>
              </w:rPr>
              <w:t>Kārtība, kādā iesniedzama informācija par interaktīvo azartspēļu un izložu organizēšanas programmām, drošības un fizisko personu datu aizsardzības pasākumiem</w:t>
            </w:r>
            <w:r w:rsidR="00924203">
              <w:rPr>
                <w:rFonts w:ascii="Times New Roman" w:eastAsia="Times New Roman" w:hAnsi="Times New Roman" w:cs="Times New Roman"/>
                <w:sz w:val="23"/>
                <w:szCs w:val="23"/>
              </w:rPr>
              <w:t>” prasības, vienlaicīgi arī testē interaktīvo spēļu programmu</w:t>
            </w:r>
            <w:r w:rsidR="00924203" w:rsidRPr="00945015">
              <w:rPr>
                <w:rFonts w:ascii="Times New Roman" w:eastAsia="Times New Roman" w:hAnsi="Times New Roman" w:cs="Times New Roman"/>
                <w:sz w:val="23"/>
                <w:szCs w:val="23"/>
              </w:rPr>
              <w:t xml:space="preserve"> atbilstību</w:t>
            </w:r>
            <w:r w:rsidR="00924203">
              <w:rPr>
                <w:rFonts w:ascii="Times New Roman" w:eastAsia="Times New Roman" w:hAnsi="Times New Roman" w:cs="Times New Roman"/>
                <w:sz w:val="23"/>
                <w:szCs w:val="23"/>
              </w:rPr>
              <w:t xml:space="preserve"> atbilstoši </w:t>
            </w:r>
            <w:r w:rsidR="00924203" w:rsidRPr="00600514">
              <w:rPr>
                <w:rFonts w:ascii="Times New Roman" w:eastAsia="Times New Roman" w:hAnsi="Times New Roman" w:cs="Times New Roman"/>
                <w:sz w:val="23"/>
                <w:szCs w:val="23"/>
              </w:rPr>
              <w:t>MK noteikumu Nr.786</w:t>
            </w:r>
            <w:r w:rsidR="00924203">
              <w:rPr>
                <w:rFonts w:ascii="Times New Roman" w:eastAsia="Times New Roman" w:hAnsi="Times New Roman" w:cs="Times New Roman"/>
                <w:sz w:val="23"/>
                <w:szCs w:val="23"/>
              </w:rPr>
              <w:t xml:space="preserve"> prasībām, t</w:t>
            </w:r>
            <w:r w:rsidR="003A62D4">
              <w:rPr>
                <w:rFonts w:ascii="Times New Roman" w:eastAsia="Times New Roman" w:hAnsi="Times New Roman" w:cs="Times New Roman"/>
                <w:sz w:val="23"/>
                <w:szCs w:val="23"/>
              </w:rPr>
              <w:t>ādējādi</w:t>
            </w:r>
            <w:r w:rsidR="0092420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izstrādāto </w:t>
            </w:r>
            <w:r w:rsidR="009B0E93">
              <w:rPr>
                <w:rFonts w:ascii="Times New Roman" w:eastAsia="Times New Roman" w:hAnsi="Times New Roman" w:cs="Times New Roman"/>
                <w:sz w:val="23"/>
                <w:szCs w:val="23"/>
              </w:rPr>
              <w:t>MK</w:t>
            </w:r>
            <w:r w:rsidR="00924203" w:rsidRPr="00600514">
              <w:rPr>
                <w:rFonts w:ascii="Times New Roman" w:eastAsia="Times New Roman" w:hAnsi="Times New Roman" w:cs="Times New Roman"/>
                <w:sz w:val="23"/>
                <w:szCs w:val="23"/>
              </w:rPr>
              <w:t xml:space="preserve"> </w:t>
            </w:r>
            <w:r w:rsidR="00924203">
              <w:rPr>
                <w:rFonts w:ascii="Times New Roman" w:eastAsia="Times New Roman" w:hAnsi="Times New Roman" w:cs="Times New Roman"/>
                <w:sz w:val="23"/>
                <w:szCs w:val="23"/>
              </w:rPr>
              <w:t xml:space="preserve">noteikumu </w:t>
            </w:r>
            <w:r>
              <w:rPr>
                <w:rFonts w:ascii="Times New Roman" w:eastAsia="Times New Roman" w:hAnsi="Times New Roman" w:cs="Times New Roman"/>
                <w:sz w:val="23"/>
                <w:szCs w:val="23"/>
              </w:rPr>
              <w:t xml:space="preserve">projekta </w:t>
            </w:r>
            <w:r w:rsidR="00F9561A">
              <w:rPr>
                <w:rFonts w:ascii="Times New Roman" w:eastAsia="Times New Roman" w:hAnsi="Times New Roman" w:cs="Times New Roman"/>
                <w:sz w:val="23"/>
                <w:szCs w:val="23"/>
              </w:rPr>
              <w:t>5</w:t>
            </w:r>
            <w:r w:rsidR="00B74BCF">
              <w:rPr>
                <w:rFonts w:ascii="Times New Roman" w:eastAsia="Times New Roman" w:hAnsi="Times New Roman" w:cs="Times New Roman"/>
                <w:sz w:val="23"/>
                <w:szCs w:val="23"/>
              </w:rPr>
              <w:t>.punktā</w:t>
            </w:r>
            <w:r w:rsidR="0092420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ir atrunāti </w:t>
            </w:r>
            <w:r w:rsidR="00A46E97">
              <w:rPr>
                <w:rFonts w:ascii="Times New Roman" w:eastAsia="Times New Roman" w:hAnsi="Times New Roman" w:cs="Times New Roman"/>
                <w:sz w:val="23"/>
                <w:szCs w:val="23"/>
              </w:rPr>
              <w:t xml:space="preserve">šādi </w:t>
            </w:r>
            <w:r>
              <w:rPr>
                <w:rFonts w:ascii="Times New Roman" w:eastAsia="Times New Roman" w:hAnsi="Times New Roman" w:cs="Times New Roman"/>
                <w:sz w:val="23"/>
                <w:szCs w:val="23"/>
              </w:rPr>
              <w:t xml:space="preserve">gadījumi, </w:t>
            </w:r>
            <w:r w:rsidR="003A62D4">
              <w:rPr>
                <w:rFonts w:ascii="Times New Roman" w:eastAsia="Times New Roman" w:hAnsi="Times New Roman" w:cs="Times New Roman"/>
                <w:sz w:val="23"/>
                <w:szCs w:val="23"/>
              </w:rPr>
              <w:t xml:space="preserve">nosakot - </w:t>
            </w:r>
            <w:r>
              <w:rPr>
                <w:rFonts w:ascii="Times New Roman" w:eastAsia="Times New Roman" w:hAnsi="Times New Roman" w:cs="Times New Roman"/>
                <w:sz w:val="23"/>
                <w:szCs w:val="23"/>
              </w:rPr>
              <w:t xml:space="preserve">ja </w:t>
            </w:r>
            <w:r w:rsidR="00164BCE">
              <w:rPr>
                <w:rFonts w:ascii="Times New Roman" w:eastAsia="Times New Roman" w:hAnsi="Times New Roman" w:cs="Times New Roman"/>
                <w:sz w:val="23"/>
                <w:szCs w:val="23"/>
              </w:rPr>
              <w:t xml:space="preserve">par </w:t>
            </w:r>
            <w:r w:rsidR="00924203">
              <w:rPr>
                <w:rFonts w:ascii="Times New Roman" w:eastAsia="Times New Roman" w:hAnsi="Times New Roman" w:cs="Times New Roman"/>
                <w:sz w:val="23"/>
                <w:szCs w:val="23"/>
              </w:rPr>
              <w:t>i</w:t>
            </w:r>
            <w:r w:rsidR="00924203" w:rsidRPr="00945015">
              <w:rPr>
                <w:rFonts w:ascii="Times New Roman" w:eastAsia="Times New Roman" w:hAnsi="Times New Roman" w:cs="Times New Roman"/>
                <w:sz w:val="23"/>
                <w:szCs w:val="23"/>
              </w:rPr>
              <w:t>nteraktīvās azartspēles vai interaktīvās izlozes organizētāja konkrētai</w:t>
            </w:r>
            <w:r w:rsidR="00924203" w:rsidRPr="00945015">
              <w:rPr>
                <w:rFonts w:ascii="Times New Roman" w:eastAsia="Times New Roman" w:hAnsi="Times New Roman" w:cs="Times New Roman"/>
                <w:i/>
                <w:sz w:val="23"/>
                <w:szCs w:val="23"/>
              </w:rPr>
              <w:t xml:space="preserve"> </w:t>
            </w:r>
            <w:r w:rsidR="00924203" w:rsidRPr="00945015">
              <w:rPr>
                <w:rFonts w:ascii="Times New Roman" w:eastAsia="Times New Roman" w:hAnsi="Times New Roman" w:cs="Times New Roman"/>
                <w:sz w:val="23"/>
                <w:szCs w:val="23"/>
              </w:rPr>
              <w:t xml:space="preserve">interaktīvajai azartspēlei vai interaktīvajai izlozei </w:t>
            </w:r>
            <w:r w:rsidR="00164BCE">
              <w:rPr>
                <w:rFonts w:ascii="Times New Roman" w:eastAsia="Times New Roman" w:hAnsi="Times New Roman" w:cs="Times New Roman"/>
                <w:sz w:val="23"/>
                <w:szCs w:val="23"/>
              </w:rPr>
              <w:t xml:space="preserve">līdz 2018.gada 1.janvārim </w:t>
            </w:r>
            <w:r>
              <w:rPr>
                <w:rFonts w:ascii="Times New Roman" w:eastAsia="Times New Roman" w:hAnsi="Times New Roman" w:cs="Times New Roman"/>
                <w:sz w:val="23"/>
                <w:szCs w:val="23"/>
              </w:rPr>
              <w:t xml:space="preserve">ir izsniegts </w:t>
            </w:r>
            <w:r w:rsidR="00924203" w:rsidRPr="00945015">
              <w:rPr>
                <w:rFonts w:ascii="Times New Roman" w:eastAsia="Times New Roman" w:hAnsi="Times New Roman" w:cs="Times New Roman"/>
                <w:sz w:val="23"/>
                <w:szCs w:val="23"/>
              </w:rPr>
              <w:t>sertifikācijas institūcijas atbilstošais interaktīvās spēles programmas atbilstības pārskats,</w:t>
            </w:r>
            <w:r w:rsidR="003A62D4">
              <w:rPr>
                <w:rFonts w:ascii="Times New Roman" w:eastAsia="Times New Roman" w:hAnsi="Times New Roman" w:cs="Times New Roman"/>
                <w:sz w:val="23"/>
                <w:szCs w:val="23"/>
              </w:rPr>
              <w:t xml:space="preserve"> tad</w:t>
            </w:r>
            <w:r w:rsidR="00164BCE">
              <w:rPr>
                <w:rFonts w:ascii="Times New Roman" w:eastAsia="Times New Roman" w:hAnsi="Times New Roman" w:cs="Times New Roman"/>
                <w:sz w:val="23"/>
                <w:szCs w:val="23"/>
              </w:rPr>
              <w:t xml:space="preserve"> tas</w:t>
            </w:r>
            <w:r w:rsidR="00924203" w:rsidRPr="00945015">
              <w:rPr>
                <w:rFonts w:ascii="Times New Roman" w:eastAsia="Times New Roman" w:hAnsi="Times New Roman" w:cs="Times New Roman"/>
                <w:i/>
                <w:sz w:val="23"/>
                <w:szCs w:val="23"/>
              </w:rPr>
              <w:t xml:space="preserve"> </w:t>
            </w:r>
            <w:r w:rsidR="00924203" w:rsidRPr="00945015">
              <w:rPr>
                <w:rFonts w:ascii="Times New Roman" w:eastAsia="Times New Roman" w:hAnsi="Times New Roman" w:cs="Times New Roman"/>
                <w:sz w:val="23"/>
                <w:szCs w:val="23"/>
              </w:rPr>
              <w:t>ir derīgs līdz laikam, kamēr nav veiktas izmaiņas konkrētajā interaktīvās spēles programmā.</w:t>
            </w:r>
            <w:r w:rsidR="00924203">
              <w:rPr>
                <w:rFonts w:ascii="Times New Roman" w:eastAsia="Times New Roman" w:hAnsi="Times New Roman" w:cs="Times New Roman"/>
                <w:sz w:val="23"/>
                <w:szCs w:val="23"/>
              </w:rPr>
              <w:t xml:space="preserve"> </w:t>
            </w:r>
            <w:r w:rsidR="00875B4D">
              <w:rPr>
                <w:rFonts w:ascii="Times New Roman" w:eastAsia="Times New Roman" w:hAnsi="Times New Roman" w:cs="Times New Roman"/>
                <w:sz w:val="23"/>
                <w:szCs w:val="23"/>
              </w:rPr>
              <w:t xml:space="preserve">Tādējādi ar šo </w:t>
            </w:r>
            <w:r w:rsidR="009B0E93">
              <w:rPr>
                <w:rFonts w:ascii="Times New Roman" w:eastAsia="Times New Roman" w:hAnsi="Times New Roman" w:cs="Times New Roman"/>
                <w:sz w:val="23"/>
                <w:szCs w:val="23"/>
              </w:rPr>
              <w:t>MK</w:t>
            </w:r>
            <w:r w:rsidR="00875B4D">
              <w:rPr>
                <w:rFonts w:ascii="Times New Roman" w:eastAsia="Times New Roman" w:hAnsi="Times New Roman" w:cs="Times New Roman"/>
                <w:sz w:val="23"/>
                <w:szCs w:val="23"/>
              </w:rPr>
              <w:t xml:space="preserve"> noteikumu projektu </w:t>
            </w:r>
            <w:r w:rsidR="00027498">
              <w:rPr>
                <w:rFonts w:ascii="Times New Roman" w:eastAsia="Times New Roman" w:hAnsi="Times New Roman" w:cs="Times New Roman"/>
                <w:sz w:val="23"/>
                <w:szCs w:val="23"/>
              </w:rPr>
              <w:t xml:space="preserve">izdošanu </w:t>
            </w:r>
            <w:r w:rsidR="00875B4D">
              <w:rPr>
                <w:rFonts w:ascii="Times New Roman" w:eastAsia="Times New Roman" w:hAnsi="Times New Roman" w:cs="Times New Roman"/>
                <w:sz w:val="23"/>
                <w:szCs w:val="23"/>
              </w:rPr>
              <w:t xml:space="preserve">tiek </w:t>
            </w:r>
            <w:r w:rsidR="00027498">
              <w:rPr>
                <w:rFonts w:ascii="Times New Roman" w:eastAsia="Times New Roman" w:hAnsi="Times New Roman" w:cs="Times New Roman"/>
                <w:sz w:val="23"/>
                <w:szCs w:val="23"/>
              </w:rPr>
              <w:t>sakārtots tiesiskais regulējums</w:t>
            </w:r>
            <w:r w:rsidR="00875B4D">
              <w:rPr>
                <w:rFonts w:ascii="Times New Roman" w:eastAsia="Times New Roman" w:hAnsi="Times New Roman" w:cs="Times New Roman"/>
                <w:sz w:val="23"/>
                <w:szCs w:val="23"/>
              </w:rPr>
              <w:t>.</w:t>
            </w:r>
          </w:p>
          <w:p w14:paraId="402FB4AC" w14:textId="315647CC" w:rsidR="00863C70" w:rsidRDefault="00924203" w:rsidP="006B5B7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Vienlaicīgi </w:t>
            </w:r>
            <w:r w:rsidR="009B0E93">
              <w:rPr>
                <w:rFonts w:ascii="Times New Roman" w:eastAsia="Times New Roman" w:hAnsi="Times New Roman" w:cs="Times New Roman"/>
                <w:sz w:val="23"/>
                <w:szCs w:val="23"/>
              </w:rPr>
              <w:t>MK</w:t>
            </w:r>
            <w:r w:rsidR="00164BCE">
              <w:rPr>
                <w:rFonts w:ascii="Times New Roman" w:eastAsia="Times New Roman" w:hAnsi="Times New Roman" w:cs="Times New Roman"/>
                <w:sz w:val="23"/>
                <w:szCs w:val="23"/>
              </w:rPr>
              <w:t xml:space="preserve"> noteikumu projekta </w:t>
            </w:r>
            <w:r w:rsidR="00D4456D">
              <w:rPr>
                <w:rFonts w:ascii="Times New Roman" w:eastAsia="Times New Roman" w:hAnsi="Times New Roman" w:cs="Times New Roman"/>
                <w:sz w:val="23"/>
                <w:szCs w:val="23"/>
              </w:rPr>
              <w:t>6</w:t>
            </w:r>
            <w:r w:rsidR="00B74BCF">
              <w:rPr>
                <w:rFonts w:ascii="Times New Roman" w:eastAsia="Times New Roman" w:hAnsi="Times New Roman" w:cs="Times New Roman"/>
                <w:sz w:val="23"/>
                <w:szCs w:val="23"/>
              </w:rPr>
              <w:t>.punktā</w:t>
            </w:r>
            <w:r w:rsidR="00164B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ir </w:t>
            </w:r>
            <w:r w:rsidR="00164BCE">
              <w:rPr>
                <w:rFonts w:ascii="Times New Roman" w:eastAsia="Times New Roman" w:hAnsi="Times New Roman" w:cs="Times New Roman"/>
                <w:sz w:val="23"/>
                <w:szCs w:val="23"/>
              </w:rPr>
              <w:t>noteikts, ka</w:t>
            </w:r>
            <w:r>
              <w:rPr>
                <w:rFonts w:ascii="Times New Roman" w:eastAsia="Times New Roman" w:hAnsi="Times New Roman" w:cs="Times New Roman"/>
                <w:sz w:val="23"/>
                <w:szCs w:val="23"/>
              </w:rPr>
              <w:t xml:space="preserve"> gadījum</w:t>
            </w:r>
            <w:r w:rsidR="007879EC">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s, ja </w:t>
            </w:r>
            <w:r w:rsidR="00164BCE" w:rsidRPr="00945015">
              <w:rPr>
                <w:rFonts w:ascii="Times New Roman" w:eastAsia="Times New Roman" w:hAnsi="Times New Roman" w:cs="Times New Roman"/>
                <w:sz w:val="23"/>
                <w:szCs w:val="23"/>
              </w:rPr>
              <w:t>interaktīvo azartspēļu organizētāja vai interaktīvo izložu organizētāja konkrētai interaktīvajai azartspēlei vai interaktīvajai izlozei nav sertifikācijas institūcijas izsniegts atbilstošs interaktīvās spēles programmas atbilstības pārskats</w:t>
            </w:r>
            <w:r>
              <w:rPr>
                <w:rFonts w:ascii="Times New Roman" w:eastAsia="Times New Roman" w:hAnsi="Times New Roman" w:cs="Times New Roman"/>
                <w:sz w:val="23"/>
                <w:szCs w:val="23"/>
              </w:rPr>
              <w:t xml:space="preserve">, </w:t>
            </w:r>
            <w:r w:rsidR="00164BCE">
              <w:rPr>
                <w:rFonts w:ascii="Times New Roman" w:eastAsia="Times New Roman" w:hAnsi="Times New Roman" w:cs="Times New Roman"/>
                <w:sz w:val="23"/>
                <w:szCs w:val="23"/>
              </w:rPr>
              <w:t>tad</w:t>
            </w:r>
            <w:r w:rsidRPr="00945015">
              <w:rPr>
                <w:rFonts w:ascii="Times New Roman" w:eastAsia="Times New Roman" w:hAnsi="Times New Roman" w:cs="Times New Roman"/>
                <w:sz w:val="23"/>
                <w:szCs w:val="23"/>
              </w:rPr>
              <w:t xml:space="preserve"> </w:t>
            </w:r>
            <w:r w:rsidR="005800A4">
              <w:rPr>
                <w:rFonts w:ascii="Times New Roman" w:eastAsia="Times New Roman" w:hAnsi="Times New Roman" w:cs="Times New Roman"/>
                <w:sz w:val="23"/>
                <w:szCs w:val="23"/>
              </w:rPr>
              <w:t>sešu</w:t>
            </w:r>
            <w:r w:rsidR="005800A4" w:rsidRPr="00945015">
              <w:rPr>
                <w:rFonts w:ascii="Times New Roman" w:eastAsia="Times New Roman" w:hAnsi="Times New Roman" w:cs="Times New Roman"/>
                <w:sz w:val="23"/>
                <w:szCs w:val="23"/>
              </w:rPr>
              <w:t xml:space="preserve"> </w:t>
            </w:r>
            <w:r w:rsidRPr="00945015">
              <w:rPr>
                <w:rFonts w:ascii="Times New Roman" w:eastAsia="Times New Roman" w:hAnsi="Times New Roman" w:cs="Times New Roman"/>
                <w:sz w:val="23"/>
                <w:szCs w:val="23"/>
              </w:rPr>
              <w:t>mēnešu laikā pēc šo noteikumu spēkā stāšanās interaktīvo azartspēļu organizētājs vai interaktīvo izložu organizētājs iesniedz Izložu un azartspēļu uzraudzības inspekcijā interaktīvās spēles programmas atbilstības pārskatu atbilstoši šajos noteikumos minētajām prasībām.</w:t>
            </w:r>
          </w:p>
          <w:p w14:paraId="739200F4" w14:textId="543789FC" w:rsidR="002A6D43" w:rsidRDefault="002A6D43" w:rsidP="002A6D4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Atbilstoši </w:t>
            </w:r>
            <w:r w:rsidRPr="002A6D43">
              <w:rPr>
                <w:rFonts w:ascii="Times New Roman" w:eastAsia="Times New Roman" w:hAnsi="Times New Roman" w:cs="Times New Roman"/>
                <w:sz w:val="23"/>
                <w:szCs w:val="23"/>
              </w:rPr>
              <w:t>E</w:t>
            </w:r>
            <w:r>
              <w:rPr>
                <w:rFonts w:ascii="Times New Roman" w:eastAsia="Times New Roman" w:hAnsi="Times New Roman" w:cs="Times New Roman"/>
                <w:sz w:val="23"/>
                <w:szCs w:val="23"/>
              </w:rPr>
              <w:t>konomikas ministrijas izteiktajam</w:t>
            </w:r>
            <w:r w:rsidRPr="002A6D4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w:t>
            </w:r>
            <w:r w:rsidRPr="002A6D43">
              <w:rPr>
                <w:rFonts w:ascii="Times New Roman" w:eastAsia="Times New Roman" w:hAnsi="Times New Roman" w:cs="Times New Roman"/>
                <w:sz w:val="23"/>
                <w:szCs w:val="23"/>
              </w:rPr>
              <w:t>ebilduma</w:t>
            </w:r>
            <w:r>
              <w:rPr>
                <w:rFonts w:ascii="Times New Roman" w:eastAsia="Times New Roman" w:hAnsi="Times New Roman" w:cs="Times New Roman"/>
                <w:sz w:val="23"/>
                <w:szCs w:val="23"/>
              </w:rPr>
              <w:t xml:space="preserve">m (ka </w:t>
            </w:r>
            <w:r w:rsidRPr="002A6D43">
              <w:rPr>
                <w:rFonts w:ascii="Times New Roman" w:eastAsia="Times New Roman" w:hAnsi="Times New Roman" w:cs="Times New Roman"/>
                <w:sz w:val="23"/>
                <w:szCs w:val="23"/>
              </w:rPr>
              <w:t xml:space="preserve">noteikumu projekts nosaka interaktīvās azartspēles vai interaktīvās izlozes organizēšanā izmantojamās spēles programmas atbilstības pārskatā iekļaujamo informāciju, </w:t>
            </w:r>
            <w:r w:rsidRPr="002A6D43">
              <w:rPr>
                <w:rFonts w:ascii="Times New Roman" w:eastAsia="Times New Roman" w:hAnsi="Times New Roman" w:cs="Times New Roman"/>
                <w:sz w:val="23"/>
                <w:szCs w:val="23"/>
              </w:rPr>
              <w:lastRenderedPageBreak/>
              <w:t>tomēr noteikumu projektā iztrūkst tiesību normas par spēles programmas atbilstības novērtēšanas kārtību, kā rezultātā sertificēšanas institūcija izsniedz atbilstības pārskatu ar informāciju par interaktīvās spēles programm</w:t>
            </w:r>
            <w:r>
              <w:rPr>
                <w:rFonts w:ascii="Times New Roman" w:eastAsia="Times New Roman" w:hAnsi="Times New Roman" w:cs="Times New Roman"/>
                <w:sz w:val="23"/>
                <w:szCs w:val="23"/>
              </w:rPr>
              <w:t xml:space="preserve">as atbilstību vai neatbilstību), noteikumu projektam ir pievienots  </w:t>
            </w:r>
            <w:proofErr w:type="spellStart"/>
            <w:r>
              <w:rPr>
                <w:rFonts w:ascii="Times New Roman" w:eastAsia="Times New Roman" w:hAnsi="Times New Roman" w:cs="Times New Roman"/>
                <w:sz w:val="23"/>
                <w:szCs w:val="23"/>
              </w:rPr>
              <w:t>protokolēmuma</w:t>
            </w:r>
            <w:proofErr w:type="spellEnd"/>
            <w:r>
              <w:rPr>
                <w:rFonts w:ascii="Times New Roman" w:eastAsia="Times New Roman" w:hAnsi="Times New Roman" w:cs="Times New Roman"/>
                <w:sz w:val="23"/>
                <w:szCs w:val="23"/>
              </w:rPr>
              <w:t xml:space="preserve"> </w:t>
            </w:r>
            <w:r w:rsidRPr="002A6D4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projekts, kas nosaka </w:t>
            </w:r>
            <w:r w:rsidRPr="002A6D43">
              <w:rPr>
                <w:rFonts w:ascii="Times New Roman" w:eastAsia="Times New Roman" w:hAnsi="Times New Roman" w:cs="Times New Roman"/>
                <w:sz w:val="23"/>
                <w:szCs w:val="23"/>
              </w:rPr>
              <w:t>Finanšu ministrijai izstrādāt un līdz 2019.gada 31.decembrim iesniegt izskatīšanai Ministru kabinetā likumprojektu par grozījumiem Azartspēļu un izložu likumā, lai precizētu 47.panta ceturtajā un 80.panta sestajā daļā paredzēto deleģējumu par interaktīvo azartspēļu vai interaktīvo izložu programmas sertificēšanu.</w:t>
            </w:r>
          </w:p>
          <w:p w14:paraId="5A9683DF" w14:textId="6DDBB3BF" w:rsidR="002A6D43" w:rsidRPr="002A6D43" w:rsidRDefault="002A6D43" w:rsidP="008214E7">
            <w:pPr>
              <w:spacing w:after="0" w:line="240" w:lineRule="auto"/>
              <w:ind w:left="34"/>
              <w:jc w:val="both"/>
              <w:rPr>
                <w:rFonts w:ascii="Times New Roman" w:hAnsi="Times New Roman" w:cs="Times New Roman"/>
                <w:sz w:val="23"/>
                <w:szCs w:val="23"/>
              </w:rPr>
            </w:pPr>
            <w:proofErr w:type="spellStart"/>
            <w:r w:rsidRPr="002A6D43">
              <w:rPr>
                <w:rFonts w:ascii="Times New Roman" w:hAnsi="Times New Roman" w:cs="Times New Roman"/>
                <w:sz w:val="23"/>
                <w:szCs w:val="23"/>
              </w:rPr>
              <w:t>Protokollēmumā</w:t>
            </w:r>
            <w:proofErr w:type="spellEnd"/>
            <w:r w:rsidRPr="002A6D43">
              <w:rPr>
                <w:rFonts w:ascii="Times New Roman" w:hAnsi="Times New Roman" w:cs="Times New Roman"/>
                <w:sz w:val="23"/>
                <w:szCs w:val="23"/>
              </w:rPr>
              <w:t xml:space="preserve"> noteiktais termiņš i</w:t>
            </w:r>
            <w:r>
              <w:rPr>
                <w:rFonts w:ascii="Times New Roman" w:hAnsi="Times New Roman" w:cs="Times New Roman"/>
                <w:sz w:val="23"/>
                <w:szCs w:val="23"/>
              </w:rPr>
              <w:t xml:space="preserve">r pamatots ar to, ka līdz </w:t>
            </w:r>
            <w:r w:rsidRPr="002A6D43">
              <w:rPr>
                <w:rFonts w:ascii="Times New Roman" w:hAnsi="Times New Roman" w:cs="Times New Roman"/>
                <w:sz w:val="23"/>
                <w:szCs w:val="23"/>
              </w:rPr>
              <w:t>2018.</w:t>
            </w:r>
            <w:r>
              <w:rPr>
                <w:rFonts w:ascii="Times New Roman" w:hAnsi="Times New Roman" w:cs="Times New Roman"/>
                <w:sz w:val="23"/>
                <w:szCs w:val="23"/>
              </w:rPr>
              <w:t>gada 31.decembrim Finanšu ministrijai</w:t>
            </w:r>
            <w:r w:rsidRPr="002A6D43">
              <w:rPr>
                <w:rFonts w:ascii="Times New Roman" w:hAnsi="Times New Roman" w:cs="Times New Roman"/>
                <w:sz w:val="23"/>
                <w:szCs w:val="23"/>
              </w:rPr>
              <w:t xml:space="preserve"> ir uzdevums izstrādāt Azartspēļu un izložu nozares pamatnostādnes (Pamatnostādnes), kuru rezultātā būs nepieciešams veikt vairāku likuma normu grozījumus. Attiecīgi, </w:t>
            </w:r>
            <w:proofErr w:type="spellStart"/>
            <w:r w:rsidRPr="002A6D43">
              <w:rPr>
                <w:rFonts w:ascii="Times New Roman" w:hAnsi="Times New Roman" w:cs="Times New Roman"/>
                <w:sz w:val="23"/>
                <w:szCs w:val="23"/>
              </w:rPr>
              <w:t>protokollēmumā</w:t>
            </w:r>
            <w:proofErr w:type="spellEnd"/>
            <w:r w:rsidRPr="002A6D43">
              <w:rPr>
                <w:rFonts w:ascii="Times New Roman" w:hAnsi="Times New Roman" w:cs="Times New Roman"/>
                <w:sz w:val="23"/>
                <w:szCs w:val="23"/>
              </w:rPr>
              <w:t xml:space="preserve"> paredzētie grozījumi tiks virzīti, īstenojot Pamatnostādņu rīcības plānu.</w:t>
            </w:r>
          </w:p>
          <w:p w14:paraId="72E361F7" w14:textId="13B1EBD1" w:rsidR="002A6D43" w:rsidRPr="00600514" w:rsidRDefault="002A6D43" w:rsidP="008214E7">
            <w:pPr>
              <w:spacing w:after="0" w:line="240" w:lineRule="auto"/>
              <w:jc w:val="both"/>
              <w:rPr>
                <w:rFonts w:ascii="Times New Roman" w:eastAsia="Times New Roman" w:hAnsi="Times New Roman" w:cs="Times New Roman"/>
                <w:sz w:val="23"/>
                <w:szCs w:val="23"/>
              </w:rPr>
            </w:pPr>
            <w:r w:rsidRPr="002A6D43">
              <w:rPr>
                <w:rFonts w:ascii="Times New Roman" w:eastAsia="Times New Roman" w:hAnsi="Times New Roman" w:cs="Times New Roman"/>
                <w:sz w:val="23"/>
                <w:szCs w:val="23"/>
              </w:rPr>
              <w:t>Pašlaik programmu atbilstības pārbaude, interpretējot tiesību normas, ir iespējama, bez tam tika pārņemtas jau līdzīga regulējuma esošās normas par azart</w:t>
            </w:r>
            <w:r w:rsidR="008214E7">
              <w:rPr>
                <w:rFonts w:ascii="Times New Roman" w:eastAsia="Times New Roman" w:hAnsi="Times New Roman" w:cs="Times New Roman"/>
                <w:sz w:val="23"/>
                <w:szCs w:val="23"/>
              </w:rPr>
              <w:t>spēļu automātu spēļu programmām, kuru piemērošana līdz šim nav radījusi problēmas.</w:t>
            </w:r>
          </w:p>
        </w:tc>
      </w:tr>
      <w:tr w:rsidR="00924203" w:rsidRPr="008C0F3F" w14:paraId="1F686129"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745ECC9"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3099B948" w14:textId="33DAE7D3"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izstrādē iesaistītās institūcijas</w:t>
            </w:r>
            <w:r w:rsidR="00946579">
              <w:rPr>
                <w:rFonts w:ascii="Times New Roman" w:eastAsia="Times New Roman" w:hAnsi="Times New Roman" w:cs="Times New Roman"/>
                <w:sz w:val="23"/>
                <w:szCs w:val="23"/>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465C5F7" w14:textId="77777777" w:rsidR="00924203" w:rsidRPr="008C0F3F" w:rsidRDefault="00924203" w:rsidP="000B6793">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w:t>
            </w:r>
            <w:r>
              <w:rPr>
                <w:rFonts w:ascii="Times New Roman" w:eastAsia="Times New Roman" w:hAnsi="Times New Roman" w:cs="Times New Roman"/>
                <w:sz w:val="23"/>
                <w:szCs w:val="23"/>
                <w:lang w:eastAsia="lv-LV"/>
              </w:rPr>
              <w:t>rtspēļu uzraudzības inspekcija.</w:t>
            </w:r>
          </w:p>
        </w:tc>
      </w:tr>
      <w:tr w:rsidR="00924203" w:rsidRPr="008C0F3F" w14:paraId="71DCD1D8"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02641FDD"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56271D14"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35936029"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3F6B3A37" w14:textId="77777777" w:rsidR="00924203" w:rsidRPr="008C0F3F" w:rsidRDefault="00924203"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924203" w:rsidRPr="008C0F3F" w14:paraId="4B345223" w14:textId="77777777" w:rsidTr="000B67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51571"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II. Tiesību akta projekta ietekme uz sabiedrību, tautsaimniecības attīstību un administratīvo slogu</w:t>
            </w:r>
          </w:p>
        </w:tc>
      </w:tr>
      <w:tr w:rsidR="00924203" w:rsidRPr="008C0F3F" w14:paraId="760ECDF0" w14:textId="77777777" w:rsidTr="000B67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3FEA7F"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C13E58C"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Sabiedrības </w:t>
            </w:r>
            <w:proofErr w:type="spellStart"/>
            <w:r w:rsidRPr="008C0F3F">
              <w:rPr>
                <w:rFonts w:ascii="Times New Roman" w:eastAsia="Times New Roman" w:hAnsi="Times New Roman" w:cs="Times New Roman"/>
                <w:sz w:val="23"/>
                <w:szCs w:val="23"/>
                <w:lang w:eastAsia="lv-LV"/>
              </w:rPr>
              <w:t>mērķgrupas</w:t>
            </w:r>
            <w:proofErr w:type="spellEnd"/>
            <w:r w:rsidRPr="008C0F3F">
              <w:rPr>
                <w:rFonts w:ascii="Times New Roman" w:eastAsia="Times New Roman" w:hAnsi="Times New Roman" w:cs="Times New Roman"/>
                <w:sz w:val="23"/>
                <w:szCs w:val="23"/>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5A1CC7" w14:textId="2001A79B" w:rsidR="00924203" w:rsidRPr="008C0F3F" w:rsidRDefault="00924203" w:rsidP="006744D3">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Izložu un azartspēļu uzraudzības inspekcija, </w:t>
            </w:r>
            <w:r w:rsidR="00E42BA3">
              <w:rPr>
                <w:rFonts w:ascii="Times New Roman" w:eastAsia="Times New Roman" w:hAnsi="Times New Roman" w:cs="Times New Roman"/>
                <w:sz w:val="23"/>
                <w:szCs w:val="23"/>
                <w:lang w:eastAsia="lv-LV"/>
              </w:rPr>
              <w:t xml:space="preserve"> kapitālsabiedrības -</w:t>
            </w:r>
            <w:r w:rsidRPr="008C0F3F">
              <w:rPr>
                <w:rFonts w:ascii="Times New Roman" w:eastAsia="Times New Roman" w:hAnsi="Times New Roman" w:cs="Times New Roman"/>
                <w:sz w:val="23"/>
                <w:szCs w:val="23"/>
                <w:lang w:eastAsia="lv-LV"/>
              </w:rPr>
              <w:t xml:space="preserve"> </w:t>
            </w:r>
            <w:r w:rsidR="00E42BA3">
              <w:rPr>
                <w:rFonts w:ascii="Times New Roman" w:eastAsia="Times New Roman" w:hAnsi="Times New Roman" w:cs="Times New Roman"/>
                <w:sz w:val="23"/>
                <w:szCs w:val="23"/>
                <w:lang w:eastAsia="lv-LV"/>
              </w:rPr>
              <w:t>interaktīvo azartspēļu organizētāji</w:t>
            </w:r>
            <w:r w:rsidRPr="008C0F3F">
              <w:rPr>
                <w:rFonts w:ascii="Times New Roman" w:eastAsia="Times New Roman" w:hAnsi="Times New Roman" w:cs="Times New Roman"/>
                <w:sz w:val="23"/>
                <w:szCs w:val="23"/>
                <w:lang w:eastAsia="lv-LV"/>
              </w:rPr>
              <w:t xml:space="preserve"> (Latvijā šobrīd ir </w:t>
            </w:r>
            <w:r w:rsidR="006744D3">
              <w:rPr>
                <w:rFonts w:ascii="Times New Roman" w:eastAsia="Times New Roman" w:hAnsi="Times New Roman" w:cs="Times New Roman"/>
                <w:sz w:val="23"/>
                <w:szCs w:val="23"/>
                <w:lang w:eastAsia="lv-LV"/>
              </w:rPr>
              <w:t>septiņi</w:t>
            </w:r>
            <w:r w:rsidRPr="008C0F3F">
              <w:rPr>
                <w:rFonts w:ascii="Times New Roman" w:eastAsia="Times New Roman" w:hAnsi="Times New Roman" w:cs="Times New Roman"/>
                <w:sz w:val="23"/>
                <w:szCs w:val="23"/>
                <w:lang w:eastAsia="lv-LV"/>
              </w:rPr>
              <w:t xml:space="preserve"> azartspēļu organizētāji)</w:t>
            </w:r>
            <w:r w:rsidR="007879EC">
              <w:rPr>
                <w:rFonts w:ascii="Times New Roman" w:eastAsia="Times New Roman" w:hAnsi="Times New Roman" w:cs="Times New Roman"/>
                <w:sz w:val="23"/>
                <w:szCs w:val="23"/>
                <w:lang w:eastAsia="lv-LV"/>
              </w:rPr>
              <w:t xml:space="preserve"> un viens interaktīvo izložu organizētājs.</w:t>
            </w:r>
          </w:p>
        </w:tc>
      </w:tr>
      <w:tr w:rsidR="00924203" w:rsidRPr="008C0F3F" w14:paraId="2934199D"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FF739D"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03189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D3286E" w14:textId="77777777" w:rsidR="00924203" w:rsidRPr="00C7489B" w:rsidRDefault="00924203" w:rsidP="00A20F2E">
            <w:pPr>
              <w:spacing w:after="0" w:line="240" w:lineRule="auto"/>
              <w:jc w:val="both"/>
              <w:rPr>
                <w:rFonts w:ascii="Times New Roman" w:eastAsia="Times New Roman" w:hAnsi="Times New Roman" w:cs="Times New Roman"/>
                <w:color w:val="000000" w:themeColor="text1"/>
                <w:sz w:val="23"/>
                <w:szCs w:val="23"/>
                <w:lang w:eastAsia="lv-LV"/>
              </w:rPr>
            </w:pPr>
            <w:r w:rsidRPr="00C7489B">
              <w:rPr>
                <w:rFonts w:ascii="Times New Roman" w:eastAsia="Times New Roman" w:hAnsi="Times New Roman" w:cs="Times New Roman"/>
                <w:color w:val="000000" w:themeColor="text1"/>
                <w:sz w:val="23"/>
                <w:szCs w:val="23"/>
                <w:lang w:eastAsia="lv-LV"/>
              </w:rPr>
              <w:t xml:space="preserve">Tiesiskā regulējuma ietekme uz tautsaimniecību netiks mainīta, administratīvais slogs </w:t>
            </w:r>
            <w:r w:rsidR="00C60198" w:rsidRPr="00C7489B">
              <w:rPr>
                <w:rFonts w:ascii="Times New Roman" w:eastAsia="Times New Roman" w:hAnsi="Times New Roman" w:cs="Times New Roman"/>
                <w:color w:val="000000" w:themeColor="text1"/>
                <w:sz w:val="23"/>
                <w:szCs w:val="23"/>
                <w:lang w:eastAsia="lv-LV"/>
              </w:rPr>
              <w:t>nemainās</w:t>
            </w:r>
            <w:r w:rsidR="00EA5762" w:rsidRPr="00C7489B">
              <w:rPr>
                <w:rFonts w:ascii="Times New Roman" w:eastAsia="Times New Roman" w:hAnsi="Times New Roman" w:cs="Times New Roman"/>
                <w:color w:val="000000" w:themeColor="text1"/>
                <w:sz w:val="23"/>
                <w:szCs w:val="23"/>
                <w:lang w:eastAsia="lv-LV"/>
              </w:rPr>
              <w:t>, jo šobrīd Latvijā nav tādu sertifikācijas institūciju, kuras ir tiesīgas izsniegt šādus atbilstības pārskatus.</w:t>
            </w:r>
            <w:r w:rsidR="00C7489B" w:rsidRPr="00C7489B">
              <w:rPr>
                <w:rFonts w:ascii="Times New Roman" w:eastAsia="Times New Roman" w:hAnsi="Times New Roman" w:cs="Times New Roman"/>
                <w:color w:val="000000" w:themeColor="text1"/>
                <w:sz w:val="23"/>
                <w:szCs w:val="23"/>
                <w:lang w:eastAsia="lv-LV"/>
              </w:rPr>
              <w:t xml:space="preserve"> </w:t>
            </w:r>
            <w:r w:rsidR="00AC2F13" w:rsidRPr="00177141">
              <w:rPr>
                <w:rFonts w:ascii="Times New Roman" w:eastAsia="Times New Roman" w:hAnsi="Times New Roman" w:cs="Times New Roman"/>
                <w:sz w:val="23"/>
                <w:szCs w:val="23"/>
                <w:lang w:eastAsia="lv-LV"/>
              </w:rPr>
              <w:t xml:space="preserve">Šos atbilstības pārskatus sniegs ārvalstu institūcijas, kā to parāda prakse attiecībā uz </w:t>
            </w:r>
            <w:r w:rsidR="00AC2F13" w:rsidRPr="00177141">
              <w:rPr>
                <w:rFonts w:ascii="Times New Roman" w:eastAsia="Times New Roman" w:hAnsi="Times New Roman" w:cs="Times New Roman"/>
                <w:sz w:val="23"/>
                <w:szCs w:val="23"/>
              </w:rPr>
              <w:t>MK noteikumu Nr.786</w:t>
            </w:r>
            <w:r w:rsidR="00AC2F13" w:rsidRPr="00177141">
              <w:rPr>
                <w:rFonts w:ascii="Times New Roman" w:eastAsia="Times New Roman" w:hAnsi="Times New Roman" w:cs="Times New Roman"/>
                <w:sz w:val="23"/>
                <w:szCs w:val="23"/>
                <w:lang w:eastAsia="lv-LV"/>
              </w:rPr>
              <w:t xml:space="preserve"> piemērošanu. </w:t>
            </w:r>
            <w:r w:rsidR="00AC2F13" w:rsidRPr="00177141">
              <w:rPr>
                <w:rFonts w:ascii="Times New Roman" w:eastAsia="Times New Roman" w:hAnsi="Times New Roman" w:cs="Times New Roman"/>
                <w:color w:val="000000" w:themeColor="text1"/>
                <w:sz w:val="23"/>
                <w:szCs w:val="23"/>
                <w:lang w:eastAsia="lv-LV"/>
              </w:rPr>
              <w:t>Attiecīgi</w:t>
            </w:r>
            <w:r w:rsidR="00AC2F13">
              <w:rPr>
                <w:rFonts w:eastAsia="Times New Roman"/>
                <w:color w:val="000000" w:themeColor="text1"/>
                <w:sz w:val="23"/>
                <w:szCs w:val="23"/>
                <w:lang w:eastAsia="lv-LV"/>
              </w:rPr>
              <w:t xml:space="preserve"> </w:t>
            </w:r>
            <w:r w:rsidR="00EA5762" w:rsidRPr="00C7489B">
              <w:rPr>
                <w:rFonts w:ascii="Times New Roman" w:eastAsia="Times New Roman" w:hAnsi="Times New Roman" w:cs="Times New Roman"/>
                <w:color w:val="000000" w:themeColor="text1"/>
                <w:sz w:val="23"/>
                <w:szCs w:val="23"/>
                <w:lang w:eastAsia="lv-LV"/>
              </w:rPr>
              <w:t>Administratīvās izmaksas (naudas izteiksmē) mērķa grupai, ko veido fiziskas personas, neveidojas, jo šo MK noteikumu projekts neattiecas uz fiziskām personām. Savukārt a</w:t>
            </w:r>
            <w:r w:rsidR="00C60198" w:rsidRPr="00C7489B">
              <w:rPr>
                <w:rFonts w:ascii="Times New Roman" w:eastAsia="Times New Roman" w:hAnsi="Times New Roman" w:cs="Times New Roman"/>
                <w:color w:val="000000" w:themeColor="text1"/>
                <w:sz w:val="23"/>
                <w:szCs w:val="23"/>
                <w:lang w:eastAsia="lv-LV"/>
              </w:rPr>
              <w:t xml:space="preserve">dministratīvās izmaksas (naudas izteiksmē) gada laikā, </w:t>
            </w:r>
            <w:proofErr w:type="spellStart"/>
            <w:r w:rsidR="00C60198" w:rsidRPr="00C7489B">
              <w:rPr>
                <w:rFonts w:ascii="Times New Roman" w:eastAsia="Times New Roman" w:hAnsi="Times New Roman" w:cs="Times New Roman"/>
                <w:color w:val="000000" w:themeColor="text1"/>
                <w:sz w:val="23"/>
                <w:szCs w:val="23"/>
                <w:lang w:eastAsia="lv-LV"/>
              </w:rPr>
              <w:t>mērķgrupai</w:t>
            </w:r>
            <w:proofErr w:type="spellEnd"/>
            <w:r w:rsidR="00C60198" w:rsidRPr="00C7489B">
              <w:rPr>
                <w:rFonts w:ascii="Times New Roman" w:eastAsia="Times New Roman" w:hAnsi="Times New Roman" w:cs="Times New Roman"/>
                <w:color w:val="000000" w:themeColor="text1"/>
                <w:sz w:val="23"/>
                <w:szCs w:val="23"/>
                <w:lang w:eastAsia="lv-LV"/>
              </w:rPr>
              <w:t xml:space="preserve">, kuru veido juridiskas personas, </w:t>
            </w:r>
            <w:r w:rsidR="00A20F2E" w:rsidRPr="00C7489B">
              <w:rPr>
                <w:rFonts w:ascii="Times New Roman" w:eastAsia="Times New Roman" w:hAnsi="Times New Roman" w:cs="Times New Roman"/>
                <w:color w:val="000000" w:themeColor="text1"/>
                <w:sz w:val="23"/>
                <w:szCs w:val="23"/>
                <w:lang w:eastAsia="lv-LV"/>
              </w:rPr>
              <w:t xml:space="preserve">nepārsniedz </w:t>
            </w:r>
            <w:r w:rsidR="00C60198" w:rsidRPr="00C7489B">
              <w:rPr>
                <w:rFonts w:ascii="Times New Roman" w:eastAsia="Times New Roman" w:hAnsi="Times New Roman" w:cs="Times New Roman"/>
                <w:color w:val="000000" w:themeColor="text1"/>
                <w:sz w:val="23"/>
                <w:szCs w:val="23"/>
                <w:lang w:eastAsia="lv-LV"/>
              </w:rPr>
              <w:t xml:space="preserve">2000 </w:t>
            </w:r>
            <w:proofErr w:type="spellStart"/>
            <w:r w:rsidR="00C60198" w:rsidRPr="00C7489B">
              <w:rPr>
                <w:rFonts w:ascii="Times New Roman" w:eastAsia="Times New Roman" w:hAnsi="Times New Roman" w:cs="Times New Roman"/>
                <w:i/>
                <w:color w:val="000000" w:themeColor="text1"/>
                <w:sz w:val="23"/>
                <w:szCs w:val="23"/>
                <w:lang w:eastAsia="lv-LV"/>
              </w:rPr>
              <w:t>euro</w:t>
            </w:r>
            <w:proofErr w:type="spellEnd"/>
            <w:r w:rsidR="00C60198" w:rsidRPr="00C7489B">
              <w:rPr>
                <w:rFonts w:ascii="Times New Roman" w:eastAsia="Times New Roman" w:hAnsi="Times New Roman" w:cs="Times New Roman"/>
                <w:color w:val="000000" w:themeColor="text1"/>
                <w:sz w:val="23"/>
                <w:szCs w:val="23"/>
                <w:lang w:eastAsia="lv-LV"/>
              </w:rPr>
              <w:t xml:space="preserve">. </w:t>
            </w:r>
          </w:p>
          <w:p w14:paraId="17C2DA0E" w14:textId="77777777" w:rsidR="00A20F2E" w:rsidRPr="0034434E" w:rsidRDefault="00A20F2E" w:rsidP="00A905A8">
            <w:pPr>
              <w:spacing w:after="0" w:line="240" w:lineRule="auto"/>
              <w:jc w:val="both"/>
              <w:rPr>
                <w:rFonts w:ascii="Times New Roman" w:eastAsia="Times New Roman" w:hAnsi="Times New Roman" w:cs="Times New Roman"/>
                <w:sz w:val="23"/>
                <w:szCs w:val="23"/>
                <w:highlight w:val="yellow"/>
                <w:lang w:eastAsia="lv-LV"/>
              </w:rPr>
            </w:pPr>
            <w:r w:rsidRPr="00C7489B">
              <w:rPr>
                <w:rFonts w:ascii="Times New Roman" w:eastAsia="Times New Roman" w:hAnsi="Times New Roman" w:cs="Times New Roman"/>
                <w:color w:val="000000" w:themeColor="text1"/>
                <w:sz w:val="23"/>
                <w:szCs w:val="23"/>
              </w:rPr>
              <w:t xml:space="preserve">Jau šobrīd interaktīvo azartspēļu organizētāji </w:t>
            </w:r>
            <w:r w:rsidR="002B4A6E" w:rsidRPr="00C7489B">
              <w:rPr>
                <w:rFonts w:ascii="Times New Roman" w:eastAsia="Times New Roman" w:hAnsi="Times New Roman" w:cs="Times New Roman"/>
                <w:color w:val="000000" w:themeColor="text1"/>
                <w:sz w:val="23"/>
                <w:szCs w:val="23"/>
              </w:rPr>
              <w:t xml:space="preserve">nodrošina, ka </w:t>
            </w:r>
            <w:r w:rsidR="00A905A8">
              <w:rPr>
                <w:rFonts w:ascii="Times New Roman" w:eastAsia="Times New Roman" w:hAnsi="Times New Roman" w:cs="Times New Roman"/>
                <w:color w:val="000000" w:themeColor="text1"/>
                <w:sz w:val="23"/>
                <w:szCs w:val="23"/>
              </w:rPr>
              <w:t xml:space="preserve">interaktīvo </w:t>
            </w:r>
            <w:r w:rsidR="00217B12">
              <w:rPr>
                <w:rFonts w:ascii="Times New Roman" w:eastAsia="Times New Roman" w:hAnsi="Times New Roman" w:cs="Times New Roman"/>
                <w:color w:val="000000" w:themeColor="text1"/>
                <w:sz w:val="23"/>
                <w:szCs w:val="23"/>
              </w:rPr>
              <w:t>azarts</w:t>
            </w:r>
            <w:r w:rsidR="00217B12" w:rsidRPr="00C7489B">
              <w:rPr>
                <w:rFonts w:ascii="Times New Roman" w:eastAsia="Times New Roman" w:hAnsi="Times New Roman" w:cs="Times New Roman"/>
                <w:color w:val="000000" w:themeColor="text1"/>
                <w:sz w:val="23"/>
                <w:szCs w:val="23"/>
              </w:rPr>
              <w:t>pēļu</w:t>
            </w:r>
            <w:r w:rsidR="002B4A6E" w:rsidRPr="00C7489B">
              <w:rPr>
                <w:rFonts w:ascii="Times New Roman" w:eastAsia="Times New Roman" w:hAnsi="Times New Roman" w:cs="Times New Roman"/>
                <w:color w:val="000000" w:themeColor="text1"/>
                <w:sz w:val="23"/>
                <w:szCs w:val="23"/>
              </w:rPr>
              <w:t xml:space="preserve"> programmai</w:t>
            </w:r>
            <w:r w:rsidR="00A905A8">
              <w:rPr>
                <w:rFonts w:ascii="Times New Roman" w:eastAsia="Times New Roman" w:hAnsi="Times New Roman" w:cs="Times New Roman"/>
                <w:color w:val="000000" w:themeColor="text1"/>
                <w:sz w:val="23"/>
                <w:szCs w:val="23"/>
              </w:rPr>
              <w:t xml:space="preserve">, tāpat kā </w:t>
            </w:r>
            <w:r w:rsidR="002B4A6E" w:rsidRPr="00C7489B">
              <w:rPr>
                <w:rFonts w:ascii="Times New Roman" w:eastAsia="Times New Roman" w:hAnsi="Times New Roman" w:cs="Times New Roman"/>
                <w:color w:val="000000" w:themeColor="text1"/>
                <w:sz w:val="23"/>
                <w:szCs w:val="23"/>
              </w:rPr>
              <w:t xml:space="preserve"> </w:t>
            </w:r>
            <w:r w:rsidR="00A905A8" w:rsidRPr="00C7489B">
              <w:rPr>
                <w:rFonts w:ascii="Times New Roman" w:eastAsia="Times New Roman" w:hAnsi="Times New Roman" w:cs="Times New Roman"/>
                <w:color w:val="000000" w:themeColor="text1"/>
                <w:sz w:val="23"/>
                <w:szCs w:val="23"/>
              </w:rPr>
              <w:t>spēļu automātu spēles programmai</w:t>
            </w:r>
            <w:r w:rsidR="00A905A8">
              <w:rPr>
                <w:rFonts w:ascii="Times New Roman" w:eastAsia="Times New Roman" w:hAnsi="Times New Roman" w:cs="Times New Roman"/>
                <w:color w:val="000000" w:themeColor="text1"/>
                <w:sz w:val="23"/>
                <w:szCs w:val="23"/>
              </w:rPr>
              <w:t>,</w:t>
            </w:r>
            <w:r w:rsidR="00A905A8" w:rsidRPr="00C7489B">
              <w:rPr>
                <w:rFonts w:ascii="Times New Roman" w:eastAsia="Times New Roman" w:hAnsi="Times New Roman" w:cs="Times New Roman"/>
                <w:color w:val="000000" w:themeColor="text1"/>
                <w:sz w:val="23"/>
                <w:szCs w:val="23"/>
              </w:rPr>
              <w:t xml:space="preserve"> </w:t>
            </w:r>
            <w:r w:rsidR="002B4A6E" w:rsidRPr="00C7489B">
              <w:rPr>
                <w:rFonts w:ascii="Times New Roman" w:eastAsia="Times New Roman" w:hAnsi="Times New Roman" w:cs="Times New Roman"/>
                <w:color w:val="000000" w:themeColor="text1"/>
                <w:sz w:val="23"/>
                <w:szCs w:val="23"/>
              </w:rPr>
              <w:t>ir sertifikācijas institūcijas izsniegts atbilstības pārskat</w:t>
            </w:r>
            <w:r w:rsidR="00C7489B" w:rsidRPr="00C7489B">
              <w:rPr>
                <w:rFonts w:ascii="Times New Roman" w:eastAsia="Times New Roman" w:hAnsi="Times New Roman" w:cs="Times New Roman"/>
                <w:color w:val="000000" w:themeColor="text1"/>
                <w:sz w:val="23"/>
                <w:szCs w:val="23"/>
              </w:rPr>
              <w:t>s</w:t>
            </w:r>
            <w:r w:rsidR="002B4A6E" w:rsidRPr="00C7489B">
              <w:rPr>
                <w:rFonts w:ascii="Times New Roman" w:eastAsia="Times New Roman" w:hAnsi="Times New Roman" w:cs="Times New Roman"/>
                <w:color w:val="000000" w:themeColor="text1"/>
                <w:sz w:val="23"/>
                <w:szCs w:val="23"/>
              </w:rPr>
              <w:t xml:space="preserve"> vai atzinums.</w:t>
            </w:r>
            <w:r w:rsidRPr="00C7489B">
              <w:rPr>
                <w:rFonts w:eastAsia="Times New Roman"/>
                <w:color w:val="000000" w:themeColor="text1"/>
                <w:sz w:val="23"/>
                <w:szCs w:val="23"/>
              </w:rPr>
              <w:t xml:space="preserve"> </w:t>
            </w:r>
          </w:p>
        </w:tc>
      </w:tr>
      <w:tr w:rsidR="00924203" w:rsidRPr="008C0F3F" w14:paraId="2202C67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C75D4C"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530E7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A5ECD9C"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p>
        </w:tc>
      </w:tr>
      <w:tr w:rsidR="00946579" w:rsidRPr="008C0F3F" w14:paraId="0E2F2C3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tcPr>
          <w:p w14:paraId="21184744" w14:textId="22E61507" w:rsidR="00946579" w:rsidRPr="008C0F3F" w:rsidRDefault="00946579" w:rsidP="000B6793">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B72B89F" w14:textId="3B841BE2" w:rsidR="00946579" w:rsidRPr="008C0F3F" w:rsidRDefault="00946579" w:rsidP="000B6793">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B217917" w14:textId="23D20DA5" w:rsidR="00946579" w:rsidRPr="008C0F3F" w:rsidRDefault="00981D1E" w:rsidP="000B6793">
            <w:pPr>
              <w:spacing w:after="0" w:line="240" w:lineRule="auto"/>
              <w:rPr>
                <w:rFonts w:ascii="Times New Roman" w:hAnsi="Times New Roman" w:cs="Times New Roman"/>
                <w:iCs/>
                <w:sz w:val="23"/>
                <w:szCs w:val="23"/>
              </w:rPr>
            </w:pPr>
            <w:r>
              <w:rPr>
                <w:rFonts w:ascii="Times New Roman" w:hAnsi="Times New Roman" w:cs="Times New Roman"/>
                <w:iCs/>
                <w:sz w:val="23"/>
                <w:szCs w:val="23"/>
              </w:rPr>
              <w:t>Nav</w:t>
            </w:r>
          </w:p>
        </w:tc>
      </w:tr>
      <w:tr w:rsidR="00924203" w:rsidRPr="008C0F3F" w14:paraId="01976A02" w14:textId="77777777" w:rsidTr="000B67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F84B98A" w14:textId="21C560FE" w:rsidR="00924203" w:rsidRPr="008C0F3F" w:rsidRDefault="00946579" w:rsidP="000B6793">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5</w:t>
            </w:r>
            <w:r w:rsidR="00924203" w:rsidRPr="008C0F3F">
              <w:rPr>
                <w:rFonts w:ascii="Times New Roman" w:eastAsia="Times New Roman" w:hAnsi="Times New Roman" w:cs="Times New Roman"/>
                <w:sz w:val="23"/>
                <w:szCs w:val="23"/>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1CEDC12"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119677180"/>
            <w:placeholder>
              <w:docPart w:val="6C3BCBC316474711914948C4D4828E75"/>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DD5875"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28CA8FB1" w14:textId="77777777" w:rsidR="00924203" w:rsidRDefault="00924203"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F15E7" w:rsidRPr="008C0F3F" w14:paraId="1143AB87"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F73F48" w14:textId="77777777" w:rsidR="007F15E7" w:rsidRPr="008C0F3F" w:rsidRDefault="007F15E7" w:rsidP="007F15E7">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I</w:t>
            </w:r>
            <w:r>
              <w:rPr>
                <w:rFonts w:ascii="Times New Roman" w:eastAsia="Times New Roman" w:hAnsi="Times New Roman" w:cs="Times New Roman"/>
                <w:b/>
                <w:bCs/>
                <w:sz w:val="23"/>
                <w:szCs w:val="23"/>
                <w:lang w:eastAsia="lv-LV"/>
              </w:rPr>
              <w:t>II</w:t>
            </w:r>
            <w:r w:rsidRPr="008C0F3F">
              <w:rPr>
                <w:rFonts w:ascii="Times New Roman" w:eastAsia="Times New Roman" w:hAnsi="Times New Roman" w:cs="Times New Roman"/>
                <w:b/>
                <w:bCs/>
                <w:sz w:val="23"/>
                <w:szCs w:val="23"/>
                <w:lang w:eastAsia="lv-LV"/>
              </w:rPr>
              <w:t>. </w:t>
            </w:r>
            <w:r w:rsidR="006C4EF1" w:rsidRPr="006C4EF1">
              <w:rPr>
                <w:rFonts w:ascii="Times New Roman" w:eastAsia="Times New Roman" w:hAnsi="Times New Roman" w:cs="Times New Roman"/>
                <w:b/>
                <w:bCs/>
                <w:sz w:val="23"/>
                <w:szCs w:val="23"/>
                <w:lang w:eastAsia="lv-LV"/>
              </w:rPr>
              <w:t>Tiesību akta projekta ietekme uz valsts budžetu un pašvaldību budžetiem</w:t>
            </w:r>
          </w:p>
        </w:tc>
      </w:tr>
      <w:tr w:rsidR="007F15E7" w:rsidRPr="008C0F3F" w14:paraId="70DFC397"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6C18075F" w14:textId="77777777" w:rsidR="007F15E7" w:rsidRPr="008C0F3F" w:rsidRDefault="00332917" w:rsidP="007F15E7">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535F7044" w14:textId="77777777" w:rsidR="00046AD1" w:rsidRDefault="00046AD1"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F15E7" w:rsidRPr="008C0F3F" w14:paraId="5905BEE4"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F62B6A6" w14:textId="77777777" w:rsidR="007F15E7" w:rsidRPr="00027498" w:rsidRDefault="006C4EF1" w:rsidP="00DE1C78">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027498">
              <w:rPr>
                <w:rFonts w:ascii="Times New Roman" w:eastAsia="Times New Roman" w:hAnsi="Times New Roman" w:cs="Times New Roman"/>
                <w:b/>
                <w:bCs/>
                <w:sz w:val="23"/>
                <w:szCs w:val="23"/>
                <w:lang w:eastAsia="lv-LV"/>
              </w:rPr>
              <w:t>IV</w:t>
            </w:r>
            <w:r w:rsidR="007F15E7" w:rsidRPr="007C5CC2">
              <w:rPr>
                <w:rFonts w:ascii="Times New Roman" w:eastAsia="Times New Roman" w:hAnsi="Times New Roman" w:cs="Times New Roman"/>
                <w:b/>
                <w:bCs/>
                <w:sz w:val="23"/>
                <w:szCs w:val="23"/>
                <w:lang w:eastAsia="lv-LV"/>
              </w:rPr>
              <w:t>. </w:t>
            </w:r>
            <w:r w:rsidRPr="0034434E">
              <w:rPr>
                <w:rFonts w:ascii="Times New Roman" w:hAnsi="Times New Roman" w:cs="Times New Roman"/>
                <w:b/>
                <w:bCs/>
                <w:sz w:val="23"/>
                <w:szCs w:val="23"/>
              </w:rPr>
              <w:t>Tiesību akta projekta ietekme uz spēkā esošo tiesību normu sistēmu</w:t>
            </w:r>
          </w:p>
        </w:tc>
      </w:tr>
      <w:tr w:rsidR="007F15E7" w:rsidRPr="008C0F3F" w14:paraId="5DE82DC5"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C7920B2" w14:textId="77777777" w:rsidR="007F15E7" w:rsidRPr="008C0F3F" w:rsidRDefault="00332917" w:rsidP="00DE1C78">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332917">
              <w:rPr>
                <w:rFonts w:ascii="Times New Roman" w:eastAsia="Times New Roman" w:hAnsi="Times New Roman" w:cs="Times New Roman"/>
                <w:b/>
                <w:bCs/>
                <w:sz w:val="23"/>
                <w:szCs w:val="23"/>
                <w:lang w:eastAsia="lv-LV"/>
              </w:rPr>
              <w:t>Projekts šo jomu neskar</w:t>
            </w:r>
          </w:p>
        </w:tc>
      </w:tr>
    </w:tbl>
    <w:p w14:paraId="2F30C7FE" w14:textId="7FAD79A7" w:rsidR="007F15E7" w:rsidRDefault="007F15E7"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720"/>
        <w:gridCol w:w="1358"/>
        <w:gridCol w:w="906"/>
        <w:gridCol w:w="996"/>
        <w:gridCol w:w="1268"/>
        <w:gridCol w:w="2264"/>
      </w:tblGrid>
      <w:tr w:rsidR="00815427" w:rsidRPr="00485423" w14:paraId="7AD53944" w14:textId="77777777" w:rsidTr="004A4F6E">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54B33A6D"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b/>
                <w:bCs/>
                <w:sz w:val="23"/>
                <w:szCs w:val="23"/>
                <w:lang w:eastAsia="lv-LV"/>
              </w:rPr>
            </w:pPr>
            <w:r w:rsidRPr="00485423">
              <w:rPr>
                <w:rFonts w:ascii="Times New Roman" w:eastAsia="Times New Roman" w:hAnsi="Times New Roman" w:cs="Times New Roman"/>
                <w:b/>
                <w:bCs/>
                <w:sz w:val="23"/>
                <w:szCs w:val="23"/>
                <w:lang w:eastAsia="lv-LV"/>
              </w:rPr>
              <w:t>V. Tiesību akta projekta atbilstība Latvijas Republikas starptautiskajām saistībām</w:t>
            </w:r>
          </w:p>
        </w:tc>
      </w:tr>
      <w:tr w:rsidR="00815427" w:rsidRPr="00485423" w14:paraId="378D81CE" w14:textId="77777777" w:rsidTr="004A4F6E">
        <w:tc>
          <w:tcPr>
            <w:tcW w:w="300" w:type="pct"/>
            <w:tcBorders>
              <w:top w:val="outset" w:sz="6" w:space="0" w:color="414142"/>
              <w:left w:val="outset" w:sz="6" w:space="0" w:color="414142"/>
              <w:bottom w:val="outset" w:sz="6" w:space="0" w:color="414142"/>
              <w:right w:val="outset" w:sz="6" w:space="0" w:color="414142"/>
            </w:tcBorders>
            <w:hideMark/>
          </w:tcPr>
          <w:p w14:paraId="6102E574"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1.</w:t>
            </w:r>
          </w:p>
        </w:tc>
        <w:tc>
          <w:tcPr>
            <w:tcW w:w="1700" w:type="pct"/>
            <w:gridSpan w:val="2"/>
            <w:tcBorders>
              <w:top w:val="outset" w:sz="6" w:space="0" w:color="414142"/>
              <w:left w:val="outset" w:sz="6" w:space="0" w:color="414142"/>
              <w:bottom w:val="outset" w:sz="6" w:space="0" w:color="414142"/>
              <w:right w:val="outset" w:sz="6" w:space="0" w:color="414142"/>
            </w:tcBorders>
            <w:hideMark/>
          </w:tcPr>
          <w:p w14:paraId="472987CE"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Saistības pret Eiropas Savienību</w:t>
            </w:r>
          </w:p>
        </w:tc>
        <w:tc>
          <w:tcPr>
            <w:tcW w:w="3000" w:type="pct"/>
            <w:gridSpan w:val="4"/>
            <w:tcBorders>
              <w:top w:val="outset" w:sz="6" w:space="0" w:color="414142"/>
              <w:left w:val="outset" w:sz="6" w:space="0" w:color="414142"/>
              <w:bottom w:val="outset" w:sz="6" w:space="0" w:color="414142"/>
              <w:right w:val="outset" w:sz="6" w:space="0" w:color="414142"/>
            </w:tcBorders>
            <w:hideMark/>
          </w:tcPr>
          <w:p w14:paraId="1F4BBC8F"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08D6540E" w14:textId="77777777" w:rsidTr="004A4F6E">
        <w:tc>
          <w:tcPr>
            <w:tcW w:w="300" w:type="pct"/>
            <w:tcBorders>
              <w:top w:val="outset" w:sz="6" w:space="0" w:color="414142"/>
              <w:left w:val="outset" w:sz="6" w:space="0" w:color="414142"/>
              <w:bottom w:val="outset" w:sz="6" w:space="0" w:color="414142"/>
              <w:right w:val="outset" w:sz="6" w:space="0" w:color="414142"/>
            </w:tcBorders>
            <w:hideMark/>
          </w:tcPr>
          <w:p w14:paraId="4AB99D1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2.</w:t>
            </w:r>
          </w:p>
        </w:tc>
        <w:tc>
          <w:tcPr>
            <w:tcW w:w="1700" w:type="pct"/>
            <w:gridSpan w:val="2"/>
            <w:tcBorders>
              <w:top w:val="outset" w:sz="6" w:space="0" w:color="414142"/>
              <w:left w:val="outset" w:sz="6" w:space="0" w:color="414142"/>
              <w:bottom w:val="outset" w:sz="6" w:space="0" w:color="414142"/>
              <w:right w:val="outset" w:sz="6" w:space="0" w:color="414142"/>
            </w:tcBorders>
            <w:hideMark/>
          </w:tcPr>
          <w:p w14:paraId="4DCC72B7"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Citas starptautiskās saistības</w:t>
            </w:r>
          </w:p>
        </w:tc>
        <w:tc>
          <w:tcPr>
            <w:tcW w:w="3000" w:type="pct"/>
            <w:gridSpan w:val="4"/>
            <w:tcBorders>
              <w:top w:val="outset" w:sz="6" w:space="0" w:color="414142"/>
              <w:left w:val="outset" w:sz="6" w:space="0" w:color="414142"/>
              <w:bottom w:val="outset" w:sz="6" w:space="0" w:color="414142"/>
              <w:right w:val="outset" w:sz="6" w:space="0" w:color="414142"/>
            </w:tcBorders>
            <w:hideMark/>
          </w:tcPr>
          <w:p w14:paraId="3759BDE2"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52E9B6FC" w14:textId="77777777" w:rsidTr="004A4F6E">
        <w:tc>
          <w:tcPr>
            <w:tcW w:w="300" w:type="pct"/>
            <w:tcBorders>
              <w:top w:val="outset" w:sz="6" w:space="0" w:color="414142"/>
              <w:left w:val="outset" w:sz="6" w:space="0" w:color="414142"/>
              <w:bottom w:val="outset" w:sz="6" w:space="0" w:color="414142"/>
              <w:right w:val="outset" w:sz="6" w:space="0" w:color="414142"/>
            </w:tcBorders>
            <w:hideMark/>
          </w:tcPr>
          <w:p w14:paraId="2163657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3.</w:t>
            </w:r>
          </w:p>
        </w:tc>
        <w:tc>
          <w:tcPr>
            <w:tcW w:w="1700" w:type="pct"/>
            <w:gridSpan w:val="2"/>
            <w:tcBorders>
              <w:top w:val="outset" w:sz="6" w:space="0" w:color="414142"/>
              <w:left w:val="outset" w:sz="6" w:space="0" w:color="414142"/>
              <w:bottom w:val="outset" w:sz="6" w:space="0" w:color="414142"/>
              <w:right w:val="outset" w:sz="6" w:space="0" w:color="414142"/>
            </w:tcBorders>
            <w:hideMark/>
          </w:tcPr>
          <w:p w14:paraId="7D3871E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 informācija</w:t>
            </w:r>
          </w:p>
        </w:tc>
        <w:tc>
          <w:tcPr>
            <w:tcW w:w="3000" w:type="pct"/>
            <w:gridSpan w:val="4"/>
            <w:tcBorders>
              <w:top w:val="outset" w:sz="6" w:space="0" w:color="414142"/>
              <w:left w:val="outset" w:sz="6" w:space="0" w:color="414142"/>
              <w:bottom w:val="outset" w:sz="6" w:space="0" w:color="414142"/>
              <w:right w:val="outset" w:sz="6" w:space="0" w:color="414142"/>
            </w:tcBorders>
            <w:hideMark/>
          </w:tcPr>
          <w:p w14:paraId="7976856E" w14:textId="77777777" w:rsidR="00815427" w:rsidRPr="00485423" w:rsidRDefault="00815427" w:rsidP="004A4F6E">
            <w:pPr>
              <w:shd w:val="clear" w:color="auto" w:fill="FFFFFF"/>
              <w:spacing w:after="0" w:line="240" w:lineRule="auto"/>
              <w:jc w:val="both"/>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6ECD1515" w14:textId="77777777" w:rsidTr="004A4F6E">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6B1DBC4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b/>
                <w:bCs/>
                <w:sz w:val="23"/>
                <w:szCs w:val="23"/>
                <w:lang w:eastAsia="lv-LV"/>
              </w:rPr>
            </w:pPr>
            <w:r w:rsidRPr="00485423">
              <w:rPr>
                <w:rFonts w:ascii="Times New Roman" w:eastAsia="Times New Roman" w:hAnsi="Times New Roman" w:cs="Times New Roman"/>
                <w:b/>
                <w:bCs/>
                <w:sz w:val="23"/>
                <w:szCs w:val="23"/>
                <w:lang w:eastAsia="lv-LV"/>
              </w:rPr>
              <w:t>1. tabula</w:t>
            </w:r>
            <w:r w:rsidRPr="00485423">
              <w:rPr>
                <w:rFonts w:ascii="Times New Roman" w:eastAsia="Times New Roman" w:hAnsi="Times New Roman" w:cs="Times New Roman"/>
                <w:b/>
                <w:bCs/>
                <w:sz w:val="23"/>
                <w:szCs w:val="23"/>
                <w:lang w:eastAsia="lv-LV"/>
              </w:rPr>
              <w:br/>
              <w:t>Tiesību akta projekta atbilstība ES tiesību aktiem</w:t>
            </w:r>
          </w:p>
        </w:tc>
      </w:tr>
      <w:tr w:rsidR="00815427" w:rsidRPr="00485423" w14:paraId="1BF8EB9B"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4CAEBB71"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Attiecīgā ES tiesību akta datums, numurs un nosaukums</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6659BEC8"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Aizpilda, ja ar projektu tiek pārņemts vai ieviests vairāk nekā viens ES tiesību akts, - norāda informāciju atbilstoši instrukcijas 55.1. apakšpunktam, kas jau tika norādīta arī V sadaļas 1. punktā</w:t>
            </w:r>
          </w:p>
        </w:tc>
      </w:tr>
      <w:tr w:rsidR="00815427" w:rsidRPr="00485423" w14:paraId="04E84BE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377350D5"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5DF0C5B5"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78DD91C8"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72EAE79"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D</w:t>
            </w:r>
          </w:p>
        </w:tc>
      </w:tr>
      <w:tr w:rsidR="00815427" w:rsidRPr="00485423" w14:paraId="7C8ED26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EB383C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Attiecīgā ES tiesību akta panta numurs (uzskaitot katru tiesību akta vienību - pantu, daļu, punktu, apakšpunktu)</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27D3340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6C7E9B25"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Informācija par to, vai šīs tabulas A ailē minētās ES tiesību akta vienības tiek pārņemtas vai ieviestas pilnībā vai daļēji.</w:t>
            </w:r>
            <w:r w:rsidRPr="00485423">
              <w:rPr>
                <w:rFonts w:ascii="Times New Roman" w:eastAsia="Times New Roman" w:hAnsi="Times New Roman" w:cs="Times New Roman"/>
                <w:sz w:val="23"/>
                <w:szCs w:val="23"/>
                <w:lang w:eastAsia="lv-LV"/>
              </w:rPr>
              <w:br/>
              <w:t>Ja attiecīgā ES tiesību akta vienība tiek pārņemta vai ieviesta daļēji, sniedz attiecīgu skaidrojumu, kā arī precīzi norāda, kad un kādā veidā ES tiesību akta vienība tiks pārņemta vai ieviesta pilnībā.</w:t>
            </w:r>
            <w:r w:rsidRPr="00485423">
              <w:rPr>
                <w:rFonts w:ascii="Times New Roman" w:eastAsia="Times New Roman" w:hAnsi="Times New Roman" w:cs="Times New Roman"/>
                <w:sz w:val="23"/>
                <w:szCs w:val="23"/>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5012CEA8"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Informācija par to, vai šīs tabulas B ailē minētās projekta vienības paredz stingrākas prasības nekā šīs tabulas A ailē minētās ES tiesību akta vienības.</w:t>
            </w:r>
            <w:r w:rsidRPr="00485423">
              <w:rPr>
                <w:rFonts w:ascii="Times New Roman" w:eastAsia="Times New Roman" w:hAnsi="Times New Roman" w:cs="Times New Roman"/>
                <w:sz w:val="23"/>
                <w:szCs w:val="23"/>
                <w:lang w:eastAsia="lv-LV"/>
              </w:rPr>
              <w:br/>
              <w:t>Ja projekts satur stingrākas prasības nekā attiecīgais ES tiesību akts, norāda pamatojumu un samērīgumu.</w:t>
            </w:r>
            <w:r w:rsidRPr="00485423">
              <w:rPr>
                <w:rFonts w:ascii="Times New Roman" w:eastAsia="Times New Roman" w:hAnsi="Times New Roman" w:cs="Times New Roman"/>
                <w:sz w:val="23"/>
                <w:szCs w:val="23"/>
                <w:lang w:eastAsia="lv-LV"/>
              </w:rPr>
              <w:br/>
              <w:t xml:space="preserve">Norāda iespējamās alternatīvas (t. sk. alternatīvas, kas neparedz tiesiskā regulējuma izstrādi) - kādos gadījumos būtu iespējams izvairīties no stingrāku prasību noteikšanas, nekā </w:t>
            </w:r>
            <w:r w:rsidRPr="00485423">
              <w:rPr>
                <w:rFonts w:ascii="Times New Roman" w:eastAsia="Times New Roman" w:hAnsi="Times New Roman" w:cs="Times New Roman"/>
                <w:sz w:val="23"/>
                <w:szCs w:val="23"/>
                <w:lang w:eastAsia="lv-LV"/>
              </w:rPr>
              <w:lastRenderedPageBreak/>
              <w:t>paredzēts attiecīgajos ES tiesību aktos</w:t>
            </w:r>
          </w:p>
        </w:tc>
      </w:tr>
      <w:tr w:rsidR="00815427" w:rsidRPr="00485423" w14:paraId="4515FCB3"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0E29BACB"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lastRenderedPageBreak/>
              <w:t>Projekts šo jomu neskar</w:t>
            </w:r>
            <w:r>
              <w:rPr>
                <w:rFonts w:ascii="Times New Roman" w:hAnsi="Times New Roman" w:cs="Times New Roman"/>
                <w:iCs/>
                <w:sz w:val="23"/>
                <w:szCs w:val="23"/>
              </w:rPr>
              <w:t>.</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71EFB26B"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250" w:type="pct"/>
            <w:gridSpan w:val="2"/>
            <w:tcBorders>
              <w:top w:val="outset" w:sz="6" w:space="0" w:color="414142"/>
              <w:left w:val="outset" w:sz="6" w:space="0" w:color="414142"/>
              <w:bottom w:val="outset" w:sz="6" w:space="0" w:color="414142"/>
              <w:right w:val="outset" w:sz="6" w:space="0" w:color="414142"/>
            </w:tcBorders>
            <w:hideMark/>
          </w:tcPr>
          <w:p w14:paraId="139CA75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250" w:type="pct"/>
            <w:tcBorders>
              <w:top w:val="outset" w:sz="6" w:space="0" w:color="414142"/>
              <w:left w:val="outset" w:sz="6" w:space="0" w:color="414142"/>
              <w:bottom w:val="outset" w:sz="6" w:space="0" w:color="414142"/>
              <w:right w:val="outset" w:sz="6" w:space="0" w:color="414142"/>
            </w:tcBorders>
            <w:hideMark/>
          </w:tcPr>
          <w:p w14:paraId="7BCB660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25F12BF4"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778C3711"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Kā ir izmantota ES tiesību aktā paredzētā rīcības brīvība dalībvalstij pārņemt vai ieviest noteiktas ES tiesību akta normas? Kādēļ?</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5929716C"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0D21A8" w14:paraId="3D5EA0F5"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303002D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7C343C">
              <w:rPr>
                <w:rFonts w:ascii="Times New Roman" w:eastAsia="Times New Roman" w:hAnsi="Times New Roman" w:cs="Times New Roman"/>
                <w:sz w:val="23"/>
                <w:szCs w:val="23"/>
                <w:lang w:eastAsia="lv-LV"/>
              </w:rPr>
              <w:t>Saistības sniegt paziņojumu ES institūcijām un ES</w:t>
            </w:r>
            <w:r w:rsidRPr="00485423">
              <w:rPr>
                <w:rFonts w:ascii="Times New Roman" w:eastAsia="Times New Roman" w:hAnsi="Times New Roman" w:cs="Times New Roman"/>
                <w:sz w:val="23"/>
                <w:szCs w:val="23"/>
                <w:lang w:eastAsia="lv-LV"/>
              </w:rPr>
              <w:t xml:space="preserve"> dalībvalstīm atbilstoši normatīvajiem aktiem, kas regulē informācijas sniegšanu par tehnisko noteikumu, valsts atbalsta piešķiršanas un finanšu noteikumu (attiecībā uz monetāro politiku) projektiem</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45D5FD2E" w14:textId="697C58B5" w:rsidR="00815427" w:rsidRPr="000D21A8" w:rsidRDefault="00110389" w:rsidP="00110389">
            <w:pPr>
              <w:shd w:val="clear" w:color="auto" w:fill="FFFFFF"/>
              <w:spacing w:after="0" w:line="240" w:lineRule="auto"/>
              <w:jc w:val="both"/>
              <w:rPr>
                <w:rFonts w:ascii="Times New Roman" w:eastAsia="Times New Roman" w:hAnsi="Times New Roman" w:cs="Times New Roman"/>
                <w:sz w:val="23"/>
                <w:szCs w:val="23"/>
                <w:lang w:eastAsia="lv-LV"/>
              </w:rPr>
            </w:pPr>
            <w:r w:rsidRPr="00110389">
              <w:rPr>
                <w:rFonts w:ascii="Times New Roman" w:eastAsia="Times New Roman" w:hAnsi="Times New Roman" w:cs="Times New Roman"/>
                <w:sz w:val="23"/>
                <w:szCs w:val="23"/>
                <w:lang w:eastAsia="lv-LV"/>
              </w:rPr>
              <w:t>Noteikumu projekts atbilst Ministru kabineta 2010.gada 23.februāra instrukcijas Nr.1 “Kārtība, kādā valsts pārvaldes iestādes sniedz informāciju par tehnisko noteikumu projektiem” 2.1. un 2.2.apakšpunkta prasībām un, saskaņā ar minēto instrukciju, par noteikumu projektu ir jāsniedz informācija Eiropas Komisijai un Eiropas Savienības dalībvalstīm.</w:t>
            </w:r>
          </w:p>
        </w:tc>
      </w:tr>
      <w:tr w:rsidR="00815427" w:rsidRPr="000D21A8" w14:paraId="0EE81797"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7251A94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 informācija</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7F841F68" w14:textId="0D02DFD5" w:rsidR="00815427" w:rsidRDefault="00815427" w:rsidP="004A4F6E">
            <w:pPr>
              <w:shd w:val="clear" w:color="auto" w:fill="FFFFFF"/>
              <w:spacing w:after="0" w:line="240" w:lineRule="auto"/>
              <w:jc w:val="both"/>
              <w:rPr>
                <w:rFonts w:ascii="Times New Roman" w:eastAsia="Times New Roman" w:hAnsi="Times New Roman" w:cs="Times New Roman"/>
                <w:sz w:val="23"/>
                <w:szCs w:val="23"/>
                <w:lang w:eastAsia="lv-LV"/>
              </w:rPr>
            </w:pPr>
            <w:r w:rsidRPr="000D21A8">
              <w:rPr>
                <w:rFonts w:ascii="Times New Roman" w:eastAsia="Times New Roman" w:hAnsi="Times New Roman" w:cs="Times New Roman"/>
                <w:sz w:val="23"/>
                <w:szCs w:val="23"/>
                <w:lang w:eastAsia="lv-LV"/>
              </w:rPr>
              <w:t>Par Ministru kabineta 2007.gada 20.novembra noteikumiem Nr.786 “Azartspēļu automāta, iekārtas un azartspēļu automāta spēles programmas atbilstības sert</w:t>
            </w:r>
            <w:r w:rsidR="0012157B">
              <w:rPr>
                <w:rFonts w:ascii="Times New Roman" w:eastAsia="Times New Roman" w:hAnsi="Times New Roman" w:cs="Times New Roman"/>
                <w:sz w:val="23"/>
                <w:szCs w:val="23"/>
                <w:lang w:eastAsia="lv-LV"/>
              </w:rPr>
              <w:t>ifikātā iekļaujamā informācija” (turpmāk – MK noteikumi Nr.786),</w:t>
            </w:r>
            <w:r w:rsidRPr="000D21A8">
              <w:rPr>
                <w:rFonts w:ascii="Times New Roman" w:eastAsia="Times New Roman" w:hAnsi="Times New Roman" w:cs="Times New Roman"/>
                <w:sz w:val="23"/>
                <w:szCs w:val="23"/>
                <w:lang w:eastAsia="lv-LV"/>
              </w:rPr>
              <w:t xml:space="preserve"> kuros noteiktās normas par spēļu automātu spēļu programmu atbilstības nosacījumiem tika pārņemtas MK noteikumu projektā attiecībā uz interaktīvo spēļu programmām (jo šīs spēļu programmas ir analogas), arī tika sniegts paziņojums </w:t>
            </w:r>
            <w:r w:rsidR="0012157B">
              <w:rPr>
                <w:rFonts w:ascii="Times New Roman" w:eastAsia="Times New Roman" w:hAnsi="Times New Roman" w:cs="Times New Roman"/>
                <w:sz w:val="23"/>
                <w:szCs w:val="23"/>
                <w:lang w:eastAsia="lv-LV"/>
              </w:rPr>
              <w:t>Eiropas Komisijai</w:t>
            </w:r>
            <w:r w:rsidRPr="000D21A8">
              <w:rPr>
                <w:rFonts w:ascii="Times New Roman" w:eastAsia="Times New Roman" w:hAnsi="Times New Roman" w:cs="Times New Roman"/>
                <w:sz w:val="23"/>
                <w:szCs w:val="23"/>
                <w:lang w:eastAsia="lv-LV"/>
              </w:rPr>
              <w:t xml:space="preserve">. </w:t>
            </w:r>
          </w:p>
          <w:p w14:paraId="41D7CD34" w14:textId="0B8811C2" w:rsidR="00921429" w:rsidRPr="000D21A8" w:rsidRDefault="00BA572B" w:rsidP="002806F2">
            <w:pPr>
              <w:shd w:val="clear" w:color="auto" w:fill="FFFFFF"/>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MK noteikumu projektā</w:t>
            </w:r>
            <w:r w:rsidR="0012157B">
              <w:rPr>
                <w:rFonts w:ascii="Times New Roman" w:eastAsia="Times New Roman" w:hAnsi="Times New Roman" w:cs="Times New Roman"/>
                <w:sz w:val="23"/>
                <w:szCs w:val="23"/>
                <w:lang w:eastAsia="lv-LV"/>
              </w:rPr>
              <w:t xml:space="preserve"> tiek pārņemtas  MK noteikumu Nr.786 normas, </w:t>
            </w:r>
            <w:r w:rsidR="002806F2">
              <w:rPr>
                <w:rFonts w:ascii="Times New Roman" w:eastAsia="Times New Roman" w:hAnsi="Times New Roman" w:cs="Times New Roman"/>
                <w:sz w:val="23"/>
                <w:szCs w:val="23"/>
                <w:lang w:eastAsia="lv-LV"/>
              </w:rPr>
              <w:t>bez tam</w:t>
            </w:r>
            <w:r w:rsidR="0012157B">
              <w:rPr>
                <w:rFonts w:ascii="Times New Roman" w:eastAsia="Times New Roman" w:hAnsi="Times New Roman" w:cs="Times New Roman"/>
                <w:sz w:val="23"/>
                <w:szCs w:val="23"/>
                <w:lang w:eastAsia="lv-LV"/>
              </w:rPr>
              <w:t xml:space="preserve"> interaktīvajām azartspēlēm un interaktīvajām izlozēm laimestu kopsumma</w:t>
            </w:r>
            <w:r w:rsidR="00921429">
              <w:rPr>
                <w:rFonts w:ascii="Times New Roman" w:eastAsia="Times New Roman" w:hAnsi="Times New Roman" w:cs="Times New Roman"/>
                <w:sz w:val="23"/>
                <w:szCs w:val="23"/>
                <w:lang w:eastAsia="lv-LV"/>
              </w:rPr>
              <w:t>, kuru jānodrošina attiecīgo programmu algoritmam,</w:t>
            </w:r>
            <w:r w:rsidR="0012157B">
              <w:rPr>
                <w:rFonts w:ascii="Times New Roman" w:eastAsia="Times New Roman" w:hAnsi="Times New Roman" w:cs="Times New Roman"/>
                <w:sz w:val="23"/>
                <w:szCs w:val="23"/>
                <w:lang w:eastAsia="lv-LV"/>
              </w:rPr>
              <w:t xml:space="preserve"> jau ir noteikta </w:t>
            </w:r>
            <w:r w:rsidR="00921429">
              <w:rPr>
                <w:rFonts w:ascii="Times New Roman" w:eastAsia="Times New Roman" w:hAnsi="Times New Roman" w:cs="Times New Roman"/>
                <w:sz w:val="23"/>
                <w:szCs w:val="23"/>
                <w:lang w:eastAsia="lv-LV"/>
              </w:rPr>
              <w:t>Azartspēļu un izložu likumā</w:t>
            </w:r>
            <w:r w:rsidR="00963E44">
              <w:rPr>
                <w:rFonts w:ascii="Times New Roman" w:eastAsia="Times New Roman" w:hAnsi="Times New Roman" w:cs="Times New Roman"/>
                <w:sz w:val="23"/>
                <w:szCs w:val="23"/>
                <w:lang w:eastAsia="lv-LV"/>
              </w:rPr>
              <w:t xml:space="preserve">. </w:t>
            </w:r>
            <w:r w:rsidR="00921429">
              <w:rPr>
                <w:rFonts w:ascii="Times New Roman" w:eastAsia="Times New Roman" w:hAnsi="Times New Roman" w:cs="Times New Roman"/>
                <w:sz w:val="23"/>
                <w:szCs w:val="23"/>
                <w:lang w:eastAsia="lv-LV"/>
              </w:rPr>
              <w:t xml:space="preserve"> </w:t>
            </w:r>
          </w:p>
        </w:tc>
      </w:tr>
      <w:tr w:rsidR="00815427" w:rsidRPr="00485423" w14:paraId="6AFE08A9" w14:textId="77777777" w:rsidTr="004A4F6E">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78DDAB35" w14:textId="77777777" w:rsidR="00815427" w:rsidRPr="00485423" w:rsidRDefault="00815427" w:rsidP="004A4F6E">
            <w:pPr>
              <w:shd w:val="clear" w:color="auto" w:fill="FFFFFF"/>
              <w:spacing w:after="0" w:line="240" w:lineRule="auto"/>
              <w:rPr>
                <w:rFonts w:ascii="Times New Roman" w:eastAsia="Times New Roman" w:hAnsi="Times New Roman" w:cs="Times New Roman"/>
                <w:b/>
                <w:bCs/>
                <w:sz w:val="23"/>
                <w:szCs w:val="23"/>
                <w:lang w:eastAsia="lv-LV"/>
              </w:rPr>
            </w:pPr>
            <w:r w:rsidRPr="00485423">
              <w:rPr>
                <w:rFonts w:ascii="Times New Roman" w:eastAsia="Times New Roman" w:hAnsi="Times New Roman" w:cs="Times New Roman"/>
                <w:b/>
                <w:bCs/>
                <w:sz w:val="23"/>
                <w:szCs w:val="23"/>
                <w:lang w:eastAsia="lv-LV"/>
              </w:rPr>
              <w:t>2. tabula</w:t>
            </w:r>
            <w:r w:rsidRPr="00485423">
              <w:rPr>
                <w:rFonts w:ascii="Times New Roman" w:eastAsia="Times New Roman" w:hAnsi="Times New Roman" w:cs="Times New Roman"/>
                <w:b/>
                <w:bCs/>
                <w:sz w:val="23"/>
                <w:szCs w:val="23"/>
                <w:lang w:eastAsia="lv-LV"/>
              </w:rPr>
              <w:br/>
              <w:t>Ar tiesību akta projektu izpildītās vai uzņemtās saistības, kas izriet no starptautiskajiem tiesību aktiem vai starptautiskas institūcijas vai organizācijas dokumentiem.</w:t>
            </w:r>
            <w:r w:rsidRPr="00485423">
              <w:rPr>
                <w:rFonts w:ascii="Times New Roman" w:eastAsia="Times New Roman" w:hAnsi="Times New Roman" w:cs="Times New Roman"/>
                <w:b/>
                <w:bCs/>
                <w:sz w:val="23"/>
                <w:szCs w:val="23"/>
                <w:lang w:eastAsia="lv-LV"/>
              </w:rPr>
              <w:br/>
              <w:t>Pasākumi šo saistību izpildei</w:t>
            </w:r>
          </w:p>
        </w:tc>
      </w:tr>
      <w:tr w:rsidR="00815427" w:rsidRPr="00485423" w14:paraId="0DB6AA9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2E9F37B4"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Attiecīgā starptautiskā tiesību akta vai starptautiskas institūcijas vai organizācijas dokumenta (turpmāk - starptautiskais dokuments) datums, numurs un nosaukums</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2D28B50E"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4478651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33BA0CF0"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A</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038F16A1"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B</w:t>
            </w:r>
          </w:p>
        </w:tc>
        <w:tc>
          <w:tcPr>
            <w:tcW w:w="1950" w:type="pct"/>
            <w:gridSpan w:val="2"/>
            <w:tcBorders>
              <w:top w:val="outset" w:sz="6" w:space="0" w:color="414142"/>
              <w:left w:val="outset" w:sz="6" w:space="0" w:color="414142"/>
              <w:bottom w:val="outset" w:sz="6" w:space="0" w:color="414142"/>
              <w:right w:val="outset" w:sz="6" w:space="0" w:color="414142"/>
            </w:tcBorders>
            <w:vAlign w:val="center"/>
            <w:hideMark/>
          </w:tcPr>
          <w:p w14:paraId="2363BDE3" w14:textId="77777777" w:rsidR="00815427" w:rsidRPr="00485423" w:rsidRDefault="00815427" w:rsidP="004A4F6E">
            <w:pPr>
              <w:shd w:val="clear" w:color="auto" w:fill="FFFFFF"/>
              <w:spacing w:after="0" w:line="240" w:lineRule="auto"/>
              <w:ind w:firstLine="301"/>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w:t>
            </w:r>
          </w:p>
        </w:tc>
      </w:tr>
      <w:tr w:rsidR="00815427" w:rsidRPr="00485423" w14:paraId="10CAAFC0"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9C9E81C"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 xml:space="preserve">Starptautiskās saistības (pēc būtības), kas izriet </w:t>
            </w:r>
            <w:r w:rsidRPr="00485423">
              <w:rPr>
                <w:rFonts w:ascii="Times New Roman" w:eastAsia="Times New Roman" w:hAnsi="Times New Roman" w:cs="Times New Roman"/>
                <w:sz w:val="23"/>
                <w:szCs w:val="23"/>
                <w:lang w:eastAsia="lv-LV"/>
              </w:rPr>
              <w:lastRenderedPageBreak/>
              <w:t>no norādītā starptautiskā dokumenta.</w:t>
            </w:r>
            <w:r w:rsidRPr="00485423">
              <w:rPr>
                <w:rFonts w:ascii="Times New Roman" w:eastAsia="Times New Roman" w:hAnsi="Times New Roman" w:cs="Times New Roman"/>
                <w:sz w:val="23"/>
                <w:szCs w:val="23"/>
                <w:lang w:eastAsia="lv-LV"/>
              </w:rPr>
              <w:br/>
              <w:t>Konkrēti veicamie pasākumi vai uzdevumi, kas nepieciešami šo starptautisko saistību izpildei</w:t>
            </w:r>
          </w:p>
        </w:tc>
        <w:tc>
          <w:tcPr>
            <w:tcW w:w="1800" w:type="pct"/>
            <w:gridSpan w:val="3"/>
            <w:tcBorders>
              <w:top w:val="outset" w:sz="6" w:space="0" w:color="414142"/>
              <w:left w:val="outset" w:sz="6" w:space="0" w:color="414142"/>
              <w:bottom w:val="outset" w:sz="6" w:space="0" w:color="414142"/>
              <w:right w:val="outset" w:sz="6" w:space="0" w:color="414142"/>
            </w:tcBorders>
            <w:hideMark/>
          </w:tcPr>
          <w:p w14:paraId="31DA571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lastRenderedPageBreak/>
              <w:t>Projekts šo jomu neskar</w:t>
            </w:r>
            <w:r>
              <w:rPr>
                <w:rFonts w:ascii="Times New Roman" w:hAnsi="Times New Roman" w:cs="Times New Roman"/>
                <w:iCs/>
                <w:sz w:val="23"/>
                <w:szCs w:val="23"/>
              </w:rPr>
              <w:t>.</w:t>
            </w:r>
          </w:p>
        </w:tc>
        <w:tc>
          <w:tcPr>
            <w:tcW w:w="1950" w:type="pct"/>
            <w:gridSpan w:val="2"/>
            <w:tcBorders>
              <w:top w:val="outset" w:sz="6" w:space="0" w:color="414142"/>
              <w:left w:val="outset" w:sz="6" w:space="0" w:color="414142"/>
              <w:bottom w:val="outset" w:sz="6" w:space="0" w:color="414142"/>
              <w:right w:val="outset" w:sz="6" w:space="0" w:color="414142"/>
            </w:tcBorders>
            <w:hideMark/>
          </w:tcPr>
          <w:p w14:paraId="204BA376"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2E4972DF"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4AC50FF9"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800" w:type="pct"/>
            <w:gridSpan w:val="3"/>
            <w:tcBorders>
              <w:top w:val="outset" w:sz="6" w:space="0" w:color="414142"/>
              <w:left w:val="outset" w:sz="6" w:space="0" w:color="414142"/>
              <w:bottom w:val="outset" w:sz="6" w:space="0" w:color="414142"/>
              <w:right w:val="outset" w:sz="6" w:space="0" w:color="414142"/>
            </w:tcBorders>
            <w:hideMark/>
          </w:tcPr>
          <w:p w14:paraId="05029848"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c>
          <w:tcPr>
            <w:tcW w:w="1950" w:type="pct"/>
            <w:gridSpan w:val="2"/>
            <w:tcBorders>
              <w:top w:val="outset" w:sz="6" w:space="0" w:color="414142"/>
              <w:left w:val="outset" w:sz="6" w:space="0" w:color="414142"/>
              <w:bottom w:val="outset" w:sz="6" w:space="0" w:color="414142"/>
              <w:right w:val="outset" w:sz="6" w:space="0" w:color="414142"/>
            </w:tcBorders>
            <w:hideMark/>
          </w:tcPr>
          <w:p w14:paraId="4F98A6F2"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2F2FE1A2"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2C8B080"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Vai starptautiskajā dokumentā paredzētās saistības nav pretrunā ar jau esošajām Latvijas Republikas starptautiskajām saistībām</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7827F005"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8C0F3F">
              <w:rPr>
                <w:rFonts w:ascii="Times New Roman" w:hAnsi="Times New Roman" w:cs="Times New Roman"/>
                <w:iCs/>
                <w:sz w:val="23"/>
                <w:szCs w:val="23"/>
              </w:rPr>
              <w:t>Projekts šo jomu neskar</w:t>
            </w:r>
            <w:r>
              <w:rPr>
                <w:rFonts w:ascii="Times New Roman" w:hAnsi="Times New Roman" w:cs="Times New Roman"/>
                <w:iCs/>
                <w:sz w:val="23"/>
                <w:szCs w:val="23"/>
              </w:rPr>
              <w:t>.</w:t>
            </w:r>
          </w:p>
        </w:tc>
      </w:tr>
      <w:tr w:rsidR="00815427" w:rsidRPr="00485423" w14:paraId="3ACA16A8" w14:textId="77777777" w:rsidTr="004A4F6E">
        <w:tc>
          <w:tcPr>
            <w:tcW w:w="1250" w:type="pct"/>
            <w:gridSpan w:val="2"/>
            <w:tcBorders>
              <w:top w:val="outset" w:sz="6" w:space="0" w:color="414142"/>
              <w:left w:val="outset" w:sz="6" w:space="0" w:color="414142"/>
              <w:bottom w:val="outset" w:sz="6" w:space="0" w:color="414142"/>
              <w:right w:val="outset" w:sz="6" w:space="0" w:color="414142"/>
            </w:tcBorders>
            <w:hideMark/>
          </w:tcPr>
          <w:p w14:paraId="5AEFDA64"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sidRPr="00485423">
              <w:rPr>
                <w:rFonts w:ascii="Times New Roman" w:eastAsia="Times New Roman" w:hAnsi="Times New Roman" w:cs="Times New Roman"/>
                <w:sz w:val="23"/>
                <w:szCs w:val="23"/>
                <w:lang w:eastAsia="lv-LV"/>
              </w:rPr>
              <w:t>Cita informācija</w:t>
            </w:r>
          </w:p>
        </w:tc>
        <w:tc>
          <w:tcPr>
            <w:tcW w:w="3750" w:type="pct"/>
            <w:gridSpan w:val="5"/>
            <w:tcBorders>
              <w:top w:val="outset" w:sz="6" w:space="0" w:color="414142"/>
              <w:left w:val="outset" w:sz="6" w:space="0" w:color="414142"/>
              <w:bottom w:val="outset" w:sz="6" w:space="0" w:color="414142"/>
              <w:right w:val="outset" w:sz="6" w:space="0" w:color="414142"/>
            </w:tcBorders>
            <w:hideMark/>
          </w:tcPr>
          <w:p w14:paraId="3E9A26AA" w14:textId="77777777" w:rsidR="00815427" w:rsidRPr="00485423" w:rsidRDefault="00815427" w:rsidP="004A4F6E">
            <w:pPr>
              <w:shd w:val="clear" w:color="auto" w:fill="FFFFFF"/>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Nav.</w:t>
            </w:r>
          </w:p>
        </w:tc>
      </w:tr>
    </w:tbl>
    <w:p w14:paraId="0F99FABC" w14:textId="77777777" w:rsidR="00373595" w:rsidRDefault="00373595"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1390"/>
        <w:gridCol w:w="7255"/>
      </w:tblGrid>
      <w:tr w:rsidR="00924203" w:rsidRPr="008C0F3F" w14:paraId="7F4F76AF" w14:textId="77777777" w:rsidTr="0042684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34BD50"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 Sabiedrības līdzdalība un komunikācijas aktivitātes</w:t>
            </w:r>
          </w:p>
        </w:tc>
      </w:tr>
      <w:tr w:rsidR="00924203" w:rsidRPr="008C0F3F" w14:paraId="64109AF1" w14:textId="77777777" w:rsidTr="0042684E">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14:paraId="26890280"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7131A3C4"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Plānotās sabiedrības līdzdalības un komunikācijas aktivitātes saistībā ar projektu</w:t>
            </w:r>
          </w:p>
        </w:tc>
        <w:tc>
          <w:tcPr>
            <w:tcW w:w="4002" w:type="pct"/>
            <w:tcBorders>
              <w:top w:val="outset" w:sz="6" w:space="0" w:color="414142"/>
              <w:left w:val="outset" w:sz="6" w:space="0" w:color="414142"/>
              <w:bottom w:val="outset" w:sz="6" w:space="0" w:color="414142"/>
              <w:right w:val="outset" w:sz="6" w:space="0" w:color="414142"/>
            </w:tcBorders>
            <w:hideMark/>
          </w:tcPr>
          <w:p w14:paraId="18648A0C" w14:textId="49A726A2" w:rsidR="00924203" w:rsidRPr="008C0F3F" w:rsidRDefault="00924203" w:rsidP="00DC034B">
            <w:pPr>
              <w:spacing w:after="0" w:line="240" w:lineRule="auto"/>
              <w:jc w:val="both"/>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 xml:space="preserve">Sabiedrības līdzdalība ir nodrošināta, publicējot </w:t>
            </w:r>
            <w:r w:rsidR="00582DD5">
              <w:rPr>
                <w:rFonts w:ascii="Times New Roman" w:eastAsia="Times New Roman" w:hAnsi="Times New Roman" w:cs="Times New Roman"/>
                <w:sz w:val="23"/>
                <w:szCs w:val="23"/>
                <w:lang w:eastAsia="lv-LV"/>
              </w:rPr>
              <w:t xml:space="preserve">2017.gada 7.novembrī </w:t>
            </w:r>
            <w:r w:rsidRPr="008C0F3F">
              <w:rPr>
                <w:rFonts w:ascii="Times New Roman" w:eastAsia="Times New Roman" w:hAnsi="Times New Roman" w:cs="Times New Roman"/>
                <w:sz w:val="23"/>
                <w:szCs w:val="23"/>
                <w:lang w:eastAsia="lv-LV"/>
              </w:rPr>
              <w:t>uzziņu</w:t>
            </w:r>
            <w:r w:rsidR="004F1CDC">
              <w:rPr>
                <w:rFonts w:ascii="Times New Roman" w:eastAsia="Times New Roman" w:hAnsi="Times New Roman" w:cs="Times New Roman"/>
                <w:sz w:val="23"/>
                <w:szCs w:val="23"/>
                <w:lang w:eastAsia="lv-LV"/>
              </w:rPr>
              <w:t xml:space="preserve"> </w:t>
            </w:r>
            <w:r w:rsidRPr="008C0F3F">
              <w:rPr>
                <w:rFonts w:ascii="Times New Roman" w:eastAsia="Times New Roman" w:hAnsi="Times New Roman" w:cs="Times New Roman"/>
                <w:sz w:val="23"/>
                <w:szCs w:val="23"/>
                <w:lang w:eastAsia="lv-LV"/>
              </w:rPr>
              <w:t>par</w:t>
            </w:r>
            <w:r w:rsidR="00A1395E">
              <w:rPr>
                <w:rFonts w:ascii="Times New Roman" w:eastAsia="Times New Roman" w:hAnsi="Times New Roman" w:cs="Times New Roman"/>
                <w:sz w:val="23"/>
                <w:szCs w:val="23"/>
                <w:lang w:eastAsia="lv-LV"/>
              </w:rPr>
              <w:t xml:space="preserve"> MK</w:t>
            </w:r>
            <w:r w:rsidRPr="008C0F3F">
              <w:rPr>
                <w:rFonts w:ascii="Times New Roman" w:eastAsia="Times New Roman" w:hAnsi="Times New Roman" w:cs="Times New Roman"/>
                <w:sz w:val="23"/>
                <w:szCs w:val="23"/>
                <w:lang w:eastAsia="lv-LV"/>
              </w:rPr>
              <w:t xml:space="preserve"> noteikumu projekta izstrādes uzsākšanu Finanšu ministrijas mājaslapas sadaļā “Sabiedrības līdzdalība”</w:t>
            </w:r>
            <w:r w:rsidR="004F1CDC">
              <w:rPr>
                <w:rFonts w:ascii="Times New Roman" w:eastAsia="Times New Roman" w:hAnsi="Times New Roman" w:cs="Times New Roman"/>
                <w:sz w:val="23"/>
                <w:szCs w:val="23"/>
                <w:lang w:eastAsia="lv-LV"/>
              </w:rPr>
              <w:t xml:space="preserve">, kā arī </w:t>
            </w:r>
            <w:r w:rsidR="00A1395E">
              <w:rPr>
                <w:rFonts w:ascii="Times New Roman" w:eastAsia="Times New Roman" w:hAnsi="Times New Roman" w:cs="Times New Roman"/>
                <w:sz w:val="23"/>
                <w:szCs w:val="23"/>
                <w:lang w:eastAsia="lv-LV"/>
              </w:rPr>
              <w:t xml:space="preserve">MK </w:t>
            </w:r>
            <w:r w:rsidR="004F1CDC">
              <w:rPr>
                <w:rFonts w:ascii="Times New Roman" w:eastAsia="Times New Roman" w:hAnsi="Times New Roman" w:cs="Times New Roman"/>
                <w:sz w:val="23"/>
                <w:szCs w:val="23"/>
                <w:lang w:eastAsia="lv-LV"/>
              </w:rPr>
              <w:t>noteikumu projektu un tā anotāciju.</w:t>
            </w:r>
          </w:p>
        </w:tc>
      </w:tr>
      <w:tr w:rsidR="00924203" w:rsidRPr="008C0F3F" w14:paraId="473C6207" w14:textId="77777777" w:rsidTr="0042684E">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14:paraId="6C14EC4F"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9BA8DF4"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 projekta izstrādē</w:t>
            </w:r>
          </w:p>
        </w:tc>
        <w:tc>
          <w:tcPr>
            <w:tcW w:w="4002" w:type="pct"/>
            <w:tcBorders>
              <w:top w:val="outset" w:sz="6" w:space="0" w:color="414142"/>
              <w:left w:val="outset" w:sz="6" w:space="0" w:color="414142"/>
              <w:bottom w:val="outset" w:sz="6" w:space="0" w:color="414142"/>
              <w:right w:val="outset" w:sz="6" w:space="0" w:color="414142"/>
            </w:tcBorders>
            <w:hideMark/>
          </w:tcPr>
          <w:p w14:paraId="04E4C234" w14:textId="14094B8C" w:rsidR="00E42BA3" w:rsidRPr="00676AF1" w:rsidRDefault="00A1395E" w:rsidP="00DC034B">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 xml:space="preserve">MK </w:t>
            </w:r>
            <w:r w:rsidR="00DC034B">
              <w:rPr>
                <w:rFonts w:ascii="Times New Roman" w:eastAsia="Times New Roman" w:hAnsi="Times New Roman" w:cs="Times New Roman"/>
                <w:sz w:val="23"/>
                <w:szCs w:val="23"/>
                <w:lang w:eastAsia="lv-LV"/>
              </w:rPr>
              <w:t>n</w:t>
            </w:r>
            <w:r w:rsidR="00924203" w:rsidRPr="00676AF1">
              <w:rPr>
                <w:rFonts w:ascii="Times New Roman" w:eastAsia="Times New Roman" w:hAnsi="Times New Roman" w:cs="Times New Roman"/>
                <w:sz w:val="23"/>
                <w:szCs w:val="23"/>
                <w:lang w:eastAsia="lv-LV"/>
              </w:rPr>
              <w:t>oteikumu projekts saskaņošanai</w:t>
            </w:r>
            <w:r w:rsidR="006179DF" w:rsidRPr="00676AF1">
              <w:rPr>
                <w:rFonts w:ascii="Times New Roman" w:eastAsia="Times New Roman" w:hAnsi="Times New Roman" w:cs="Times New Roman"/>
                <w:sz w:val="23"/>
                <w:szCs w:val="23"/>
                <w:lang w:eastAsia="lv-LV"/>
              </w:rPr>
              <w:t xml:space="preserve"> tik</w:t>
            </w:r>
            <w:r w:rsidR="00D56863">
              <w:rPr>
                <w:rFonts w:ascii="Times New Roman" w:eastAsia="Times New Roman" w:hAnsi="Times New Roman" w:cs="Times New Roman"/>
                <w:sz w:val="23"/>
                <w:szCs w:val="23"/>
                <w:lang w:eastAsia="lv-LV"/>
              </w:rPr>
              <w:t>a</w:t>
            </w:r>
            <w:r w:rsidR="006179DF" w:rsidRPr="00676AF1">
              <w:rPr>
                <w:rFonts w:ascii="Times New Roman" w:eastAsia="Times New Roman" w:hAnsi="Times New Roman" w:cs="Times New Roman"/>
                <w:sz w:val="23"/>
                <w:szCs w:val="23"/>
                <w:lang w:eastAsia="lv-LV"/>
              </w:rPr>
              <w:t xml:space="preserve"> nosūtīts</w:t>
            </w:r>
            <w:r w:rsidR="00676AF1" w:rsidRPr="00676AF1">
              <w:rPr>
                <w:rFonts w:ascii="Times New Roman" w:eastAsia="Times New Roman" w:hAnsi="Times New Roman" w:cs="Times New Roman"/>
                <w:sz w:val="23"/>
                <w:szCs w:val="23"/>
                <w:lang w:eastAsia="lv-LV"/>
              </w:rPr>
              <w:t xml:space="preserve"> </w:t>
            </w:r>
            <w:r w:rsidR="00924203" w:rsidRPr="00676AF1">
              <w:rPr>
                <w:rFonts w:ascii="Times New Roman" w:hAnsi="Times New Roman" w:cs="Times New Roman"/>
                <w:sz w:val="23"/>
                <w:szCs w:val="23"/>
                <w:lang w:eastAsia="lv-LV"/>
              </w:rPr>
              <w:t>Latv</w:t>
            </w:r>
            <w:r w:rsidR="00A4759E" w:rsidRPr="00676AF1">
              <w:rPr>
                <w:rFonts w:ascii="Times New Roman" w:hAnsi="Times New Roman" w:cs="Times New Roman"/>
                <w:sz w:val="23"/>
                <w:szCs w:val="23"/>
                <w:lang w:eastAsia="lv-LV"/>
              </w:rPr>
              <w:t>ijas Darba devēju konfederācij</w:t>
            </w:r>
            <w:r w:rsidR="00E42BA3" w:rsidRPr="00676AF1">
              <w:rPr>
                <w:rFonts w:ascii="Times New Roman" w:hAnsi="Times New Roman" w:cs="Times New Roman"/>
                <w:sz w:val="23"/>
                <w:szCs w:val="23"/>
                <w:lang w:eastAsia="lv-LV"/>
              </w:rPr>
              <w:t>ai</w:t>
            </w:r>
            <w:r w:rsidR="00676AF1" w:rsidRPr="00676AF1">
              <w:rPr>
                <w:rFonts w:ascii="Times New Roman" w:hAnsi="Times New Roman" w:cs="Times New Roman"/>
                <w:sz w:val="23"/>
                <w:szCs w:val="23"/>
                <w:lang w:eastAsia="lv-LV"/>
              </w:rPr>
              <w:t xml:space="preserve"> un </w:t>
            </w:r>
            <w:r w:rsidR="00924203" w:rsidRPr="00676AF1">
              <w:rPr>
                <w:rFonts w:ascii="Times New Roman" w:eastAsia="Times New Roman" w:hAnsi="Times New Roman" w:cs="Times New Roman"/>
                <w:sz w:val="23"/>
                <w:szCs w:val="23"/>
                <w:lang w:eastAsia="lv-LV"/>
              </w:rPr>
              <w:t>Latvijas Tir</w:t>
            </w:r>
            <w:r w:rsidR="00294DBD" w:rsidRPr="00676AF1">
              <w:rPr>
                <w:rFonts w:ascii="Times New Roman" w:eastAsia="Times New Roman" w:hAnsi="Times New Roman" w:cs="Times New Roman"/>
                <w:sz w:val="23"/>
                <w:szCs w:val="23"/>
                <w:lang w:eastAsia="lv-LV"/>
              </w:rPr>
              <w:t>dzniecības un rūpniecības kamerai</w:t>
            </w:r>
            <w:r w:rsidR="00924203" w:rsidRPr="00676AF1">
              <w:rPr>
                <w:rFonts w:ascii="Times New Roman" w:eastAsia="Times New Roman" w:hAnsi="Times New Roman" w:cs="Times New Roman"/>
                <w:sz w:val="23"/>
                <w:szCs w:val="23"/>
                <w:lang w:eastAsia="lv-LV"/>
              </w:rPr>
              <w:t xml:space="preserve">. </w:t>
            </w:r>
          </w:p>
          <w:p w14:paraId="56FB0268" w14:textId="36E96F28" w:rsidR="00924203" w:rsidRDefault="00E42BA3" w:rsidP="00DC034B">
            <w:pPr>
              <w:spacing w:after="0" w:line="240" w:lineRule="auto"/>
              <w:jc w:val="both"/>
              <w:rPr>
                <w:rFonts w:ascii="Times New Roman" w:eastAsia="Times New Roman" w:hAnsi="Times New Roman" w:cs="Times New Roman"/>
                <w:sz w:val="23"/>
                <w:szCs w:val="23"/>
                <w:lang w:eastAsia="lv-LV"/>
              </w:rPr>
            </w:pPr>
            <w:r w:rsidRPr="00E42BA3">
              <w:rPr>
                <w:rFonts w:ascii="Times New Roman" w:eastAsia="Times New Roman" w:hAnsi="Times New Roman" w:cs="Times New Roman"/>
                <w:sz w:val="23"/>
                <w:szCs w:val="23"/>
                <w:lang w:eastAsia="lv-LV"/>
              </w:rPr>
              <w:t xml:space="preserve">Par </w:t>
            </w:r>
            <w:r w:rsidR="00A1395E">
              <w:rPr>
                <w:rFonts w:ascii="Times New Roman" w:eastAsia="Times New Roman" w:hAnsi="Times New Roman" w:cs="Times New Roman"/>
                <w:sz w:val="23"/>
                <w:szCs w:val="23"/>
                <w:lang w:eastAsia="lv-LV"/>
              </w:rPr>
              <w:t xml:space="preserve">MK </w:t>
            </w:r>
            <w:r w:rsidRPr="00E42BA3">
              <w:rPr>
                <w:rFonts w:ascii="Times New Roman" w:eastAsia="Times New Roman" w:hAnsi="Times New Roman" w:cs="Times New Roman"/>
                <w:sz w:val="23"/>
                <w:szCs w:val="23"/>
                <w:lang w:eastAsia="lv-LV"/>
              </w:rPr>
              <w:t>noteikumu projektu v</w:t>
            </w:r>
            <w:r w:rsidR="00924203" w:rsidRPr="00E42BA3">
              <w:rPr>
                <w:rFonts w:ascii="Times New Roman" w:eastAsia="Times New Roman" w:hAnsi="Times New Roman" w:cs="Times New Roman"/>
                <w:sz w:val="23"/>
                <w:szCs w:val="23"/>
                <w:lang w:eastAsia="lv-LV"/>
              </w:rPr>
              <w:t>iedoklis tik</w:t>
            </w:r>
            <w:r w:rsidR="00D56863">
              <w:rPr>
                <w:rFonts w:ascii="Times New Roman" w:eastAsia="Times New Roman" w:hAnsi="Times New Roman" w:cs="Times New Roman"/>
                <w:sz w:val="23"/>
                <w:szCs w:val="23"/>
                <w:lang w:eastAsia="lv-LV"/>
              </w:rPr>
              <w:t>a</w:t>
            </w:r>
            <w:r w:rsidR="00924203" w:rsidRPr="00E42BA3">
              <w:rPr>
                <w:rFonts w:ascii="Times New Roman" w:eastAsia="Times New Roman" w:hAnsi="Times New Roman" w:cs="Times New Roman"/>
                <w:sz w:val="23"/>
                <w:szCs w:val="23"/>
                <w:lang w:eastAsia="lv-LV"/>
              </w:rPr>
              <w:t xml:space="preserve"> lūgts biedrībai “Latvijas Spēļu biznesa asociācija”.</w:t>
            </w:r>
            <w:r w:rsidR="00AC34B8" w:rsidRPr="000D21A8">
              <w:rPr>
                <w:rFonts w:ascii="Times New Roman" w:eastAsia="Times New Roman" w:hAnsi="Times New Roman" w:cs="Times New Roman"/>
                <w:sz w:val="23"/>
                <w:szCs w:val="23"/>
                <w:lang w:eastAsia="lv-LV"/>
              </w:rPr>
              <w:t xml:space="preserve"> </w:t>
            </w:r>
            <w:r w:rsidR="00AC34B8">
              <w:rPr>
                <w:rFonts w:ascii="Times New Roman" w:eastAsia="Times New Roman" w:hAnsi="Times New Roman" w:cs="Times New Roman"/>
                <w:sz w:val="23"/>
                <w:szCs w:val="23"/>
                <w:lang w:eastAsia="lv-LV"/>
              </w:rPr>
              <w:t xml:space="preserve">MK </w:t>
            </w:r>
            <w:r w:rsidR="00AC34B8" w:rsidRPr="000D21A8">
              <w:rPr>
                <w:rFonts w:ascii="Times New Roman" w:eastAsia="Times New Roman" w:hAnsi="Times New Roman" w:cs="Times New Roman"/>
                <w:sz w:val="23"/>
                <w:szCs w:val="23"/>
                <w:lang w:eastAsia="lv-LV"/>
              </w:rPr>
              <w:t xml:space="preserve">noteikumu projekts un tā anotācija tika publicēta Finanšu ministrijas mājaslapas sadaļā “Sabiedrības līdzdalība”  </w:t>
            </w:r>
            <w:hyperlink r:id="rId11" w:anchor="project423" w:history="1">
              <w:r w:rsidR="00AC34B8" w:rsidRPr="000D21A8">
                <w:rPr>
                  <w:rStyle w:val="Hyperlink"/>
                  <w:rFonts w:ascii="Times New Roman" w:eastAsia="Calibri" w:hAnsi="Times New Roman" w:cs="Times New Roman"/>
                  <w:sz w:val="24"/>
                  <w:szCs w:val="24"/>
                </w:rPr>
                <w:t>http://www.fm.gov.lv/lv/sabiedribas. _</w:t>
              </w:r>
              <w:proofErr w:type="spellStart"/>
              <w:r w:rsidR="00AC34B8" w:rsidRPr="000D21A8">
                <w:rPr>
                  <w:rStyle w:val="Hyperlink"/>
                  <w:rFonts w:ascii="Times New Roman" w:eastAsia="Calibri" w:hAnsi="Times New Roman" w:cs="Times New Roman"/>
                  <w:sz w:val="24"/>
                  <w:szCs w:val="24"/>
                </w:rPr>
                <w:t>lidzdaliba</w:t>
              </w:r>
              <w:proofErr w:type="spellEnd"/>
              <w:r w:rsidR="00AC34B8" w:rsidRPr="000D21A8">
                <w:rPr>
                  <w:rStyle w:val="Hyperlink"/>
                  <w:rFonts w:ascii="Times New Roman" w:eastAsia="Calibri" w:hAnsi="Times New Roman" w:cs="Times New Roman"/>
                  <w:sz w:val="24"/>
                  <w:szCs w:val="24"/>
                </w:rPr>
                <w:t xml:space="preserve"> /</w:t>
              </w:r>
              <w:proofErr w:type="spellStart"/>
              <w:r w:rsidR="00AC34B8" w:rsidRPr="000D21A8">
                <w:rPr>
                  <w:rStyle w:val="Hyperlink"/>
                  <w:rFonts w:ascii="Times New Roman" w:eastAsia="Calibri" w:hAnsi="Times New Roman" w:cs="Times New Roman"/>
                  <w:sz w:val="24"/>
                  <w:szCs w:val="24"/>
                </w:rPr>
                <w:t>tiesibu_aktu_projekti</w:t>
              </w:r>
              <w:proofErr w:type="spellEnd"/>
              <w:r w:rsidR="00AC34B8" w:rsidRPr="000D21A8">
                <w:rPr>
                  <w:rStyle w:val="Hyperlink"/>
                  <w:rFonts w:ascii="Times New Roman" w:eastAsia="Calibri" w:hAnsi="Times New Roman" w:cs="Times New Roman"/>
                  <w:sz w:val="24"/>
                  <w:szCs w:val="24"/>
                </w:rPr>
                <w:t xml:space="preserve">/. azartspelu_ </w:t>
              </w:r>
              <w:proofErr w:type="spellStart"/>
              <w:r w:rsidR="00AC34B8" w:rsidRPr="000D21A8">
                <w:rPr>
                  <w:rStyle w:val="Hyperlink"/>
                  <w:rFonts w:ascii="Times New Roman" w:eastAsia="Calibri" w:hAnsi="Times New Roman" w:cs="Times New Roman"/>
                  <w:sz w:val="24"/>
                  <w:szCs w:val="24"/>
                </w:rPr>
                <w:t>un_izlozu</w:t>
              </w:r>
              <w:proofErr w:type="spellEnd"/>
              <w:r w:rsidR="00AC34B8" w:rsidRPr="000D21A8">
                <w:rPr>
                  <w:rStyle w:val="Hyperlink"/>
                  <w:rFonts w:ascii="Times New Roman" w:eastAsia="Calibri" w:hAnsi="Times New Roman" w:cs="Times New Roman"/>
                  <w:sz w:val="24"/>
                  <w:szCs w:val="24"/>
                </w:rPr>
                <w:t>_. organizesanas_politika#project423</w:t>
              </w:r>
            </w:hyperlink>
            <w:r w:rsidR="00AC34B8" w:rsidRPr="000D21A8">
              <w:rPr>
                <w:rFonts w:ascii="Times New Roman" w:eastAsia="Times New Roman" w:hAnsi="Times New Roman" w:cs="Times New Roman"/>
                <w:sz w:val="23"/>
                <w:szCs w:val="23"/>
                <w:lang w:eastAsia="lv-LV"/>
              </w:rPr>
              <w:t xml:space="preserve"> ),</w:t>
            </w:r>
          </w:p>
          <w:p w14:paraId="76982E7D" w14:textId="77777777" w:rsidR="00D56863" w:rsidRPr="00E42BA3" w:rsidRDefault="00D56863" w:rsidP="00DC034B">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 xml:space="preserve">Iebildumi vai priekšlikumi netika saņemti. </w:t>
            </w:r>
          </w:p>
        </w:tc>
      </w:tr>
      <w:tr w:rsidR="00924203" w:rsidRPr="008C0F3F" w14:paraId="598DBDF6" w14:textId="77777777" w:rsidTr="0042684E">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728980AE"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767" w:type="pct"/>
            <w:tcBorders>
              <w:top w:val="outset" w:sz="6" w:space="0" w:color="414142"/>
              <w:left w:val="outset" w:sz="6" w:space="0" w:color="414142"/>
              <w:bottom w:val="outset" w:sz="6" w:space="0" w:color="414142"/>
              <w:right w:val="outset" w:sz="6" w:space="0" w:color="414142"/>
            </w:tcBorders>
            <w:hideMark/>
          </w:tcPr>
          <w:p w14:paraId="201A80C2"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Sabiedrības līdzdalības rezultāti</w:t>
            </w:r>
          </w:p>
        </w:tc>
        <w:tc>
          <w:tcPr>
            <w:tcW w:w="4002" w:type="pct"/>
            <w:tcBorders>
              <w:top w:val="outset" w:sz="6" w:space="0" w:color="414142"/>
              <w:left w:val="outset" w:sz="6" w:space="0" w:color="414142"/>
              <w:bottom w:val="outset" w:sz="6" w:space="0" w:color="414142"/>
              <w:right w:val="outset" w:sz="6" w:space="0" w:color="414142"/>
            </w:tcBorders>
            <w:hideMark/>
          </w:tcPr>
          <w:p w14:paraId="33CA5B88" w14:textId="585FD217" w:rsidR="003B5305" w:rsidRPr="009940E7" w:rsidRDefault="00A1395E" w:rsidP="003B5305">
            <w:pPr>
              <w:spacing w:after="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MK n</w:t>
            </w:r>
            <w:r w:rsidR="00A4759E" w:rsidRPr="000D21A8">
              <w:rPr>
                <w:rFonts w:ascii="Times New Roman" w:eastAsia="Times New Roman" w:hAnsi="Times New Roman" w:cs="Times New Roman"/>
                <w:sz w:val="23"/>
                <w:szCs w:val="23"/>
                <w:lang w:eastAsia="lv-LV"/>
              </w:rPr>
              <w:t xml:space="preserve">oteikumu projekta saskaņošanas procesā </w:t>
            </w:r>
            <w:r w:rsidR="003B5305" w:rsidRPr="000D21A8">
              <w:rPr>
                <w:rFonts w:ascii="Times New Roman" w:eastAsia="Times New Roman" w:hAnsi="Times New Roman" w:cs="Times New Roman"/>
                <w:sz w:val="23"/>
                <w:szCs w:val="23"/>
                <w:lang w:eastAsia="lv-LV"/>
              </w:rPr>
              <w:t>netika saņemti iebildumi no</w:t>
            </w:r>
            <w:r w:rsidR="00A4759E" w:rsidRPr="000D21A8">
              <w:rPr>
                <w:rFonts w:ascii="Times New Roman" w:eastAsia="Times New Roman" w:hAnsi="Times New Roman" w:cs="Times New Roman"/>
                <w:sz w:val="23"/>
                <w:szCs w:val="23"/>
                <w:lang w:eastAsia="lv-LV"/>
              </w:rPr>
              <w:t xml:space="preserve"> </w:t>
            </w:r>
            <w:r w:rsidR="003B5305" w:rsidRPr="000D21A8">
              <w:rPr>
                <w:rFonts w:ascii="Times New Roman" w:eastAsia="Times New Roman" w:hAnsi="Times New Roman" w:cs="Times New Roman"/>
                <w:sz w:val="23"/>
                <w:szCs w:val="23"/>
                <w:lang w:eastAsia="lv-LV"/>
              </w:rPr>
              <w:t>sabiedrības puses</w:t>
            </w:r>
            <w:r w:rsidR="00AC34B8">
              <w:rPr>
                <w:rFonts w:ascii="Times New Roman" w:eastAsia="Times New Roman" w:hAnsi="Times New Roman" w:cs="Times New Roman"/>
                <w:sz w:val="23"/>
                <w:szCs w:val="23"/>
                <w:lang w:eastAsia="lv-LV"/>
              </w:rPr>
              <w:t>,</w:t>
            </w:r>
            <w:r w:rsidR="003B5305" w:rsidRPr="000D21A8">
              <w:rPr>
                <w:rFonts w:ascii="Times New Roman" w:eastAsia="Times New Roman" w:hAnsi="Times New Roman" w:cs="Times New Roman"/>
                <w:sz w:val="23"/>
                <w:szCs w:val="23"/>
                <w:lang w:eastAsia="lv-LV"/>
              </w:rPr>
              <w:t xml:space="preserve"> </w:t>
            </w:r>
            <w:r w:rsidR="009940E7" w:rsidRPr="000D21A8">
              <w:rPr>
                <w:rFonts w:ascii="Times New Roman" w:eastAsia="Times New Roman" w:hAnsi="Times New Roman" w:cs="Times New Roman"/>
                <w:sz w:val="23"/>
                <w:szCs w:val="23"/>
                <w:lang w:eastAsia="lv-LV"/>
              </w:rPr>
              <w:t xml:space="preserve">kā arī netika saņemti iebildumi no </w:t>
            </w:r>
            <w:r w:rsidR="00A4759E" w:rsidRPr="000D21A8">
              <w:rPr>
                <w:rFonts w:ascii="Times New Roman" w:eastAsia="Times New Roman" w:hAnsi="Times New Roman" w:cs="Times New Roman"/>
                <w:iCs/>
                <w:sz w:val="23"/>
                <w:szCs w:val="23"/>
                <w:lang w:eastAsia="lv-LV"/>
              </w:rPr>
              <w:t>Latvijas Darba devēju konfederācijas</w:t>
            </w:r>
            <w:r w:rsidR="003B5305" w:rsidRPr="000D21A8">
              <w:rPr>
                <w:rFonts w:ascii="Times New Roman" w:eastAsia="Times New Roman" w:hAnsi="Times New Roman" w:cs="Times New Roman"/>
                <w:iCs/>
                <w:sz w:val="23"/>
                <w:szCs w:val="23"/>
                <w:lang w:eastAsia="lv-LV"/>
              </w:rPr>
              <w:t>,</w:t>
            </w:r>
            <w:r w:rsidR="00A4759E" w:rsidRPr="000D21A8">
              <w:rPr>
                <w:rFonts w:ascii="Times New Roman" w:eastAsia="Times New Roman" w:hAnsi="Times New Roman" w:cs="Times New Roman"/>
                <w:iCs/>
                <w:sz w:val="23"/>
                <w:szCs w:val="23"/>
                <w:lang w:eastAsia="lv-LV"/>
              </w:rPr>
              <w:t xml:space="preserve"> </w:t>
            </w:r>
            <w:r w:rsidR="00A4759E" w:rsidRPr="000D21A8">
              <w:rPr>
                <w:rFonts w:ascii="Times New Roman" w:eastAsia="Times New Roman" w:hAnsi="Times New Roman" w:cs="Times New Roman"/>
                <w:sz w:val="23"/>
                <w:szCs w:val="23"/>
                <w:lang w:eastAsia="lv-LV"/>
              </w:rPr>
              <w:t>Latvijas Tirdzniecības un rūpniecības kameras</w:t>
            </w:r>
            <w:r w:rsidR="003B5305" w:rsidRPr="000D21A8">
              <w:rPr>
                <w:rFonts w:ascii="Times New Roman" w:eastAsia="Times New Roman" w:hAnsi="Times New Roman" w:cs="Times New Roman"/>
                <w:sz w:val="23"/>
                <w:szCs w:val="23"/>
                <w:lang w:eastAsia="lv-LV"/>
              </w:rPr>
              <w:t>, kā arī biedrības “Latvijas Spēļu biznesa asociācija”</w:t>
            </w:r>
            <w:r w:rsidR="003B5305" w:rsidRPr="000D21A8">
              <w:rPr>
                <w:rFonts w:ascii="Times New Roman" w:eastAsia="Times New Roman" w:hAnsi="Times New Roman" w:cs="Times New Roman"/>
                <w:iCs/>
                <w:sz w:val="23"/>
                <w:szCs w:val="23"/>
                <w:lang w:eastAsia="lv-LV"/>
              </w:rPr>
              <w:t>.</w:t>
            </w:r>
          </w:p>
          <w:p w14:paraId="75264E10" w14:textId="77777777" w:rsidR="00924203" w:rsidRPr="00227CA0" w:rsidRDefault="00924203" w:rsidP="00C638F8">
            <w:pPr>
              <w:spacing w:after="0" w:line="240" w:lineRule="auto"/>
              <w:jc w:val="both"/>
              <w:rPr>
                <w:rFonts w:ascii="Times New Roman" w:eastAsia="Times New Roman" w:hAnsi="Times New Roman" w:cs="Times New Roman"/>
                <w:iCs/>
                <w:sz w:val="23"/>
                <w:szCs w:val="23"/>
                <w:lang w:eastAsia="lv-LV"/>
              </w:rPr>
            </w:pPr>
          </w:p>
        </w:tc>
      </w:tr>
      <w:tr w:rsidR="00924203" w:rsidRPr="008C0F3F" w14:paraId="55D299C2" w14:textId="77777777" w:rsidTr="0042684E">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2DBD73D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5811C10B"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1429309444"/>
            <w:placeholder>
              <w:docPart w:val="329C033F59DB40C88300665E7EAD00DC"/>
            </w:placeholder>
            <w:text/>
          </w:sdtPr>
          <w:sdtEndPr/>
          <w:sdtContent>
            <w:tc>
              <w:tcPr>
                <w:tcW w:w="4002" w:type="pct"/>
                <w:tcBorders>
                  <w:top w:val="outset" w:sz="6" w:space="0" w:color="414142"/>
                  <w:left w:val="outset" w:sz="6" w:space="0" w:color="414142"/>
                  <w:bottom w:val="outset" w:sz="6" w:space="0" w:color="414142"/>
                  <w:right w:val="outset" w:sz="6" w:space="0" w:color="414142"/>
                </w:tcBorders>
                <w:hideMark/>
              </w:tcPr>
              <w:p w14:paraId="3C2796D7"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0B6197A6" w14:textId="77777777" w:rsidR="00924203" w:rsidRPr="008C0F3F" w:rsidRDefault="00924203" w:rsidP="00924203">
      <w:pPr>
        <w:shd w:val="clear" w:color="auto" w:fill="FFFFFF"/>
        <w:spacing w:after="0" w:line="240" w:lineRule="auto"/>
        <w:ind w:firstLine="301"/>
        <w:rPr>
          <w:rFonts w:ascii="Times New Roman" w:eastAsia="Times New Roman" w:hAnsi="Times New Roman" w:cs="Times New Roman"/>
          <w:sz w:val="23"/>
          <w:szCs w:val="23"/>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24203" w:rsidRPr="008C0F3F" w14:paraId="304225E4"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6B8F" w14:textId="77777777" w:rsidR="00924203" w:rsidRPr="008C0F3F" w:rsidRDefault="00924203" w:rsidP="000B6793">
            <w:pPr>
              <w:spacing w:before="100" w:beforeAutospacing="1" w:after="100" w:afterAutospacing="1" w:line="293" w:lineRule="atLeast"/>
              <w:jc w:val="center"/>
              <w:rPr>
                <w:rFonts w:ascii="Times New Roman" w:eastAsia="Times New Roman" w:hAnsi="Times New Roman" w:cs="Times New Roman"/>
                <w:b/>
                <w:bCs/>
                <w:sz w:val="23"/>
                <w:szCs w:val="23"/>
                <w:lang w:eastAsia="lv-LV"/>
              </w:rPr>
            </w:pPr>
            <w:r w:rsidRPr="008C0F3F">
              <w:rPr>
                <w:rFonts w:ascii="Times New Roman" w:eastAsia="Times New Roman" w:hAnsi="Times New Roman" w:cs="Times New Roman"/>
                <w:b/>
                <w:bCs/>
                <w:sz w:val="23"/>
                <w:szCs w:val="23"/>
                <w:lang w:eastAsia="lv-LV"/>
              </w:rPr>
              <w:t>VII. Tiesību akta projekta izpildes nodrošināšana un tās ietekme uz institūcijām</w:t>
            </w:r>
          </w:p>
        </w:tc>
      </w:tr>
      <w:tr w:rsidR="00924203" w:rsidRPr="008C0F3F" w14:paraId="02AA070F"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4B4669B"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7D12CCA"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EB00B30"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Izložu un aza</w:t>
            </w:r>
            <w:r>
              <w:rPr>
                <w:rFonts w:ascii="Times New Roman" w:eastAsia="Times New Roman" w:hAnsi="Times New Roman" w:cs="Times New Roman"/>
                <w:sz w:val="23"/>
                <w:szCs w:val="23"/>
                <w:lang w:eastAsia="lv-LV"/>
              </w:rPr>
              <w:t>rtspēļu uzraudzības inspekcija.</w:t>
            </w:r>
          </w:p>
        </w:tc>
      </w:tr>
      <w:tr w:rsidR="00924203" w:rsidRPr="008C0F3F" w14:paraId="49B580A8"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FDD7D06"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7F124052"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Projekta izpildes ietekme uz pārvaldes funkcijām un institucionālo struktūru.</w:t>
            </w:r>
          </w:p>
          <w:p w14:paraId="7A3A8545" w14:textId="77777777" w:rsidR="00924203" w:rsidRPr="008C0F3F" w:rsidRDefault="00924203" w:rsidP="000B6793">
            <w:pPr>
              <w:spacing w:before="100" w:beforeAutospacing="1" w:after="100" w:afterAutospacing="1" w:line="293" w:lineRule="atLeast"/>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2178F18"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Funkcijas un uzdevumi netiek grozīti. Jaunu institūciju izveide, esošo institūciju likvidācija vai reorganizācija netiek paredzēta.</w:t>
            </w:r>
          </w:p>
          <w:p w14:paraId="4CD95C44" w14:textId="72B64EC4" w:rsidR="00924203" w:rsidRPr="008C0F3F" w:rsidRDefault="00A1395E" w:rsidP="00A1395E">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MK n</w:t>
            </w:r>
            <w:r w:rsidR="00924203" w:rsidRPr="008C0F3F">
              <w:rPr>
                <w:rFonts w:ascii="Times New Roman" w:eastAsia="Times New Roman" w:hAnsi="Times New Roman" w:cs="Times New Roman"/>
                <w:sz w:val="23"/>
                <w:szCs w:val="23"/>
                <w:lang w:eastAsia="lv-LV"/>
              </w:rPr>
              <w:t>oteikumu projekts tiks realizēts esošo resursu ietvaros.</w:t>
            </w:r>
          </w:p>
        </w:tc>
      </w:tr>
      <w:tr w:rsidR="00924203" w:rsidRPr="008C0F3F" w14:paraId="6DDD9611"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31592B5"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AA163F"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Cita informācija</w:t>
            </w:r>
          </w:p>
        </w:tc>
        <w:sdt>
          <w:sdtPr>
            <w:rPr>
              <w:rFonts w:ascii="Times New Roman" w:eastAsia="Times New Roman" w:hAnsi="Times New Roman" w:cs="Times New Roman"/>
              <w:sz w:val="23"/>
              <w:szCs w:val="23"/>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1246FB1" w14:textId="77777777" w:rsidR="00924203" w:rsidRPr="008C0F3F" w:rsidRDefault="00924203" w:rsidP="000B6793">
                <w:pPr>
                  <w:spacing w:after="0" w:line="240" w:lineRule="auto"/>
                  <w:rPr>
                    <w:rFonts w:ascii="Times New Roman" w:eastAsia="Times New Roman" w:hAnsi="Times New Roman" w:cs="Times New Roman"/>
                    <w:sz w:val="23"/>
                    <w:szCs w:val="23"/>
                    <w:lang w:eastAsia="lv-LV"/>
                  </w:rPr>
                </w:pPr>
                <w:r w:rsidRPr="008C0F3F">
                  <w:rPr>
                    <w:rFonts w:ascii="Times New Roman" w:eastAsia="Times New Roman" w:hAnsi="Times New Roman" w:cs="Times New Roman"/>
                    <w:sz w:val="23"/>
                    <w:szCs w:val="23"/>
                    <w:lang w:eastAsia="lv-LV"/>
                  </w:rPr>
                  <w:t>Nav</w:t>
                </w:r>
              </w:p>
            </w:tc>
          </w:sdtContent>
        </w:sdt>
      </w:tr>
    </w:tbl>
    <w:p w14:paraId="68D2EFED" w14:textId="77777777" w:rsidR="00924203" w:rsidRPr="008C0F3F" w:rsidRDefault="00924203" w:rsidP="00924203">
      <w:pPr>
        <w:spacing w:after="0" w:line="240" w:lineRule="auto"/>
        <w:rPr>
          <w:rFonts w:ascii="Times New Roman" w:hAnsi="Times New Roman" w:cs="Times New Roman"/>
          <w:sz w:val="23"/>
          <w:szCs w:val="23"/>
        </w:rPr>
      </w:pPr>
    </w:p>
    <w:p w14:paraId="7F4B5619" w14:textId="77777777" w:rsidR="00924203" w:rsidRPr="008C0F3F" w:rsidRDefault="00924203" w:rsidP="00924203">
      <w:pPr>
        <w:spacing w:after="0" w:line="240" w:lineRule="auto"/>
        <w:rPr>
          <w:rFonts w:ascii="Times New Roman" w:hAnsi="Times New Roman" w:cs="Times New Roman"/>
          <w:sz w:val="23"/>
          <w:szCs w:val="23"/>
        </w:rPr>
      </w:pPr>
    </w:p>
    <w:p w14:paraId="4BF2A728" w14:textId="167A28E5" w:rsidR="00575CF1" w:rsidRPr="00575CF1" w:rsidRDefault="00924203" w:rsidP="00924203">
      <w:pPr>
        <w:tabs>
          <w:tab w:val="left" w:pos="6237"/>
        </w:tabs>
        <w:spacing w:after="0" w:line="240" w:lineRule="auto"/>
        <w:rPr>
          <w:rFonts w:ascii="Times New Roman" w:hAnsi="Times New Roman" w:cs="Times New Roman"/>
          <w:sz w:val="23"/>
          <w:szCs w:val="23"/>
        </w:rPr>
      </w:pPr>
      <w:r w:rsidRPr="00575CF1">
        <w:rPr>
          <w:rFonts w:ascii="Times New Roman" w:hAnsi="Times New Roman" w:cs="Times New Roman"/>
          <w:sz w:val="23"/>
          <w:szCs w:val="23"/>
        </w:rPr>
        <w:t>Finanšu ministre</w:t>
      </w:r>
      <w:r w:rsidR="00763E39">
        <w:rPr>
          <w:rFonts w:ascii="Times New Roman" w:hAnsi="Times New Roman" w:cs="Times New Roman"/>
          <w:sz w:val="23"/>
          <w:szCs w:val="23"/>
        </w:rPr>
        <w:t xml:space="preserve">                                                                                                 </w:t>
      </w:r>
      <w:proofErr w:type="spellStart"/>
      <w:r w:rsidR="00763E39">
        <w:rPr>
          <w:rFonts w:ascii="Times New Roman" w:hAnsi="Times New Roman" w:cs="Times New Roman"/>
          <w:sz w:val="23"/>
          <w:szCs w:val="23"/>
        </w:rPr>
        <w:t>D.Reizniece</w:t>
      </w:r>
      <w:proofErr w:type="spellEnd"/>
      <w:r w:rsidR="00763E39">
        <w:rPr>
          <w:rFonts w:ascii="Times New Roman" w:hAnsi="Times New Roman" w:cs="Times New Roman"/>
          <w:sz w:val="23"/>
          <w:szCs w:val="23"/>
        </w:rPr>
        <w:t>-Ozola</w:t>
      </w:r>
    </w:p>
    <w:p w14:paraId="0832F8B8" w14:textId="66F22473" w:rsidR="00924203" w:rsidRPr="00575CF1" w:rsidRDefault="00924203" w:rsidP="00924203">
      <w:pPr>
        <w:tabs>
          <w:tab w:val="left" w:pos="6237"/>
        </w:tabs>
        <w:spacing w:after="0" w:line="240" w:lineRule="auto"/>
        <w:rPr>
          <w:rFonts w:ascii="Times New Roman" w:hAnsi="Times New Roman" w:cs="Times New Roman"/>
          <w:sz w:val="23"/>
          <w:szCs w:val="23"/>
        </w:rPr>
      </w:pPr>
      <w:r w:rsidRPr="00575CF1">
        <w:rPr>
          <w:rFonts w:ascii="Times New Roman" w:hAnsi="Times New Roman" w:cs="Times New Roman"/>
          <w:sz w:val="23"/>
          <w:szCs w:val="23"/>
        </w:rPr>
        <w:tab/>
      </w:r>
      <w:r w:rsidRPr="00575CF1">
        <w:rPr>
          <w:rFonts w:ascii="Times New Roman" w:hAnsi="Times New Roman" w:cs="Times New Roman"/>
          <w:sz w:val="23"/>
          <w:szCs w:val="23"/>
        </w:rPr>
        <w:tab/>
      </w:r>
    </w:p>
    <w:p w14:paraId="267C533B" w14:textId="1AC5C302" w:rsidR="00924203" w:rsidRDefault="00924203" w:rsidP="00924203">
      <w:pPr>
        <w:spacing w:after="0" w:line="240" w:lineRule="auto"/>
        <w:ind w:firstLine="720"/>
        <w:rPr>
          <w:rFonts w:ascii="Times New Roman" w:hAnsi="Times New Roman" w:cs="Times New Roman"/>
          <w:sz w:val="23"/>
          <w:szCs w:val="23"/>
        </w:rPr>
      </w:pPr>
    </w:p>
    <w:p w14:paraId="2FD6ECDC" w14:textId="7E65D255" w:rsidR="00ED0ADE" w:rsidRDefault="00ED0ADE" w:rsidP="00924203">
      <w:pPr>
        <w:spacing w:after="0" w:line="240" w:lineRule="auto"/>
        <w:ind w:firstLine="720"/>
        <w:rPr>
          <w:rFonts w:ascii="Times New Roman" w:hAnsi="Times New Roman" w:cs="Times New Roman"/>
          <w:sz w:val="23"/>
          <w:szCs w:val="23"/>
        </w:rPr>
      </w:pPr>
    </w:p>
    <w:p w14:paraId="2342FB18" w14:textId="109925FE" w:rsidR="00ED0ADE" w:rsidRDefault="00ED0ADE" w:rsidP="00924203">
      <w:pPr>
        <w:spacing w:after="0" w:line="240" w:lineRule="auto"/>
        <w:ind w:firstLine="720"/>
        <w:rPr>
          <w:rFonts w:ascii="Times New Roman" w:hAnsi="Times New Roman" w:cs="Times New Roman"/>
          <w:sz w:val="23"/>
          <w:szCs w:val="23"/>
        </w:rPr>
      </w:pPr>
    </w:p>
    <w:p w14:paraId="5E533AF7" w14:textId="6414E30D" w:rsidR="00ED0ADE" w:rsidRDefault="00ED0ADE" w:rsidP="00924203">
      <w:pPr>
        <w:spacing w:after="0" w:line="240" w:lineRule="auto"/>
        <w:ind w:firstLine="720"/>
        <w:rPr>
          <w:rFonts w:ascii="Times New Roman" w:hAnsi="Times New Roman" w:cs="Times New Roman"/>
          <w:sz w:val="23"/>
          <w:szCs w:val="23"/>
        </w:rPr>
      </w:pPr>
    </w:p>
    <w:p w14:paraId="10576415" w14:textId="454EC293" w:rsidR="00ED0ADE" w:rsidRDefault="003A2A14" w:rsidP="003A2A14">
      <w:pPr>
        <w:tabs>
          <w:tab w:val="left" w:pos="2055"/>
        </w:tabs>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ab/>
      </w:r>
    </w:p>
    <w:p w14:paraId="64BBE4B0" w14:textId="58CDC8D7" w:rsidR="00ED0ADE" w:rsidRDefault="00ED0ADE" w:rsidP="00924203">
      <w:pPr>
        <w:spacing w:after="0" w:line="240" w:lineRule="auto"/>
        <w:ind w:firstLine="720"/>
        <w:rPr>
          <w:rFonts w:ascii="Times New Roman" w:hAnsi="Times New Roman" w:cs="Times New Roman"/>
          <w:sz w:val="23"/>
          <w:szCs w:val="23"/>
        </w:rPr>
      </w:pPr>
    </w:p>
    <w:p w14:paraId="699EBAD7" w14:textId="7960F289" w:rsidR="00ED0ADE" w:rsidRDefault="00ED0ADE" w:rsidP="00924203">
      <w:pPr>
        <w:spacing w:after="0" w:line="240" w:lineRule="auto"/>
        <w:ind w:firstLine="720"/>
        <w:rPr>
          <w:rFonts w:ascii="Times New Roman" w:hAnsi="Times New Roman" w:cs="Times New Roman"/>
          <w:sz w:val="23"/>
          <w:szCs w:val="23"/>
        </w:rPr>
      </w:pPr>
    </w:p>
    <w:p w14:paraId="17457054" w14:textId="57AA3B56" w:rsidR="00ED0ADE" w:rsidRDefault="00ED0ADE" w:rsidP="00924203">
      <w:pPr>
        <w:spacing w:after="0" w:line="240" w:lineRule="auto"/>
        <w:ind w:firstLine="720"/>
        <w:rPr>
          <w:rFonts w:ascii="Times New Roman" w:hAnsi="Times New Roman" w:cs="Times New Roman"/>
          <w:sz w:val="23"/>
          <w:szCs w:val="23"/>
        </w:rPr>
      </w:pPr>
    </w:p>
    <w:p w14:paraId="38B32D22" w14:textId="5F102BAB" w:rsidR="00ED0ADE" w:rsidRDefault="00ED0ADE" w:rsidP="00924203">
      <w:pPr>
        <w:spacing w:after="0" w:line="240" w:lineRule="auto"/>
        <w:ind w:firstLine="720"/>
        <w:rPr>
          <w:rFonts w:ascii="Times New Roman" w:hAnsi="Times New Roman" w:cs="Times New Roman"/>
          <w:sz w:val="23"/>
          <w:szCs w:val="23"/>
        </w:rPr>
      </w:pPr>
    </w:p>
    <w:p w14:paraId="0A681E22" w14:textId="43A5AF93" w:rsidR="003A2A14" w:rsidRDefault="003A2A14" w:rsidP="00924203">
      <w:pPr>
        <w:spacing w:after="0" w:line="240" w:lineRule="auto"/>
        <w:ind w:firstLine="720"/>
        <w:rPr>
          <w:rFonts w:ascii="Times New Roman" w:hAnsi="Times New Roman" w:cs="Times New Roman"/>
          <w:sz w:val="23"/>
          <w:szCs w:val="23"/>
        </w:rPr>
      </w:pPr>
    </w:p>
    <w:p w14:paraId="464D7870" w14:textId="6AF0BD29" w:rsidR="003A2A14" w:rsidRDefault="003A2A14" w:rsidP="00924203">
      <w:pPr>
        <w:spacing w:after="0" w:line="240" w:lineRule="auto"/>
        <w:ind w:firstLine="720"/>
        <w:rPr>
          <w:rFonts w:ascii="Times New Roman" w:hAnsi="Times New Roman" w:cs="Times New Roman"/>
          <w:sz w:val="23"/>
          <w:szCs w:val="23"/>
        </w:rPr>
      </w:pPr>
    </w:p>
    <w:p w14:paraId="3095CAF3" w14:textId="6F3DFB72" w:rsidR="003A2A14" w:rsidRDefault="003A2A14" w:rsidP="00924203">
      <w:pPr>
        <w:spacing w:after="0" w:line="240" w:lineRule="auto"/>
        <w:ind w:firstLine="720"/>
        <w:rPr>
          <w:rFonts w:ascii="Times New Roman" w:hAnsi="Times New Roman" w:cs="Times New Roman"/>
          <w:sz w:val="23"/>
          <w:szCs w:val="23"/>
        </w:rPr>
      </w:pPr>
    </w:p>
    <w:p w14:paraId="37E4351B" w14:textId="74C769A4" w:rsidR="003A2A14" w:rsidRDefault="003A2A14" w:rsidP="00924203">
      <w:pPr>
        <w:spacing w:after="0" w:line="240" w:lineRule="auto"/>
        <w:ind w:firstLine="720"/>
        <w:rPr>
          <w:rFonts w:ascii="Times New Roman" w:hAnsi="Times New Roman" w:cs="Times New Roman"/>
          <w:sz w:val="23"/>
          <w:szCs w:val="23"/>
        </w:rPr>
      </w:pPr>
    </w:p>
    <w:p w14:paraId="212CBBC8" w14:textId="220131CA" w:rsidR="003A2A14" w:rsidRDefault="003A2A14" w:rsidP="00924203">
      <w:pPr>
        <w:spacing w:after="0" w:line="240" w:lineRule="auto"/>
        <w:ind w:firstLine="720"/>
        <w:rPr>
          <w:rFonts w:ascii="Times New Roman" w:hAnsi="Times New Roman" w:cs="Times New Roman"/>
          <w:sz w:val="23"/>
          <w:szCs w:val="23"/>
        </w:rPr>
      </w:pPr>
    </w:p>
    <w:p w14:paraId="22DFDCF0" w14:textId="701D3F00" w:rsidR="003A2A14" w:rsidRDefault="003A2A14" w:rsidP="00924203">
      <w:pPr>
        <w:spacing w:after="0" w:line="240" w:lineRule="auto"/>
        <w:ind w:firstLine="720"/>
        <w:rPr>
          <w:rFonts w:ascii="Times New Roman" w:hAnsi="Times New Roman" w:cs="Times New Roman"/>
          <w:sz w:val="23"/>
          <w:szCs w:val="23"/>
        </w:rPr>
      </w:pPr>
    </w:p>
    <w:p w14:paraId="2D06D7E4" w14:textId="6529D90D" w:rsidR="003A2A14" w:rsidRDefault="003A2A14" w:rsidP="00924203">
      <w:pPr>
        <w:spacing w:after="0" w:line="240" w:lineRule="auto"/>
        <w:ind w:firstLine="720"/>
        <w:rPr>
          <w:rFonts w:ascii="Times New Roman" w:hAnsi="Times New Roman" w:cs="Times New Roman"/>
          <w:sz w:val="23"/>
          <w:szCs w:val="23"/>
        </w:rPr>
      </w:pPr>
    </w:p>
    <w:p w14:paraId="1178C169" w14:textId="32545A8E" w:rsidR="003A2A14" w:rsidRDefault="003A2A14" w:rsidP="00924203">
      <w:pPr>
        <w:spacing w:after="0" w:line="240" w:lineRule="auto"/>
        <w:ind w:firstLine="720"/>
        <w:rPr>
          <w:rFonts w:ascii="Times New Roman" w:hAnsi="Times New Roman" w:cs="Times New Roman"/>
          <w:sz w:val="23"/>
          <w:szCs w:val="23"/>
        </w:rPr>
      </w:pPr>
    </w:p>
    <w:p w14:paraId="6922D0F3" w14:textId="51C51D00" w:rsidR="003A2A14" w:rsidRDefault="003A2A14" w:rsidP="00924203">
      <w:pPr>
        <w:spacing w:after="0" w:line="240" w:lineRule="auto"/>
        <w:ind w:firstLine="720"/>
        <w:rPr>
          <w:rFonts w:ascii="Times New Roman" w:hAnsi="Times New Roman" w:cs="Times New Roman"/>
          <w:sz w:val="23"/>
          <w:szCs w:val="23"/>
        </w:rPr>
      </w:pPr>
    </w:p>
    <w:p w14:paraId="11F678DF" w14:textId="59A3F049" w:rsidR="003A2A14" w:rsidRDefault="003A2A14" w:rsidP="00924203">
      <w:pPr>
        <w:spacing w:after="0" w:line="240" w:lineRule="auto"/>
        <w:ind w:firstLine="720"/>
        <w:rPr>
          <w:rFonts w:ascii="Times New Roman" w:hAnsi="Times New Roman" w:cs="Times New Roman"/>
          <w:sz w:val="23"/>
          <w:szCs w:val="23"/>
        </w:rPr>
      </w:pPr>
    </w:p>
    <w:p w14:paraId="0145F784" w14:textId="7AFC7AC8" w:rsidR="003A2A14" w:rsidRDefault="003A2A14" w:rsidP="00924203">
      <w:pPr>
        <w:spacing w:after="0" w:line="240" w:lineRule="auto"/>
        <w:ind w:firstLine="720"/>
        <w:rPr>
          <w:rFonts w:ascii="Times New Roman" w:hAnsi="Times New Roman" w:cs="Times New Roman"/>
          <w:sz w:val="23"/>
          <w:szCs w:val="23"/>
        </w:rPr>
      </w:pPr>
    </w:p>
    <w:p w14:paraId="42FF44DD" w14:textId="02E1C189" w:rsidR="003A2A14" w:rsidRDefault="003A2A14" w:rsidP="00924203">
      <w:pPr>
        <w:spacing w:after="0" w:line="240" w:lineRule="auto"/>
        <w:ind w:firstLine="720"/>
        <w:rPr>
          <w:rFonts w:ascii="Times New Roman" w:hAnsi="Times New Roman" w:cs="Times New Roman"/>
          <w:sz w:val="23"/>
          <w:szCs w:val="23"/>
        </w:rPr>
      </w:pPr>
    </w:p>
    <w:p w14:paraId="29CA59BF" w14:textId="3CD153B5" w:rsidR="003A2A14" w:rsidRDefault="003A2A14" w:rsidP="00924203">
      <w:pPr>
        <w:spacing w:after="0" w:line="240" w:lineRule="auto"/>
        <w:ind w:firstLine="720"/>
        <w:rPr>
          <w:rFonts w:ascii="Times New Roman" w:hAnsi="Times New Roman" w:cs="Times New Roman"/>
          <w:sz w:val="23"/>
          <w:szCs w:val="23"/>
        </w:rPr>
      </w:pPr>
    </w:p>
    <w:p w14:paraId="45851FD8" w14:textId="68DC24A8" w:rsidR="003A2A14" w:rsidRDefault="003A2A14" w:rsidP="00924203">
      <w:pPr>
        <w:spacing w:after="0" w:line="240" w:lineRule="auto"/>
        <w:ind w:firstLine="720"/>
        <w:rPr>
          <w:rFonts w:ascii="Times New Roman" w:hAnsi="Times New Roman" w:cs="Times New Roman"/>
          <w:sz w:val="23"/>
          <w:szCs w:val="23"/>
        </w:rPr>
      </w:pPr>
    </w:p>
    <w:p w14:paraId="6077358B" w14:textId="3422A439" w:rsidR="003A2A14" w:rsidRDefault="003A2A14" w:rsidP="00924203">
      <w:pPr>
        <w:spacing w:after="0" w:line="240" w:lineRule="auto"/>
        <w:ind w:firstLine="720"/>
        <w:rPr>
          <w:rFonts w:ascii="Times New Roman" w:hAnsi="Times New Roman" w:cs="Times New Roman"/>
          <w:sz w:val="23"/>
          <w:szCs w:val="23"/>
        </w:rPr>
      </w:pPr>
    </w:p>
    <w:p w14:paraId="3002EEE2" w14:textId="7E4327AE" w:rsidR="003A2A14" w:rsidRDefault="003A2A14" w:rsidP="00924203">
      <w:pPr>
        <w:spacing w:after="0" w:line="240" w:lineRule="auto"/>
        <w:ind w:firstLine="720"/>
        <w:rPr>
          <w:rFonts w:ascii="Times New Roman" w:hAnsi="Times New Roman" w:cs="Times New Roman"/>
          <w:sz w:val="23"/>
          <w:szCs w:val="23"/>
        </w:rPr>
      </w:pPr>
    </w:p>
    <w:p w14:paraId="715639FD" w14:textId="49D079DC" w:rsidR="003A2A14" w:rsidRDefault="003A2A14" w:rsidP="00924203">
      <w:pPr>
        <w:spacing w:after="0" w:line="240" w:lineRule="auto"/>
        <w:ind w:firstLine="720"/>
        <w:rPr>
          <w:rFonts w:ascii="Times New Roman" w:hAnsi="Times New Roman" w:cs="Times New Roman"/>
          <w:sz w:val="23"/>
          <w:szCs w:val="23"/>
        </w:rPr>
      </w:pPr>
    </w:p>
    <w:p w14:paraId="5DDFCEDA" w14:textId="3072CF52" w:rsidR="003A2A14" w:rsidRDefault="003A2A14" w:rsidP="00924203">
      <w:pPr>
        <w:spacing w:after="0" w:line="240" w:lineRule="auto"/>
        <w:ind w:firstLine="720"/>
        <w:rPr>
          <w:rFonts w:ascii="Times New Roman" w:hAnsi="Times New Roman" w:cs="Times New Roman"/>
          <w:sz w:val="23"/>
          <w:szCs w:val="23"/>
        </w:rPr>
      </w:pPr>
    </w:p>
    <w:p w14:paraId="3F88422C" w14:textId="2B51B9A3" w:rsidR="003A2A14" w:rsidRDefault="003A2A14" w:rsidP="00924203">
      <w:pPr>
        <w:spacing w:after="0" w:line="240" w:lineRule="auto"/>
        <w:ind w:firstLine="720"/>
        <w:rPr>
          <w:rFonts w:ascii="Times New Roman" w:hAnsi="Times New Roman" w:cs="Times New Roman"/>
          <w:sz w:val="23"/>
          <w:szCs w:val="23"/>
        </w:rPr>
      </w:pPr>
    </w:p>
    <w:p w14:paraId="794B748F" w14:textId="358293BA" w:rsidR="003A2A14" w:rsidRDefault="003A2A14" w:rsidP="00924203">
      <w:pPr>
        <w:spacing w:after="0" w:line="240" w:lineRule="auto"/>
        <w:ind w:firstLine="720"/>
        <w:rPr>
          <w:rFonts w:ascii="Times New Roman" w:hAnsi="Times New Roman" w:cs="Times New Roman"/>
          <w:sz w:val="23"/>
          <w:szCs w:val="23"/>
        </w:rPr>
      </w:pPr>
    </w:p>
    <w:p w14:paraId="5C807905" w14:textId="51900D83" w:rsidR="003A2A14" w:rsidRDefault="003A2A14" w:rsidP="00316DDC">
      <w:pPr>
        <w:spacing w:after="0" w:line="240" w:lineRule="auto"/>
        <w:rPr>
          <w:rFonts w:ascii="Times New Roman" w:hAnsi="Times New Roman" w:cs="Times New Roman"/>
          <w:sz w:val="23"/>
          <w:szCs w:val="23"/>
        </w:rPr>
      </w:pPr>
    </w:p>
    <w:p w14:paraId="738FCF2F" w14:textId="2B760057" w:rsidR="00ED0ADE" w:rsidRDefault="00ED0ADE" w:rsidP="00924203">
      <w:pPr>
        <w:spacing w:after="0" w:line="240" w:lineRule="auto"/>
        <w:ind w:firstLine="720"/>
        <w:rPr>
          <w:rFonts w:ascii="Times New Roman" w:hAnsi="Times New Roman" w:cs="Times New Roman"/>
          <w:sz w:val="23"/>
          <w:szCs w:val="23"/>
        </w:rPr>
      </w:pPr>
    </w:p>
    <w:p w14:paraId="68F7D7FA" w14:textId="77777777" w:rsidR="00ED0ADE" w:rsidRPr="008C0F3F" w:rsidRDefault="00ED0ADE" w:rsidP="00924203">
      <w:pPr>
        <w:spacing w:after="0" w:line="240" w:lineRule="auto"/>
        <w:ind w:firstLine="720"/>
        <w:rPr>
          <w:rFonts w:ascii="Times New Roman" w:hAnsi="Times New Roman" w:cs="Times New Roman"/>
          <w:sz w:val="23"/>
          <w:szCs w:val="23"/>
        </w:rPr>
      </w:pPr>
    </w:p>
    <w:p w14:paraId="0A91D49B" w14:textId="77777777" w:rsidR="00B74BCF" w:rsidRDefault="00B74BCF" w:rsidP="00924203">
      <w:pPr>
        <w:tabs>
          <w:tab w:val="left" w:pos="6237"/>
        </w:tabs>
        <w:spacing w:after="0" w:line="240" w:lineRule="auto"/>
        <w:ind w:firstLine="720"/>
        <w:rPr>
          <w:rFonts w:ascii="Times New Roman" w:hAnsi="Times New Roman" w:cs="Times New Roman"/>
          <w:sz w:val="28"/>
          <w:szCs w:val="28"/>
        </w:rPr>
      </w:pPr>
    </w:p>
    <w:p w14:paraId="1795ED71" w14:textId="77777777" w:rsidR="00924203" w:rsidRPr="00C5701D" w:rsidRDefault="00924203" w:rsidP="00924203">
      <w:pPr>
        <w:tabs>
          <w:tab w:val="left" w:pos="6237"/>
        </w:tabs>
        <w:spacing w:after="0" w:line="240" w:lineRule="auto"/>
        <w:rPr>
          <w:rFonts w:ascii="Times New Roman" w:hAnsi="Times New Roman" w:cs="Times New Roman"/>
          <w:sz w:val="20"/>
          <w:szCs w:val="20"/>
        </w:rPr>
      </w:pPr>
      <w:r w:rsidRPr="00C5701D">
        <w:rPr>
          <w:rFonts w:ascii="Times New Roman" w:hAnsi="Times New Roman" w:cs="Times New Roman"/>
          <w:sz w:val="20"/>
          <w:szCs w:val="20"/>
        </w:rPr>
        <w:t>Zariņa 67095672</w:t>
      </w:r>
    </w:p>
    <w:p w14:paraId="6DC2C531" w14:textId="77777777" w:rsidR="00386C05" w:rsidRPr="00C5701D" w:rsidRDefault="00924203" w:rsidP="007826AC">
      <w:pPr>
        <w:tabs>
          <w:tab w:val="left" w:pos="6237"/>
        </w:tabs>
        <w:spacing w:after="0" w:line="240" w:lineRule="auto"/>
        <w:rPr>
          <w:sz w:val="20"/>
          <w:szCs w:val="20"/>
        </w:rPr>
      </w:pPr>
      <w:r w:rsidRPr="00C5701D">
        <w:rPr>
          <w:rFonts w:ascii="Times New Roman" w:hAnsi="Times New Roman" w:cs="Times New Roman"/>
          <w:sz w:val="20"/>
          <w:szCs w:val="20"/>
        </w:rPr>
        <w:t>Indra.Zarina@fm.gov.lv</w:t>
      </w:r>
    </w:p>
    <w:sectPr w:rsidR="00386C05" w:rsidRPr="00C5701D"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08AE" w14:textId="77777777" w:rsidR="002B74B6" w:rsidRDefault="002B74B6">
      <w:pPr>
        <w:spacing w:after="0" w:line="240" w:lineRule="auto"/>
      </w:pPr>
      <w:r>
        <w:separator/>
      </w:r>
    </w:p>
  </w:endnote>
  <w:endnote w:type="continuationSeparator" w:id="0">
    <w:p w14:paraId="5AD234CD" w14:textId="77777777" w:rsidR="002B74B6" w:rsidRDefault="002B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CC67" w14:textId="74B56A46" w:rsidR="00CA7B51" w:rsidRPr="00CA7B51" w:rsidRDefault="00E42BA3" w:rsidP="00CA7B51">
    <w:pPr>
      <w:pStyle w:val="Footer"/>
      <w:tabs>
        <w:tab w:val="clear" w:pos="4153"/>
        <w:tab w:val="clear" w:pos="8306"/>
        <w:tab w:val="center" w:pos="4535"/>
      </w:tabs>
      <w:rPr>
        <w:rFonts w:ascii="Times New Roman" w:hAnsi="Times New Roman" w:cs="Times New Roman"/>
        <w:sz w:val="20"/>
        <w:szCs w:val="20"/>
      </w:rPr>
    </w:pPr>
    <w:r w:rsidRPr="00CA7B51">
      <w:rPr>
        <w:rFonts w:ascii="Times New Roman" w:hAnsi="Times New Roman" w:cs="Times New Roman"/>
        <w:sz w:val="20"/>
        <w:szCs w:val="20"/>
      </w:rPr>
      <w:t>FManot_</w:t>
    </w:r>
    <w:r w:rsidR="00763E39">
      <w:rPr>
        <w:rFonts w:ascii="Times New Roman" w:hAnsi="Times New Roman" w:cs="Times New Roman"/>
        <w:sz w:val="20"/>
        <w:szCs w:val="20"/>
      </w:rPr>
      <w:t>020318</w:t>
    </w:r>
    <w:r w:rsidRPr="00CA7B51">
      <w:rPr>
        <w:rFonts w:ascii="Times New Roman" w:hAnsi="Times New Roman" w:cs="Times New Roman"/>
        <w:sz w:val="20"/>
        <w:szCs w:val="20"/>
      </w:rPr>
      <w:t>_</w:t>
    </w:r>
    <w:r>
      <w:rPr>
        <w:rFonts w:ascii="Times New Roman" w:hAnsi="Times New Roman" w:cs="Times New Roman"/>
        <w:sz w:val="20"/>
        <w:szCs w:val="20"/>
      </w:rPr>
      <w:t>atb.pārsk</w:t>
    </w:r>
    <w:r w:rsidR="006E6C6C">
      <w:rPr>
        <w:rFonts w:ascii="Times New Roman" w:hAnsi="Times New Roman" w:cs="Times New Roman"/>
        <w:sz w:val="20"/>
        <w:szCs w:val="20"/>
      </w:rPr>
      <w:t>.</w:t>
    </w:r>
    <w:r>
      <w:rPr>
        <w:rFonts w:ascii="Times New Roman" w:hAnsi="Times New Roman" w:cs="Times New Roman"/>
        <w:sz w:val="20"/>
        <w:szCs w:val="20"/>
      </w:rPr>
      <w:tab/>
    </w:r>
  </w:p>
  <w:p w14:paraId="4B0150E0" w14:textId="77777777" w:rsidR="00CA7B51" w:rsidRPr="007748C1" w:rsidRDefault="002B74B6" w:rsidP="00CA7B51">
    <w:pPr>
      <w:pStyle w:val="Footer"/>
      <w:rPr>
        <w:rFonts w:ascii="Times New Roman" w:hAnsi="Times New Roman" w:cs="Times New Roman"/>
        <w:sz w:val="18"/>
        <w:szCs w:val="18"/>
      </w:rPr>
    </w:pPr>
  </w:p>
  <w:p w14:paraId="0C8889D4" w14:textId="77777777" w:rsidR="00894C55" w:rsidRPr="002910D9" w:rsidRDefault="00E42BA3" w:rsidP="00754D30">
    <w:pPr>
      <w:pStyle w:val="Footer"/>
      <w:tabs>
        <w:tab w:val="clear" w:pos="8306"/>
        <w:tab w:val="left" w:pos="2848"/>
        <w:tab w:val="left" w:pos="4153"/>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8EBC" w14:textId="51FF16D6" w:rsidR="005722BE" w:rsidRPr="00524A85" w:rsidRDefault="00524A85" w:rsidP="00524A85">
    <w:pPr>
      <w:pStyle w:val="Footer"/>
    </w:pPr>
    <w:r w:rsidRPr="00CA7B51">
      <w:rPr>
        <w:rFonts w:ascii="Times New Roman" w:hAnsi="Times New Roman" w:cs="Times New Roman"/>
        <w:sz w:val="20"/>
        <w:szCs w:val="20"/>
      </w:rPr>
      <w:t>FManot_</w:t>
    </w:r>
    <w:r w:rsidR="009832D4">
      <w:rPr>
        <w:rFonts w:ascii="Times New Roman" w:hAnsi="Times New Roman" w:cs="Times New Roman"/>
        <w:sz w:val="20"/>
        <w:szCs w:val="20"/>
      </w:rPr>
      <w:t>0203</w:t>
    </w:r>
    <w:r w:rsidR="00AA6078">
      <w:rPr>
        <w:rFonts w:ascii="Times New Roman" w:hAnsi="Times New Roman" w:cs="Times New Roman"/>
        <w:sz w:val="20"/>
        <w:szCs w:val="20"/>
      </w:rPr>
      <w:t>18</w:t>
    </w:r>
    <w:r w:rsidRPr="00CA7B51">
      <w:rPr>
        <w:rFonts w:ascii="Times New Roman" w:hAnsi="Times New Roman" w:cs="Times New Roman"/>
        <w:sz w:val="20"/>
        <w:szCs w:val="20"/>
      </w:rPr>
      <w:t>_</w:t>
    </w:r>
    <w:r>
      <w:rPr>
        <w:rFonts w:ascii="Times New Roman" w:hAnsi="Times New Roman" w:cs="Times New Roman"/>
        <w:sz w:val="20"/>
        <w:szCs w:val="20"/>
      </w:rPr>
      <w:t>atb.pārs</w:t>
    </w:r>
    <w:r w:rsidR="006E6C6C">
      <w:rPr>
        <w:rFonts w:ascii="Times New Roman" w:hAnsi="Times New Roman" w:cs="Times New Roman"/>
        <w:sz w:val="20"/>
        <w:szCs w:val="20"/>
      </w:rPr>
      <w:t>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BC84" w14:textId="77777777" w:rsidR="002B74B6" w:rsidRDefault="002B74B6">
      <w:pPr>
        <w:spacing w:after="0" w:line="240" w:lineRule="auto"/>
      </w:pPr>
      <w:r>
        <w:separator/>
      </w:r>
    </w:p>
  </w:footnote>
  <w:footnote w:type="continuationSeparator" w:id="0">
    <w:p w14:paraId="5F04C95F" w14:textId="77777777" w:rsidR="002B74B6" w:rsidRDefault="002B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7D3C5" w14:textId="065D2E50"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32D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27498"/>
    <w:rsid w:val="00046AD1"/>
    <w:rsid w:val="000A2E98"/>
    <w:rsid w:val="000D21A8"/>
    <w:rsid w:val="00101837"/>
    <w:rsid w:val="00110389"/>
    <w:rsid w:val="00117307"/>
    <w:rsid w:val="0012157B"/>
    <w:rsid w:val="001348C7"/>
    <w:rsid w:val="00164BCE"/>
    <w:rsid w:val="00177141"/>
    <w:rsid w:val="00190741"/>
    <w:rsid w:val="001A1AE0"/>
    <w:rsid w:val="001A5101"/>
    <w:rsid w:val="001B0B14"/>
    <w:rsid w:val="001E017D"/>
    <w:rsid w:val="001F0827"/>
    <w:rsid w:val="001F5537"/>
    <w:rsid w:val="00217B12"/>
    <w:rsid w:val="002252D4"/>
    <w:rsid w:val="00233FC4"/>
    <w:rsid w:val="002806F2"/>
    <w:rsid w:val="00281D40"/>
    <w:rsid w:val="0028244E"/>
    <w:rsid w:val="00291D4C"/>
    <w:rsid w:val="00294DBD"/>
    <w:rsid w:val="002A6D43"/>
    <w:rsid w:val="002B3AF9"/>
    <w:rsid w:val="002B4A6E"/>
    <w:rsid w:val="002B74B6"/>
    <w:rsid w:val="00316DDC"/>
    <w:rsid w:val="00332917"/>
    <w:rsid w:val="00334FA5"/>
    <w:rsid w:val="003375CF"/>
    <w:rsid w:val="0034434E"/>
    <w:rsid w:val="00344922"/>
    <w:rsid w:val="003632F6"/>
    <w:rsid w:val="00367A94"/>
    <w:rsid w:val="00373595"/>
    <w:rsid w:val="003824FD"/>
    <w:rsid w:val="00386C05"/>
    <w:rsid w:val="003A2A14"/>
    <w:rsid w:val="003A62D4"/>
    <w:rsid w:val="003B5305"/>
    <w:rsid w:val="003C08EA"/>
    <w:rsid w:val="00424322"/>
    <w:rsid w:val="004246E0"/>
    <w:rsid w:val="0042684E"/>
    <w:rsid w:val="004771DF"/>
    <w:rsid w:val="00485423"/>
    <w:rsid w:val="0048716B"/>
    <w:rsid w:val="004900B9"/>
    <w:rsid w:val="004B3E93"/>
    <w:rsid w:val="004D163B"/>
    <w:rsid w:val="004E0998"/>
    <w:rsid w:val="004E5BC8"/>
    <w:rsid w:val="004F1CDC"/>
    <w:rsid w:val="00513550"/>
    <w:rsid w:val="00524A85"/>
    <w:rsid w:val="00541E8E"/>
    <w:rsid w:val="00542615"/>
    <w:rsid w:val="00566ECE"/>
    <w:rsid w:val="00575CF1"/>
    <w:rsid w:val="00577CF1"/>
    <w:rsid w:val="005800A4"/>
    <w:rsid w:val="0058115F"/>
    <w:rsid w:val="00582DD5"/>
    <w:rsid w:val="00594966"/>
    <w:rsid w:val="00595002"/>
    <w:rsid w:val="00597063"/>
    <w:rsid w:val="005A1E7A"/>
    <w:rsid w:val="005B38B1"/>
    <w:rsid w:val="005D113D"/>
    <w:rsid w:val="005D3575"/>
    <w:rsid w:val="005D51D4"/>
    <w:rsid w:val="005D642D"/>
    <w:rsid w:val="005F27FB"/>
    <w:rsid w:val="005F583A"/>
    <w:rsid w:val="006179DF"/>
    <w:rsid w:val="006322EB"/>
    <w:rsid w:val="006428A1"/>
    <w:rsid w:val="00647B16"/>
    <w:rsid w:val="006631D9"/>
    <w:rsid w:val="006744D3"/>
    <w:rsid w:val="00676AF1"/>
    <w:rsid w:val="00684089"/>
    <w:rsid w:val="006878E2"/>
    <w:rsid w:val="006A6732"/>
    <w:rsid w:val="006B02F3"/>
    <w:rsid w:val="006B4D9F"/>
    <w:rsid w:val="006B5B79"/>
    <w:rsid w:val="006C4EF1"/>
    <w:rsid w:val="006D0416"/>
    <w:rsid w:val="006E6C6C"/>
    <w:rsid w:val="006F4D39"/>
    <w:rsid w:val="0070068C"/>
    <w:rsid w:val="00703990"/>
    <w:rsid w:val="00703E18"/>
    <w:rsid w:val="00704114"/>
    <w:rsid w:val="007400C5"/>
    <w:rsid w:val="0074373D"/>
    <w:rsid w:val="00744A58"/>
    <w:rsid w:val="00763E39"/>
    <w:rsid w:val="00774088"/>
    <w:rsid w:val="00774DDF"/>
    <w:rsid w:val="007826AC"/>
    <w:rsid w:val="007879EC"/>
    <w:rsid w:val="00787E45"/>
    <w:rsid w:val="00795415"/>
    <w:rsid w:val="007C343C"/>
    <w:rsid w:val="007C5CC2"/>
    <w:rsid w:val="007C5E38"/>
    <w:rsid w:val="007D615B"/>
    <w:rsid w:val="007F15E7"/>
    <w:rsid w:val="00815427"/>
    <w:rsid w:val="008214E7"/>
    <w:rsid w:val="0082381C"/>
    <w:rsid w:val="008267DD"/>
    <w:rsid w:val="00851128"/>
    <w:rsid w:val="00863C70"/>
    <w:rsid w:val="00871B47"/>
    <w:rsid w:val="00875B4D"/>
    <w:rsid w:val="008871E7"/>
    <w:rsid w:val="008C7DD7"/>
    <w:rsid w:val="00914371"/>
    <w:rsid w:val="00921429"/>
    <w:rsid w:val="00924203"/>
    <w:rsid w:val="0093075F"/>
    <w:rsid w:val="00946579"/>
    <w:rsid w:val="00951D56"/>
    <w:rsid w:val="00956AE2"/>
    <w:rsid w:val="00960C24"/>
    <w:rsid w:val="00963E44"/>
    <w:rsid w:val="00963E68"/>
    <w:rsid w:val="0097544B"/>
    <w:rsid w:val="00981D1E"/>
    <w:rsid w:val="009832D4"/>
    <w:rsid w:val="009940E7"/>
    <w:rsid w:val="009A5131"/>
    <w:rsid w:val="009A7A0A"/>
    <w:rsid w:val="009B0E93"/>
    <w:rsid w:val="009B1F1F"/>
    <w:rsid w:val="009D3281"/>
    <w:rsid w:val="009E2DBE"/>
    <w:rsid w:val="00A1395E"/>
    <w:rsid w:val="00A20F2E"/>
    <w:rsid w:val="00A4182A"/>
    <w:rsid w:val="00A451DE"/>
    <w:rsid w:val="00A46E97"/>
    <w:rsid w:val="00A4759E"/>
    <w:rsid w:val="00A66605"/>
    <w:rsid w:val="00A67059"/>
    <w:rsid w:val="00A866E3"/>
    <w:rsid w:val="00A905A8"/>
    <w:rsid w:val="00AA6078"/>
    <w:rsid w:val="00AC2F13"/>
    <w:rsid w:val="00AC34B8"/>
    <w:rsid w:val="00AE0B28"/>
    <w:rsid w:val="00B042E3"/>
    <w:rsid w:val="00B06CCC"/>
    <w:rsid w:val="00B50ADA"/>
    <w:rsid w:val="00B54272"/>
    <w:rsid w:val="00B70890"/>
    <w:rsid w:val="00B74BCF"/>
    <w:rsid w:val="00BA572B"/>
    <w:rsid w:val="00BC129E"/>
    <w:rsid w:val="00BD0A84"/>
    <w:rsid w:val="00C5701D"/>
    <w:rsid w:val="00C60198"/>
    <w:rsid w:val="00C638F8"/>
    <w:rsid w:val="00C67F01"/>
    <w:rsid w:val="00C7489B"/>
    <w:rsid w:val="00CA36E4"/>
    <w:rsid w:val="00CD1C42"/>
    <w:rsid w:val="00CD4E02"/>
    <w:rsid w:val="00CF77D3"/>
    <w:rsid w:val="00D00C2D"/>
    <w:rsid w:val="00D118DA"/>
    <w:rsid w:val="00D17554"/>
    <w:rsid w:val="00D176C8"/>
    <w:rsid w:val="00D258BB"/>
    <w:rsid w:val="00D4456D"/>
    <w:rsid w:val="00D4680D"/>
    <w:rsid w:val="00D516B2"/>
    <w:rsid w:val="00D56863"/>
    <w:rsid w:val="00D73816"/>
    <w:rsid w:val="00DB4838"/>
    <w:rsid w:val="00DC034B"/>
    <w:rsid w:val="00DD268A"/>
    <w:rsid w:val="00DE51FE"/>
    <w:rsid w:val="00E344E9"/>
    <w:rsid w:val="00E42BA3"/>
    <w:rsid w:val="00E43B73"/>
    <w:rsid w:val="00E72C0B"/>
    <w:rsid w:val="00E84008"/>
    <w:rsid w:val="00EA5762"/>
    <w:rsid w:val="00ED0ADE"/>
    <w:rsid w:val="00EE192F"/>
    <w:rsid w:val="00EE4B79"/>
    <w:rsid w:val="00F0021E"/>
    <w:rsid w:val="00F225E7"/>
    <w:rsid w:val="00F2340E"/>
    <w:rsid w:val="00F9561A"/>
    <w:rsid w:val="00FD4DE4"/>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88C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20_lidzdaliba%20/tiesibu_aktu_projekti/.%20azartspelu_%20un_izlozu_.%20organizesanas_politik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A1E54007224375ABDB15ADC577FEFF"/>
        <w:category>
          <w:name w:val="General"/>
          <w:gallery w:val="placeholder"/>
        </w:category>
        <w:types>
          <w:type w:val="bbPlcHdr"/>
        </w:types>
        <w:behaviors>
          <w:behavior w:val="content"/>
        </w:behaviors>
        <w:guid w:val="{47A5908C-756A-4C28-97B3-B98137AD6166}"/>
      </w:docPartPr>
      <w:docPartBody>
        <w:p w:rsidR="004A281A" w:rsidRDefault="00B75E04" w:rsidP="00B75E04">
          <w:pPr>
            <w:pStyle w:val="8DA1E54007224375ABDB15ADC577FEFF"/>
          </w:pPr>
          <w:r w:rsidRPr="00E90C01">
            <w:rPr>
              <w:rStyle w:val="PlaceholderText"/>
              <w:rFonts w:ascii="Times New Roman" w:hAnsi="Times New Roman" w:cs="Times New Roman"/>
              <w:sz w:val="28"/>
              <w:szCs w:val="28"/>
            </w:rPr>
            <w:t>Tiesību akta</w:t>
          </w:r>
        </w:p>
      </w:docPartBody>
    </w:docPart>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C3BCBC316474711914948C4D4828E75"/>
        <w:category>
          <w:name w:val="General"/>
          <w:gallery w:val="placeholder"/>
        </w:category>
        <w:types>
          <w:type w:val="bbPlcHdr"/>
        </w:types>
        <w:behaviors>
          <w:behavior w:val="content"/>
        </w:behaviors>
        <w:guid w:val="{BD8A6942-8253-41E5-9FF8-90B8F97C26BC}"/>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4A281A" w:rsidRDefault="00B75E04" w:rsidP="00B75E04">
          <w:pPr>
            <w:pStyle w:val="6C3BCBC316474711914948C4D4828E7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29C033F59DB40C88300665E7EAD00DC"/>
        <w:category>
          <w:name w:val="General"/>
          <w:gallery w:val="placeholder"/>
        </w:category>
        <w:types>
          <w:type w:val="bbPlcHdr"/>
        </w:types>
        <w:behaviors>
          <w:behavior w:val="content"/>
        </w:behaviors>
        <w:guid w:val="{3173E751-F20B-4CB5-8B45-EB2C60CAD9B4}"/>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329C033F59DB40C88300665E7EAD00D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85C4F"/>
    <w:rsid w:val="000D59A5"/>
    <w:rsid w:val="00105601"/>
    <w:rsid w:val="001075F6"/>
    <w:rsid w:val="002B3EC6"/>
    <w:rsid w:val="003656C0"/>
    <w:rsid w:val="003F3CB6"/>
    <w:rsid w:val="004446FE"/>
    <w:rsid w:val="00444E17"/>
    <w:rsid w:val="004A281A"/>
    <w:rsid w:val="00591A07"/>
    <w:rsid w:val="005A12D3"/>
    <w:rsid w:val="006C16EF"/>
    <w:rsid w:val="006C38C9"/>
    <w:rsid w:val="006E4EC8"/>
    <w:rsid w:val="00777B3F"/>
    <w:rsid w:val="00816AAD"/>
    <w:rsid w:val="00B75E04"/>
    <w:rsid w:val="00B84E5D"/>
    <w:rsid w:val="00CA258C"/>
    <w:rsid w:val="00DD44A4"/>
    <w:rsid w:val="00DD7741"/>
    <w:rsid w:val="00EB1134"/>
    <w:rsid w:val="00F32991"/>
    <w:rsid w:val="00F47E21"/>
    <w:rsid w:val="00F741C5"/>
    <w:rsid w:val="00FD1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E62001-8122-4F23-BD72-2C88CBDE0F5C}">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92EEFFA9-190C-46FA-B9F6-56052098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11487</Words>
  <Characters>6548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projekta "Noteikumi par interaktīvās azartspēles vai interaktīvās izlozes organizēšanā izmantojamās spēles programmas atbilstības pārskatā iekļaujamo informāciju ” sākotnējās ietekmes novērtējuma ziņojums (anotācija)</vt:lpstr>
    </vt:vector>
  </TitlesOfParts>
  <Company>Finanšu ministrija</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interaktīvās azartspēles vai interaktīvās izlozes organizēšanā izmantojamās spēles programmas atbilstības pārskatā iekļaujamo informāciju ” sākotnējās ietekmes novērtējuma ziņojums (anotācija)</dc:title>
  <dc:subject>Anotācija</dc:subject>
  <dc:creator>I.Zariņa</dc:creator>
  <dc:description>67095672, Indra.Zarina@fm.gov.lv</dc:description>
  <cp:lastModifiedBy>Indra Zariņa</cp:lastModifiedBy>
  <cp:revision>13</cp:revision>
  <cp:lastPrinted>2018-02-12T14:58:00Z</cp:lastPrinted>
  <dcterms:created xsi:type="dcterms:W3CDTF">2018-02-06T10:03:00Z</dcterms:created>
  <dcterms:modified xsi:type="dcterms:W3CDTF">2018-03-05T14:18:00Z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