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0F8C6" w14:textId="2EA9C60A" w:rsidR="009C07AB" w:rsidRPr="00A7409A" w:rsidRDefault="00A7409A" w:rsidP="009C07AB">
      <w:pPr>
        <w:pStyle w:val="CommentText"/>
        <w:rPr>
          <w:sz w:val="27"/>
          <w:szCs w:val="27"/>
          <w:lang w:eastAsia="lv-LV"/>
        </w:rPr>
      </w:pPr>
      <w:bookmarkStart w:id="0" w:name="_GoBack"/>
      <w:bookmarkEnd w:id="0"/>
      <w:r w:rsidRPr="00A7409A">
        <w:rPr>
          <w:sz w:val="27"/>
          <w:szCs w:val="27"/>
          <w:lang w:eastAsia="lv-LV"/>
        </w:rPr>
        <w:t>2018</w:t>
      </w:r>
      <w:r w:rsidR="009C07AB" w:rsidRPr="00A7409A">
        <w:rPr>
          <w:sz w:val="27"/>
          <w:szCs w:val="27"/>
          <w:lang w:eastAsia="lv-LV"/>
        </w:rPr>
        <w:t xml:space="preserve">. gada                                                                      Noteikumi Nr.    </w:t>
      </w:r>
    </w:p>
    <w:p w14:paraId="7884A795" w14:textId="77777777" w:rsidR="009C07AB" w:rsidRPr="00A7409A" w:rsidRDefault="009C07AB" w:rsidP="009C07AB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>Rīgā                                                                                (prot. Nr.           .§)</w:t>
      </w:r>
    </w:p>
    <w:p w14:paraId="141DEF4D" w14:textId="77777777" w:rsidR="009C07AB" w:rsidRPr="00A7409A" w:rsidRDefault="009C07AB" w:rsidP="009C07AB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5B720D4D" w14:textId="77777777" w:rsidR="009C07AB" w:rsidRPr="00A7409A" w:rsidRDefault="009C07AB" w:rsidP="009C07AB">
      <w:pPr>
        <w:spacing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417522E2" w14:textId="77777777" w:rsidR="009C07AB" w:rsidRPr="00A7409A" w:rsidRDefault="009C07AB" w:rsidP="009C07A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A7409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Noteikumi par interaktīvās azartspēles vai interaktīvās izlozes organizēšanā izmantojamās spēles programmas atbilstības pārskatā iekļaujamo informāciju</w:t>
      </w:r>
    </w:p>
    <w:p w14:paraId="24853D55" w14:textId="77777777" w:rsidR="009C07AB" w:rsidRPr="00A7409A" w:rsidRDefault="009C07AB" w:rsidP="009C07AB">
      <w:pPr>
        <w:pStyle w:val="NoSpacing"/>
        <w:jc w:val="right"/>
        <w:rPr>
          <w:rFonts w:ascii="Times New Roman" w:hAnsi="Times New Roman" w:cs="Times New Roman"/>
          <w:sz w:val="27"/>
          <w:szCs w:val="27"/>
          <w:lang w:eastAsia="lv-LV"/>
        </w:rPr>
      </w:pPr>
    </w:p>
    <w:p w14:paraId="268EAC17" w14:textId="77777777" w:rsidR="009C07AB" w:rsidRPr="00A7409A" w:rsidRDefault="009C07AB" w:rsidP="009C07AB">
      <w:pPr>
        <w:pStyle w:val="NoSpacing"/>
        <w:jc w:val="right"/>
        <w:rPr>
          <w:rFonts w:ascii="Times New Roman" w:hAnsi="Times New Roman" w:cs="Times New Roman"/>
          <w:color w:val="000000" w:themeColor="text1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color w:val="000000" w:themeColor="text1"/>
          <w:sz w:val="27"/>
          <w:szCs w:val="27"/>
          <w:lang w:eastAsia="lv-LV"/>
        </w:rPr>
        <w:t>Izdoti saskaņā ar</w:t>
      </w:r>
    </w:p>
    <w:p w14:paraId="4A6CA966" w14:textId="3B5B3CE4" w:rsidR="009C07AB" w:rsidRPr="00A7409A" w:rsidRDefault="00D74426" w:rsidP="00D74426">
      <w:pPr>
        <w:pStyle w:val="NoSpacing"/>
        <w:tabs>
          <w:tab w:val="left" w:pos="1966"/>
          <w:tab w:val="right" w:pos="8306"/>
        </w:tabs>
        <w:rPr>
          <w:rFonts w:ascii="Times New Roman" w:hAnsi="Times New Roman" w:cs="Times New Roman"/>
          <w:color w:val="000000" w:themeColor="text1"/>
          <w:sz w:val="27"/>
          <w:szCs w:val="27"/>
          <w:lang w:eastAsia="lv-LV"/>
        </w:rPr>
      </w:pPr>
      <w:r w:rsidRPr="00A7409A">
        <w:rPr>
          <w:sz w:val="27"/>
          <w:szCs w:val="27"/>
        </w:rPr>
        <w:tab/>
      </w:r>
      <w:r w:rsidRPr="00A7409A">
        <w:rPr>
          <w:sz w:val="27"/>
          <w:szCs w:val="27"/>
        </w:rPr>
        <w:tab/>
      </w:r>
      <w:hyperlink r:id="rId12" w:tgtFrame="_blank" w:history="1">
        <w:r w:rsidR="009C07AB" w:rsidRPr="00A7409A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eastAsia="lv-LV"/>
          </w:rPr>
          <w:t>Azartspēļu un izložu likuma</w:t>
        </w:r>
      </w:hyperlink>
    </w:p>
    <w:p w14:paraId="45AB8CFD" w14:textId="77777777" w:rsidR="009C07AB" w:rsidRPr="00A7409A" w:rsidRDefault="009C07AB" w:rsidP="009C07AB">
      <w:pPr>
        <w:pStyle w:val="NoSpacing"/>
        <w:tabs>
          <w:tab w:val="left" w:pos="2534"/>
          <w:tab w:val="right" w:pos="8306"/>
        </w:tabs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7409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A7409A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47.panta ceturto daļu un</w:t>
      </w:r>
    </w:p>
    <w:p w14:paraId="614CA511" w14:textId="77777777" w:rsidR="009C07AB" w:rsidRPr="00A7409A" w:rsidRDefault="009C07AB" w:rsidP="009C07AB">
      <w:pPr>
        <w:pStyle w:val="NoSpacing"/>
        <w:jc w:val="right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3" w:anchor="p4" w:tgtFrame="_blank" w:history="1">
        <w:r w:rsidRPr="00A7409A">
          <w:rPr>
            <w:rStyle w:val="Hyperlink"/>
            <w:rFonts w:ascii="Times New Roman" w:hAnsi="Times New Roman" w:cs="Times New Roman"/>
            <w:color w:val="000000" w:themeColor="text1"/>
            <w:sz w:val="27"/>
            <w:szCs w:val="27"/>
            <w:u w:val="none"/>
            <w:lang w:eastAsia="lv-LV"/>
          </w:rPr>
          <w:t>80.panta</w:t>
        </w:r>
      </w:hyperlink>
      <w:r w:rsidRPr="00A7409A">
        <w:rPr>
          <w:rFonts w:ascii="Times New Roman" w:hAnsi="Times New Roman" w:cs="Times New Roman"/>
          <w:color w:val="000000" w:themeColor="text1"/>
          <w:sz w:val="27"/>
          <w:szCs w:val="27"/>
          <w:lang w:eastAsia="lv-LV"/>
        </w:rPr>
        <w:t xml:space="preserve"> sesto </w:t>
      </w:r>
      <w:r w:rsidRPr="00A7409A">
        <w:rPr>
          <w:rFonts w:ascii="Times New Roman" w:hAnsi="Times New Roman" w:cs="Times New Roman"/>
          <w:sz w:val="27"/>
          <w:szCs w:val="27"/>
          <w:lang w:eastAsia="lv-LV"/>
        </w:rPr>
        <w:t>daļu</w:t>
      </w:r>
    </w:p>
    <w:p w14:paraId="5465713D" w14:textId="77777777" w:rsidR="009C07AB" w:rsidRPr="00A7409A" w:rsidRDefault="009C07AB" w:rsidP="009C0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1" w:name="n1"/>
      <w:bookmarkEnd w:id="1"/>
    </w:p>
    <w:p w14:paraId="5A7CF0A3" w14:textId="77777777" w:rsidR="0007592E" w:rsidRPr="00A7409A" w:rsidRDefault="009C07AB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bookmarkStart w:id="2" w:name="p1"/>
      <w:bookmarkStart w:id="3" w:name="p-151013"/>
      <w:bookmarkEnd w:id="2"/>
      <w:bookmarkEnd w:id="3"/>
      <w:r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1. </w:t>
      </w:r>
      <w:r w:rsidR="007F2962" w:rsidRPr="00A7409A">
        <w:rPr>
          <w:rFonts w:ascii="Times New Roman" w:hAnsi="Times New Roman" w:cs="Times New Roman"/>
          <w:sz w:val="27"/>
          <w:szCs w:val="27"/>
          <w:lang w:eastAsia="lv-LV"/>
        </w:rPr>
        <w:t>Noteikumi nosaka</w:t>
      </w:r>
      <w:r w:rsidR="0007592E" w:rsidRPr="00A7409A">
        <w:rPr>
          <w:rFonts w:ascii="Times New Roman" w:hAnsi="Times New Roman" w:cs="Times New Roman"/>
          <w:sz w:val="27"/>
          <w:szCs w:val="27"/>
          <w:lang w:eastAsia="lv-LV"/>
        </w:rPr>
        <w:t>:</w:t>
      </w:r>
    </w:p>
    <w:p w14:paraId="1F79681D" w14:textId="7A9B2B92" w:rsidR="009C07AB" w:rsidRPr="00A7409A" w:rsidRDefault="0007592E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1.1 </w:t>
      </w:r>
      <w:r w:rsidR="007F2962" w:rsidRPr="00A7409A">
        <w:rPr>
          <w:rFonts w:ascii="Times New Roman" w:hAnsi="Times New Roman" w:cs="Times New Roman"/>
          <w:sz w:val="27"/>
          <w:szCs w:val="27"/>
          <w:lang w:eastAsia="lv-LV"/>
        </w:rPr>
        <w:t>informāciju, kas iekļaujama tās interaktīvo azartspēļu programmas atbilstības pārskatā, kura izmantota interaktīvās azartspēles organizēšanai</w:t>
      </w:r>
      <w:r w:rsidRPr="00A7409A">
        <w:rPr>
          <w:rFonts w:ascii="Times New Roman" w:hAnsi="Times New Roman" w:cs="Times New Roman"/>
          <w:sz w:val="27"/>
          <w:szCs w:val="27"/>
          <w:lang w:eastAsia="lv-LV"/>
        </w:rPr>
        <w:t>;</w:t>
      </w:r>
    </w:p>
    <w:p w14:paraId="38A519D9" w14:textId="0D2ED7FD" w:rsidR="007F2962" w:rsidRPr="00A7409A" w:rsidRDefault="0007592E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1.2. informāciju, kas iekļaujama tās interaktīvo izložu programmas atbilstības pārskatā, kura izmantota interaktīvās izlozes organizēšanai.</w:t>
      </w:r>
    </w:p>
    <w:p w14:paraId="7872C073" w14:textId="7E539799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bookmarkStart w:id="4" w:name="n2"/>
      <w:bookmarkStart w:id="5" w:name="p3"/>
      <w:bookmarkStart w:id="6" w:name="p-611771"/>
      <w:bookmarkStart w:id="7" w:name="n3"/>
      <w:bookmarkStart w:id="8" w:name="p6"/>
      <w:bookmarkStart w:id="9" w:name="p-151020"/>
      <w:bookmarkEnd w:id="4"/>
      <w:bookmarkEnd w:id="5"/>
      <w:bookmarkEnd w:id="6"/>
      <w:bookmarkEnd w:id="7"/>
      <w:bookmarkEnd w:id="8"/>
      <w:bookmarkEnd w:id="9"/>
      <w:r w:rsidRPr="00A7409A">
        <w:rPr>
          <w:rFonts w:ascii="Times New Roman" w:hAnsi="Times New Roman" w:cs="Times New Roman"/>
          <w:sz w:val="27"/>
          <w:szCs w:val="27"/>
          <w:lang w:eastAsia="lv-LV"/>
        </w:rPr>
        <w:t>2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 Interaktīvās spēles programma ir datu kopums, kas nepieciešams interaktīvās azartspēles vai interaktīvās izlozes darbībai un satur vienu vai vairākas datnes.</w:t>
      </w:r>
    </w:p>
    <w:p w14:paraId="6578D6F0" w14:textId="67EBCF27" w:rsidR="00ED2DAF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. </w:t>
      </w:r>
      <w:r w:rsidR="00B379ED" w:rsidRPr="00A7409A">
        <w:rPr>
          <w:rFonts w:ascii="Times New Roman" w:hAnsi="Times New Roman" w:cs="Times New Roman"/>
          <w:sz w:val="27"/>
          <w:szCs w:val="27"/>
          <w:lang w:eastAsia="lv-LV"/>
        </w:rPr>
        <w:t>Akreditēta sertifikācijas institūcija interaktīvās spēles programmas atbilstības pārskatā iekļauj</w:t>
      </w:r>
      <w:bookmarkStart w:id="10" w:name="p7"/>
      <w:bookmarkStart w:id="11" w:name="p-611773"/>
      <w:bookmarkEnd w:id="10"/>
      <w:bookmarkEnd w:id="11"/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:</w:t>
      </w:r>
    </w:p>
    <w:p w14:paraId="654DFCA7" w14:textId="5989C065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694FE4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1</w:t>
      </w:r>
      <w:r w:rsidR="00694FE4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vispārīg</w:t>
      </w:r>
      <w:r w:rsidR="00710D69" w:rsidRPr="00A7409A">
        <w:rPr>
          <w:rFonts w:ascii="Times New Roman" w:hAnsi="Times New Roman" w:cs="Times New Roman"/>
          <w:sz w:val="27"/>
          <w:szCs w:val="27"/>
          <w:lang w:eastAsia="lv-LV"/>
        </w:rPr>
        <w:t>u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informācij</w:t>
      </w:r>
      <w:r w:rsidR="00710D69" w:rsidRPr="00A7409A">
        <w:rPr>
          <w:rFonts w:ascii="Times New Roman" w:hAnsi="Times New Roman" w:cs="Times New Roman"/>
          <w:sz w:val="27"/>
          <w:szCs w:val="27"/>
          <w:lang w:eastAsia="lv-LV"/>
        </w:rPr>
        <w:t>u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:</w:t>
      </w:r>
    </w:p>
    <w:p w14:paraId="62670930" w14:textId="29295E58" w:rsidR="00A07E4C" w:rsidRPr="00A7409A" w:rsidRDefault="00AF1C18" w:rsidP="00A07E4C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.1.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1.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sertifikācijas institūcijas nosaukum</w:t>
      </w:r>
      <w:r w:rsidR="00D83698" w:rsidRPr="00A7409A">
        <w:rPr>
          <w:rFonts w:ascii="Times New Roman" w:hAnsi="Times New Roman" w:cs="Times New Roman"/>
          <w:sz w:val="27"/>
          <w:szCs w:val="27"/>
          <w:lang w:eastAsia="lv-LV"/>
        </w:rPr>
        <w:t>s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;</w:t>
      </w:r>
    </w:p>
    <w:p w14:paraId="25D8529A" w14:textId="33152505" w:rsidR="00A07E4C" w:rsidRPr="00A7409A" w:rsidRDefault="00AF1C18" w:rsidP="00A07E4C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1.2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. interaktīvās spēles programmas atbilstības pārskata izdošanas datum</w:t>
      </w:r>
      <w:r w:rsidR="00D83698" w:rsidRPr="00A7409A">
        <w:rPr>
          <w:rFonts w:ascii="Times New Roman" w:hAnsi="Times New Roman" w:cs="Times New Roman"/>
          <w:sz w:val="27"/>
          <w:szCs w:val="27"/>
          <w:lang w:eastAsia="lv-LV"/>
        </w:rPr>
        <w:t>s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;</w:t>
      </w:r>
    </w:p>
    <w:p w14:paraId="76E5A174" w14:textId="4D39FC7E" w:rsidR="00A07E4C" w:rsidRPr="00A7409A" w:rsidRDefault="00AF1C18" w:rsidP="00A07E4C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1.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3. interaktīvās spēles programmas atbilstības pārskata numur</w:t>
      </w:r>
      <w:r w:rsidR="00D83698" w:rsidRPr="00A7409A">
        <w:rPr>
          <w:rFonts w:ascii="Times New Roman" w:hAnsi="Times New Roman" w:cs="Times New Roman"/>
          <w:sz w:val="27"/>
          <w:szCs w:val="27"/>
          <w:lang w:eastAsia="lv-LV"/>
        </w:rPr>
        <w:t>s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;</w:t>
      </w:r>
    </w:p>
    <w:p w14:paraId="626FD23B" w14:textId="44985925" w:rsidR="00A07E4C" w:rsidRPr="00A7409A" w:rsidRDefault="00AF1C18" w:rsidP="00A07E4C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1.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4. interaktīvās spēles programmas nosaukum</w:t>
      </w:r>
      <w:r w:rsidR="00D83698" w:rsidRPr="00A7409A">
        <w:rPr>
          <w:rFonts w:ascii="Times New Roman" w:hAnsi="Times New Roman" w:cs="Times New Roman"/>
          <w:sz w:val="27"/>
          <w:szCs w:val="27"/>
          <w:lang w:eastAsia="lv-LV"/>
        </w:rPr>
        <w:t>s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;</w:t>
      </w:r>
    </w:p>
    <w:p w14:paraId="617C9ACB" w14:textId="23A0C572" w:rsidR="00A07E4C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1.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5. interaktīvās spēles programmas ražotāja nosaukum</w:t>
      </w:r>
      <w:r w:rsidR="00D83698" w:rsidRPr="00A7409A">
        <w:rPr>
          <w:rFonts w:ascii="Times New Roman" w:hAnsi="Times New Roman" w:cs="Times New Roman"/>
          <w:sz w:val="27"/>
          <w:szCs w:val="27"/>
          <w:lang w:eastAsia="lv-LV"/>
        </w:rPr>
        <w:t>s</w:t>
      </w:r>
      <w:r w:rsidR="00A07E4C" w:rsidRPr="00A7409A">
        <w:rPr>
          <w:rFonts w:ascii="Times New Roman" w:hAnsi="Times New Roman" w:cs="Times New Roman"/>
          <w:sz w:val="27"/>
          <w:szCs w:val="27"/>
          <w:lang w:eastAsia="lv-LV"/>
        </w:rPr>
        <w:t>;</w:t>
      </w:r>
    </w:p>
    <w:p w14:paraId="12A0BCB0" w14:textId="5EA39C29" w:rsidR="00ED2DAF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694FE4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2</w:t>
      </w:r>
      <w:r w:rsidR="00694FE4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informācij</w:t>
      </w:r>
      <w:r w:rsidR="00710D69" w:rsidRPr="00A7409A">
        <w:rPr>
          <w:rFonts w:ascii="Times New Roman" w:hAnsi="Times New Roman" w:cs="Times New Roman"/>
          <w:sz w:val="27"/>
          <w:szCs w:val="27"/>
          <w:lang w:eastAsia="lv-LV"/>
        </w:rPr>
        <w:t>u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par spēles programm</w:t>
      </w:r>
      <w:r w:rsidR="00710D69" w:rsidRPr="00A7409A">
        <w:rPr>
          <w:rFonts w:ascii="Times New Roman" w:hAnsi="Times New Roman" w:cs="Times New Roman"/>
          <w:sz w:val="27"/>
          <w:szCs w:val="27"/>
          <w:lang w:eastAsia="lv-LV"/>
        </w:rPr>
        <w:t>as atbilstību šādām prasībām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:</w:t>
      </w:r>
    </w:p>
    <w:p w14:paraId="7BE27CB0" w14:textId="0B41991E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2.1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 interaktīvās azartspēles spēles programmas algoritms nodrošina kopējā laimesta kopsummu, ne mazāku par 80 procentiem no iemaksāto likmju kopsummas;</w:t>
      </w:r>
    </w:p>
    <w:p w14:paraId="3AD66CF7" w14:textId="6E9BCD37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lastRenderedPageBreak/>
        <w:t>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2.2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 interaktīvās izlozes spēles programmas algoritms nodrošina, ka laimestu kopsumma nav mazāka par 45 procentiem no biļešu realizācijas kopsummas;</w:t>
      </w:r>
    </w:p>
    <w:p w14:paraId="4F1F117A" w14:textId="6A1CB575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2.3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 interaktīvās spēles programmas algoritms balstās uz gadījumatlases principu un spēles iznākuma noteikšanai izmanto nejauš</w:t>
      </w:r>
      <w:r w:rsidR="004A273B" w:rsidRPr="00A7409A">
        <w:rPr>
          <w:rFonts w:ascii="Times New Roman" w:hAnsi="Times New Roman" w:cs="Times New Roman"/>
          <w:sz w:val="27"/>
          <w:szCs w:val="27"/>
          <w:lang w:eastAsia="lv-LV"/>
        </w:rPr>
        <w:t>ās atlases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skaitļu ģeneratora iegūto rezultātu;</w:t>
      </w:r>
    </w:p>
    <w:p w14:paraId="75EE55AD" w14:textId="6A6A3AB8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2.4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 nejaušās atlases skaitļu ģeneratora un nejaušu skaitļu diapazona izmaiņu algoritms atbilst šādiem nosacījumiem:</w:t>
      </w:r>
    </w:p>
    <w:p w14:paraId="5359BE50" w14:textId="085B904B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2.4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.1. nejaušās atlases skaitlis ir statistiski neatkarīgs;</w:t>
      </w:r>
    </w:p>
    <w:p w14:paraId="34E6F5A1" w14:textId="3BBB52DB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2.4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.2. nejaušās atlases skaitlis nav prognozējams;</w:t>
      </w:r>
    </w:p>
    <w:p w14:paraId="1B69F0EA" w14:textId="1C666B96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2.4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>.3. nejaušās atlases skaitļa ģeneratora iegūtais spēles rezultāts atbilst testa rezultātam, kas iegūts ar gadījumatlases testu sērijas palīdzību;</w:t>
      </w:r>
    </w:p>
    <w:p w14:paraId="4A4C092A" w14:textId="203A0CAC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hAnsi="Times New Roman" w:cs="Times New Roman"/>
          <w:sz w:val="27"/>
          <w:szCs w:val="27"/>
          <w:lang w:eastAsia="lv-LV"/>
        </w:rPr>
        <w:t>3</w:t>
      </w:r>
      <w:r w:rsidR="00A31D79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4E2C64" w:rsidRPr="00A7409A">
        <w:rPr>
          <w:rFonts w:ascii="Times New Roman" w:hAnsi="Times New Roman" w:cs="Times New Roman"/>
          <w:sz w:val="27"/>
          <w:szCs w:val="27"/>
          <w:lang w:eastAsia="lv-LV"/>
        </w:rPr>
        <w:t>2.</w:t>
      </w:r>
      <w:r w:rsidR="00ED2DAF" w:rsidRPr="00A7409A">
        <w:rPr>
          <w:rFonts w:ascii="Times New Roman" w:hAnsi="Times New Roman" w:cs="Times New Roman"/>
          <w:sz w:val="27"/>
          <w:szCs w:val="27"/>
          <w:lang w:eastAsia="lv-LV"/>
        </w:rPr>
        <w:t>5</w:t>
      </w:r>
      <w:r w:rsidR="00A31D79" w:rsidRPr="00A7409A">
        <w:rPr>
          <w:rFonts w:ascii="Times New Roman" w:hAnsi="Times New Roman" w:cs="Times New Roman"/>
          <w:sz w:val="27"/>
          <w:szCs w:val="27"/>
          <w:lang w:eastAsia="lv-LV"/>
        </w:rPr>
        <w:t>.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interaktīvās spēles programmas un katras atsevišķās tās sastāvā esošās daļas kontrolsumm</w:t>
      </w:r>
      <w:r w:rsidR="00A31D79" w:rsidRPr="00A7409A">
        <w:rPr>
          <w:rFonts w:ascii="Times New Roman" w:hAnsi="Times New Roman" w:cs="Times New Roman"/>
          <w:sz w:val="27"/>
          <w:szCs w:val="27"/>
          <w:lang w:eastAsia="lv-LV"/>
        </w:rPr>
        <w:t>u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ražotāja noteiktā koda veidā.</w:t>
      </w:r>
    </w:p>
    <w:p w14:paraId="6B3BBA91" w14:textId="6E04D848" w:rsidR="009C07AB" w:rsidRPr="00A7409A" w:rsidRDefault="00AF1C18" w:rsidP="009C07AB">
      <w:pPr>
        <w:jc w:val="both"/>
        <w:rPr>
          <w:rFonts w:ascii="Times New Roman" w:hAnsi="Times New Roman" w:cs="Times New Roman"/>
          <w:sz w:val="27"/>
          <w:szCs w:val="27"/>
          <w:lang w:eastAsia="lv-LV"/>
        </w:rPr>
      </w:pPr>
      <w:bookmarkStart w:id="12" w:name="p8"/>
      <w:bookmarkStart w:id="13" w:name="p-151022"/>
      <w:bookmarkStart w:id="14" w:name="p9"/>
      <w:bookmarkStart w:id="15" w:name="p-151023"/>
      <w:bookmarkEnd w:id="12"/>
      <w:bookmarkEnd w:id="13"/>
      <w:bookmarkEnd w:id="14"/>
      <w:bookmarkEnd w:id="15"/>
      <w:r w:rsidRPr="00A7409A">
        <w:rPr>
          <w:rFonts w:ascii="Times New Roman" w:hAnsi="Times New Roman" w:cs="Times New Roman"/>
          <w:sz w:val="27"/>
          <w:szCs w:val="27"/>
          <w:lang w:eastAsia="lv-LV"/>
        </w:rPr>
        <w:t>4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. Sertifikācijas institūcija pievieno interaktīvās spēles programmas atbilstības pārskatam dokumentu, kas apliecina tās tiesības veikt interaktīvās spēles </w:t>
      </w:r>
      <w:r w:rsidR="004E2C64" w:rsidRPr="00A7409A">
        <w:rPr>
          <w:rFonts w:ascii="Times New Roman" w:hAnsi="Times New Roman" w:cs="Times New Roman"/>
          <w:sz w:val="27"/>
          <w:szCs w:val="27"/>
          <w:lang w:eastAsia="lv-LV"/>
        </w:rPr>
        <w:t>programmas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atbilstības pārbaudi.</w:t>
      </w:r>
    </w:p>
    <w:p w14:paraId="565E4875" w14:textId="4AEA2C08" w:rsidR="009C07AB" w:rsidRPr="00A7409A" w:rsidRDefault="00AF1C18" w:rsidP="009C07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bookmarkStart w:id="16" w:name="n4"/>
      <w:bookmarkStart w:id="17" w:name="p10"/>
      <w:bookmarkStart w:id="18" w:name="p-151025"/>
      <w:bookmarkEnd w:id="16"/>
      <w:bookmarkEnd w:id="17"/>
      <w:bookmarkEnd w:id="18"/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>5</w:t>
      </w:r>
      <w:r w:rsidR="009C07AB"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>. Interaktīvās azartspēles vai interaktīvās izlozes organizētāja konkrētai</w:t>
      </w:r>
      <w:r w:rsidR="009C07AB" w:rsidRPr="00A7409A">
        <w:rPr>
          <w:rFonts w:ascii="Times New Roman" w:eastAsia="Times New Roman" w:hAnsi="Times New Roman" w:cs="Times New Roman"/>
          <w:i/>
          <w:sz w:val="27"/>
          <w:szCs w:val="27"/>
          <w:lang w:eastAsia="lv-LV"/>
        </w:rPr>
        <w:t xml:space="preserve"> </w:t>
      </w:r>
      <w:r w:rsidR="009C07AB"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>interaktīvajai azartspēlei vai interaktīvajai izlozei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sertifikācijas institūcijas </w:t>
      </w:r>
      <w:r w:rsidR="009C07AB"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>atbilstošais</w:t>
      </w:r>
      <w:r w:rsidR="009C07AB" w:rsidRPr="00A7409A">
        <w:rPr>
          <w:rFonts w:ascii="Times New Roman" w:hAnsi="Times New Roman" w:cs="Times New Roman"/>
          <w:sz w:val="27"/>
          <w:szCs w:val="27"/>
          <w:lang w:eastAsia="lv-LV"/>
        </w:rPr>
        <w:t xml:space="preserve"> interaktīvās spēles programmas atbilstības pārskats, kas izsniegts</w:t>
      </w:r>
      <w:r w:rsidR="009C07AB"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 līdz 2018.gada 1.janvārim,</w:t>
      </w:r>
      <w:r w:rsidR="009C07AB" w:rsidRPr="00A7409A">
        <w:rPr>
          <w:rFonts w:ascii="Times New Roman" w:eastAsia="Times New Roman" w:hAnsi="Times New Roman" w:cs="Times New Roman"/>
          <w:i/>
          <w:sz w:val="27"/>
          <w:szCs w:val="27"/>
          <w:lang w:eastAsia="lv-LV"/>
        </w:rPr>
        <w:t xml:space="preserve"> </w:t>
      </w:r>
      <w:r w:rsidR="009C07AB"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>ir derīgs līdz laikam, kamēr nav veiktas izmaiņas konkrētajā interaktīvās spēles programmā.</w:t>
      </w:r>
    </w:p>
    <w:p w14:paraId="7A0E8997" w14:textId="77777777" w:rsidR="009C07AB" w:rsidRPr="00A7409A" w:rsidRDefault="009C07AB" w:rsidP="009C07AB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1AC164F0" w14:textId="14A7FBB6" w:rsidR="009C07AB" w:rsidRPr="00A7409A" w:rsidRDefault="00AF1C18" w:rsidP="009C07AB">
      <w:pPr>
        <w:jc w:val="both"/>
        <w:rPr>
          <w:rStyle w:val="CommentReference"/>
          <w:rFonts w:ascii="Times New Roman" w:hAnsi="Times New Roman"/>
          <w:sz w:val="27"/>
          <w:szCs w:val="27"/>
        </w:rPr>
      </w:pP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>6</w:t>
      </w:r>
      <w:r w:rsidR="009C07AB"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. Ja pēc šo noteikumu spēkā stāšanās interaktīvo azartspēļu organizētāja vai interaktīvo izložu organizētāja konkrētai interaktīvajai azartspēlei vai interaktīvajai izlozei nav sertifikācijas institūcijas izsniegts atbilstošs interaktīvās spēles programmas atbilstības pārskats, tad </w:t>
      </w:r>
      <w:r w:rsidR="00676399"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sešu </w:t>
      </w:r>
      <w:r w:rsidR="009C07AB"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>mēnešu laikā pēc šo noteikumu spēkā stāšanās interaktīvo azartspēļu organizētājs vai interaktīvo izložu organizētājs iesniedz Izložu un azartspēļu uzraudzības inspekcijā interaktīvās spēles programmas atbilstības pārskatu atbilstoši šajos</w:t>
      </w:r>
      <w:r w:rsidR="009C07AB" w:rsidRPr="00A7409A">
        <w:rPr>
          <w:rStyle w:val="CommentReference"/>
          <w:rFonts w:ascii="Times New Roman" w:hAnsi="Times New Roman"/>
          <w:sz w:val="27"/>
          <w:szCs w:val="27"/>
        </w:rPr>
        <w:t xml:space="preserve"> noteikumos minētajām prasībām.</w:t>
      </w:r>
    </w:p>
    <w:p w14:paraId="4F2916F5" w14:textId="77777777" w:rsidR="00A7409A" w:rsidRDefault="00A7409A" w:rsidP="009C07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163C0B69" w14:textId="4E9F450E" w:rsidR="009C07AB" w:rsidRPr="00A7409A" w:rsidRDefault="009C07AB" w:rsidP="009C07AB">
      <w:pPr>
        <w:spacing w:after="0" w:line="240" w:lineRule="auto"/>
        <w:rPr>
          <w:rFonts w:ascii="Times New Roman" w:eastAsia="Times New Roman" w:hAnsi="Times New Roman" w:cs="Times New Roman"/>
          <w:vanish/>
          <w:sz w:val="27"/>
          <w:szCs w:val="27"/>
          <w:lang w:eastAsia="lv-LV"/>
        </w:rPr>
      </w:pPr>
      <w:r w:rsidRPr="00A7409A">
        <w:rPr>
          <w:rFonts w:ascii="Times New Roman" w:eastAsia="Times New Roman" w:hAnsi="Times New Roman" w:cs="Times New Roman"/>
          <w:vanish/>
          <w:sz w:val="27"/>
          <w:szCs w:val="27"/>
          <w:lang w:eastAsia="lv-LV"/>
        </w:rPr>
        <w:t>20</w:t>
      </w:r>
    </w:p>
    <w:p w14:paraId="2F35ED65" w14:textId="405E74B1" w:rsidR="009C07AB" w:rsidRPr="00A7409A" w:rsidRDefault="009C07AB" w:rsidP="009C07AB">
      <w:pPr>
        <w:rPr>
          <w:rFonts w:ascii="Times New Roman" w:eastAsia="Times New Roman" w:hAnsi="Times New Roman" w:cs="Times New Roman"/>
          <w:sz w:val="27"/>
          <w:szCs w:val="27"/>
          <w:lang w:eastAsia="lv-LV"/>
        </w:rPr>
      </w:pP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 xml:space="preserve">Ministru prezidents </w:t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  <w:t>M.Kučinskis</w:t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Pr="00A7409A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</w:p>
    <w:p w14:paraId="71F5EAD2" w14:textId="77777777" w:rsidR="00A07132" w:rsidRPr="00E577B9" w:rsidRDefault="00A07132" w:rsidP="00A0713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77B9">
        <w:rPr>
          <w:rFonts w:ascii="Times New Roman" w:hAnsi="Times New Roman" w:cs="Times New Roman"/>
          <w:sz w:val="27"/>
          <w:szCs w:val="27"/>
        </w:rPr>
        <w:t>Finanšu ministres vietā –</w:t>
      </w:r>
    </w:p>
    <w:p w14:paraId="3E2A16DF" w14:textId="02AF941B" w:rsidR="00F94815" w:rsidRPr="00A7409A" w:rsidRDefault="00A07132" w:rsidP="00A07132">
      <w:pPr>
        <w:rPr>
          <w:rFonts w:ascii="Times New Roman" w:hAnsi="Times New Roman" w:cs="Times New Roman"/>
          <w:sz w:val="28"/>
          <w:szCs w:val="28"/>
        </w:rPr>
      </w:pPr>
      <w:r w:rsidRPr="00E577B9">
        <w:rPr>
          <w:rFonts w:ascii="Times New Roman" w:hAnsi="Times New Roman" w:cs="Times New Roman"/>
          <w:sz w:val="27"/>
          <w:szCs w:val="27"/>
        </w:rPr>
        <w:t xml:space="preserve">satiksmes ministrs                               </w:t>
      </w:r>
      <w:r w:rsidRPr="00A07132">
        <w:rPr>
          <w:rFonts w:ascii="Times New Roman" w:hAnsi="Times New Roman" w:cs="Times New Roman"/>
          <w:sz w:val="27"/>
          <w:szCs w:val="27"/>
        </w:rPr>
        <w:t xml:space="preserve">     </w:t>
      </w:r>
      <w:r w:rsidRPr="00E577B9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Pr="00E577B9">
        <w:rPr>
          <w:rFonts w:ascii="Times New Roman" w:hAnsi="Times New Roman" w:cs="Times New Roman"/>
          <w:sz w:val="27"/>
          <w:szCs w:val="27"/>
        </w:rPr>
        <w:t xml:space="preserve">    U.Augulis</w:t>
      </w:r>
      <w:r w:rsidR="009C07AB" w:rsidRPr="00E577B9">
        <w:rPr>
          <w:rFonts w:ascii="Times New Roman" w:eastAsia="Times New Roman" w:hAnsi="Times New Roman" w:cs="Times New Roman"/>
          <w:sz w:val="27"/>
          <w:szCs w:val="27"/>
          <w:lang w:eastAsia="lv-LV"/>
        </w:rPr>
        <w:tab/>
      </w:r>
      <w:r w:rsidR="009C07AB" w:rsidRPr="00B24FF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C07AB" w:rsidRPr="00B24FF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C07AB" w:rsidRPr="00B24FF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C07AB" w:rsidRPr="00B24FF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C07AB" w:rsidRPr="00B24FF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sectPr w:rsidR="00F94815" w:rsidRPr="00A7409A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4F69" w14:textId="77777777" w:rsidR="00E47794" w:rsidRDefault="00E47794" w:rsidP="009C07AB">
      <w:pPr>
        <w:spacing w:after="0" w:line="240" w:lineRule="auto"/>
      </w:pPr>
      <w:r>
        <w:separator/>
      </w:r>
    </w:p>
  </w:endnote>
  <w:endnote w:type="continuationSeparator" w:id="0">
    <w:p w14:paraId="48D1CFD7" w14:textId="77777777" w:rsidR="00E47794" w:rsidRDefault="00E47794" w:rsidP="009C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30D3" w14:textId="099ED003" w:rsidR="007748C1" w:rsidRDefault="009C07AB">
    <w:pPr>
      <w:pStyle w:val="Footer"/>
    </w:pPr>
    <w:r w:rsidRPr="00171331">
      <w:rPr>
        <w:rFonts w:ascii="Times New Roman" w:hAnsi="Times New Roman" w:cs="Times New Roman"/>
        <w:sz w:val="20"/>
        <w:szCs w:val="20"/>
      </w:rPr>
      <w:t>FMnot_</w:t>
    </w:r>
    <w:r w:rsidR="005A69F3">
      <w:rPr>
        <w:rFonts w:ascii="Times New Roman" w:hAnsi="Times New Roman" w:cs="Times New Roman"/>
        <w:sz w:val="20"/>
        <w:szCs w:val="20"/>
      </w:rPr>
      <w:t>240118</w:t>
    </w:r>
    <w:r>
      <w:rPr>
        <w:rFonts w:ascii="Times New Roman" w:hAnsi="Times New Roman" w:cs="Times New Roman"/>
        <w:sz w:val="20"/>
        <w:szCs w:val="20"/>
      </w:rPr>
      <w:t>_atb.pārs</w:t>
    </w:r>
    <w:r w:rsidR="001C7F11">
      <w:rPr>
        <w:rFonts w:ascii="Times New Roman" w:hAnsi="Times New Roman" w:cs="Times New Roman"/>
        <w:sz w:val="20"/>
        <w:szCs w:val="20"/>
      </w:rPr>
      <w:t>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7CD6" w14:textId="77777777" w:rsidR="00E47794" w:rsidRDefault="00E47794" w:rsidP="009C07AB">
      <w:pPr>
        <w:spacing w:after="0" w:line="240" w:lineRule="auto"/>
      </w:pPr>
      <w:r>
        <w:separator/>
      </w:r>
    </w:p>
  </w:footnote>
  <w:footnote w:type="continuationSeparator" w:id="0">
    <w:p w14:paraId="33A252D6" w14:textId="77777777" w:rsidR="00E47794" w:rsidRDefault="00E47794" w:rsidP="009C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1E8"/>
    <w:multiLevelType w:val="hybridMultilevel"/>
    <w:tmpl w:val="3162D868"/>
    <w:lvl w:ilvl="0" w:tplc="14C6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AB"/>
    <w:rsid w:val="000102BB"/>
    <w:rsid w:val="00011E4D"/>
    <w:rsid w:val="0003428D"/>
    <w:rsid w:val="000479EA"/>
    <w:rsid w:val="000530A2"/>
    <w:rsid w:val="0006048A"/>
    <w:rsid w:val="0007592E"/>
    <w:rsid w:val="000B14FA"/>
    <w:rsid w:val="000C1230"/>
    <w:rsid w:val="001216CF"/>
    <w:rsid w:val="00144D70"/>
    <w:rsid w:val="0015545C"/>
    <w:rsid w:val="00173F7C"/>
    <w:rsid w:val="001A1CAE"/>
    <w:rsid w:val="001C7F11"/>
    <w:rsid w:val="0020069C"/>
    <w:rsid w:val="00256DEF"/>
    <w:rsid w:val="0029112C"/>
    <w:rsid w:val="0034548B"/>
    <w:rsid w:val="00375D56"/>
    <w:rsid w:val="0039216D"/>
    <w:rsid w:val="003A6076"/>
    <w:rsid w:val="003B6BA2"/>
    <w:rsid w:val="003C2495"/>
    <w:rsid w:val="003C48FE"/>
    <w:rsid w:val="00456417"/>
    <w:rsid w:val="004A273B"/>
    <w:rsid w:val="004B562D"/>
    <w:rsid w:val="004E261A"/>
    <w:rsid w:val="004E2C64"/>
    <w:rsid w:val="00523D86"/>
    <w:rsid w:val="00550279"/>
    <w:rsid w:val="00573591"/>
    <w:rsid w:val="005A69F3"/>
    <w:rsid w:val="005F4325"/>
    <w:rsid w:val="006129D7"/>
    <w:rsid w:val="00644922"/>
    <w:rsid w:val="00676399"/>
    <w:rsid w:val="00693C6E"/>
    <w:rsid w:val="00694FE4"/>
    <w:rsid w:val="006972A0"/>
    <w:rsid w:val="00710D69"/>
    <w:rsid w:val="007176C6"/>
    <w:rsid w:val="007B6214"/>
    <w:rsid w:val="007F2962"/>
    <w:rsid w:val="008446B1"/>
    <w:rsid w:val="00857B29"/>
    <w:rsid w:val="00870C4D"/>
    <w:rsid w:val="008C5804"/>
    <w:rsid w:val="009C07AB"/>
    <w:rsid w:val="00A07132"/>
    <w:rsid w:val="00A07E4C"/>
    <w:rsid w:val="00A31D79"/>
    <w:rsid w:val="00A7409A"/>
    <w:rsid w:val="00A775A8"/>
    <w:rsid w:val="00A84E79"/>
    <w:rsid w:val="00AA06C1"/>
    <w:rsid w:val="00AF1C18"/>
    <w:rsid w:val="00B379ED"/>
    <w:rsid w:val="00B97790"/>
    <w:rsid w:val="00BD7B9D"/>
    <w:rsid w:val="00C2531D"/>
    <w:rsid w:val="00C3639F"/>
    <w:rsid w:val="00C60BE5"/>
    <w:rsid w:val="00C73B31"/>
    <w:rsid w:val="00CA3609"/>
    <w:rsid w:val="00CA70AD"/>
    <w:rsid w:val="00CD55A9"/>
    <w:rsid w:val="00D74426"/>
    <w:rsid w:val="00D7489F"/>
    <w:rsid w:val="00D83698"/>
    <w:rsid w:val="00DA0181"/>
    <w:rsid w:val="00DA22E9"/>
    <w:rsid w:val="00DA636C"/>
    <w:rsid w:val="00DC591E"/>
    <w:rsid w:val="00E47794"/>
    <w:rsid w:val="00E563A8"/>
    <w:rsid w:val="00E577B9"/>
    <w:rsid w:val="00E75AFF"/>
    <w:rsid w:val="00E91C94"/>
    <w:rsid w:val="00EA587F"/>
    <w:rsid w:val="00ED2DAF"/>
    <w:rsid w:val="00F80F2D"/>
    <w:rsid w:val="00F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A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A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7A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AB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9C07A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C07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AB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79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790"/>
    <w:rPr>
      <w:rFonts w:asciiTheme="minorHAnsi" w:eastAsia="Times New Roman" w:hAnsiTheme="minorHAns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A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7AB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AB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9C07AB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9C07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AB"/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79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790"/>
    <w:rPr>
      <w:rFonts w:asciiTheme="minorHAnsi" w:eastAsia="Times New Roman" w:hAnsiTheme="minorHAns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kumi.lv/ta/id/122941-azartspelu-un-izlozu-likum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kumi.lv/ta/id/122941-azartspelu-un-izlozu-liku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222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B571-9080-4A67-9525-62411A633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E0430-3E69-40DA-A8B5-114AA629F4F7}">
  <ds:schemaRefs>
    <ds:schemaRef ds:uri="http://schemas.microsoft.com/office/2006/metadata/properties"/>
    <ds:schemaRef ds:uri="2e5bb04e-596e-45bd-9003-43ca78b1ba16"/>
  </ds:schemaRefs>
</ds:datastoreItem>
</file>

<file path=customXml/itemProps3.xml><?xml version="1.0" encoding="utf-8"?>
<ds:datastoreItem xmlns:ds="http://schemas.openxmlformats.org/officeDocument/2006/customXml" ds:itemID="{5BDABE3A-4BDB-4CC6-AFC4-728032210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3AA701-DB95-4685-9B51-B877CDE2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interaktīvās azartspēles vai interaktīvās izlozes organizēšanā izmantojamās spēles programmas atbilstības pārskatā iekļaujamo informāciju"</vt:lpstr>
    </vt:vector>
  </TitlesOfParts>
  <Company>Finanšu ministrija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interaktīvās azartspēles vai interaktīvās izlozes organizēšanā izmantojamās spēles programmas atbilstības pārskatā iekļaujamo informāciju"</dc:title>
  <dc:subject>Noteikumu projekts</dc:subject>
  <dc:creator>I.Zariņa</dc:creator>
  <dc:description>67095672, Indra.Zarina@fm.gov.lv</dc:description>
  <cp:lastModifiedBy>Laimdota Adlere</cp:lastModifiedBy>
  <cp:revision>41</cp:revision>
  <cp:lastPrinted>2017-12-21T07:48:00Z</cp:lastPrinted>
  <dcterms:created xsi:type="dcterms:W3CDTF">2017-12-05T14:10:00Z</dcterms:created>
  <dcterms:modified xsi:type="dcterms:W3CDTF">2018-02-15T12:22:00Z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