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E7" w:rsidRDefault="00EB7BE7" w:rsidP="000D43EA">
      <w:pPr>
        <w:jc w:val="center"/>
        <w:rPr>
          <w:b/>
        </w:rPr>
      </w:pPr>
      <w:r w:rsidRPr="008977ED">
        <w:rPr>
          <w:b/>
        </w:rPr>
        <w:t>Likumprojekta „Grozījum</w:t>
      </w:r>
      <w:r>
        <w:rPr>
          <w:b/>
        </w:rPr>
        <w:t xml:space="preserve">i likumā „Par policiju”” </w:t>
      </w:r>
      <w:r w:rsidRPr="008977ED">
        <w:rPr>
          <w:b/>
        </w:rPr>
        <w:t>sākotnējās ietekmes novērtējuma ziņojums (anotācija)</w:t>
      </w:r>
    </w:p>
    <w:p w:rsidR="000D43EA" w:rsidRDefault="000D43EA" w:rsidP="000D43EA">
      <w:pPr>
        <w:jc w:val="center"/>
        <w:rPr>
          <w:b/>
        </w:rPr>
      </w:pPr>
    </w:p>
    <w:p w:rsidR="000D43EA" w:rsidRPr="000D43EA" w:rsidRDefault="000D43EA" w:rsidP="000D43EA">
      <w:pPr>
        <w:jc w:val="center"/>
        <w:rPr>
          <w:b/>
          <w:color w:val="000000"/>
        </w:rPr>
      </w:pPr>
    </w:p>
    <w:tbl>
      <w:tblPr>
        <w:tblStyle w:val="TableGrid"/>
        <w:tblW w:w="9133" w:type="dxa"/>
        <w:tblLayout w:type="fixed"/>
        <w:tblLook w:val="04A0" w:firstRow="1" w:lastRow="0" w:firstColumn="1" w:lastColumn="0" w:noHBand="0" w:noVBand="1"/>
      </w:tblPr>
      <w:tblGrid>
        <w:gridCol w:w="675"/>
        <w:gridCol w:w="2694"/>
        <w:gridCol w:w="5764"/>
      </w:tblGrid>
      <w:tr w:rsidR="00EB7BE7" w:rsidRPr="008977ED" w:rsidTr="00C62011">
        <w:tc>
          <w:tcPr>
            <w:tcW w:w="9133" w:type="dxa"/>
            <w:gridSpan w:val="3"/>
          </w:tcPr>
          <w:p w:rsidR="000D43EA" w:rsidRDefault="000D43EA" w:rsidP="00C62011">
            <w:pPr>
              <w:pStyle w:val="BodyText"/>
              <w:spacing w:before="60" w:after="60"/>
              <w:rPr>
                <w:sz w:val="24"/>
              </w:rPr>
            </w:pPr>
          </w:p>
          <w:p w:rsidR="00EB7BE7" w:rsidRPr="008977ED" w:rsidRDefault="00EB7BE7" w:rsidP="00C62011">
            <w:pPr>
              <w:pStyle w:val="BodyText"/>
              <w:spacing w:before="60" w:after="60"/>
              <w:rPr>
                <w:sz w:val="24"/>
              </w:rPr>
            </w:pPr>
            <w:r w:rsidRPr="008977ED">
              <w:rPr>
                <w:sz w:val="24"/>
              </w:rPr>
              <w:t>I. Tiesību akta projekta izstrādes nepieciešamība</w:t>
            </w:r>
          </w:p>
        </w:tc>
      </w:tr>
      <w:tr w:rsidR="00EB7BE7" w:rsidRPr="008977ED" w:rsidTr="00C62011">
        <w:tc>
          <w:tcPr>
            <w:tcW w:w="675" w:type="dxa"/>
          </w:tcPr>
          <w:p w:rsidR="00EB7BE7" w:rsidRPr="008977ED" w:rsidRDefault="00EB7BE7" w:rsidP="00C62011">
            <w:pPr>
              <w:spacing w:before="60"/>
            </w:pPr>
            <w:r w:rsidRPr="008977ED">
              <w:t>1.</w:t>
            </w:r>
          </w:p>
        </w:tc>
        <w:tc>
          <w:tcPr>
            <w:tcW w:w="2694" w:type="dxa"/>
          </w:tcPr>
          <w:p w:rsidR="00EB7BE7" w:rsidRPr="008977ED" w:rsidRDefault="00EB7BE7" w:rsidP="00C62011">
            <w:pPr>
              <w:spacing w:before="60"/>
            </w:pPr>
            <w:r w:rsidRPr="008977ED">
              <w:t>Pamatojums</w:t>
            </w:r>
          </w:p>
        </w:tc>
        <w:tc>
          <w:tcPr>
            <w:tcW w:w="5764" w:type="dxa"/>
          </w:tcPr>
          <w:p w:rsidR="00EB7BE7" w:rsidRPr="0028505E" w:rsidRDefault="00EB7BE7" w:rsidP="00C62011">
            <w:pPr>
              <w:spacing w:before="60"/>
              <w:ind w:firstLine="771"/>
              <w:jc w:val="both"/>
            </w:pPr>
            <w:r w:rsidRPr="0028505E">
              <w:t xml:space="preserve">Ministru kabineta 2016.gada </w:t>
            </w:r>
            <w:r>
              <w:t>5</w:t>
            </w:r>
            <w:r w:rsidRPr="0028505E">
              <w:t>.</w:t>
            </w:r>
            <w:r>
              <w:t>aprīļa</w:t>
            </w:r>
            <w:r w:rsidRPr="0028505E">
              <w:t xml:space="preserve"> </w:t>
            </w:r>
            <w:r>
              <w:t xml:space="preserve">sēdes </w:t>
            </w:r>
            <w:r w:rsidRPr="0028505E">
              <w:t>protokols Nr.</w:t>
            </w:r>
            <w:r>
              <w:t>16</w:t>
            </w:r>
            <w:r w:rsidRPr="0028505E">
              <w:t xml:space="preserve">, </w:t>
            </w:r>
            <w:r>
              <w:t>22</w:t>
            </w:r>
            <w:r w:rsidRPr="0028505E">
              <w:t>.§ (TA-</w:t>
            </w:r>
            <w:r>
              <w:t>1725</w:t>
            </w:r>
            <w:r w:rsidRPr="0028505E">
              <w:t>).</w:t>
            </w:r>
          </w:p>
        </w:tc>
      </w:tr>
      <w:tr w:rsidR="00EB7BE7" w:rsidRPr="00FD2781" w:rsidTr="00C62011">
        <w:tc>
          <w:tcPr>
            <w:tcW w:w="675" w:type="dxa"/>
          </w:tcPr>
          <w:p w:rsidR="00EB7BE7" w:rsidRPr="008977ED" w:rsidRDefault="00EB7BE7" w:rsidP="00C62011">
            <w:pPr>
              <w:spacing w:before="60" w:line="720" w:lineRule="auto"/>
            </w:pPr>
            <w:r w:rsidRPr="008977ED">
              <w:t>2.</w:t>
            </w:r>
          </w:p>
        </w:tc>
        <w:tc>
          <w:tcPr>
            <w:tcW w:w="2694" w:type="dxa"/>
          </w:tcPr>
          <w:p w:rsidR="00EB7BE7" w:rsidRPr="008977ED" w:rsidRDefault="00EB7BE7" w:rsidP="00C62011">
            <w:pPr>
              <w:spacing w:before="60"/>
            </w:pPr>
            <w:r w:rsidRPr="008977ED">
              <w:t>Pašreizējā situācija un problēmas, kuru risināšanai tiesību akta projekts izstrādāts, tiesiskā regulējuma mērķis un būtība</w:t>
            </w:r>
          </w:p>
        </w:tc>
        <w:tc>
          <w:tcPr>
            <w:tcW w:w="5764" w:type="dxa"/>
          </w:tcPr>
          <w:p w:rsidR="00316EB9" w:rsidRDefault="00316EB9" w:rsidP="00316EB9">
            <w:pPr>
              <w:ind w:firstLine="771"/>
              <w:jc w:val="both"/>
            </w:pPr>
            <w:r w:rsidRPr="00316EB9">
              <w:t xml:space="preserve">Saskaņā ar Saeimā </w:t>
            </w:r>
            <w:proofErr w:type="gramStart"/>
            <w:r w:rsidRPr="00316EB9">
              <w:t>2017.gada</w:t>
            </w:r>
            <w:proofErr w:type="gramEnd"/>
            <w:r w:rsidRPr="00316EB9">
              <w:t xml:space="preserve"> 22.jūnijā pieņemto likumu “Grozījumi likumā “Par Valsts ieņēmumu dienestu”” finanšu policija un muitas policija apvienota vienā izmeklēšanas iestādē - Valsts ieņēmumu dienesta nodokļu un muitas policijā, kā arī izveidota jauna izmeklēšanas iestāde – Valsts ieņēmumu dienesta Iekšējās drošības pārvalde. Atbilstoši likuma “Par Valsts ieņēmumu dienestu” pārejas noteikumu  41.punktam, grozījumi šā likuma 3. pantā, grozījumi 13. pantā par septītās daļas izslēgšanu, grozījumi 13.</w:t>
            </w:r>
            <w:r w:rsidRPr="00316EB9">
              <w:rPr>
                <w:vertAlign w:val="superscript"/>
              </w:rPr>
              <w:t>1</w:t>
            </w:r>
            <w:r w:rsidRPr="00316EB9">
              <w:t xml:space="preserve"> pantā par šā panta izslēgšanu, grozījumi 4. nodaļas nosaukumā, 14., 16., 16.</w:t>
            </w:r>
            <w:r w:rsidRPr="00316EB9">
              <w:rPr>
                <w:vertAlign w:val="superscript"/>
              </w:rPr>
              <w:t>1</w:t>
            </w:r>
            <w:r w:rsidRPr="00316EB9">
              <w:t xml:space="preserve"> un 16.</w:t>
            </w:r>
            <w:r w:rsidRPr="00316EB9">
              <w:rPr>
                <w:vertAlign w:val="superscript"/>
              </w:rPr>
              <w:t>2</w:t>
            </w:r>
            <w:r w:rsidRPr="00316EB9">
              <w:t xml:space="preserve"> pantā un 5.</w:t>
            </w:r>
            <w:r w:rsidRPr="00316EB9">
              <w:rPr>
                <w:vertAlign w:val="superscript"/>
              </w:rPr>
              <w:t>1</w:t>
            </w:r>
            <w:r w:rsidRPr="00316EB9">
              <w:t xml:space="preserve"> nodaļa, kā arī grozījumi 25. panta otrajā un trešajā daļā un šo pārejas noteikumu 38., 39. un 40. punktu stājas spēkā vienlaikus ar atbilstošiem grozījumiem Kriminālprocesa likumā.</w:t>
            </w:r>
            <w:r w:rsidRPr="00316EB9">
              <w:rPr>
                <w:lang w:eastAsia="lv-LV"/>
              </w:rPr>
              <w:t xml:space="preserve"> </w:t>
            </w:r>
            <w:r w:rsidRPr="00316EB9">
              <w:t>Savukārt, saskaņā ar Saeimā 2017.gada 28.septembrī pieņemto likumu “Grozījumi Kriminālprocesa likumā” 1.pantā ietvertajiem grozījumiem Kriminālprocesa likuma 386. pantā šā panta 3. punktā vārdi "Finanšu policija" aizstāti ar vārdiem "Valsts ieņēmumu dienesta Iekšējās drošības pārvalde" un 7. punkts izteikts jaunā redakcijā "7) Valsts ieņēmumu dienesta nodokļu un muitas policija;". Pamatojoties uz minēto nepieciešams izdarīt atbilstošus grozījumus likuma “Par policiju” preambulas otrajā teikumā.</w:t>
            </w:r>
          </w:p>
          <w:p w:rsidR="00316EB9" w:rsidRDefault="00EB7BE7" w:rsidP="00316EB9">
            <w:pPr>
              <w:ind w:firstLine="771"/>
              <w:jc w:val="both"/>
            </w:pPr>
            <w:r w:rsidRPr="00841D4D">
              <w:t xml:space="preserve">Ievērojot Ministru kabineta </w:t>
            </w:r>
            <w:proofErr w:type="gramStart"/>
            <w:r w:rsidRPr="00841D4D">
              <w:t>2016.gada</w:t>
            </w:r>
            <w:proofErr w:type="gramEnd"/>
            <w:r w:rsidRPr="00841D4D">
              <w:t xml:space="preserve"> 5.aprīļa sēdes protokola Nr.16, 22.§ (TA-1725) „Par informatīvo ziņojumu "Par Valsts policijas un republikas pilsētu un novadu pašvaldības policijas institūciju sadarbības pilnveidošanu”” 2.punktā noteikto, Iekšlietu ministrija ir sagatavojusi grozījumus likumā „Par policiju” (turpmāk – likumprojekts). </w:t>
            </w:r>
          </w:p>
          <w:p w:rsidR="00EB7BE7" w:rsidRPr="00841D4D" w:rsidRDefault="00EB7BE7" w:rsidP="00316EB9">
            <w:pPr>
              <w:ind w:firstLine="771"/>
              <w:jc w:val="both"/>
            </w:pPr>
            <w:r w:rsidRPr="00841D4D">
              <w:t xml:space="preserve">Saskaņā ar likuma „Par policiju” </w:t>
            </w:r>
            <w:proofErr w:type="gramStart"/>
            <w:r w:rsidRPr="00841D4D">
              <w:t>19.panta</w:t>
            </w:r>
            <w:proofErr w:type="gramEnd"/>
            <w:r w:rsidRPr="00841D4D">
              <w:t xml:space="preserve"> pirmo daļu pašvaldība var izveidot pašvaldības policiju vai </w:t>
            </w:r>
            <w:hyperlink r:id="rId8" w:tgtFrame="_blank" w:history="1">
              <w:r w:rsidRPr="00841D4D">
                <w:rPr>
                  <w:rStyle w:val="Hyperlink"/>
                  <w:color w:val="auto"/>
                  <w:u w:val="none"/>
                </w:rPr>
                <w:t>Valsts pārvaldes iekārtas likumā</w:t>
              </w:r>
            </w:hyperlink>
            <w:r w:rsidRPr="00841D4D">
              <w:t xml:space="preserve"> noteiktajā kārtībā deleģēt šā panta otrās daļas 1., 3., 4. un 6.punktā minēto uzdevumu izpildi citai pašvaldībai.</w:t>
            </w:r>
          </w:p>
          <w:p w:rsidR="00EB7BE7" w:rsidRPr="00841D4D" w:rsidRDefault="00EB7BE7" w:rsidP="00C62011">
            <w:pPr>
              <w:tabs>
                <w:tab w:val="left" w:pos="567"/>
              </w:tabs>
              <w:ind w:firstLine="771"/>
              <w:jc w:val="both"/>
              <w:rPr>
                <w:rStyle w:val="INS"/>
              </w:rPr>
            </w:pPr>
            <w:r w:rsidRPr="00841D4D">
              <w:rPr>
                <w:rStyle w:val="INS"/>
              </w:rPr>
              <w:t xml:space="preserve">Likuma ”Par pašvaldībām” 15.panta ceturtā daļa nosaka, ka no katras autonomās funkcijas izrietošu pārvaldes uzdevumu pašvaldība var deleģēt privātpersonai vai citai publiskai personai. Pārvaldes uzdevuma deleģēšanas kārtību, veidus un ierobežojumus nosaka Valsts pārvaldes iekārtas likums. Savukārt likuma ”Par pašvaldībām” 99.pantā paredzēts, ka kopīgu uzdevumu </w:t>
            </w:r>
            <w:r w:rsidRPr="00841D4D">
              <w:rPr>
                <w:rStyle w:val="INS"/>
              </w:rPr>
              <w:lastRenderedPageBreak/>
              <w:t xml:space="preserve">risināšanai pašvaldības, savstarpēji vienojoties, var izveidot kopīgas iestādes, kas darbojas uz attiecīgo domju apstiprināta nolikuma pamata, kurā nosaka pašvaldību kopīgās iestādes kompetenci, tās finansēšanas, uzraudzības un likvidēšanas kārtību, kā arī kārtību, kādā notiek izstāšanās no kopīgās iestādes, un citus pašvaldību kopīgās iestādes darbības jautājumus. </w:t>
            </w:r>
          </w:p>
          <w:p w:rsidR="00EB7BE7" w:rsidRPr="00841D4D" w:rsidRDefault="00EB7BE7" w:rsidP="00C62011">
            <w:pPr>
              <w:jc w:val="both"/>
            </w:pPr>
            <w:r w:rsidRPr="00841D4D">
              <w:rPr>
                <w:rStyle w:val="INS"/>
              </w:rPr>
              <w:tab/>
              <w:t xml:space="preserve">Lai īstenotu likumā „Par pašvaldībām” noteikto iespēju pašvaldībās izveidot kopīgu iestādi un lai veicinātu pašvaldības policijas izveidi pašvaldībās, kurās tā šobrīd nav izveidota, kā arī radītu iespēju pašvaldības policijas institūcijām apvienot to resursus un paaugstināt to kapacitāti, ir nepieciešams izdarīt attiecīgus grozījumus likumā „Par policiju”, paredzot, ka pašvaldības saskaņā ar </w:t>
            </w:r>
            <w:r w:rsidR="005D7BD0">
              <w:rPr>
                <w:rStyle w:val="INS"/>
              </w:rPr>
              <w:t>likumu „Par pašvaldībām”</w:t>
            </w:r>
            <w:r w:rsidRPr="00841D4D">
              <w:rPr>
                <w:rStyle w:val="INS"/>
              </w:rPr>
              <w:t xml:space="preserve"> var izvei</w:t>
            </w:r>
            <w:r w:rsidR="005D7BD0">
              <w:rPr>
                <w:rStyle w:val="INS"/>
              </w:rPr>
              <w:t>dot kopīgu pašvaldības policiju un, ka pašvaldības policijas darbinieks ir arī persona, kura ieņem pašvaldību kopīgi iedibinātu policijas amatu un pilda šajā likumā noteiktos pienākumus pašvaldību, kuras ir izveidojušas kopīgu pašvaldības policiju, kopīgajās teritorijās.</w:t>
            </w:r>
            <w:r w:rsidRPr="00841D4D">
              <w:rPr>
                <w:rStyle w:val="INS"/>
              </w:rPr>
              <w:t xml:space="preserve"> Vienlaikus arī nosakot, ja pašvaldība kopīgo policiju nav izveidojusi, tad attiecīgos pienākumus pilda Valsts policija. Savukārt saskaņā ar likumā „Par pašvaldībām” noteikto kopīgās pašvaldības </w:t>
            </w:r>
            <w:r w:rsidRPr="00841D4D">
              <w:t>policijas darbinieku skaitu noteiks uzraudzības padome.</w:t>
            </w:r>
          </w:p>
          <w:p w:rsidR="00EB7BE7" w:rsidRPr="00841D4D" w:rsidRDefault="00EB7BE7" w:rsidP="00C62011">
            <w:pPr>
              <w:spacing w:line="100" w:lineRule="atLeast"/>
              <w:ind w:firstLine="629"/>
              <w:jc w:val="both"/>
            </w:pPr>
            <w:r w:rsidRPr="00841D4D">
              <w:t>Viena no nozīmīgākajām Valsts policijas un pašvaldības policijas institūciju sadarbības jomām ir sadarbība informācijas aprites jomā. Sadarbība informācijas aprites jomā nodrošina Valsts policijas un pašvaldības policijas institūciju koordinētu rīcību un resursu ekonomiju. Sadarbība informācijas aprites jomā starp Valsts policiju un pašvaldības policijas institūcijām tiek nodrošināta vairākos virzienos, piemēram, reaģēšanas uz policijā saņemtajiem izsaukumiem koordinēšana, informācijas par Valsts policijas meklējamām personām un transportlīdzekļiem nodošana pašvaldības policijai, patrulēšanas maršrutu un posteņu kopīga plānošana un uzdevumu savstarpēja sadalīšana, publisku svētku un izklaides pasākumu drošības kopīga plānošana un saskaņošana.</w:t>
            </w:r>
          </w:p>
          <w:p w:rsidR="00EB7BE7" w:rsidRPr="00841D4D" w:rsidRDefault="00EB7BE7" w:rsidP="00C62011">
            <w:pPr>
              <w:shd w:val="clear" w:color="auto" w:fill="FFFFFF"/>
              <w:ind w:firstLine="720"/>
              <w:jc w:val="both"/>
              <w:rPr>
                <w:lang w:eastAsia="lv-LV"/>
              </w:rPr>
            </w:pPr>
            <w:r w:rsidRPr="00841D4D">
              <w:rPr>
                <w:lang w:eastAsia="lv-LV"/>
              </w:rPr>
              <w:t xml:space="preserve">Lai uzlabotu informācijas apriti starp tiesībaizsardzības iestādēm un glābšanas dienestiem, „Eiropas Reģionālās attīstības fonda” finansētā projekta ietvaros Iekšlietu ministrijā tika izstrādāta  vienotā notikumu reģistrācijas sistēma – „Vienotais notikumu reģistrs” (turpmāk – reģistrs). </w:t>
            </w:r>
          </w:p>
          <w:p w:rsidR="00EB7BE7" w:rsidRPr="00841D4D" w:rsidRDefault="00EB7BE7" w:rsidP="00C62011">
            <w:pPr>
              <w:shd w:val="clear" w:color="auto" w:fill="FFFFFF"/>
              <w:ind w:firstLine="720"/>
              <w:jc w:val="both"/>
              <w:rPr>
                <w:lang w:eastAsia="lv-LV"/>
              </w:rPr>
            </w:pPr>
            <w:r w:rsidRPr="00841D4D">
              <w:rPr>
                <w:lang w:eastAsia="lv-LV"/>
              </w:rPr>
              <w:t xml:space="preserve">Reģistrā uzkrātā informācija satur ziņas par notikumiem valstī (ugunsgrēkiem, noziedzīgiem nodarījumiem un citiem likumpārkāpumiem), ziņas par šajos notikumos iesaistītajām personām, ar notikumu saistītajiem priekšmetiem un dokumentiem. Reģistra darbības tiesiskais pamats ir Ministru kabineta 2012.gada </w:t>
            </w:r>
            <w:r w:rsidRPr="00841D4D">
              <w:rPr>
                <w:lang w:eastAsia="lv-LV"/>
              </w:rPr>
              <w:lastRenderedPageBreak/>
              <w:t>20.marta noteikumi Nr.190 „Noteikumi par notikumu reģistrēšanas kārtību un policijas reaģēšanas laiku”.</w:t>
            </w:r>
          </w:p>
          <w:p w:rsidR="00EB7BE7" w:rsidRPr="00841D4D" w:rsidRDefault="00EB7BE7" w:rsidP="00C62011">
            <w:pPr>
              <w:shd w:val="clear" w:color="auto" w:fill="FFFFFF"/>
              <w:ind w:firstLine="720"/>
              <w:jc w:val="both"/>
              <w:rPr>
                <w:lang w:eastAsia="lv-LV"/>
              </w:rPr>
            </w:pPr>
            <w:r w:rsidRPr="00841D4D">
              <w:rPr>
                <w:lang w:eastAsia="lv-LV"/>
              </w:rPr>
              <w:t>Pašlaik ziņas iekļaušanai informācijas sistēmā sniedz Valsts policija, izmantojot ievadi tiešsaistes datu pārraides režīmā (Integrētās iekšlietu informācijas sistēmas apakšsistēmā „Elektroniskais notikumu žurnāls”), kā arī, izmantojot datu apmaiņas saskarnes (Valsts ugunsdzēsības un glābšanas dienests, Drošības policija</w:t>
            </w:r>
            <w:r>
              <w:rPr>
                <w:lang w:eastAsia="lv-LV"/>
              </w:rPr>
              <w:t xml:space="preserve"> un Valsts robežsardze</w:t>
            </w:r>
            <w:r w:rsidRPr="00841D4D">
              <w:rPr>
                <w:lang w:eastAsia="lv-LV"/>
              </w:rPr>
              <w:t xml:space="preserve">). </w:t>
            </w:r>
          </w:p>
          <w:p w:rsidR="00EB7BE7" w:rsidRPr="00841D4D" w:rsidRDefault="00EB7BE7" w:rsidP="00C62011">
            <w:pPr>
              <w:shd w:val="clear" w:color="auto" w:fill="FFFFFF"/>
              <w:ind w:firstLine="720"/>
              <w:jc w:val="both"/>
              <w:rPr>
                <w:lang w:eastAsia="lv-LV"/>
              </w:rPr>
            </w:pPr>
            <w:r w:rsidRPr="00841D4D">
              <w:rPr>
                <w:lang w:eastAsia="lv-LV"/>
              </w:rPr>
              <w:t xml:space="preserve">Reģistra projekta ietvaros tika izstrādāta universāla saskarne, kura paredzēta starpsistēmu datu apmaiņas nodrošināšanai ar jebkuru citu ārējo (citu iestāžu) notikumu reģistrācijas sistēmu. Izstrādājot reģistru tika paredzēts, ka nākotnē ziņas reģistram varēs sniegt arī citas valsts un pašvaldības iestādes, t.sk. pašvaldības policija. </w:t>
            </w:r>
          </w:p>
          <w:p w:rsidR="00EB7BE7" w:rsidRPr="00841D4D" w:rsidRDefault="00EB7BE7" w:rsidP="00C62011">
            <w:pPr>
              <w:shd w:val="clear" w:color="auto" w:fill="FFFFFF"/>
              <w:ind w:firstLine="720"/>
              <w:jc w:val="both"/>
              <w:rPr>
                <w:lang w:eastAsia="lv-LV"/>
              </w:rPr>
            </w:pPr>
            <w:r w:rsidRPr="00841D4D">
              <w:rPr>
                <w:lang w:eastAsia="lv-LV"/>
              </w:rPr>
              <w:t>Saskaņā ar pašvaldības policijas institūciju</w:t>
            </w:r>
            <w:r w:rsidRPr="00841D4D">
              <w:rPr>
                <w:rStyle w:val="FootnoteReference"/>
                <w:lang w:eastAsia="lv-LV"/>
              </w:rPr>
              <w:footnoteReference w:id="1"/>
            </w:r>
            <w:r w:rsidRPr="00841D4D">
              <w:rPr>
                <w:lang w:eastAsia="lv-LV"/>
              </w:rPr>
              <w:t xml:space="preserve"> </w:t>
            </w:r>
            <w:r>
              <w:rPr>
                <w:lang w:eastAsia="lv-LV"/>
              </w:rPr>
              <w:t xml:space="preserve">2014.gadā </w:t>
            </w:r>
            <w:r w:rsidRPr="00841D4D">
              <w:rPr>
                <w:lang w:eastAsia="lv-LV"/>
              </w:rPr>
              <w:t>sniegto informāciju</w:t>
            </w:r>
            <w:r>
              <w:rPr>
                <w:lang w:eastAsia="lv-LV"/>
              </w:rPr>
              <w:t>,</w:t>
            </w:r>
            <w:r w:rsidRPr="00841D4D">
              <w:rPr>
                <w:lang w:eastAsia="lv-LV"/>
              </w:rPr>
              <w:t xml:space="preserve"> pēc pašu iniciatīvas informāciju par notikumiem 21 pašvaldības policijas institūcija reģistrē informācijas sistēmās, 34 institūcijas reģist</w:t>
            </w:r>
            <w:r>
              <w:rPr>
                <w:lang w:eastAsia="lv-LV"/>
              </w:rPr>
              <w:t>r</w:t>
            </w:r>
            <w:r w:rsidRPr="00841D4D">
              <w:rPr>
                <w:lang w:eastAsia="lv-LV"/>
              </w:rPr>
              <w:t>ē rakstveidā (žurnālos vai veidlapās), kā arī 6 institūcijas elektroniski (</w:t>
            </w:r>
            <w:proofErr w:type="spellStart"/>
            <w:r w:rsidRPr="00841D4D">
              <w:rPr>
                <w:lang w:eastAsia="lv-LV"/>
              </w:rPr>
              <w:t>exel</w:t>
            </w:r>
            <w:proofErr w:type="spellEnd"/>
            <w:r w:rsidRPr="00841D4D">
              <w:rPr>
                <w:lang w:eastAsia="lv-LV"/>
              </w:rPr>
              <w:t xml:space="preserve"> failos). Reģistrētā informācija tiek izmantota resursu vadībā (39 institūcijās), padarītā darba uzskaitē (48 institūcijās) un darba plānošanā (41 institūcijā). Reģistrētā informācija tiek sniegta arī Valsts policijai un citām tiesību aizsardzības iestādēm (galvenokārt uz rakstveida pieprasījumu pamata). </w:t>
            </w:r>
          </w:p>
          <w:p w:rsidR="00EB7BE7" w:rsidRPr="00841D4D" w:rsidRDefault="00EB7BE7" w:rsidP="00C62011">
            <w:pPr>
              <w:spacing w:line="100" w:lineRule="atLeast"/>
              <w:ind w:firstLine="709"/>
              <w:jc w:val="both"/>
            </w:pPr>
            <w:r w:rsidRPr="00841D4D">
              <w:t xml:space="preserve">Jāatzīmē, ka vienotas pašvaldības policijas notikumu reģistrācijas sistēmas izveidi viennozīmīgi atbalsta 29 pašvaldības policijas institūcijas, atbalsta ar nosacījumiem – 6, neatbalsta – 7, nav viedokļa – 11.   </w:t>
            </w:r>
          </w:p>
          <w:p w:rsidR="00EB7BE7" w:rsidRPr="00841D4D" w:rsidRDefault="00EB7BE7" w:rsidP="00C62011">
            <w:pPr>
              <w:shd w:val="clear" w:color="auto" w:fill="FFFFFF"/>
              <w:ind w:firstLine="720"/>
              <w:jc w:val="both"/>
            </w:pPr>
            <w:r w:rsidRPr="00841D4D">
              <w:rPr>
                <w:lang w:eastAsia="ar-SA"/>
              </w:rPr>
              <w:t xml:space="preserve">Lai visas pašvaldības policijas institūcijas nodrošinātu vienveidīgas informācijas par notikumiem reģistrēšanu un nodrošinātu reģistrētās informācijas apriti starp pašvaldības policijas institūcijām, Valsts policiju un citām tiesību aizsardzības institūcijām elektroniskā veidā, minētās informācijas reģistrēšanu nepieciešams noteikt kā pašvaldības policijas pienākumu.  </w:t>
            </w:r>
            <w:r w:rsidRPr="00841D4D">
              <w:t xml:space="preserve">Lai minēto īstenotu praksē, nepieciešams: </w:t>
            </w:r>
          </w:p>
          <w:p w:rsidR="00EB7BE7" w:rsidRPr="00841D4D" w:rsidRDefault="00EB7BE7" w:rsidP="00C62011">
            <w:pPr>
              <w:shd w:val="clear" w:color="auto" w:fill="FFFFFF"/>
              <w:jc w:val="both"/>
              <w:rPr>
                <w:lang w:eastAsia="lv-LV"/>
              </w:rPr>
            </w:pPr>
            <w:r w:rsidRPr="00841D4D">
              <w:rPr>
                <w:lang w:eastAsia="lv-LV"/>
              </w:rPr>
              <w:t xml:space="preserve">1) risināt jautājumu par Integrētās iekšlietu informācijas sistēmas </w:t>
            </w:r>
            <w:r>
              <w:rPr>
                <w:lang w:eastAsia="lv-LV"/>
              </w:rPr>
              <w:t xml:space="preserve">apakšsistēmas - </w:t>
            </w:r>
            <w:r w:rsidRPr="00841D4D">
              <w:rPr>
                <w:lang w:eastAsia="lv-LV"/>
              </w:rPr>
              <w:t xml:space="preserve">Vienotais notikumu reģistrs apakšsadaļas „Elektroniskais notikumu žurnāls” pilnveidošanu, lai to pielāgotu pašvaldības policijas vajadzībām, nodrošinātu vienotu pašvaldības policijas notikumu reģistrāciju un savstarpējās informācijas apmaiņu tai skaitā arī ar Valsts policiju. Šis risinājums būtu piemērots tām pašvaldības policijas iestādēm, kur šobrīd notikumu reģistrācija notiek papīra žurnālā vai </w:t>
            </w:r>
            <w:r w:rsidRPr="00841D4D">
              <w:rPr>
                <w:lang w:eastAsia="lv-LV"/>
              </w:rPr>
              <w:lastRenderedPageBreak/>
              <w:t>elektroniski (</w:t>
            </w:r>
            <w:proofErr w:type="spellStart"/>
            <w:r w:rsidRPr="00841D4D">
              <w:rPr>
                <w:lang w:eastAsia="lv-LV"/>
              </w:rPr>
              <w:t>excel</w:t>
            </w:r>
            <w:proofErr w:type="spellEnd"/>
            <w:r w:rsidRPr="00841D4D">
              <w:rPr>
                <w:lang w:eastAsia="lv-LV"/>
              </w:rPr>
              <w:t>) failos un nav savas notikumu reģistrācijas informācijas sistēmas.</w:t>
            </w:r>
          </w:p>
          <w:p w:rsidR="00EB7BE7" w:rsidRPr="00841D4D" w:rsidRDefault="00EB7BE7" w:rsidP="005D7BD0">
            <w:pPr>
              <w:shd w:val="clear" w:color="auto" w:fill="FFFFFF"/>
              <w:jc w:val="both"/>
              <w:rPr>
                <w:lang w:eastAsia="lv-LV"/>
              </w:rPr>
            </w:pPr>
            <w:r w:rsidRPr="00841D4D">
              <w:rPr>
                <w:lang w:eastAsia="lv-LV"/>
              </w:rPr>
              <w:t>2) risināt jautājumu par informācijas sistēmas “Vienotais notikumus reģistrs” pilnveidošanu, lai nodrošinātu starpsistēmu datu apmaiņu caur reģistru universālajām saskarnēm ar esošajām pašvaldības policijas notikumu reģistrācijas sistēmām.  Finansējums, kas būtu nepieciešams pašvaldībām izmaiņu veikšanai pašvaldības policij</w:t>
            </w:r>
            <w:r>
              <w:rPr>
                <w:lang w:eastAsia="lv-LV"/>
              </w:rPr>
              <w:t>u notikumu reģistrācijas sistēmās</w:t>
            </w:r>
            <w:r w:rsidRPr="00841D4D">
              <w:rPr>
                <w:lang w:eastAsia="lv-LV"/>
              </w:rPr>
              <w:t xml:space="preserve"> šobrīd nav nosakāms, jo ir jāvērtē katra informācijas sistēma atsevišķi. Šis risinājums būtu lietderīgs tām pašvaldības policijas iestādēm, kur jau ir izveidotas notikumu reģistrācijas informācijas sistēmas. </w:t>
            </w:r>
            <w:r>
              <w:rPr>
                <w:lang w:eastAsia="lv-LV"/>
              </w:rPr>
              <w:t>Ņemot vērā to, ka policijas sastāvā ietilpst arī ostas policija, minētais ir attiecināms arī uz ostas policiju.</w:t>
            </w:r>
          </w:p>
          <w:p w:rsidR="008B56E8" w:rsidRPr="008B56E8" w:rsidRDefault="00EB7BE7" w:rsidP="008B56E8">
            <w:pPr>
              <w:pStyle w:val="tv213"/>
              <w:spacing w:before="0" w:beforeAutospacing="0" w:after="0" w:afterAutospacing="0"/>
              <w:ind w:firstLine="720"/>
              <w:jc w:val="both"/>
            </w:pPr>
            <w:r w:rsidRPr="00841D4D">
              <w:rPr>
                <w:lang w:eastAsia="ar-SA"/>
              </w:rPr>
              <w:t>Minētā īstenošanai nepieciešams papildināt likuma „Par policiju” 19.un 19.</w:t>
            </w:r>
            <w:r w:rsidRPr="00841D4D">
              <w:rPr>
                <w:vertAlign w:val="superscript"/>
                <w:lang w:eastAsia="ar-SA"/>
              </w:rPr>
              <w:t xml:space="preserve">1 </w:t>
            </w:r>
            <w:r w:rsidRPr="00841D4D">
              <w:rPr>
                <w:lang w:eastAsia="ar-SA"/>
              </w:rPr>
              <w:t>pant</w:t>
            </w:r>
            <w:r>
              <w:rPr>
                <w:lang w:eastAsia="ar-SA"/>
              </w:rPr>
              <w:t>a otro daļu ar jaunu punktu</w:t>
            </w:r>
            <w:r w:rsidRPr="00841D4D">
              <w:rPr>
                <w:lang w:eastAsia="ar-SA"/>
              </w:rPr>
              <w:t>, paredzot</w:t>
            </w:r>
            <w:r>
              <w:rPr>
                <w:lang w:eastAsia="ar-SA"/>
              </w:rPr>
              <w:t>, ka</w:t>
            </w:r>
            <w:r w:rsidRPr="00841D4D">
              <w:rPr>
                <w:lang w:eastAsia="ar-SA"/>
              </w:rPr>
              <w:t xml:space="preserve"> </w:t>
            </w:r>
            <w:r>
              <w:rPr>
                <w:lang w:eastAsia="ar-SA"/>
              </w:rPr>
              <w:t xml:space="preserve">pašvaldības policijas un ostas policijas pienākumos ietilpst </w:t>
            </w:r>
            <w:r w:rsidRPr="00944027">
              <w:t>reģistrēt iesniegumus un informāciju par iespējamiem likumpārkāpumiem un ārkārtējiem notikumiem, kuri apdraud personu vai sabiedrības drošību, un reaģēt uz sniegto informāciju, kā arī nodot kompetentām amatpersonām un institūcijām saņemto informāciju</w:t>
            </w:r>
            <w:r>
              <w:t>.</w:t>
            </w:r>
            <w:r w:rsidRPr="00944027">
              <w:rPr>
                <w:lang w:eastAsia="ar-SA"/>
              </w:rPr>
              <w:t xml:space="preserve"> </w:t>
            </w:r>
            <w:r w:rsidR="002F117B">
              <w:rPr>
                <w:lang w:eastAsia="ar-SA"/>
              </w:rPr>
              <w:t>L</w:t>
            </w:r>
            <w:r w:rsidR="00195C85">
              <w:rPr>
                <w:lang w:eastAsia="ar-SA"/>
              </w:rPr>
              <w:t>ikumprojekts paredz</w:t>
            </w:r>
            <w:r w:rsidR="00BD0244">
              <w:rPr>
                <w:lang w:eastAsia="ar-SA"/>
              </w:rPr>
              <w:t xml:space="preserve"> pārejas periodu noteiktā pienākuma īste</w:t>
            </w:r>
            <w:r w:rsidR="002F117B">
              <w:rPr>
                <w:lang w:eastAsia="ar-SA"/>
              </w:rPr>
              <w:t>nošanai, p</w:t>
            </w:r>
            <w:r w:rsidR="00BD0244">
              <w:rPr>
                <w:lang w:eastAsia="ar-SA"/>
              </w:rPr>
              <w:t>roti, nosakot, ka pašvaldības policija un ostas policija uzsāk reģistrēt iesniegumus un informāciju par iespējamiem likumpārkāpumiem un ārkārtējiem notikumiem, kuri apdraud personu vai sabiedrības drošību, Integrētās iekšlietu informācijas sistēmas apakšsistēmā „Vienotais notikumu reģistrs” ne vēl</w:t>
            </w:r>
            <w:r w:rsidR="00551A26">
              <w:rPr>
                <w:lang w:eastAsia="ar-SA"/>
              </w:rPr>
              <w:t xml:space="preserve">āk kā līdz 2025.gada 1.janvārim, tādējādi nodrošinot samērīgu laika periodu nepieciešamo saskarņu izveidei, ja pati pašvaldība to vēlēsies. </w:t>
            </w:r>
            <w:r w:rsidR="00195C85">
              <w:rPr>
                <w:lang w:eastAsia="ar-SA"/>
              </w:rPr>
              <w:t>Vienlaikus, ņemot vērā to, ka ir paredzēts, ka Personas datu apstrādes likums stāsies spēkā 2018.gada 25.maijā, likumprojekta pārejas noteikums paredz, ka pašvaldības policijas un ostas policijas pienākums reģistrēt iesniegumus un informāciju par iespējamiem likumpārkāpumiem un ārkārtējiem notikumiem, kuri apdraud personu vai sabiedrības drošību, un reaģēt uz sniegto informāciju, kā arī nodot kompetentām amatpersonām un institūcijām saņemto informāciju, stāsies spēkā ar likuma spēkā stāšanās brīdi, bet līdz likuma 19.panta desmitajā daļā un 19.</w:t>
            </w:r>
            <w:r w:rsidR="00195C85">
              <w:rPr>
                <w:vertAlign w:val="superscript"/>
                <w:lang w:eastAsia="ar-SA"/>
              </w:rPr>
              <w:t>1</w:t>
            </w:r>
            <w:r w:rsidR="00195C85">
              <w:rPr>
                <w:lang w:eastAsia="ar-SA"/>
              </w:rPr>
              <w:t xml:space="preserve">panta septītajā daļā minēto Ministru kabineta noteikumu </w:t>
            </w:r>
            <w:r w:rsidR="008B56E8" w:rsidRPr="008B56E8">
              <w:t>izdošanai pašvald</w:t>
            </w:r>
            <w:r w:rsidR="00E13225">
              <w:t>ības policija un ostas policija</w:t>
            </w:r>
            <w:r w:rsidR="008B56E8" w:rsidRPr="008B56E8">
              <w:t xml:space="preserve"> reģistrēt iesniegumus un informāciju par iespējamiem likumpārkāpumiem un ārkārtējiem notikumiem, kuri apdraud personu vai sabiedrības drošību, nepārsniedz</w:t>
            </w:r>
            <w:r w:rsidR="00E13225">
              <w:t>ot</w:t>
            </w:r>
            <w:bookmarkStart w:id="0" w:name="_GoBack"/>
            <w:bookmarkEnd w:id="0"/>
            <w:r w:rsidR="008B56E8" w:rsidRPr="008B56E8">
              <w:t xml:space="preserve"> Ministru kabineta 2012.gada 20.marta noteikumos Nr.190 “Noteikumi par notikumu reģistrēšanas kārtību un policijas reaģēšanas laiku” noteikto informācijas apjomu.</w:t>
            </w:r>
          </w:p>
          <w:p w:rsidR="00F778B4" w:rsidRDefault="00F778B4" w:rsidP="008B56E8">
            <w:pPr>
              <w:spacing w:line="100" w:lineRule="atLeast"/>
              <w:jc w:val="both"/>
              <w:rPr>
                <w:lang w:eastAsia="ar-SA"/>
              </w:rPr>
            </w:pPr>
            <w:r>
              <w:rPr>
                <w:lang w:eastAsia="ar-SA"/>
              </w:rPr>
              <w:lastRenderedPageBreak/>
              <w:t xml:space="preserve">Saskaņā ar Fizisko datu aizsardzības likumu minētie Ministru kabineta noteikumi </w:t>
            </w:r>
            <w:r w:rsidRPr="00F778B4">
              <w:rPr>
                <w:lang w:eastAsia="ar-SA"/>
              </w:rPr>
              <w:t xml:space="preserve">nosaka </w:t>
            </w:r>
            <w:r w:rsidRPr="00F778B4">
              <w:t>personas datu būtiskākos nosacījumus</w:t>
            </w:r>
            <w:r w:rsidRPr="00F778B4">
              <w:rPr>
                <w:lang w:eastAsia="ar-SA"/>
              </w:rPr>
              <w:t>.</w:t>
            </w:r>
          </w:p>
          <w:p w:rsidR="005D7BD0" w:rsidRPr="00195C85" w:rsidRDefault="002F7224" w:rsidP="005D7BD0">
            <w:pPr>
              <w:spacing w:line="100" w:lineRule="atLeast"/>
              <w:ind w:firstLine="709"/>
              <w:jc w:val="both"/>
              <w:rPr>
                <w:lang w:eastAsia="ar-SA"/>
              </w:rPr>
            </w:pPr>
            <w:r>
              <w:rPr>
                <w:lang w:eastAsia="ar-SA"/>
              </w:rPr>
              <w:t xml:space="preserve">Vienlaikus norādām, ka saskaņā ar Valsts pārvaldes iekārtas likuma </w:t>
            </w:r>
            <w:proofErr w:type="gramStart"/>
            <w:r>
              <w:rPr>
                <w:lang w:eastAsia="ar-SA"/>
              </w:rPr>
              <w:t>58.panta</w:t>
            </w:r>
            <w:proofErr w:type="gramEnd"/>
            <w:r>
              <w:rPr>
                <w:lang w:eastAsia="ar-SA"/>
              </w:rPr>
              <w:t xml:space="preserve"> trešo daļu i</w:t>
            </w:r>
            <w:r>
              <w:t>estāžu sadarbība notiek bez maksas, ja ārējā normatīvajā aktā nav noteikts citādi.</w:t>
            </w:r>
          </w:p>
          <w:p w:rsidR="00EB7BE7" w:rsidRDefault="00EB7BE7" w:rsidP="00EB7BE7">
            <w:pPr>
              <w:spacing w:line="100" w:lineRule="atLeast"/>
              <w:ind w:firstLine="709"/>
              <w:jc w:val="both"/>
            </w:pPr>
            <w:r w:rsidRPr="00841D4D">
              <w:t xml:space="preserve">Likuma „Par policiju” </w:t>
            </w:r>
            <w:proofErr w:type="gramStart"/>
            <w:r w:rsidRPr="00841D4D">
              <w:t>19.panta</w:t>
            </w:r>
            <w:proofErr w:type="gramEnd"/>
            <w:r w:rsidRPr="00841D4D">
              <w:t xml:space="preserve"> trešajā  daļā noteikts, ja pašvaldība neveido savu policiju, likumā noteiktos pašvaldības policijas pienākumus attiecīgās pašvaldības administratīvajā teritorijā pilda Valsts policija. Jāatzīmē, ka praksē pašvaldības policijas pienākumus veikt likumpārkāpumu profilaksi un konvojēt par administratīvajiem pārkāpumiem aizturētas un arestētas personas Valsts policija veic arī gadījumos, kad attiecīgajā administratīvajā teritorijā pašvaldības policija ir izveidota. Šāda situācija ir izveidojusies, jo minētos pašvaldības policijas pienākumus nav iespējams objektīvi nošķirt no Valsts policijas pienākumiem. Pašvaldības policijas pienākums veikt likumpārkāpumu profilaksi faktiski ir Valsts policijas pienākumu novērst noziedzīgus nodarījumus un administratīvos pārkāpumus sastāvdaļa. Valsts policija šo pienākumu izpildi nodrošina, īstenojot vispārējo un speciālo </w:t>
            </w:r>
            <w:proofErr w:type="spellStart"/>
            <w:r w:rsidRPr="00841D4D">
              <w:t>prevenciju</w:t>
            </w:r>
            <w:proofErr w:type="spellEnd"/>
            <w:r w:rsidRPr="00841D4D">
              <w:t xml:space="preserve"> visā valsts teritorijā. Savukārt par administratīvajiem pārkāpumiem aizturētu un arestētu personu apsargāšana un konvojēšana Valsts policijas darbiniekiem ir jāveic L</w:t>
            </w:r>
            <w:r>
              <w:t>atvijas Administratīvo pārkāpumu kodeksā</w:t>
            </w:r>
            <w:r w:rsidRPr="00841D4D">
              <w:t xml:space="preserve"> noteiktajos gadījumos un kārtībā, piemērojot administratīvo ietekmēšanas līdzekli, vai izpildot administratīvo sodu arests.  </w:t>
            </w:r>
            <w:r>
              <w:t>Kā arī saskaņā ar likuma „Par policiju” 10.panta pirmās daļas 21.punktu policijas darbinieka pamatpienākums atbilstoši dienesta kompetencei ir novērst tūlītējus draudus, ja persona, kas atrodas mājoklī vai tā tuvumā, var nodarīt kaitējumu šajā mājoklī pastāvīgi dzīvojošas personas dzīvībai, brīvībai vai veselībai, līdz tiesa izskata jautājumu par pagaidu aizsardzību pret vardarbību.</w:t>
            </w:r>
          </w:p>
          <w:p w:rsidR="00EB7BE7" w:rsidRDefault="00EB7BE7" w:rsidP="00EB7BE7">
            <w:pPr>
              <w:spacing w:line="100" w:lineRule="atLeast"/>
              <w:ind w:firstLine="709"/>
              <w:jc w:val="both"/>
            </w:pPr>
            <w:r w:rsidRPr="00841D4D">
              <w:t xml:space="preserve">Ņemot vērā minēto, nepieciešams likuma „Par policiju” 19.panta trešajā daļā svītrot atsauces </w:t>
            </w:r>
            <w:r>
              <w:t xml:space="preserve">uz šī panta otrās daļas 1., </w:t>
            </w:r>
            <w:r w:rsidRPr="00841D4D">
              <w:t>3.</w:t>
            </w:r>
            <w:r>
              <w:t xml:space="preserve"> un 6.</w:t>
            </w:r>
            <w:r w:rsidRPr="00841D4D">
              <w:t xml:space="preserve">punktu. </w:t>
            </w:r>
          </w:p>
          <w:p w:rsidR="00EB7BE7" w:rsidRDefault="00EB7BE7" w:rsidP="00B41627">
            <w:pPr>
              <w:ind w:firstLine="709"/>
              <w:jc w:val="both"/>
            </w:pPr>
            <w:r>
              <w:t>Pašvaldības policija un ostas policija savas funkcijas un uzdevumus pilda sadarbībā ar Valsts policiju un Drošības policiju, kā arī tiešā kontaktā ar sabiedrību, līdz ar to pašvaldības policijas un ostas policijas vadītājam un tā vietniekam ir jānodrošina iestādes funkciju un uzdevumu profesionāla izpilde, kā arī Valsts pārvaldes iekārtas likumā noteikto valsts pārvaldes principu ievērošanu, ar savu darbību veicinot sabiedrības uzticību policijai. Līdz ar to likuma „Par policiju” 21. un 21.</w:t>
            </w:r>
            <w:r>
              <w:rPr>
                <w:vertAlign w:val="superscript"/>
              </w:rPr>
              <w:t>1</w:t>
            </w:r>
            <w:r>
              <w:t xml:space="preserve"> panta </w:t>
            </w:r>
            <w:r w:rsidR="000E1732">
              <w:t>trešā</w:t>
            </w:r>
            <w:r>
              <w:t xml:space="preserve"> </w:t>
            </w:r>
            <w:r w:rsidR="00B41627">
              <w:t xml:space="preserve">daļa ir precizējama, paredzot kritērijus iekšlietu ministra rakstveida piekrišanas došanai pirms pašvaldības policijas vai ostas policijas priekšnieka un viņa vietnieka </w:t>
            </w:r>
            <w:r w:rsidR="00B41627">
              <w:lastRenderedPageBreak/>
              <w:t xml:space="preserve">pieņemšanas darbā. Proti, iekšlietu ministrs rakstveida </w:t>
            </w:r>
            <w:r w:rsidR="00BD0244" w:rsidRPr="00BD0244">
              <w:t>piekrišanu nedo</w:t>
            </w:r>
            <w:r w:rsidR="00B41627">
              <w:t>s</w:t>
            </w:r>
            <w:r w:rsidR="00BD0244" w:rsidRPr="00BD0244">
              <w:t xml:space="preserve">, ja Valsts policijai </w:t>
            </w:r>
            <w:r w:rsidR="00B41627">
              <w:t>vai</w:t>
            </w:r>
            <w:r w:rsidR="00BD0244" w:rsidRPr="00BD0244">
              <w:t xml:space="preserve"> </w:t>
            </w:r>
            <w:r w:rsidR="00C24639">
              <w:t xml:space="preserve">Drošības policijai </w:t>
            </w:r>
            <w:r w:rsidR="00BD0244" w:rsidRPr="00BD0244">
              <w:t xml:space="preserve">ir </w:t>
            </w:r>
            <w:r w:rsidR="00FF41C8">
              <w:t xml:space="preserve">pietiekams </w:t>
            </w:r>
            <w:r w:rsidR="00BD0244" w:rsidRPr="00BD0244">
              <w:t>pamats uzskatīt, ka persona</w:t>
            </w:r>
            <w:r w:rsidR="00A866F0">
              <w:t xml:space="preserve"> rada</w:t>
            </w:r>
            <w:r w:rsidR="00BD0244" w:rsidRPr="00BD0244">
              <w:t xml:space="preserve"> draudus </w:t>
            </w:r>
            <w:r w:rsidR="00B41627">
              <w:t>valsts drošībai</w:t>
            </w:r>
            <w:r w:rsidR="00896F5C">
              <w:t xml:space="preserve"> vai sabiedriskajai kārtībai un drošībai</w:t>
            </w:r>
            <w:r w:rsidR="00BD0244" w:rsidRPr="00BD0244">
              <w:t>.</w:t>
            </w:r>
          </w:p>
          <w:p w:rsidR="008F3651" w:rsidRDefault="00B41627" w:rsidP="00A62BDD">
            <w:pPr>
              <w:ind w:firstLine="709"/>
              <w:jc w:val="both"/>
            </w:pPr>
            <w:r>
              <w:t>Jāatzīmē, ka likuma “Par policiju” 21.pantā pašvaldības policijas priekšnieka un viņa vietnieka kandidātam ir noteiktas ievērojami zemākas prasības nekā citu valsts un pašvaldības institūciju vadītājiem. Piemēram,</w:t>
            </w:r>
            <w:r w:rsidR="008F3651">
              <w:t xml:space="preserve"> Iekšlietu ministrijas sistēmas iestāžu un Ieslodzījuma vietu pārvaldes amatpersonu ar speciālajām dienesta pakāpēm dienesta gaitas likuma 9.panta ceturtā daļa paredz, ka Valsts policijas vadītāja amatā var iecelt tikai amatpersonu no vecāko vai augstāko virsnieku vidus, kurai ir akadēmiskā vai otrā līmeņa profesionālā augstākā izglītība un kuras izdienas laiks Iekšlietu ministrijas sistēmā nav īsāks par 10 gadiem. Tādējādi ir secināms, ka Valsts policijas vadītāja amatā var iecelt amatpersonu, kurai ir samērā ievērojams dienesta laiks, </w:t>
            </w:r>
            <w:r w:rsidR="00A62BDD">
              <w:t xml:space="preserve">kurā amatpersonas prasmes un uzvedība tiek attiecīgi vērtēta. Līdz ar to par Valsts policijas vadītāju var būt amatpersona ar nevainojamu reputāciju. Vienlaikus norādām, ka Valsts policijas vadītājs veic darbu, kas saistīts ar valsts noslēpuma izmantošanu vai tā aizsardzību. Līdz ar to minētajai amatpersonai ir nepieciešama pieeja valsts noslēpumam. Saskaņā ar likuma „Par valsts noslēpumu” 9.panta pirmās daļas 2.teikumu personas pārbaude veicama pirms darba (dienesta) attiecību uzsākšanas. </w:t>
            </w:r>
          </w:p>
          <w:p w:rsidR="00B41627" w:rsidRDefault="00B41627" w:rsidP="00B41627">
            <w:pPr>
              <w:ind w:firstLine="709"/>
              <w:jc w:val="both"/>
            </w:pPr>
            <w:r>
              <w:t>Savukārt Bāriņtiesu likuma 10.panta pirmā daļa paredz, ka par bāriņtiesas priekšsēdētāju un bāriņtiesas priekšsēdētāja vietnieku var ievēlēt personu, kura sasniegusi 30 gadu vecumu, kurām ir otrā līmeņa augstākā akadēmiskā izglītība pedagoģijas, psiholoģijas, medicīnas vai tiesību zinātnē vai zinātnes nozarei atbilstoša profesionālā (pedagoga, psihologa, jurista, sociālā darbinieka, ārsta) izglītība un, kurai ir nevainojama reputācija.</w:t>
            </w:r>
          </w:p>
          <w:p w:rsidR="00B41627" w:rsidRDefault="00B41627" w:rsidP="00B41627">
            <w:pPr>
              <w:ind w:firstLine="709"/>
              <w:jc w:val="both"/>
            </w:pPr>
            <w:r>
              <w:t xml:space="preserve">Likuma “Par policiju” 19.panta piektajā daļā paredzēts, ka pašvaldības policisti savus pienākumus pilda iekšlietu ministra apstiprinātajā vienota parauga formas tērpā. Minētā prasība ir spēkā no 1994.gada, taču jautājums par vienota parauga pašvaldības policijas darbinieka formas tērpa apstiprināšanu nav ticis atrisināts.  Jautājums ir risināts pretēji, proti, pašvaldības, kuras izveidojušas pašvaldības policiju, ir izstrādājušas savus formas tērpus un apgādājušas ar tiem pašvaldības policijas darbiniekus. Jāatzīmē, ka iedzīvotāji atpazīst pašvaldības policijas darbinieku formas tērpus. Tādējādi Iekšlietu ministrijas ieskatā minētā prasība ir zaudējusi savu aktualitāti un ir svītrojama. Arī Latvijas Pašvaldību savienības ieskatā pašvaldības policijas formas tērpa vienota parauga apstiprināšana ir saimniecisks un </w:t>
            </w:r>
            <w:r>
              <w:lastRenderedPageBreak/>
              <w:t xml:space="preserve">pārstāvniecības jautājums, kurš būtu risināms pašvaldībā vai </w:t>
            </w:r>
            <w:proofErr w:type="spellStart"/>
            <w:r>
              <w:t>starppašvaldību</w:t>
            </w:r>
            <w:proofErr w:type="spellEnd"/>
            <w:r>
              <w:t xml:space="preserve"> institūcijās.</w:t>
            </w:r>
          </w:p>
          <w:p w:rsidR="00B41627" w:rsidRPr="00DD2B17" w:rsidRDefault="00B41627" w:rsidP="00A62BDD">
            <w:pPr>
              <w:ind w:firstLine="709"/>
              <w:jc w:val="both"/>
            </w:pPr>
          </w:p>
        </w:tc>
      </w:tr>
      <w:tr w:rsidR="00EB7BE7" w:rsidRPr="008977ED" w:rsidTr="00C62011">
        <w:tc>
          <w:tcPr>
            <w:tcW w:w="675" w:type="dxa"/>
          </w:tcPr>
          <w:p w:rsidR="00EB7BE7" w:rsidRPr="008977ED" w:rsidRDefault="00EB7BE7" w:rsidP="00C62011">
            <w:pPr>
              <w:spacing w:before="60"/>
            </w:pPr>
            <w:r w:rsidRPr="008977ED">
              <w:lastRenderedPageBreak/>
              <w:t>3.</w:t>
            </w:r>
          </w:p>
        </w:tc>
        <w:tc>
          <w:tcPr>
            <w:tcW w:w="2694" w:type="dxa"/>
          </w:tcPr>
          <w:p w:rsidR="00EB7BE7" w:rsidRPr="008977ED" w:rsidRDefault="00EB7BE7" w:rsidP="00C62011">
            <w:pPr>
              <w:spacing w:before="60" w:after="60"/>
            </w:pPr>
            <w:r w:rsidRPr="008977ED">
              <w:t>Projekta izstrādē iesaistītās institūcijas</w:t>
            </w:r>
          </w:p>
        </w:tc>
        <w:tc>
          <w:tcPr>
            <w:tcW w:w="5764" w:type="dxa"/>
          </w:tcPr>
          <w:p w:rsidR="00EB7BE7" w:rsidRPr="000553A8" w:rsidRDefault="00EB7BE7" w:rsidP="00C62011">
            <w:pPr>
              <w:autoSpaceDE w:val="0"/>
              <w:autoSpaceDN w:val="0"/>
              <w:adjustRightInd w:val="0"/>
              <w:spacing w:before="60" w:after="60"/>
              <w:jc w:val="both"/>
            </w:pPr>
            <w:r>
              <w:t>Projekts šo jomu neskar.</w:t>
            </w:r>
          </w:p>
        </w:tc>
      </w:tr>
      <w:tr w:rsidR="00EB7BE7" w:rsidRPr="008977ED" w:rsidTr="00C62011">
        <w:tc>
          <w:tcPr>
            <w:tcW w:w="675" w:type="dxa"/>
          </w:tcPr>
          <w:p w:rsidR="00EB7BE7" w:rsidRPr="008977ED" w:rsidRDefault="00EB7BE7" w:rsidP="00C62011">
            <w:pPr>
              <w:spacing w:before="60"/>
            </w:pPr>
            <w:r w:rsidRPr="008977ED">
              <w:t>4.</w:t>
            </w:r>
          </w:p>
        </w:tc>
        <w:tc>
          <w:tcPr>
            <w:tcW w:w="2694" w:type="dxa"/>
          </w:tcPr>
          <w:p w:rsidR="00EB7BE7" w:rsidRPr="008977ED" w:rsidRDefault="00EB7BE7" w:rsidP="00C62011">
            <w:pPr>
              <w:spacing w:before="60" w:after="60"/>
            </w:pPr>
            <w:r w:rsidRPr="008977ED">
              <w:t xml:space="preserve">Cita informācija </w:t>
            </w:r>
          </w:p>
        </w:tc>
        <w:tc>
          <w:tcPr>
            <w:tcW w:w="5764" w:type="dxa"/>
          </w:tcPr>
          <w:p w:rsidR="00EB7BE7" w:rsidRPr="000B7141" w:rsidRDefault="00EB7BE7" w:rsidP="00C62011">
            <w:pPr>
              <w:shd w:val="clear" w:color="auto" w:fill="FFFFFF"/>
              <w:spacing w:after="100" w:afterAutospacing="1"/>
              <w:contextualSpacing/>
              <w:jc w:val="both"/>
              <w:rPr>
                <w:lang w:eastAsia="lv-LV"/>
              </w:rPr>
            </w:pPr>
            <w:r>
              <w:rPr>
                <w:lang w:eastAsia="lv-LV"/>
              </w:rPr>
              <w:t>Nav.</w:t>
            </w:r>
          </w:p>
        </w:tc>
      </w:tr>
      <w:tr w:rsidR="00EB7BE7" w:rsidRPr="008977ED" w:rsidTr="00C62011">
        <w:tc>
          <w:tcPr>
            <w:tcW w:w="9133" w:type="dxa"/>
            <w:gridSpan w:val="3"/>
          </w:tcPr>
          <w:p w:rsidR="000D43EA" w:rsidRDefault="000D43EA" w:rsidP="00C62011">
            <w:pPr>
              <w:spacing w:before="60" w:after="60"/>
              <w:jc w:val="center"/>
              <w:rPr>
                <w:b/>
              </w:rPr>
            </w:pPr>
          </w:p>
          <w:p w:rsidR="00EB7BE7" w:rsidRPr="008977ED" w:rsidRDefault="00EB7BE7" w:rsidP="00C62011">
            <w:pPr>
              <w:spacing w:before="60" w:after="60"/>
              <w:jc w:val="center"/>
            </w:pPr>
            <w:r w:rsidRPr="008977ED">
              <w:rPr>
                <w:b/>
              </w:rPr>
              <w:t>II. Tiesību akta projekta ietekme uz sabiedrību, tautsaimniecības attīstību un administratīvo slogu</w:t>
            </w:r>
          </w:p>
        </w:tc>
      </w:tr>
      <w:tr w:rsidR="00EB7BE7" w:rsidRPr="008977ED" w:rsidTr="00C62011">
        <w:tc>
          <w:tcPr>
            <w:tcW w:w="675" w:type="dxa"/>
          </w:tcPr>
          <w:p w:rsidR="00EB7BE7" w:rsidRPr="008977ED" w:rsidRDefault="00EB7BE7" w:rsidP="00C62011">
            <w:r w:rsidRPr="008977ED">
              <w:t xml:space="preserve">1. </w:t>
            </w:r>
          </w:p>
        </w:tc>
        <w:tc>
          <w:tcPr>
            <w:tcW w:w="2694" w:type="dxa"/>
          </w:tcPr>
          <w:p w:rsidR="00EB7BE7" w:rsidRPr="008977ED" w:rsidRDefault="00EB7BE7" w:rsidP="00C62011">
            <w:pPr>
              <w:spacing w:before="60" w:after="60"/>
            </w:pPr>
            <w:r w:rsidRPr="008977ED">
              <w:t>Sabiedrības mērķgrupas, kuras tiesiskais regulējums ietekmē vai varētu ietekmēt</w:t>
            </w:r>
          </w:p>
        </w:tc>
        <w:tc>
          <w:tcPr>
            <w:tcW w:w="5764" w:type="dxa"/>
          </w:tcPr>
          <w:p w:rsidR="00EB7BE7" w:rsidRPr="00B06AC7" w:rsidRDefault="00505CC2" w:rsidP="00C62011">
            <w:pPr>
              <w:jc w:val="both"/>
            </w:pPr>
            <w:r>
              <w:t>Valsts policija, pašvaldības policija un ostas policija.</w:t>
            </w:r>
          </w:p>
        </w:tc>
      </w:tr>
      <w:tr w:rsidR="00EB7BE7" w:rsidRPr="008977ED" w:rsidTr="00C62011">
        <w:tc>
          <w:tcPr>
            <w:tcW w:w="675" w:type="dxa"/>
          </w:tcPr>
          <w:p w:rsidR="00EB7BE7" w:rsidRPr="008977ED" w:rsidRDefault="00EB7BE7" w:rsidP="00C62011">
            <w:r w:rsidRPr="008977ED">
              <w:t>2.</w:t>
            </w:r>
          </w:p>
        </w:tc>
        <w:tc>
          <w:tcPr>
            <w:tcW w:w="2694" w:type="dxa"/>
          </w:tcPr>
          <w:p w:rsidR="00EB7BE7" w:rsidRPr="008977ED" w:rsidRDefault="00EB7BE7" w:rsidP="00C62011">
            <w:pPr>
              <w:spacing w:before="60" w:after="60"/>
            </w:pPr>
            <w:r w:rsidRPr="008977ED">
              <w:t>Tiesiskā regulējuma ietekme uz tautsaimniecību un administratīvo slogu</w:t>
            </w:r>
          </w:p>
        </w:tc>
        <w:tc>
          <w:tcPr>
            <w:tcW w:w="5764" w:type="dxa"/>
          </w:tcPr>
          <w:p w:rsidR="00EB7BE7" w:rsidRPr="00BC2CF2" w:rsidRDefault="00EB7BE7" w:rsidP="00C62011">
            <w:pPr>
              <w:jc w:val="both"/>
            </w:pPr>
            <w:r>
              <w:t>Projekts šo jomu neskar.</w:t>
            </w:r>
          </w:p>
        </w:tc>
      </w:tr>
      <w:tr w:rsidR="00EB7BE7" w:rsidRPr="008977ED" w:rsidTr="00C62011">
        <w:tc>
          <w:tcPr>
            <w:tcW w:w="675" w:type="dxa"/>
          </w:tcPr>
          <w:p w:rsidR="00EB7BE7" w:rsidRPr="008977ED" w:rsidRDefault="00EB7BE7" w:rsidP="00C62011">
            <w:r w:rsidRPr="008977ED">
              <w:t>3.</w:t>
            </w:r>
          </w:p>
        </w:tc>
        <w:tc>
          <w:tcPr>
            <w:tcW w:w="2694" w:type="dxa"/>
          </w:tcPr>
          <w:p w:rsidR="00EB7BE7" w:rsidRPr="008977ED" w:rsidRDefault="00EB7BE7" w:rsidP="00C62011">
            <w:pPr>
              <w:spacing w:before="60" w:after="60"/>
            </w:pPr>
            <w:r w:rsidRPr="008977ED">
              <w:t>Administratīvo izmaksu monetārs novērtējums</w:t>
            </w:r>
          </w:p>
        </w:tc>
        <w:tc>
          <w:tcPr>
            <w:tcW w:w="5764" w:type="dxa"/>
          </w:tcPr>
          <w:p w:rsidR="00EB7BE7" w:rsidRPr="008977ED" w:rsidRDefault="00EB7BE7" w:rsidP="00C62011">
            <w:pPr>
              <w:spacing w:before="60" w:after="60"/>
              <w:jc w:val="both"/>
            </w:pPr>
            <w:r>
              <w:t>Projekts šo jomu neskar.</w:t>
            </w:r>
          </w:p>
        </w:tc>
      </w:tr>
      <w:tr w:rsidR="00EB7BE7" w:rsidRPr="008977ED" w:rsidTr="00C62011">
        <w:tc>
          <w:tcPr>
            <w:tcW w:w="675" w:type="dxa"/>
          </w:tcPr>
          <w:p w:rsidR="00EB7BE7" w:rsidRPr="008977ED" w:rsidRDefault="00EB7BE7" w:rsidP="00C62011">
            <w:r w:rsidRPr="008977ED">
              <w:t>4.</w:t>
            </w:r>
          </w:p>
        </w:tc>
        <w:tc>
          <w:tcPr>
            <w:tcW w:w="2694" w:type="dxa"/>
          </w:tcPr>
          <w:p w:rsidR="00EB7BE7" w:rsidRPr="008977ED" w:rsidRDefault="00EB7BE7" w:rsidP="00C62011">
            <w:pPr>
              <w:spacing w:before="60" w:after="60"/>
            </w:pPr>
            <w:r w:rsidRPr="008977ED">
              <w:t>Cita informācija</w:t>
            </w:r>
          </w:p>
        </w:tc>
        <w:tc>
          <w:tcPr>
            <w:tcW w:w="5764" w:type="dxa"/>
          </w:tcPr>
          <w:p w:rsidR="00EB7BE7" w:rsidRPr="008977ED" w:rsidRDefault="00EB7BE7" w:rsidP="00C62011">
            <w:pPr>
              <w:spacing w:before="60" w:after="60"/>
              <w:jc w:val="both"/>
            </w:pPr>
            <w:r w:rsidRPr="008977ED">
              <w:t>Nav.</w:t>
            </w:r>
          </w:p>
        </w:tc>
      </w:tr>
    </w:tbl>
    <w:p w:rsidR="00EB7BE7" w:rsidRDefault="00EB7BE7" w:rsidP="00EB7BE7"/>
    <w:tbl>
      <w:tblPr>
        <w:tblW w:w="496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337"/>
        <w:gridCol w:w="1155"/>
        <w:gridCol w:w="1149"/>
        <w:gridCol w:w="2763"/>
      </w:tblGrid>
      <w:tr w:rsidR="00EB7BE7" w:rsidRPr="005451B9" w:rsidTr="00C62011">
        <w:trPr>
          <w:trHeight w:val="360"/>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D43EA" w:rsidRDefault="000D43EA" w:rsidP="00C62011">
            <w:pPr>
              <w:ind w:firstLine="300"/>
              <w:jc w:val="center"/>
              <w:rPr>
                <w:b/>
                <w:bCs/>
              </w:rPr>
            </w:pPr>
          </w:p>
          <w:p w:rsidR="00EB7BE7" w:rsidRPr="005451B9" w:rsidRDefault="00EB7BE7" w:rsidP="00C62011">
            <w:pPr>
              <w:ind w:firstLine="300"/>
              <w:jc w:val="center"/>
              <w:rPr>
                <w:b/>
                <w:bCs/>
              </w:rPr>
            </w:pPr>
            <w:r w:rsidRPr="005451B9">
              <w:rPr>
                <w:b/>
                <w:bCs/>
              </w:rPr>
              <w:t>III. Tiesību akta projekta ietekme uz valsts budžetu un pašvaldību budžetiem</w:t>
            </w:r>
          </w:p>
        </w:tc>
      </w:tr>
      <w:tr w:rsidR="00EB7BE7" w:rsidRPr="005451B9" w:rsidTr="00254FF0">
        <w:trPr>
          <w:tblCellSpacing w:w="15" w:type="dxa"/>
          <w:jc w:val="center"/>
        </w:trPr>
        <w:tc>
          <w:tcPr>
            <w:tcW w:w="897" w:type="pct"/>
            <w:vMerge w:val="restar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ind w:firstLine="300"/>
              <w:jc w:val="center"/>
              <w:rPr>
                <w:b/>
                <w:bCs/>
              </w:rPr>
            </w:pPr>
            <w:r w:rsidRPr="005451B9">
              <w:rPr>
                <w:b/>
                <w:bCs/>
              </w:rPr>
              <w:t>Rādītāji</w:t>
            </w:r>
          </w:p>
        </w:tc>
        <w:tc>
          <w:tcPr>
            <w:tcW w:w="125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ind w:firstLine="300"/>
              <w:jc w:val="center"/>
              <w:rPr>
                <w:b/>
                <w:bCs/>
              </w:rPr>
            </w:pPr>
            <w:r w:rsidRPr="005451B9">
              <w:rPr>
                <w:b/>
                <w:bCs/>
              </w:rPr>
              <w:t>201</w:t>
            </w:r>
            <w:r w:rsidR="00D3678C">
              <w:rPr>
                <w:b/>
                <w:bCs/>
              </w:rPr>
              <w:t>7</w:t>
            </w:r>
            <w:r w:rsidRPr="005451B9">
              <w:rPr>
                <w:b/>
                <w:bCs/>
              </w:rPr>
              <w:t>.</w:t>
            </w:r>
            <w:r>
              <w:rPr>
                <w:b/>
                <w:bCs/>
              </w:rPr>
              <w:t> </w:t>
            </w:r>
            <w:r w:rsidRPr="005451B9">
              <w:rPr>
                <w:b/>
                <w:bCs/>
              </w:rPr>
              <w:t>gads</w:t>
            </w:r>
          </w:p>
        </w:tc>
        <w:tc>
          <w:tcPr>
            <w:tcW w:w="2779" w:type="pct"/>
            <w:gridSpan w:val="3"/>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ind w:firstLine="300"/>
              <w:jc w:val="center"/>
            </w:pPr>
            <w:r w:rsidRPr="005451B9">
              <w:t>Turpmākie trīs gadi (</w:t>
            </w:r>
            <w:proofErr w:type="spellStart"/>
            <w:r w:rsidRPr="005451B9">
              <w:rPr>
                <w:i/>
              </w:rPr>
              <w:t>euro</w:t>
            </w:r>
            <w:proofErr w:type="spellEnd"/>
            <w:r w:rsidRPr="005451B9">
              <w:t>)</w:t>
            </w:r>
          </w:p>
        </w:tc>
      </w:tr>
      <w:tr w:rsidR="00254FF0" w:rsidRPr="005451B9" w:rsidTr="00254FF0">
        <w:trPr>
          <w:tblCellSpacing w:w="15" w:type="dxa"/>
          <w:jc w:val="center"/>
        </w:trPr>
        <w:tc>
          <w:tcPr>
            <w:tcW w:w="897" w:type="pct"/>
            <w:vMerge/>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rPr>
                <w:b/>
                <w:bCs/>
              </w:rPr>
            </w:pPr>
          </w:p>
        </w:tc>
        <w:tc>
          <w:tcPr>
            <w:tcW w:w="1258" w:type="pct"/>
            <w:gridSpan w:val="2"/>
            <w:vMerge/>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rPr>
                <w:b/>
                <w:bCs/>
              </w:rPr>
            </w:pPr>
          </w:p>
        </w:tc>
        <w:tc>
          <w:tcPr>
            <w:tcW w:w="638"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ind w:firstLine="300"/>
              <w:jc w:val="center"/>
              <w:rPr>
                <w:b/>
                <w:bCs/>
              </w:rPr>
            </w:pPr>
            <w:r w:rsidRPr="005451B9">
              <w:rPr>
                <w:b/>
                <w:bCs/>
              </w:rPr>
              <w:t>201</w:t>
            </w:r>
            <w:r w:rsidR="00D3678C">
              <w:rPr>
                <w:b/>
                <w:bCs/>
              </w:rPr>
              <w:t>8</w:t>
            </w:r>
            <w:r>
              <w:rPr>
                <w:b/>
                <w:bCs/>
              </w:rPr>
              <w:t>.</w:t>
            </w:r>
          </w:p>
        </w:tc>
        <w:tc>
          <w:tcPr>
            <w:tcW w:w="635"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9C2249">
            <w:pPr>
              <w:ind w:firstLine="300"/>
              <w:jc w:val="center"/>
              <w:rPr>
                <w:b/>
                <w:bCs/>
              </w:rPr>
            </w:pPr>
            <w:r w:rsidRPr="005451B9">
              <w:rPr>
                <w:b/>
                <w:bCs/>
              </w:rPr>
              <w:t>20</w:t>
            </w:r>
            <w:r w:rsidR="009C2249">
              <w:rPr>
                <w:b/>
                <w:bCs/>
              </w:rPr>
              <w:t>19</w:t>
            </w:r>
            <w:r>
              <w:rPr>
                <w:b/>
                <w:bCs/>
              </w:rPr>
              <w:t>.</w:t>
            </w:r>
          </w:p>
        </w:tc>
        <w:tc>
          <w:tcPr>
            <w:tcW w:w="1472"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D3678C">
            <w:pPr>
              <w:ind w:firstLine="300"/>
              <w:jc w:val="center"/>
              <w:rPr>
                <w:b/>
                <w:bCs/>
              </w:rPr>
            </w:pPr>
            <w:r w:rsidRPr="005451B9">
              <w:rPr>
                <w:b/>
                <w:bCs/>
              </w:rPr>
              <w:t>20</w:t>
            </w:r>
            <w:r w:rsidR="00D3678C">
              <w:rPr>
                <w:b/>
                <w:bCs/>
              </w:rPr>
              <w:t>20</w:t>
            </w:r>
            <w:r>
              <w:rPr>
                <w:b/>
                <w:bCs/>
              </w:rPr>
              <w:t>.</w:t>
            </w:r>
          </w:p>
        </w:tc>
      </w:tr>
      <w:tr w:rsidR="00254FF0" w:rsidRPr="005451B9" w:rsidTr="00254FF0">
        <w:trPr>
          <w:tblCellSpacing w:w="15" w:type="dxa"/>
          <w:jc w:val="center"/>
        </w:trPr>
        <w:tc>
          <w:tcPr>
            <w:tcW w:w="897" w:type="pct"/>
            <w:vMerge/>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rPr>
                <w:b/>
                <w:bCs/>
              </w:rPr>
            </w:pPr>
          </w:p>
        </w:tc>
        <w:tc>
          <w:tcPr>
            <w:tcW w:w="517"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ind w:firstLine="43"/>
              <w:jc w:val="center"/>
            </w:pPr>
            <w:r w:rsidRPr="005451B9">
              <w:t>saskaņā ar valsts budžetu kārtējam gadam</w:t>
            </w:r>
          </w:p>
        </w:tc>
        <w:tc>
          <w:tcPr>
            <w:tcW w:w="724"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jc w:val="center"/>
            </w:pPr>
            <w:r w:rsidRPr="005451B9">
              <w:t>izmaiņas kārtējā gadā, salīdzinot ar valsts budžetu kārtējam gadam</w:t>
            </w:r>
          </w:p>
        </w:tc>
        <w:tc>
          <w:tcPr>
            <w:tcW w:w="638"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C62011">
            <w:pPr>
              <w:jc w:val="center"/>
            </w:pPr>
            <w:r w:rsidRPr="005451B9">
              <w:t>izmaiņas, salīdzinot ar kārtējo (201</w:t>
            </w:r>
            <w:r w:rsidR="00AF7FB1">
              <w:t>7</w:t>
            </w:r>
            <w:r w:rsidRPr="005451B9">
              <w:t>.) gadu</w:t>
            </w:r>
          </w:p>
        </w:tc>
        <w:tc>
          <w:tcPr>
            <w:tcW w:w="635"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AF7FB1">
            <w:pPr>
              <w:ind w:firstLine="37"/>
              <w:jc w:val="center"/>
            </w:pPr>
            <w:r w:rsidRPr="005451B9">
              <w:t>izmaiņas, salīdzinot ar kārtējo (201</w:t>
            </w:r>
            <w:r w:rsidR="00AF7FB1">
              <w:t>8</w:t>
            </w:r>
            <w:r w:rsidRPr="005451B9">
              <w:t>.) gadu</w:t>
            </w:r>
          </w:p>
        </w:tc>
        <w:tc>
          <w:tcPr>
            <w:tcW w:w="1472" w:type="pct"/>
            <w:tcBorders>
              <w:top w:val="outset" w:sz="6" w:space="0" w:color="auto"/>
              <w:left w:val="outset" w:sz="6" w:space="0" w:color="auto"/>
              <w:bottom w:val="outset" w:sz="6" w:space="0" w:color="auto"/>
              <w:right w:val="outset" w:sz="6" w:space="0" w:color="auto"/>
            </w:tcBorders>
            <w:vAlign w:val="center"/>
            <w:hideMark/>
          </w:tcPr>
          <w:p w:rsidR="00EB7BE7" w:rsidRPr="005451B9" w:rsidRDefault="00EB7BE7" w:rsidP="00AF7FB1">
            <w:pPr>
              <w:jc w:val="center"/>
            </w:pPr>
            <w:r w:rsidRPr="005451B9">
              <w:t>izmaiņas, salīdzinot ar kārtējo (201</w:t>
            </w:r>
            <w:r w:rsidR="00AF7FB1">
              <w:t>9</w:t>
            </w:r>
            <w:r w:rsidRPr="005451B9">
              <w:t>.) gadu</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1</w:t>
            </w:r>
          </w:p>
        </w:tc>
        <w:tc>
          <w:tcPr>
            <w:tcW w:w="517"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2</w:t>
            </w:r>
          </w:p>
        </w:tc>
        <w:tc>
          <w:tcPr>
            <w:tcW w:w="724"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3</w:t>
            </w:r>
          </w:p>
        </w:tc>
        <w:tc>
          <w:tcPr>
            <w:tcW w:w="638"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4</w:t>
            </w:r>
          </w:p>
        </w:tc>
        <w:tc>
          <w:tcPr>
            <w:tcW w:w="635"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5</w:t>
            </w:r>
          </w:p>
        </w:tc>
        <w:tc>
          <w:tcPr>
            <w:tcW w:w="1472" w:type="pct"/>
            <w:tcBorders>
              <w:top w:val="outset" w:sz="6" w:space="0" w:color="auto"/>
              <w:left w:val="outset" w:sz="6" w:space="0" w:color="auto"/>
              <w:bottom w:val="outset" w:sz="6" w:space="0" w:color="auto"/>
              <w:right w:val="outset" w:sz="6" w:space="0" w:color="auto"/>
            </w:tcBorders>
            <w:vAlign w:val="center"/>
            <w:hideMark/>
          </w:tcPr>
          <w:p w:rsidR="00EB7BE7" w:rsidRPr="00BA61E4" w:rsidRDefault="00EB7BE7" w:rsidP="00C62011">
            <w:pPr>
              <w:ind w:firstLine="300"/>
              <w:jc w:val="center"/>
            </w:pPr>
            <w:r w:rsidRPr="00BA61E4">
              <w:t>6</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EB7BE7" w:rsidRPr="00254FF0" w:rsidRDefault="00EB7BE7" w:rsidP="00C62011">
            <w:r w:rsidRPr="00254FF0">
              <w:t>1. Budžeta ieņēmumi:</w:t>
            </w:r>
          </w:p>
        </w:tc>
        <w:tc>
          <w:tcPr>
            <w:tcW w:w="517" w:type="pct"/>
            <w:tcBorders>
              <w:top w:val="outset" w:sz="6" w:space="0" w:color="auto"/>
              <w:left w:val="outset" w:sz="6" w:space="0" w:color="auto"/>
              <w:bottom w:val="outset" w:sz="6" w:space="0" w:color="auto"/>
              <w:right w:val="outset" w:sz="6" w:space="0" w:color="auto"/>
            </w:tcBorders>
            <w:vAlign w:val="center"/>
          </w:tcPr>
          <w:p w:rsidR="00EB7BE7" w:rsidRPr="00254FF0" w:rsidRDefault="00254FF0" w:rsidP="00C62011">
            <w:pPr>
              <w:jc w:val="center"/>
            </w:pPr>
            <w:r>
              <w:t>0</w:t>
            </w:r>
          </w:p>
        </w:tc>
        <w:tc>
          <w:tcPr>
            <w:tcW w:w="724" w:type="pct"/>
            <w:tcBorders>
              <w:top w:val="outset" w:sz="6" w:space="0" w:color="auto"/>
              <w:left w:val="outset" w:sz="6" w:space="0" w:color="auto"/>
              <w:bottom w:val="outset" w:sz="6" w:space="0" w:color="auto"/>
              <w:right w:val="outset" w:sz="6" w:space="0" w:color="auto"/>
            </w:tcBorders>
            <w:vAlign w:val="center"/>
          </w:tcPr>
          <w:p w:rsidR="00EB7BE7" w:rsidRPr="00254FF0" w:rsidRDefault="00254FF0" w:rsidP="00C62011">
            <w:pPr>
              <w:jc w:val="center"/>
            </w:pPr>
            <w:r>
              <w:t>0</w:t>
            </w:r>
          </w:p>
        </w:tc>
        <w:tc>
          <w:tcPr>
            <w:tcW w:w="638" w:type="pct"/>
            <w:tcBorders>
              <w:top w:val="outset" w:sz="6" w:space="0" w:color="auto"/>
              <w:left w:val="outset" w:sz="6" w:space="0" w:color="auto"/>
              <w:bottom w:val="outset" w:sz="6" w:space="0" w:color="auto"/>
              <w:right w:val="outset" w:sz="6" w:space="0" w:color="auto"/>
            </w:tcBorders>
            <w:vAlign w:val="center"/>
          </w:tcPr>
          <w:p w:rsidR="00EB7BE7" w:rsidRPr="00254FF0" w:rsidRDefault="00254FF0" w:rsidP="00C62011">
            <w:pPr>
              <w:jc w:val="center"/>
            </w:pPr>
            <w:r>
              <w:t>0</w:t>
            </w:r>
          </w:p>
        </w:tc>
        <w:tc>
          <w:tcPr>
            <w:tcW w:w="635" w:type="pct"/>
            <w:tcBorders>
              <w:top w:val="outset" w:sz="6" w:space="0" w:color="auto"/>
              <w:left w:val="outset" w:sz="6" w:space="0" w:color="auto"/>
              <w:bottom w:val="outset" w:sz="6" w:space="0" w:color="auto"/>
              <w:right w:val="outset" w:sz="6" w:space="0" w:color="auto"/>
            </w:tcBorders>
            <w:vAlign w:val="center"/>
          </w:tcPr>
          <w:p w:rsidR="00EB7BE7" w:rsidRPr="00254FF0" w:rsidRDefault="00254FF0" w:rsidP="00C62011">
            <w:pPr>
              <w:jc w:val="center"/>
            </w:pPr>
            <w:r>
              <w:t>0</w:t>
            </w:r>
          </w:p>
        </w:tc>
        <w:tc>
          <w:tcPr>
            <w:tcW w:w="1472" w:type="pct"/>
            <w:tcBorders>
              <w:top w:val="outset" w:sz="6" w:space="0" w:color="auto"/>
              <w:left w:val="outset" w:sz="6" w:space="0" w:color="auto"/>
              <w:bottom w:val="outset" w:sz="6" w:space="0" w:color="auto"/>
              <w:right w:val="outset" w:sz="6" w:space="0" w:color="auto"/>
            </w:tcBorders>
            <w:vAlign w:val="center"/>
          </w:tcPr>
          <w:p w:rsidR="00EB7BE7" w:rsidRPr="00254FF0" w:rsidRDefault="00254FF0" w:rsidP="00C62011">
            <w:pPr>
              <w:jc w:val="center"/>
            </w:pPr>
            <w:r>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1.1. valsts pamatbudžets, tai skaitā ieņēmumi no maksas pakalpojumiem un citi pašu ieņēmumi</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lastRenderedPageBreak/>
              <w:t>1.2. valsts speciālais 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1.3. pašvaldību 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2. Budžeta izdevumi:</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2.1. valsts pamatbudžets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2.2. valsts speciālais 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2.3. pašvaldību 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3. Finansiālā ietekme:</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3.1. valsts pamatbudžets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3.2. speciālais budžets</w:t>
            </w:r>
          </w:p>
        </w:tc>
        <w:tc>
          <w:tcPr>
            <w:tcW w:w="517" w:type="pct"/>
            <w:tcBorders>
              <w:top w:val="outset" w:sz="6" w:space="0" w:color="auto"/>
              <w:left w:val="outset" w:sz="6" w:space="0" w:color="auto"/>
              <w:bottom w:val="outset" w:sz="6" w:space="0" w:color="auto"/>
              <w:right w:val="outset" w:sz="6" w:space="0" w:color="auto"/>
            </w:tcBorders>
            <w:vAlign w:val="center"/>
          </w:tcPr>
          <w:tbl>
            <w:tblPr>
              <w:tblW w:w="4108"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
              <w:gridCol w:w="240"/>
              <w:gridCol w:w="126"/>
              <w:gridCol w:w="170"/>
            </w:tblGrid>
            <w:tr w:rsidR="0057134A" w:rsidRPr="00254FF0" w:rsidTr="0057134A">
              <w:trPr>
                <w:tblCellSpacing w:w="15" w:type="dxa"/>
                <w:jc w:val="center"/>
              </w:trPr>
              <w:tc>
                <w:tcPr>
                  <w:tcW w:w="598" w:type="pct"/>
                  <w:tcBorders>
                    <w:top w:val="outset" w:sz="6" w:space="0" w:color="auto"/>
                    <w:left w:val="outset" w:sz="6" w:space="0" w:color="auto"/>
                    <w:bottom w:val="outset" w:sz="6" w:space="0" w:color="auto"/>
                    <w:right w:val="outset" w:sz="6" w:space="0" w:color="auto"/>
                  </w:tcBorders>
                  <w:vAlign w:val="center"/>
                </w:tcPr>
                <w:p w:rsidR="0057134A" w:rsidRPr="00254FF0" w:rsidRDefault="0057134A" w:rsidP="00254FF0">
                  <w:pPr>
                    <w:jc w:val="center"/>
                  </w:pPr>
                </w:p>
              </w:tc>
              <w:tc>
                <w:tcPr>
                  <w:tcW w:w="1551" w:type="pct"/>
                  <w:tcBorders>
                    <w:top w:val="outset" w:sz="6" w:space="0" w:color="auto"/>
                    <w:left w:val="outset" w:sz="6" w:space="0" w:color="auto"/>
                    <w:bottom w:val="outset" w:sz="6" w:space="0" w:color="auto"/>
                    <w:right w:val="outset" w:sz="6" w:space="0" w:color="auto"/>
                  </w:tcBorders>
                  <w:vAlign w:val="center"/>
                </w:tcPr>
                <w:p w:rsidR="0057134A" w:rsidRPr="00254FF0" w:rsidRDefault="0057134A" w:rsidP="00254FF0">
                  <w:pPr>
                    <w:jc w:val="center"/>
                  </w:pPr>
                  <w:r w:rsidRPr="00254FF0">
                    <w:t>0</w:t>
                  </w:r>
                </w:p>
              </w:tc>
              <w:tc>
                <w:tcPr>
                  <w:tcW w:w="709" w:type="pct"/>
                  <w:tcBorders>
                    <w:top w:val="outset" w:sz="6" w:space="0" w:color="auto"/>
                    <w:left w:val="outset" w:sz="6" w:space="0" w:color="auto"/>
                    <w:bottom w:val="outset" w:sz="6" w:space="0" w:color="auto"/>
                    <w:right w:val="outset" w:sz="6" w:space="0" w:color="auto"/>
                  </w:tcBorders>
                  <w:vAlign w:val="center"/>
                </w:tcPr>
                <w:p w:rsidR="0057134A" w:rsidRPr="00254FF0" w:rsidRDefault="0057134A" w:rsidP="00254FF0">
                  <w:pPr>
                    <w:jc w:val="center"/>
                  </w:pPr>
                </w:p>
              </w:tc>
              <w:tc>
                <w:tcPr>
                  <w:tcW w:w="1034" w:type="pct"/>
                  <w:tcBorders>
                    <w:top w:val="outset" w:sz="6" w:space="0" w:color="auto"/>
                    <w:left w:val="outset" w:sz="6" w:space="0" w:color="auto"/>
                    <w:bottom w:val="outset" w:sz="6" w:space="0" w:color="auto"/>
                    <w:right w:val="outset" w:sz="6" w:space="0" w:color="auto"/>
                  </w:tcBorders>
                  <w:vAlign w:val="center"/>
                </w:tcPr>
                <w:p w:rsidR="0057134A" w:rsidRPr="00254FF0" w:rsidRDefault="0057134A" w:rsidP="00254FF0">
                  <w:pPr>
                    <w:jc w:val="center"/>
                  </w:pPr>
                </w:p>
              </w:tc>
            </w:tr>
          </w:tbl>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3.3. pašvaldību budžets</w:t>
            </w:r>
          </w:p>
        </w:tc>
        <w:tc>
          <w:tcPr>
            <w:tcW w:w="517"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r>
      <w:tr w:rsidR="00254FF0" w:rsidRPr="00BA61E4" w:rsidTr="00254FF0">
        <w:trPr>
          <w:tblCellSpacing w:w="15" w:type="dxa"/>
          <w:jc w:val="center"/>
        </w:trPr>
        <w:tc>
          <w:tcPr>
            <w:tcW w:w="897" w:type="pct"/>
            <w:vMerge w:val="restar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4. Finanšu līdzekļi papildu izdevumu finansēšanai (kompensējošu izdevumu samazinājumu norāda ar "+" zīmi)</w:t>
            </w:r>
          </w:p>
        </w:tc>
        <w:tc>
          <w:tcPr>
            <w:tcW w:w="517" w:type="pct"/>
            <w:vMerge w:val="restar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ind w:firstLine="300"/>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vMerge/>
            <w:tcBorders>
              <w:top w:val="outset" w:sz="6" w:space="0" w:color="auto"/>
              <w:left w:val="outset" w:sz="6" w:space="0" w:color="auto"/>
              <w:bottom w:val="outset" w:sz="6" w:space="0" w:color="auto"/>
              <w:right w:val="outset" w:sz="6" w:space="0" w:color="auto"/>
            </w:tcBorders>
            <w:vAlign w:val="center"/>
            <w:hideMark/>
          </w:tcPr>
          <w:p w:rsidR="00254FF0" w:rsidRPr="00254FF0" w:rsidRDefault="00254FF0" w:rsidP="00254FF0"/>
        </w:tc>
        <w:tc>
          <w:tcPr>
            <w:tcW w:w="517" w:type="pct"/>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vMerge/>
            <w:tcBorders>
              <w:top w:val="outset" w:sz="6" w:space="0" w:color="auto"/>
              <w:left w:val="outset" w:sz="6" w:space="0" w:color="auto"/>
              <w:bottom w:val="outset" w:sz="6" w:space="0" w:color="auto"/>
              <w:right w:val="outset" w:sz="6" w:space="0" w:color="auto"/>
            </w:tcBorders>
            <w:vAlign w:val="center"/>
            <w:hideMark/>
          </w:tcPr>
          <w:p w:rsidR="00254FF0" w:rsidRPr="00254FF0" w:rsidRDefault="00254FF0" w:rsidP="00254FF0"/>
        </w:tc>
        <w:tc>
          <w:tcPr>
            <w:tcW w:w="517" w:type="pct"/>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5. Precizēta finansiālā ietekme:</w:t>
            </w:r>
          </w:p>
        </w:tc>
        <w:tc>
          <w:tcPr>
            <w:tcW w:w="517" w:type="pct"/>
            <w:vMerge w:val="restar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ind w:firstLine="300"/>
              <w:jc w:val="center"/>
            </w:pPr>
            <w:r w:rsidRPr="00254FF0">
              <w:t>0</w:t>
            </w: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5.1. valsts pamatbudžets</w:t>
            </w:r>
          </w:p>
        </w:tc>
        <w:tc>
          <w:tcPr>
            <w:tcW w:w="517" w:type="pct"/>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5.2. speciālais budžets</w:t>
            </w:r>
          </w:p>
        </w:tc>
        <w:tc>
          <w:tcPr>
            <w:tcW w:w="517" w:type="pct"/>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5.3. pašvaldību budžets</w:t>
            </w:r>
          </w:p>
        </w:tc>
        <w:tc>
          <w:tcPr>
            <w:tcW w:w="517" w:type="pct"/>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p>
        </w:tc>
        <w:tc>
          <w:tcPr>
            <w:tcW w:w="724"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8"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635"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c>
          <w:tcPr>
            <w:tcW w:w="1472" w:type="pct"/>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center"/>
            </w:pPr>
            <w:r w:rsidRPr="00254FF0">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 xml:space="preserve">6. Detalizēts ieņēmumu un izdevumu aprēķins (ja </w:t>
            </w:r>
            <w:r w:rsidRPr="00254FF0">
              <w:lastRenderedPageBreak/>
              <w:t>nepieciešams, detalizētu ieņēmumu un izdevumu aprēķinu var pievienot anotācijas pielikumā):</w:t>
            </w:r>
          </w:p>
        </w:tc>
        <w:tc>
          <w:tcPr>
            <w:tcW w:w="4053" w:type="pct"/>
            <w:gridSpan w:val="5"/>
            <w:vMerge w:val="restart"/>
            <w:tcBorders>
              <w:top w:val="outset" w:sz="6" w:space="0" w:color="auto"/>
              <w:left w:val="outset" w:sz="6" w:space="0" w:color="auto"/>
              <w:bottom w:val="outset" w:sz="6" w:space="0" w:color="auto"/>
              <w:right w:val="outset" w:sz="6" w:space="0" w:color="auto"/>
            </w:tcBorders>
            <w:vAlign w:val="center"/>
          </w:tcPr>
          <w:p w:rsidR="00254FF0" w:rsidRPr="00254FF0" w:rsidRDefault="000E1732" w:rsidP="00254FF0">
            <w:pPr>
              <w:ind w:left="180" w:firstLine="284"/>
              <w:jc w:val="both"/>
            </w:pPr>
            <w:r>
              <w:lastRenderedPageBreak/>
              <w:t>0</w:t>
            </w:r>
          </w:p>
        </w:tc>
      </w:tr>
      <w:tr w:rsidR="00254FF0" w:rsidRPr="00BA61E4" w:rsidTr="00254FF0">
        <w:trPr>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6.1. detalizēts ieņēmumu aprēķins</w:t>
            </w:r>
          </w:p>
        </w:tc>
        <w:tc>
          <w:tcPr>
            <w:tcW w:w="4053" w:type="pct"/>
            <w:gridSpan w:val="5"/>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both"/>
            </w:pPr>
          </w:p>
        </w:tc>
      </w:tr>
      <w:tr w:rsidR="00254FF0" w:rsidRPr="00BA61E4" w:rsidTr="00254FF0">
        <w:trPr>
          <w:trHeight w:val="20"/>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6.2. detalizēts izdevumu aprēķins</w:t>
            </w:r>
          </w:p>
        </w:tc>
        <w:tc>
          <w:tcPr>
            <w:tcW w:w="4053" w:type="pct"/>
            <w:gridSpan w:val="5"/>
            <w:vMerge/>
            <w:tcBorders>
              <w:top w:val="outset" w:sz="6" w:space="0" w:color="auto"/>
              <w:left w:val="outset" w:sz="6" w:space="0" w:color="auto"/>
              <w:bottom w:val="outset" w:sz="6" w:space="0" w:color="auto"/>
              <w:right w:val="outset" w:sz="6" w:space="0" w:color="auto"/>
            </w:tcBorders>
            <w:vAlign w:val="center"/>
          </w:tcPr>
          <w:p w:rsidR="00254FF0" w:rsidRPr="00254FF0" w:rsidRDefault="00254FF0" w:rsidP="00254FF0">
            <w:pPr>
              <w:jc w:val="both"/>
            </w:pPr>
          </w:p>
        </w:tc>
      </w:tr>
      <w:tr w:rsidR="00254FF0" w:rsidRPr="00BA61E4" w:rsidTr="00254FF0">
        <w:trPr>
          <w:trHeight w:val="555"/>
          <w:tblCellSpacing w:w="15" w:type="dxa"/>
          <w:jc w:val="center"/>
        </w:trPr>
        <w:tc>
          <w:tcPr>
            <w:tcW w:w="897" w:type="pct"/>
            <w:tcBorders>
              <w:top w:val="outset" w:sz="6" w:space="0" w:color="auto"/>
              <w:left w:val="outset" w:sz="6" w:space="0" w:color="auto"/>
              <w:bottom w:val="outset" w:sz="6" w:space="0" w:color="auto"/>
              <w:right w:val="outset" w:sz="6" w:space="0" w:color="auto"/>
            </w:tcBorders>
            <w:hideMark/>
          </w:tcPr>
          <w:p w:rsidR="00254FF0" w:rsidRPr="00254FF0" w:rsidRDefault="00254FF0" w:rsidP="00254FF0">
            <w:r w:rsidRPr="00254FF0">
              <w:t>7. Cita informācija</w:t>
            </w:r>
          </w:p>
        </w:tc>
        <w:tc>
          <w:tcPr>
            <w:tcW w:w="4053" w:type="pct"/>
            <w:gridSpan w:val="5"/>
            <w:tcBorders>
              <w:top w:val="outset" w:sz="6" w:space="0" w:color="auto"/>
              <w:left w:val="outset" w:sz="6" w:space="0" w:color="auto"/>
              <w:bottom w:val="outset" w:sz="6" w:space="0" w:color="auto"/>
              <w:right w:val="outset" w:sz="6" w:space="0" w:color="auto"/>
            </w:tcBorders>
            <w:vAlign w:val="center"/>
          </w:tcPr>
          <w:p w:rsidR="00254FF0" w:rsidRPr="00254FF0" w:rsidRDefault="000E1732" w:rsidP="002F117B">
            <w:pPr>
              <w:jc w:val="both"/>
            </w:pPr>
            <w:r>
              <w:t xml:space="preserve"> Ja attiecīgā</w:t>
            </w:r>
            <w:r w:rsidR="002F117B">
              <w:t>s</w:t>
            </w:r>
            <w:r>
              <w:t xml:space="preserve"> pašvaldīb</w:t>
            </w:r>
            <w:r w:rsidR="006B716D">
              <w:t>a</w:t>
            </w:r>
            <w:r>
              <w:t>s, izvērtējot vajadzību, lems par saskarņu nepieciešamību</w:t>
            </w:r>
            <w:r w:rsidR="006B716D">
              <w:t xml:space="preserve"> starp pašreiz lietotām informācijas sistēmām un Vienoto notikumu reģistru</w:t>
            </w:r>
            <w:r w:rsidR="002F117B">
              <w:t>,</w:t>
            </w:r>
            <w:r>
              <w:t xml:space="preserve"> tad pašvaldībām saskarņu izveide ir nodrošināma par pašvald</w:t>
            </w:r>
            <w:r w:rsidR="006B716D">
              <w:t>ību</w:t>
            </w:r>
            <w:r>
              <w:t xml:space="preserve"> budžetu līdzekļiem.</w:t>
            </w:r>
          </w:p>
        </w:tc>
      </w:tr>
    </w:tbl>
    <w:p w:rsidR="00EB7BE7" w:rsidRDefault="00EB7BE7" w:rsidP="00EB7BE7"/>
    <w:p w:rsidR="00EB7BE7" w:rsidRDefault="00EB7BE7" w:rsidP="00EB7BE7"/>
    <w:tbl>
      <w:tblPr>
        <w:tblStyle w:val="TableGrid"/>
        <w:tblW w:w="9133" w:type="dxa"/>
        <w:tblLayout w:type="fixed"/>
        <w:tblLook w:val="04A0" w:firstRow="1" w:lastRow="0" w:firstColumn="1" w:lastColumn="0" w:noHBand="0" w:noVBand="1"/>
      </w:tblPr>
      <w:tblGrid>
        <w:gridCol w:w="675"/>
        <w:gridCol w:w="3119"/>
        <w:gridCol w:w="5339"/>
      </w:tblGrid>
      <w:tr w:rsidR="00EB7BE7" w:rsidRPr="008977ED" w:rsidTr="00C62011">
        <w:tc>
          <w:tcPr>
            <w:tcW w:w="9133" w:type="dxa"/>
            <w:gridSpan w:val="3"/>
          </w:tcPr>
          <w:p w:rsidR="00EB7BE7" w:rsidRPr="0024458A" w:rsidRDefault="00EB7BE7" w:rsidP="00C62011">
            <w:pPr>
              <w:pStyle w:val="naisf"/>
              <w:spacing w:before="60" w:after="60"/>
              <w:ind w:firstLine="357"/>
              <w:jc w:val="center"/>
              <w:rPr>
                <w:b/>
                <w:color w:val="000000" w:themeColor="text1"/>
              </w:rPr>
            </w:pPr>
            <w:r w:rsidRPr="0024458A">
              <w:rPr>
                <w:b/>
              </w:rPr>
              <w:t>IV. Tiesību akta projekta ietekme uz spēkā esošo tiesību normu sistēmu</w:t>
            </w:r>
          </w:p>
        </w:tc>
      </w:tr>
      <w:tr w:rsidR="00EB7BE7" w:rsidRPr="008977ED" w:rsidTr="00C62011">
        <w:tc>
          <w:tcPr>
            <w:tcW w:w="675" w:type="dxa"/>
          </w:tcPr>
          <w:p w:rsidR="00EB7BE7" w:rsidRPr="008977ED" w:rsidRDefault="00EB7BE7" w:rsidP="00C62011">
            <w:pPr>
              <w:rPr>
                <w:iCs/>
                <w:lang w:eastAsia="lv-LV"/>
              </w:rPr>
            </w:pPr>
            <w:r w:rsidRPr="008977ED">
              <w:rPr>
                <w:iCs/>
                <w:lang w:eastAsia="lv-LV"/>
              </w:rPr>
              <w:t>1.</w:t>
            </w:r>
          </w:p>
        </w:tc>
        <w:tc>
          <w:tcPr>
            <w:tcW w:w="3119" w:type="dxa"/>
          </w:tcPr>
          <w:p w:rsidR="00EB7BE7" w:rsidRPr="00A351E0" w:rsidRDefault="00EB7BE7" w:rsidP="00C62011">
            <w:pPr>
              <w:spacing w:before="60" w:after="60"/>
              <w:jc w:val="both"/>
              <w:rPr>
                <w:iCs/>
                <w:lang w:eastAsia="lv-LV"/>
              </w:rPr>
            </w:pPr>
            <w:r>
              <w:t>Nepieciešamie saistītie tiesību aktu projekti</w:t>
            </w:r>
          </w:p>
        </w:tc>
        <w:tc>
          <w:tcPr>
            <w:tcW w:w="5339" w:type="dxa"/>
            <w:vAlign w:val="center"/>
          </w:tcPr>
          <w:p w:rsidR="00505CC2" w:rsidRDefault="00EB7BE7" w:rsidP="00505CC2">
            <w:pPr>
              <w:pStyle w:val="naisf"/>
              <w:spacing w:before="0" w:after="0"/>
              <w:ind w:firstLine="488"/>
              <w:rPr>
                <w:iCs/>
              </w:rPr>
            </w:pPr>
            <w:r w:rsidRPr="00AF7FB1">
              <w:rPr>
                <w:iCs/>
              </w:rPr>
              <w:t xml:space="preserve">Nepieciešams precizēt Ministru kabineta </w:t>
            </w:r>
            <w:proofErr w:type="gramStart"/>
            <w:r w:rsidRPr="00AF7FB1">
              <w:rPr>
                <w:iCs/>
              </w:rPr>
              <w:t>2007.gada</w:t>
            </w:r>
            <w:proofErr w:type="gramEnd"/>
            <w:r w:rsidRPr="00AF7FB1">
              <w:rPr>
                <w:iCs/>
              </w:rPr>
              <w:t xml:space="preserve"> 19.jūnija noteikumus Nr.397 „Pašvaldības policijas paraugnolikums” atbilstoši likumprojektā paredzētajam par kopīgas pašvaldības policijas izveidi.</w:t>
            </w:r>
          </w:p>
          <w:p w:rsidR="00505CC2" w:rsidRPr="00505CC2" w:rsidRDefault="00505CC2" w:rsidP="00505CC2">
            <w:pPr>
              <w:pStyle w:val="naisf"/>
              <w:spacing w:before="0" w:after="0"/>
              <w:ind w:firstLine="488"/>
              <w:rPr>
                <w:iCs/>
              </w:rPr>
            </w:pPr>
            <w:r w:rsidRPr="00505CC2">
              <w:rPr>
                <w:iCs/>
              </w:rPr>
              <w:t>Ņemot vērā likumprojektā ietverto pilnvarojumu Ministru kabinetam, n</w:t>
            </w:r>
            <w:r w:rsidR="00EB7BE7" w:rsidRPr="00505CC2">
              <w:rPr>
                <w:iCs/>
              </w:rPr>
              <w:t>epieciešams izstrādāt</w:t>
            </w:r>
            <w:r w:rsidRPr="00505CC2">
              <w:rPr>
                <w:iCs/>
              </w:rPr>
              <w:t xml:space="preserve"> </w:t>
            </w:r>
            <w:r>
              <w:rPr>
                <w:iCs/>
              </w:rPr>
              <w:t xml:space="preserve">attiecīgus </w:t>
            </w:r>
            <w:r w:rsidRPr="00505CC2">
              <w:rPr>
                <w:iCs/>
              </w:rPr>
              <w:t xml:space="preserve">grozījumus </w:t>
            </w:r>
            <w:r w:rsidRPr="00505CC2">
              <w:rPr>
                <w:bCs/>
              </w:rPr>
              <w:t xml:space="preserve">Ministru kabineta </w:t>
            </w:r>
            <w:proofErr w:type="gramStart"/>
            <w:r w:rsidRPr="00505CC2">
              <w:rPr>
                <w:bCs/>
              </w:rPr>
              <w:t>2012.gada</w:t>
            </w:r>
            <w:proofErr w:type="gramEnd"/>
            <w:r w:rsidRPr="00505CC2">
              <w:rPr>
                <w:bCs/>
              </w:rPr>
              <w:t xml:space="preserve"> 20.marta noteikumos Nr.190</w:t>
            </w:r>
            <w:r w:rsidRPr="00505CC2">
              <w:t xml:space="preserve"> “Noteikumi par notikumu reģistrēšanas kārtību un policijas reaģēšanas laiku”.</w:t>
            </w:r>
          </w:p>
          <w:p w:rsidR="00EB7BE7" w:rsidRPr="00AF7FB1" w:rsidRDefault="00EB7BE7" w:rsidP="00505CC2">
            <w:pPr>
              <w:pStyle w:val="naisf"/>
              <w:spacing w:before="0" w:after="0"/>
              <w:ind w:firstLine="0"/>
              <w:rPr>
                <w:iCs/>
              </w:rPr>
            </w:pPr>
            <w:r w:rsidRPr="00505CC2">
              <w:t>Minētajie</w:t>
            </w:r>
            <w:r w:rsidR="009C2249" w:rsidRPr="00505CC2">
              <w:t xml:space="preserve">m </w:t>
            </w:r>
            <w:r w:rsidR="00505CC2" w:rsidRPr="00505CC2">
              <w:t>grozījumiem</w:t>
            </w:r>
            <w:r w:rsidR="009C2249" w:rsidRPr="00505CC2">
              <w:t xml:space="preserve"> jāstājas spēkā </w:t>
            </w:r>
            <w:proofErr w:type="gramStart"/>
            <w:r w:rsidR="009C2249" w:rsidRPr="00505CC2">
              <w:t>2020</w:t>
            </w:r>
            <w:r w:rsidRPr="00505CC2">
              <w:t>.gada</w:t>
            </w:r>
            <w:proofErr w:type="gramEnd"/>
            <w:r w:rsidRPr="00505CC2">
              <w:t xml:space="preserve"> 1.janvārī.</w:t>
            </w:r>
          </w:p>
        </w:tc>
      </w:tr>
      <w:tr w:rsidR="00EB7BE7" w:rsidRPr="008977ED" w:rsidTr="00C62011">
        <w:tc>
          <w:tcPr>
            <w:tcW w:w="675" w:type="dxa"/>
          </w:tcPr>
          <w:p w:rsidR="00EB7BE7" w:rsidRPr="008977ED" w:rsidRDefault="00EB7BE7" w:rsidP="00C62011">
            <w:pPr>
              <w:rPr>
                <w:iCs/>
                <w:lang w:eastAsia="lv-LV"/>
              </w:rPr>
            </w:pPr>
            <w:r>
              <w:rPr>
                <w:iCs/>
                <w:lang w:eastAsia="lv-LV"/>
              </w:rPr>
              <w:t>2.</w:t>
            </w:r>
          </w:p>
        </w:tc>
        <w:tc>
          <w:tcPr>
            <w:tcW w:w="3119" w:type="dxa"/>
          </w:tcPr>
          <w:p w:rsidR="00EB7BE7" w:rsidRPr="00A351E0" w:rsidRDefault="00EB7BE7" w:rsidP="00C62011">
            <w:pPr>
              <w:spacing w:before="60" w:after="60"/>
              <w:jc w:val="both"/>
            </w:pPr>
            <w:r>
              <w:t>Atbildīgā institūcija</w:t>
            </w:r>
          </w:p>
        </w:tc>
        <w:tc>
          <w:tcPr>
            <w:tcW w:w="5339" w:type="dxa"/>
            <w:vAlign w:val="center"/>
          </w:tcPr>
          <w:p w:rsidR="00EB7BE7" w:rsidRDefault="00EB7BE7" w:rsidP="00C62011">
            <w:pPr>
              <w:pStyle w:val="naisf"/>
              <w:spacing w:before="0" w:after="0"/>
              <w:ind w:firstLine="0"/>
              <w:rPr>
                <w:iCs/>
              </w:rPr>
            </w:pPr>
            <w:r>
              <w:rPr>
                <w:iCs/>
              </w:rPr>
              <w:t>Iekšlietu ministrija.</w:t>
            </w:r>
          </w:p>
        </w:tc>
      </w:tr>
      <w:tr w:rsidR="00EB7BE7" w:rsidRPr="008977ED" w:rsidTr="00C62011">
        <w:tc>
          <w:tcPr>
            <w:tcW w:w="675" w:type="dxa"/>
          </w:tcPr>
          <w:p w:rsidR="00EB7BE7" w:rsidRPr="008977ED" w:rsidRDefault="00EB7BE7" w:rsidP="00C62011">
            <w:pPr>
              <w:rPr>
                <w:iCs/>
                <w:lang w:eastAsia="lv-LV"/>
              </w:rPr>
            </w:pPr>
            <w:r w:rsidRPr="008977ED">
              <w:rPr>
                <w:iCs/>
                <w:lang w:eastAsia="lv-LV"/>
              </w:rPr>
              <w:t>3.</w:t>
            </w:r>
          </w:p>
        </w:tc>
        <w:tc>
          <w:tcPr>
            <w:tcW w:w="3119" w:type="dxa"/>
          </w:tcPr>
          <w:p w:rsidR="00EB7BE7" w:rsidRPr="008977ED" w:rsidRDefault="00EB7BE7" w:rsidP="00C62011">
            <w:pPr>
              <w:spacing w:before="60" w:after="60"/>
              <w:rPr>
                <w:iCs/>
                <w:lang w:eastAsia="lv-LV"/>
              </w:rPr>
            </w:pPr>
            <w:r w:rsidRPr="008977ED">
              <w:rPr>
                <w:iCs/>
                <w:lang w:eastAsia="lv-LV"/>
              </w:rPr>
              <w:t>Cita informācija</w:t>
            </w:r>
          </w:p>
        </w:tc>
        <w:tc>
          <w:tcPr>
            <w:tcW w:w="5339" w:type="dxa"/>
            <w:vAlign w:val="center"/>
          </w:tcPr>
          <w:p w:rsidR="00EB7BE7" w:rsidRPr="008977ED" w:rsidRDefault="00EB7BE7" w:rsidP="00C62011">
            <w:pPr>
              <w:spacing w:before="60" w:after="60"/>
              <w:rPr>
                <w:iCs/>
                <w:lang w:eastAsia="lv-LV"/>
              </w:rPr>
            </w:pPr>
            <w:r w:rsidRPr="008977ED">
              <w:t>Nav.</w:t>
            </w:r>
          </w:p>
        </w:tc>
      </w:tr>
      <w:tr w:rsidR="00EB7BE7" w:rsidRPr="008977ED" w:rsidTr="00C62011">
        <w:tc>
          <w:tcPr>
            <w:tcW w:w="9133" w:type="dxa"/>
            <w:gridSpan w:val="3"/>
          </w:tcPr>
          <w:p w:rsidR="00EB7BE7" w:rsidRPr="00CC3675" w:rsidRDefault="00EB7BE7" w:rsidP="00C62011">
            <w:pPr>
              <w:pStyle w:val="naisf"/>
              <w:spacing w:before="60" w:after="60"/>
              <w:ind w:firstLine="357"/>
              <w:jc w:val="center"/>
              <w:rPr>
                <w:b/>
                <w:color w:val="000000" w:themeColor="text1"/>
              </w:rPr>
            </w:pPr>
            <w:r w:rsidRPr="00CC3675">
              <w:rPr>
                <w:b/>
              </w:rPr>
              <w:t>V</w:t>
            </w:r>
            <w:r w:rsidRPr="00012182">
              <w:rPr>
                <w:b/>
              </w:rPr>
              <w:t>.</w:t>
            </w:r>
            <w:r w:rsidRPr="00012182">
              <w:rPr>
                <w:b/>
                <w:bCs/>
              </w:rPr>
              <w:t xml:space="preserve"> Tiesību akta projekta atbilstība Latvijas Republikas starptautiskajām saistībām</w:t>
            </w:r>
          </w:p>
        </w:tc>
      </w:tr>
      <w:tr w:rsidR="00EB7BE7" w:rsidRPr="008977ED" w:rsidTr="00C62011">
        <w:tc>
          <w:tcPr>
            <w:tcW w:w="9133" w:type="dxa"/>
            <w:gridSpan w:val="3"/>
          </w:tcPr>
          <w:p w:rsidR="00EB7BE7" w:rsidRPr="00677B76" w:rsidRDefault="00EB7BE7" w:rsidP="00C62011">
            <w:pPr>
              <w:spacing w:before="60"/>
              <w:jc w:val="center"/>
              <w:rPr>
                <w:iCs/>
                <w:lang w:eastAsia="lv-LV"/>
              </w:rPr>
            </w:pPr>
            <w:r>
              <w:rPr>
                <w:iCs/>
                <w:lang w:eastAsia="lv-LV"/>
              </w:rPr>
              <w:t>Projekts šo jomu neskar.</w:t>
            </w:r>
          </w:p>
        </w:tc>
      </w:tr>
      <w:tr w:rsidR="00EB7BE7" w:rsidRPr="008977ED" w:rsidTr="00C62011">
        <w:tc>
          <w:tcPr>
            <w:tcW w:w="9133" w:type="dxa"/>
            <w:gridSpan w:val="3"/>
          </w:tcPr>
          <w:p w:rsidR="000D43EA" w:rsidRDefault="000D43EA" w:rsidP="00C62011">
            <w:pPr>
              <w:pStyle w:val="naisf"/>
              <w:spacing w:before="60" w:after="60"/>
              <w:ind w:firstLine="357"/>
              <w:jc w:val="center"/>
              <w:rPr>
                <w:b/>
              </w:rPr>
            </w:pPr>
          </w:p>
          <w:p w:rsidR="00EB7BE7" w:rsidRPr="00CC3675" w:rsidRDefault="00EB7BE7" w:rsidP="00C62011">
            <w:pPr>
              <w:pStyle w:val="naisf"/>
              <w:spacing w:before="60" w:after="60"/>
              <w:ind w:firstLine="357"/>
              <w:jc w:val="center"/>
              <w:rPr>
                <w:b/>
              </w:rPr>
            </w:pPr>
            <w:r w:rsidRPr="00CC3675">
              <w:rPr>
                <w:b/>
              </w:rPr>
              <w:t>VI.</w:t>
            </w:r>
            <w:r w:rsidRPr="00CC3675">
              <w:rPr>
                <w:b/>
                <w:bCs/>
              </w:rPr>
              <w:t xml:space="preserve"> Sabiedrības līdzdalība un komunikācijas aktivitātes</w:t>
            </w:r>
          </w:p>
        </w:tc>
      </w:tr>
      <w:tr w:rsidR="00EB7BE7" w:rsidRPr="008977ED" w:rsidTr="00C62011">
        <w:tc>
          <w:tcPr>
            <w:tcW w:w="675" w:type="dxa"/>
          </w:tcPr>
          <w:p w:rsidR="00EB7BE7" w:rsidRPr="00012182" w:rsidRDefault="00EB7BE7" w:rsidP="00C62011">
            <w:pPr>
              <w:jc w:val="both"/>
              <w:rPr>
                <w:iCs/>
                <w:lang w:eastAsia="lv-LV"/>
              </w:rPr>
            </w:pPr>
            <w:r w:rsidRPr="00012182">
              <w:rPr>
                <w:iCs/>
                <w:lang w:eastAsia="lv-LV"/>
              </w:rPr>
              <w:t>1.</w:t>
            </w:r>
          </w:p>
        </w:tc>
        <w:tc>
          <w:tcPr>
            <w:tcW w:w="3119" w:type="dxa"/>
          </w:tcPr>
          <w:p w:rsidR="00EB7BE7" w:rsidRPr="00012182" w:rsidRDefault="00EB7BE7" w:rsidP="00C62011">
            <w:pPr>
              <w:spacing w:before="60" w:after="60"/>
              <w:jc w:val="both"/>
              <w:rPr>
                <w:iCs/>
                <w:lang w:eastAsia="lv-LV"/>
              </w:rPr>
            </w:pPr>
            <w:r w:rsidRPr="00012182">
              <w:t>Plānotās sabiedrības līdzdalības un komunikācijas aktivitātes saistībā ar projektu</w:t>
            </w:r>
          </w:p>
        </w:tc>
        <w:tc>
          <w:tcPr>
            <w:tcW w:w="5339" w:type="dxa"/>
          </w:tcPr>
          <w:p w:rsidR="00EB7BE7" w:rsidRPr="00677B76" w:rsidRDefault="00EB7BE7" w:rsidP="00C62011">
            <w:pPr>
              <w:spacing w:before="60"/>
              <w:jc w:val="both"/>
              <w:rPr>
                <w:iCs/>
                <w:lang w:eastAsia="lv-LV"/>
              </w:rPr>
            </w:pPr>
            <w:r>
              <w:rPr>
                <w:iCs/>
                <w:lang w:eastAsia="lv-LV"/>
              </w:rPr>
              <w:t>Pirms projekta izsludināšanas Valsts sekretāru sanāksmē tas tika nosūtīts Latvijas Pašvaldību savienībai un Latvijas Lielo pilsētu asociācijai.</w:t>
            </w:r>
          </w:p>
        </w:tc>
      </w:tr>
      <w:tr w:rsidR="00EB7BE7" w:rsidRPr="008977ED" w:rsidTr="00C62011">
        <w:tc>
          <w:tcPr>
            <w:tcW w:w="675" w:type="dxa"/>
          </w:tcPr>
          <w:p w:rsidR="00EB7BE7" w:rsidRPr="00012182" w:rsidRDefault="00EB7BE7" w:rsidP="00C62011">
            <w:pPr>
              <w:jc w:val="both"/>
              <w:rPr>
                <w:iCs/>
                <w:lang w:eastAsia="lv-LV"/>
              </w:rPr>
            </w:pPr>
            <w:r w:rsidRPr="00012182">
              <w:rPr>
                <w:iCs/>
                <w:lang w:eastAsia="lv-LV"/>
              </w:rPr>
              <w:t>2.</w:t>
            </w:r>
          </w:p>
        </w:tc>
        <w:tc>
          <w:tcPr>
            <w:tcW w:w="3119" w:type="dxa"/>
          </w:tcPr>
          <w:p w:rsidR="00EB7BE7" w:rsidRDefault="00EB7BE7" w:rsidP="00C62011">
            <w:pPr>
              <w:spacing w:before="60" w:after="60"/>
              <w:jc w:val="both"/>
            </w:pPr>
            <w:r w:rsidRPr="00012182">
              <w:t>Sabiedrības līdzdalība projekta izstrādē</w:t>
            </w:r>
          </w:p>
          <w:p w:rsidR="00EB7BE7" w:rsidRPr="00012182" w:rsidRDefault="00EB7BE7" w:rsidP="00C62011">
            <w:pPr>
              <w:spacing w:before="60" w:after="60"/>
              <w:jc w:val="both"/>
              <w:rPr>
                <w:iCs/>
                <w:lang w:eastAsia="lv-LV"/>
              </w:rPr>
            </w:pPr>
          </w:p>
        </w:tc>
        <w:tc>
          <w:tcPr>
            <w:tcW w:w="5339" w:type="dxa"/>
          </w:tcPr>
          <w:p w:rsidR="00EB7BE7" w:rsidRPr="00677B76" w:rsidRDefault="00EB7BE7" w:rsidP="00C62011">
            <w:pPr>
              <w:spacing w:before="60"/>
              <w:jc w:val="both"/>
              <w:rPr>
                <w:iCs/>
                <w:lang w:eastAsia="lv-LV"/>
              </w:rPr>
            </w:pPr>
            <w:r>
              <w:rPr>
                <w:iCs/>
                <w:lang w:eastAsia="lv-LV"/>
              </w:rPr>
              <w:t>Projekts šo jomu neskar.</w:t>
            </w:r>
          </w:p>
        </w:tc>
      </w:tr>
      <w:tr w:rsidR="00EB7BE7" w:rsidRPr="008977ED" w:rsidTr="00C62011">
        <w:tc>
          <w:tcPr>
            <w:tcW w:w="675" w:type="dxa"/>
          </w:tcPr>
          <w:p w:rsidR="00EB7BE7" w:rsidRPr="00012182" w:rsidRDefault="00EB7BE7" w:rsidP="00C62011">
            <w:pPr>
              <w:jc w:val="both"/>
              <w:rPr>
                <w:iCs/>
                <w:lang w:eastAsia="lv-LV"/>
              </w:rPr>
            </w:pPr>
            <w:r w:rsidRPr="00012182">
              <w:rPr>
                <w:iCs/>
                <w:lang w:eastAsia="lv-LV"/>
              </w:rPr>
              <w:lastRenderedPageBreak/>
              <w:t>3.</w:t>
            </w:r>
          </w:p>
        </w:tc>
        <w:tc>
          <w:tcPr>
            <w:tcW w:w="3119" w:type="dxa"/>
          </w:tcPr>
          <w:p w:rsidR="00EB7BE7" w:rsidRDefault="00EB7BE7" w:rsidP="00C62011">
            <w:pPr>
              <w:spacing w:before="60" w:after="60"/>
              <w:jc w:val="both"/>
            </w:pPr>
            <w:r w:rsidRPr="00012182">
              <w:t>Sabiedrības līdzdalības rezultāti</w:t>
            </w:r>
          </w:p>
          <w:p w:rsidR="00EB7BE7" w:rsidRPr="00012182" w:rsidRDefault="00EB7BE7" w:rsidP="00C62011">
            <w:pPr>
              <w:spacing w:before="60" w:after="60"/>
              <w:jc w:val="both"/>
            </w:pPr>
          </w:p>
        </w:tc>
        <w:tc>
          <w:tcPr>
            <w:tcW w:w="5339" w:type="dxa"/>
          </w:tcPr>
          <w:p w:rsidR="00EB7BE7" w:rsidRPr="00677B76" w:rsidRDefault="00EB7BE7" w:rsidP="00C62011">
            <w:pPr>
              <w:spacing w:before="60"/>
              <w:jc w:val="both"/>
            </w:pPr>
            <w:r>
              <w:rPr>
                <w:iCs/>
                <w:lang w:eastAsia="lv-LV"/>
              </w:rPr>
              <w:t>Latvijas Pašvaldību savienība un Latvijas Lielo pilsētu asociācija par projektu ir izteikusi viedokli, kas daļēji ir ņemts vērā, precizējot projektu.</w:t>
            </w:r>
          </w:p>
        </w:tc>
      </w:tr>
      <w:tr w:rsidR="00EB7BE7" w:rsidRPr="008977ED" w:rsidTr="00C62011">
        <w:tc>
          <w:tcPr>
            <w:tcW w:w="675" w:type="dxa"/>
          </w:tcPr>
          <w:p w:rsidR="00EB7BE7" w:rsidRPr="008977ED" w:rsidRDefault="00EB7BE7" w:rsidP="00C62011">
            <w:pPr>
              <w:rPr>
                <w:iCs/>
                <w:lang w:eastAsia="lv-LV"/>
              </w:rPr>
            </w:pPr>
            <w:r>
              <w:rPr>
                <w:iCs/>
                <w:lang w:eastAsia="lv-LV"/>
              </w:rPr>
              <w:t>4</w:t>
            </w:r>
            <w:r w:rsidRPr="008977ED">
              <w:rPr>
                <w:iCs/>
                <w:lang w:eastAsia="lv-LV"/>
              </w:rPr>
              <w:t>.</w:t>
            </w:r>
          </w:p>
        </w:tc>
        <w:tc>
          <w:tcPr>
            <w:tcW w:w="3119" w:type="dxa"/>
          </w:tcPr>
          <w:p w:rsidR="00EB7BE7" w:rsidRPr="008977ED" w:rsidRDefault="00EB7BE7" w:rsidP="00C62011">
            <w:pPr>
              <w:spacing w:before="60" w:after="60"/>
              <w:rPr>
                <w:iCs/>
                <w:lang w:eastAsia="lv-LV"/>
              </w:rPr>
            </w:pPr>
            <w:r w:rsidRPr="008977ED">
              <w:rPr>
                <w:iCs/>
                <w:lang w:eastAsia="lv-LV"/>
              </w:rPr>
              <w:t>Cita informācija</w:t>
            </w:r>
          </w:p>
        </w:tc>
        <w:tc>
          <w:tcPr>
            <w:tcW w:w="5339" w:type="dxa"/>
            <w:vAlign w:val="center"/>
          </w:tcPr>
          <w:p w:rsidR="00EB7BE7" w:rsidRPr="008977ED" w:rsidRDefault="00EB7BE7" w:rsidP="00C62011">
            <w:pPr>
              <w:spacing w:before="60" w:after="60"/>
              <w:rPr>
                <w:iCs/>
                <w:lang w:eastAsia="lv-LV"/>
              </w:rPr>
            </w:pPr>
            <w:r w:rsidRPr="008977ED">
              <w:t>Nav.</w:t>
            </w:r>
          </w:p>
        </w:tc>
      </w:tr>
      <w:tr w:rsidR="00EB7BE7" w:rsidRPr="008977ED" w:rsidTr="00C62011">
        <w:tc>
          <w:tcPr>
            <w:tcW w:w="9133" w:type="dxa"/>
            <w:gridSpan w:val="3"/>
          </w:tcPr>
          <w:p w:rsidR="000D43EA" w:rsidRDefault="000D43EA" w:rsidP="00C62011">
            <w:pPr>
              <w:pStyle w:val="naisf"/>
              <w:spacing w:before="60" w:after="60"/>
              <w:ind w:firstLine="357"/>
              <w:jc w:val="center"/>
              <w:rPr>
                <w:b/>
              </w:rPr>
            </w:pPr>
          </w:p>
          <w:p w:rsidR="00EB7BE7" w:rsidRPr="008977ED" w:rsidRDefault="00EB7BE7" w:rsidP="00C62011">
            <w:pPr>
              <w:pStyle w:val="naisf"/>
              <w:spacing w:before="60" w:after="60"/>
              <w:ind w:firstLine="357"/>
              <w:jc w:val="center"/>
              <w:rPr>
                <w:b/>
                <w:color w:val="000000" w:themeColor="text1"/>
              </w:rPr>
            </w:pPr>
            <w:r w:rsidRPr="008977ED">
              <w:rPr>
                <w:b/>
              </w:rPr>
              <w:t>VII. Tiesību akta projekta izpildes nodrošināšana un tās ietekme uz institūcijām</w:t>
            </w:r>
          </w:p>
        </w:tc>
      </w:tr>
      <w:tr w:rsidR="00EB7BE7" w:rsidRPr="008977ED" w:rsidTr="00C62011">
        <w:tc>
          <w:tcPr>
            <w:tcW w:w="675" w:type="dxa"/>
          </w:tcPr>
          <w:p w:rsidR="00EB7BE7" w:rsidRPr="008977ED" w:rsidRDefault="00EB7BE7" w:rsidP="00C62011">
            <w:pPr>
              <w:rPr>
                <w:iCs/>
                <w:lang w:eastAsia="lv-LV"/>
              </w:rPr>
            </w:pPr>
            <w:r w:rsidRPr="008977ED">
              <w:rPr>
                <w:iCs/>
                <w:lang w:eastAsia="lv-LV"/>
              </w:rPr>
              <w:t>1.</w:t>
            </w:r>
          </w:p>
        </w:tc>
        <w:tc>
          <w:tcPr>
            <w:tcW w:w="3119" w:type="dxa"/>
          </w:tcPr>
          <w:p w:rsidR="00EB7BE7" w:rsidRPr="008977ED" w:rsidRDefault="00EB7BE7" w:rsidP="00C62011">
            <w:pPr>
              <w:spacing w:before="60" w:after="60"/>
              <w:rPr>
                <w:iCs/>
                <w:lang w:eastAsia="lv-LV"/>
              </w:rPr>
            </w:pPr>
            <w:r w:rsidRPr="008977ED">
              <w:t>Projekta izpildē iesaistītās institūcijas</w:t>
            </w:r>
          </w:p>
        </w:tc>
        <w:tc>
          <w:tcPr>
            <w:tcW w:w="5339" w:type="dxa"/>
            <w:vAlign w:val="center"/>
          </w:tcPr>
          <w:p w:rsidR="00EB7BE7" w:rsidRPr="008977ED" w:rsidRDefault="00EB7BE7" w:rsidP="00C62011">
            <w:pPr>
              <w:spacing w:before="60" w:after="60"/>
              <w:rPr>
                <w:iCs/>
                <w:lang w:eastAsia="lv-LV"/>
              </w:rPr>
            </w:pPr>
            <w:r>
              <w:rPr>
                <w:iCs/>
                <w:lang w:eastAsia="lv-LV"/>
              </w:rPr>
              <w:t>Pašvaldības.</w:t>
            </w:r>
          </w:p>
        </w:tc>
      </w:tr>
      <w:tr w:rsidR="00EB7BE7" w:rsidRPr="008977ED" w:rsidTr="00C62011">
        <w:tc>
          <w:tcPr>
            <w:tcW w:w="675" w:type="dxa"/>
          </w:tcPr>
          <w:p w:rsidR="00EB7BE7" w:rsidRPr="008977ED" w:rsidRDefault="00EB7BE7" w:rsidP="00C62011">
            <w:pPr>
              <w:rPr>
                <w:iCs/>
                <w:lang w:eastAsia="lv-LV"/>
              </w:rPr>
            </w:pPr>
            <w:r w:rsidRPr="008977ED">
              <w:rPr>
                <w:iCs/>
                <w:lang w:eastAsia="lv-LV"/>
              </w:rPr>
              <w:t>2.</w:t>
            </w:r>
          </w:p>
        </w:tc>
        <w:tc>
          <w:tcPr>
            <w:tcW w:w="3119" w:type="dxa"/>
          </w:tcPr>
          <w:p w:rsidR="00EB7BE7" w:rsidRPr="008977ED" w:rsidRDefault="00EB7BE7" w:rsidP="00C62011">
            <w:pPr>
              <w:spacing w:before="60" w:after="60"/>
              <w:rPr>
                <w:iCs/>
                <w:lang w:eastAsia="lv-LV"/>
              </w:rPr>
            </w:pPr>
            <w:r w:rsidRPr="008977ED">
              <w:t>Projekta izpildes ietekme uz pārvaldes funkcijām un institucionālo struktūru. Jaunu institūciju izveide, esošu institūciju likvidācija vai reorganizācija, to ietekme uz institūcijas cilvēkresursiem</w:t>
            </w:r>
          </w:p>
        </w:tc>
        <w:tc>
          <w:tcPr>
            <w:tcW w:w="5339" w:type="dxa"/>
          </w:tcPr>
          <w:p w:rsidR="00EB7BE7" w:rsidRPr="0051226D" w:rsidRDefault="00EB7BE7" w:rsidP="00C62011">
            <w:pPr>
              <w:pStyle w:val="tv213"/>
              <w:spacing w:before="0" w:beforeAutospacing="0" w:after="0" w:afterAutospacing="0"/>
              <w:ind w:firstLine="720"/>
              <w:jc w:val="both"/>
            </w:pPr>
            <w:r>
              <w:t>P</w:t>
            </w:r>
            <w:r w:rsidRPr="0051226D">
              <w:t>rojekts paredz pašvaldībai tiesības veidot ar cit</w:t>
            </w:r>
            <w:r>
              <w:t>u</w:t>
            </w:r>
            <w:r w:rsidRPr="0051226D">
              <w:t xml:space="preserve"> pašvaldīb</w:t>
            </w:r>
            <w:r>
              <w:t>u</w:t>
            </w:r>
            <w:r w:rsidRPr="0051226D">
              <w:t xml:space="preserve"> kopīgu pašvald</w:t>
            </w:r>
            <w:r>
              <w:t xml:space="preserve">ības policiju, tādējādi veicinot </w:t>
            </w:r>
            <w:r w:rsidRPr="00D463FB">
              <w:rPr>
                <w:rStyle w:val="INS"/>
              </w:rPr>
              <w:t>pašvaldības policijas izveidi pašvaldībās, kurās tā šobrīd nav izveidota, kā arī radītu iespēju pašvaldības policijas institūcijām apvienot to resursus un paaugstināt to kapacitāti</w:t>
            </w:r>
            <w:r>
              <w:rPr>
                <w:rStyle w:val="INS"/>
              </w:rPr>
              <w:t>.</w:t>
            </w:r>
          </w:p>
        </w:tc>
      </w:tr>
      <w:tr w:rsidR="00EB7BE7" w:rsidRPr="008977ED" w:rsidTr="00C62011">
        <w:tc>
          <w:tcPr>
            <w:tcW w:w="675" w:type="dxa"/>
          </w:tcPr>
          <w:p w:rsidR="00EB7BE7" w:rsidRPr="008977ED" w:rsidRDefault="00EB7BE7" w:rsidP="00C62011">
            <w:pPr>
              <w:rPr>
                <w:iCs/>
                <w:lang w:eastAsia="lv-LV"/>
              </w:rPr>
            </w:pPr>
            <w:r>
              <w:rPr>
                <w:iCs/>
                <w:lang w:eastAsia="lv-LV"/>
              </w:rPr>
              <w:t>3</w:t>
            </w:r>
            <w:r w:rsidRPr="008977ED">
              <w:rPr>
                <w:iCs/>
                <w:lang w:eastAsia="lv-LV"/>
              </w:rPr>
              <w:t>.</w:t>
            </w:r>
          </w:p>
        </w:tc>
        <w:tc>
          <w:tcPr>
            <w:tcW w:w="3119" w:type="dxa"/>
          </w:tcPr>
          <w:p w:rsidR="00EB7BE7" w:rsidRPr="008977ED" w:rsidRDefault="00EB7BE7" w:rsidP="00C62011">
            <w:pPr>
              <w:spacing w:before="60" w:after="60"/>
              <w:rPr>
                <w:iCs/>
                <w:lang w:eastAsia="lv-LV"/>
              </w:rPr>
            </w:pPr>
            <w:r w:rsidRPr="008977ED">
              <w:rPr>
                <w:iCs/>
                <w:lang w:eastAsia="lv-LV"/>
              </w:rPr>
              <w:t>Cita informācija</w:t>
            </w:r>
          </w:p>
        </w:tc>
        <w:tc>
          <w:tcPr>
            <w:tcW w:w="5339" w:type="dxa"/>
            <w:vAlign w:val="center"/>
          </w:tcPr>
          <w:p w:rsidR="00EB7BE7" w:rsidRPr="008977ED" w:rsidRDefault="00EB7BE7" w:rsidP="00C62011">
            <w:pPr>
              <w:spacing w:before="60" w:after="60"/>
              <w:rPr>
                <w:iCs/>
                <w:lang w:eastAsia="lv-LV"/>
              </w:rPr>
            </w:pPr>
            <w:r w:rsidRPr="008977ED">
              <w:t>Nav.</w:t>
            </w:r>
          </w:p>
        </w:tc>
      </w:tr>
    </w:tbl>
    <w:p w:rsidR="00EB7BE7" w:rsidRPr="008977ED" w:rsidRDefault="00EB7BE7" w:rsidP="00EB7BE7">
      <w:pPr>
        <w:jc w:val="both"/>
        <w:rPr>
          <w:lang w:val="de-DE"/>
        </w:rPr>
      </w:pPr>
    </w:p>
    <w:p w:rsidR="00EB7BE7" w:rsidRDefault="00EB7BE7" w:rsidP="000D43EA">
      <w:pPr>
        <w:tabs>
          <w:tab w:val="left" w:pos="4820"/>
        </w:tabs>
        <w:jc w:val="both"/>
        <w:rPr>
          <w:lang w:val="de-DE"/>
        </w:rPr>
      </w:pPr>
    </w:p>
    <w:p w:rsidR="00EB7BE7" w:rsidRPr="008977ED" w:rsidRDefault="00EB7BE7" w:rsidP="00EB7BE7">
      <w:pPr>
        <w:jc w:val="both"/>
        <w:rPr>
          <w:lang w:val="de-DE"/>
        </w:rPr>
      </w:pPr>
      <w:r w:rsidRPr="008977ED">
        <w:rPr>
          <w:lang w:val="de-DE"/>
        </w:rPr>
        <w:t>Iekšlietu ministrs</w:t>
      </w:r>
      <w:r w:rsidRPr="008977ED">
        <w:rPr>
          <w:lang w:val="de-DE"/>
        </w:rPr>
        <w:tab/>
      </w:r>
      <w:r w:rsidRPr="008977ED">
        <w:rPr>
          <w:lang w:val="de-DE"/>
        </w:rPr>
        <w:tab/>
      </w:r>
      <w:r w:rsidRPr="008977ED">
        <w:rPr>
          <w:lang w:val="de-DE"/>
        </w:rPr>
        <w:tab/>
      </w:r>
      <w:r w:rsidRPr="008977ED">
        <w:rPr>
          <w:lang w:val="de-DE"/>
        </w:rPr>
        <w:tab/>
      </w:r>
      <w:r w:rsidRPr="008977ED">
        <w:rPr>
          <w:lang w:val="de-DE"/>
        </w:rPr>
        <w:tab/>
        <w:t xml:space="preserve">             </w:t>
      </w:r>
      <w:r>
        <w:rPr>
          <w:lang w:val="de-DE"/>
        </w:rPr>
        <w:t xml:space="preserve">                   </w:t>
      </w:r>
      <w:r w:rsidRPr="008977ED">
        <w:rPr>
          <w:lang w:val="de-DE"/>
        </w:rPr>
        <w:t>R. Kozlovskis</w:t>
      </w:r>
    </w:p>
    <w:p w:rsidR="00EB7BE7" w:rsidRPr="008977ED" w:rsidRDefault="00EB7BE7" w:rsidP="00EB7BE7">
      <w:pPr>
        <w:jc w:val="both"/>
        <w:rPr>
          <w:lang w:val="de-DE"/>
        </w:rPr>
      </w:pPr>
    </w:p>
    <w:p w:rsidR="006102F0" w:rsidRDefault="00EB7BE7" w:rsidP="006102F0">
      <w:pPr>
        <w:pStyle w:val="naisf"/>
        <w:tabs>
          <w:tab w:val="left" w:pos="2212"/>
        </w:tabs>
        <w:spacing w:before="0" w:after="0"/>
        <w:ind w:firstLine="0"/>
      </w:pPr>
      <w:r w:rsidRPr="008977ED">
        <w:t xml:space="preserve">Vīza: </w:t>
      </w:r>
      <w:r w:rsidR="006102F0">
        <w:t>Iekšlietu ministrijas</w:t>
      </w:r>
    </w:p>
    <w:p w:rsidR="00EB7BE7" w:rsidRPr="008977ED" w:rsidRDefault="00EB7BE7" w:rsidP="006102F0">
      <w:pPr>
        <w:pStyle w:val="naisf"/>
        <w:tabs>
          <w:tab w:val="left" w:pos="2212"/>
        </w:tabs>
        <w:spacing w:before="0" w:after="0"/>
        <w:ind w:firstLine="0"/>
        <w:rPr>
          <w:color w:val="000000"/>
        </w:rPr>
      </w:pPr>
      <w:r w:rsidRPr="008977ED">
        <w:t>valsts sekretār</w:t>
      </w:r>
      <w:r w:rsidR="008B1BDD">
        <w:t>s</w:t>
      </w:r>
      <w:r w:rsidRPr="008977ED">
        <w:tab/>
      </w:r>
      <w:r w:rsidRPr="008977ED">
        <w:tab/>
      </w:r>
      <w:r w:rsidRPr="008977ED">
        <w:tab/>
      </w:r>
      <w:r w:rsidRPr="008977ED">
        <w:tab/>
      </w:r>
      <w:proofErr w:type="gramStart"/>
      <w:r>
        <w:t xml:space="preserve">                                 </w:t>
      </w:r>
      <w:r w:rsidRPr="008977ED">
        <w:t xml:space="preserve"> </w:t>
      </w:r>
      <w:r w:rsidR="008B1BDD">
        <w:t xml:space="preserve">            </w:t>
      </w:r>
      <w:proofErr w:type="spellStart"/>
      <w:proofErr w:type="gramEnd"/>
      <w:r w:rsidR="008B1BDD">
        <w:t>D.Trofimovs</w:t>
      </w:r>
      <w:proofErr w:type="spellEnd"/>
    </w:p>
    <w:p w:rsidR="00EB7BE7" w:rsidRDefault="00EB7BE7" w:rsidP="006102F0">
      <w:pPr>
        <w:rPr>
          <w:sz w:val="20"/>
          <w:szCs w:val="20"/>
        </w:rPr>
      </w:pPr>
    </w:p>
    <w:p w:rsidR="00EB7BE7" w:rsidRDefault="00EB7BE7" w:rsidP="00EB7BE7">
      <w:pPr>
        <w:rPr>
          <w:sz w:val="20"/>
          <w:szCs w:val="20"/>
        </w:rPr>
      </w:pPr>
    </w:p>
    <w:p w:rsidR="00EB7BE7" w:rsidRDefault="00EB7BE7" w:rsidP="00EB7BE7">
      <w:pPr>
        <w:rPr>
          <w:sz w:val="20"/>
          <w:szCs w:val="20"/>
        </w:rPr>
      </w:pPr>
    </w:p>
    <w:p w:rsidR="00EB7BE7" w:rsidRDefault="00EB7BE7" w:rsidP="00EB7BE7">
      <w:pPr>
        <w:rPr>
          <w:sz w:val="20"/>
          <w:szCs w:val="20"/>
        </w:rPr>
      </w:pPr>
    </w:p>
    <w:p w:rsidR="009C2249" w:rsidRDefault="009C2249" w:rsidP="00EB7BE7">
      <w:pPr>
        <w:rPr>
          <w:sz w:val="20"/>
          <w:szCs w:val="20"/>
        </w:rPr>
      </w:pPr>
    </w:p>
    <w:p w:rsidR="00EB7BE7" w:rsidRDefault="00EB7BE7"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1D10CA" w:rsidRDefault="001D10CA"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0E1732" w:rsidRDefault="000E1732" w:rsidP="00EB7BE7">
      <w:pPr>
        <w:rPr>
          <w:sz w:val="20"/>
          <w:szCs w:val="20"/>
        </w:rPr>
      </w:pPr>
    </w:p>
    <w:p w:rsidR="00EB7BE7" w:rsidRPr="00962062" w:rsidRDefault="00EB7BE7" w:rsidP="00EB7BE7">
      <w:pPr>
        <w:rPr>
          <w:sz w:val="20"/>
          <w:szCs w:val="20"/>
        </w:rPr>
      </w:pPr>
      <w:r w:rsidRPr="00962062">
        <w:rPr>
          <w:sz w:val="20"/>
          <w:szCs w:val="20"/>
        </w:rPr>
        <w:fldChar w:fldCharType="begin"/>
      </w:r>
      <w:r w:rsidRPr="00962062">
        <w:rPr>
          <w:sz w:val="20"/>
          <w:szCs w:val="20"/>
        </w:rPr>
        <w:instrText xml:space="preserve"> TIME \@ "dd.MM.yyyy H:mm" </w:instrText>
      </w:r>
      <w:r w:rsidRPr="00962062">
        <w:rPr>
          <w:sz w:val="20"/>
          <w:szCs w:val="20"/>
        </w:rPr>
        <w:fldChar w:fldCharType="separate"/>
      </w:r>
      <w:r w:rsidR="00E13225">
        <w:rPr>
          <w:noProof/>
          <w:sz w:val="20"/>
          <w:szCs w:val="20"/>
        </w:rPr>
        <w:t>05.04.2018 9:55</w:t>
      </w:r>
      <w:r w:rsidRPr="00962062">
        <w:rPr>
          <w:sz w:val="20"/>
          <w:szCs w:val="20"/>
        </w:rPr>
        <w:fldChar w:fldCharType="end"/>
      </w:r>
    </w:p>
    <w:p w:rsidR="006102F0" w:rsidRDefault="00C24639" w:rsidP="00EB7BE7">
      <w:pPr>
        <w:rPr>
          <w:sz w:val="20"/>
          <w:szCs w:val="20"/>
        </w:rPr>
      </w:pPr>
      <w:r>
        <w:rPr>
          <w:sz w:val="20"/>
          <w:szCs w:val="20"/>
        </w:rPr>
        <w:t>2</w:t>
      </w:r>
      <w:r w:rsidR="008B56E8">
        <w:rPr>
          <w:sz w:val="20"/>
          <w:szCs w:val="20"/>
        </w:rPr>
        <w:t>553</w:t>
      </w:r>
    </w:p>
    <w:p w:rsidR="00EB7BE7" w:rsidRPr="00AB4374" w:rsidRDefault="00EB7BE7" w:rsidP="00EB7BE7">
      <w:pPr>
        <w:rPr>
          <w:rStyle w:val="Hyperlink"/>
          <w:color w:val="auto"/>
          <w:sz w:val="20"/>
          <w:szCs w:val="20"/>
          <w:u w:val="none"/>
        </w:rPr>
      </w:pPr>
      <w:r w:rsidRPr="00AB4374">
        <w:rPr>
          <w:rStyle w:val="Hyperlink"/>
          <w:color w:val="auto"/>
          <w:sz w:val="20"/>
          <w:szCs w:val="20"/>
          <w:u w:val="none"/>
        </w:rPr>
        <w:t>Radzeviča</w:t>
      </w:r>
    </w:p>
    <w:p w:rsidR="00DA71B5" w:rsidRDefault="00EB7BE7">
      <w:r w:rsidRPr="00AB4374">
        <w:rPr>
          <w:rStyle w:val="Hyperlink"/>
          <w:color w:val="auto"/>
          <w:sz w:val="20"/>
          <w:szCs w:val="20"/>
          <w:u w:val="none"/>
        </w:rPr>
        <w:t xml:space="preserve">67219418, </w:t>
      </w:r>
      <w:hyperlink r:id="rId9" w:history="1">
        <w:r w:rsidRPr="00AB4374">
          <w:rPr>
            <w:rStyle w:val="Hyperlink"/>
            <w:color w:val="auto"/>
            <w:sz w:val="20"/>
            <w:szCs w:val="20"/>
            <w:u w:val="none"/>
          </w:rPr>
          <w:t>dace.radzevica@iem.gov.lv</w:t>
        </w:r>
      </w:hyperlink>
    </w:p>
    <w:sectPr w:rsidR="00DA71B5" w:rsidSect="000D43EA">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E7" w:rsidRDefault="00EB7BE7" w:rsidP="00EB7BE7">
      <w:r>
        <w:separator/>
      </w:r>
    </w:p>
  </w:endnote>
  <w:endnote w:type="continuationSeparator" w:id="0">
    <w:p w:rsidR="00EB7BE7" w:rsidRDefault="00EB7BE7" w:rsidP="00EB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D6" w:rsidRPr="003C5C41" w:rsidRDefault="00DA07D6" w:rsidP="00DA07D6">
    <w:pPr>
      <w:jc w:val="both"/>
    </w:pPr>
    <w:r>
      <w:rPr>
        <w:sz w:val="20"/>
        <w:szCs w:val="20"/>
      </w:rPr>
      <w:t>IE</w:t>
    </w:r>
    <w:r w:rsidRPr="00FA62E0">
      <w:rPr>
        <w:sz w:val="20"/>
        <w:szCs w:val="20"/>
      </w:rPr>
      <w:t>MAnot_</w:t>
    </w:r>
    <w:r w:rsidR="008B56E8">
      <w:rPr>
        <w:sz w:val="20"/>
        <w:szCs w:val="20"/>
      </w:rPr>
      <w:t>0404</w:t>
    </w:r>
    <w:r>
      <w:rPr>
        <w:sz w:val="20"/>
        <w:szCs w:val="20"/>
      </w:rPr>
      <w:t>2018.docx</w:t>
    </w:r>
  </w:p>
  <w:p w:rsidR="00D416BA" w:rsidRPr="003C5C41" w:rsidRDefault="00C52428" w:rsidP="003C5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E8" w:rsidRPr="003C5C41" w:rsidRDefault="008B56E8" w:rsidP="008B56E8">
    <w:pPr>
      <w:jc w:val="both"/>
    </w:pPr>
    <w:r>
      <w:rPr>
        <w:sz w:val="20"/>
        <w:szCs w:val="20"/>
      </w:rPr>
      <w:t>IE</w:t>
    </w:r>
    <w:r w:rsidRPr="00FA62E0">
      <w:rPr>
        <w:sz w:val="20"/>
        <w:szCs w:val="20"/>
      </w:rPr>
      <w:t>MAnot_</w:t>
    </w:r>
    <w:r>
      <w:rPr>
        <w:sz w:val="20"/>
        <w:szCs w:val="20"/>
      </w:rPr>
      <w:t>04042018.docx</w:t>
    </w:r>
  </w:p>
  <w:p w:rsidR="00D416BA" w:rsidRPr="00816701" w:rsidRDefault="00C52428" w:rsidP="00816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E7" w:rsidRDefault="00EB7BE7" w:rsidP="00EB7BE7">
      <w:r>
        <w:separator/>
      </w:r>
    </w:p>
  </w:footnote>
  <w:footnote w:type="continuationSeparator" w:id="0">
    <w:p w:rsidR="00EB7BE7" w:rsidRDefault="00EB7BE7" w:rsidP="00EB7BE7">
      <w:r>
        <w:continuationSeparator/>
      </w:r>
    </w:p>
  </w:footnote>
  <w:footnote w:id="1">
    <w:p w:rsidR="00EB7BE7" w:rsidRDefault="00EB7BE7" w:rsidP="00EB7BE7">
      <w:pPr>
        <w:pStyle w:val="FootnoteText"/>
      </w:pPr>
      <w:r>
        <w:rPr>
          <w:rStyle w:val="FootnoteReference"/>
        </w:rPr>
        <w:footnoteRef/>
      </w:r>
      <w:r>
        <w:t xml:space="preserve"> Informāciju sniedza 7 republikas pilsētu un 45 novadu pašvaldības policijas institūcijas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1447C4"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6BA" w:rsidRDefault="00C52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6BA" w:rsidRDefault="001447C4" w:rsidP="00D416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2428">
      <w:rPr>
        <w:rStyle w:val="PageNumber"/>
        <w:noProof/>
      </w:rPr>
      <w:t>10</w:t>
    </w:r>
    <w:r>
      <w:rPr>
        <w:rStyle w:val="PageNumber"/>
      </w:rPr>
      <w:fldChar w:fldCharType="end"/>
    </w:r>
  </w:p>
  <w:p w:rsidR="00D416BA" w:rsidRDefault="00C52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63E"/>
    <w:multiLevelType w:val="hybridMultilevel"/>
    <w:tmpl w:val="6F301E5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620231"/>
    <w:multiLevelType w:val="hybridMultilevel"/>
    <w:tmpl w:val="411888B6"/>
    <w:lvl w:ilvl="0" w:tplc="8E02679C">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 w15:restartNumberingAfterBreak="0">
    <w:nsid w:val="14B069B7"/>
    <w:multiLevelType w:val="hybridMultilevel"/>
    <w:tmpl w:val="D7C2B61E"/>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A559B"/>
    <w:multiLevelType w:val="hybridMultilevel"/>
    <w:tmpl w:val="C9C8AAD0"/>
    <w:lvl w:ilvl="0" w:tplc="B3A2F904">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7"/>
    <w:rsid w:val="000C5C59"/>
    <w:rsid w:val="000D43EA"/>
    <w:rsid w:val="000E1732"/>
    <w:rsid w:val="001447C4"/>
    <w:rsid w:val="00195C85"/>
    <w:rsid w:val="001D10CA"/>
    <w:rsid w:val="00230ED5"/>
    <w:rsid w:val="002461C3"/>
    <w:rsid w:val="00254FF0"/>
    <w:rsid w:val="002F117B"/>
    <w:rsid w:val="002F7224"/>
    <w:rsid w:val="00316EB9"/>
    <w:rsid w:val="00505CC2"/>
    <w:rsid w:val="00551A26"/>
    <w:rsid w:val="0057134A"/>
    <w:rsid w:val="005B44B5"/>
    <w:rsid w:val="005D7BD0"/>
    <w:rsid w:val="006102F0"/>
    <w:rsid w:val="006B716D"/>
    <w:rsid w:val="00816701"/>
    <w:rsid w:val="00896F5C"/>
    <w:rsid w:val="008B1BDD"/>
    <w:rsid w:val="008B56E8"/>
    <w:rsid w:val="008F3651"/>
    <w:rsid w:val="009C2249"/>
    <w:rsid w:val="00A62BDD"/>
    <w:rsid w:val="00A866F0"/>
    <w:rsid w:val="00AE4070"/>
    <w:rsid w:val="00AF7FB1"/>
    <w:rsid w:val="00B41627"/>
    <w:rsid w:val="00B67111"/>
    <w:rsid w:val="00BD0244"/>
    <w:rsid w:val="00C24639"/>
    <w:rsid w:val="00C52428"/>
    <w:rsid w:val="00D3678C"/>
    <w:rsid w:val="00DA07D6"/>
    <w:rsid w:val="00DA71B5"/>
    <w:rsid w:val="00E13225"/>
    <w:rsid w:val="00EB7BE7"/>
    <w:rsid w:val="00F778B4"/>
    <w:rsid w:val="00FF41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E26FBE8-D14B-424C-98AA-EBCCF410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7BE7"/>
    <w:pPr>
      <w:jc w:val="center"/>
    </w:pPr>
    <w:rPr>
      <w:b/>
      <w:bCs/>
      <w:sz w:val="28"/>
    </w:rPr>
  </w:style>
  <w:style w:type="character" w:customStyle="1" w:styleId="BodyTextChar">
    <w:name w:val="Body Text Char"/>
    <w:basedOn w:val="DefaultParagraphFont"/>
    <w:link w:val="BodyText"/>
    <w:rsid w:val="00EB7BE7"/>
    <w:rPr>
      <w:rFonts w:ascii="Times New Roman" w:eastAsia="Times New Roman" w:hAnsi="Times New Roman" w:cs="Times New Roman"/>
      <w:b/>
      <w:bCs/>
      <w:sz w:val="28"/>
      <w:szCs w:val="24"/>
    </w:rPr>
  </w:style>
  <w:style w:type="paragraph" w:customStyle="1" w:styleId="naisf">
    <w:name w:val="naisf"/>
    <w:basedOn w:val="Normal"/>
    <w:rsid w:val="00EB7BE7"/>
    <w:pPr>
      <w:spacing w:before="75" w:after="75"/>
      <w:ind w:firstLine="375"/>
      <w:jc w:val="both"/>
    </w:pPr>
    <w:rPr>
      <w:lang w:eastAsia="lv-LV"/>
    </w:rPr>
  </w:style>
  <w:style w:type="paragraph" w:styleId="Header">
    <w:name w:val="header"/>
    <w:basedOn w:val="Normal"/>
    <w:link w:val="HeaderChar"/>
    <w:rsid w:val="00EB7BE7"/>
    <w:pPr>
      <w:tabs>
        <w:tab w:val="center" w:pos="4153"/>
        <w:tab w:val="right" w:pos="8306"/>
      </w:tabs>
    </w:pPr>
    <w:rPr>
      <w:lang w:eastAsia="lv-LV"/>
    </w:rPr>
  </w:style>
  <w:style w:type="character" w:customStyle="1" w:styleId="HeaderChar">
    <w:name w:val="Header Char"/>
    <w:basedOn w:val="DefaultParagraphFont"/>
    <w:link w:val="Header"/>
    <w:rsid w:val="00EB7BE7"/>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B7BE7"/>
    <w:pPr>
      <w:tabs>
        <w:tab w:val="center" w:pos="4153"/>
        <w:tab w:val="right" w:pos="8306"/>
      </w:tabs>
    </w:pPr>
    <w:rPr>
      <w:lang w:eastAsia="lv-LV"/>
    </w:rPr>
  </w:style>
  <w:style w:type="character" w:customStyle="1" w:styleId="FooterChar">
    <w:name w:val="Footer Char"/>
    <w:basedOn w:val="DefaultParagraphFont"/>
    <w:link w:val="Footer"/>
    <w:uiPriority w:val="99"/>
    <w:rsid w:val="00EB7BE7"/>
    <w:rPr>
      <w:rFonts w:ascii="Times New Roman" w:eastAsia="Times New Roman" w:hAnsi="Times New Roman" w:cs="Times New Roman"/>
      <w:sz w:val="24"/>
      <w:szCs w:val="24"/>
      <w:lang w:eastAsia="lv-LV"/>
    </w:rPr>
  </w:style>
  <w:style w:type="character" w:styleId="PageNumber">
    <w:name w:val="page number"/>
    <w:basedOn w:val="DefaultParagraphFont"/>
    <w:rsid w:val="00EB7BE7"/>
  </w:style>
  <w:style w:type="character" w:styleId="Hyperlink">
    <w:name w:val="Hyperlink"/>
    <w:basedOn w:val="DefaultParagraphFont"/>
    <w:uiPriority w:val="99"/>
    <w:rsid w:val="00EB7BE7"/>
    <w:rPr>
      <w:rFonts w:cs="Times New Roman"/>
      <w:color w:val="0000FF"/>
      <w:u w:val="single"/>
    </w:rPr>
  </w:style>
  <w:style w:type="table" w:styleId="TableGrid">
    <w:name w:val="Table Grid"/>
    <w:basedOn w:val="TableNormal"/>
    <w:uiPriority w:val="59"/>
    <w:rsid w:val="00EB7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B7BE7"/>
    <w:pPr>
      <w:spacing w:before="100" w:beforeAutospacing="1" w:after="100" w:afterAutospacing="1"/>
    </w:pPr>
    <w:rPr>
      <w:lang w:eastAsia="lv-LV"/>
    </w:rPr>
  </w:style>
  <w:style w:type="character" w:customStyle="1" w:styleId="INS">
    <w:name w:val="INS"/>
    <w:rsid w:val="00EB7BE7"/>
  </w:style>
  <w:style w:type="paragraph" w:styleId="FootnoteText">
    <w:name w:val="footnote text"/>
    <w:basedOn w:val="Normal"/>
    <w:link w:val="FootnoteTextChar"/>
    <w:rsid w:val="00EB7BE7"/>
    <w:pPr>
      <w:widowControl w:val="0"/>
      <w:suppressAutoHyphens/>
    </w:pPr>
    <w:rPr>
      <w:rFonts w:eastAsia="Lucida Sans Unicode" w:cs="Mangal"/>
      <w:kern w:val="1"/>
      <w:sz w:val="20"/>
      <w:szCs w:val="18"/>
      <w:lang w:eastAsia="hi-IN" w:bidi="hi-IN"/>
    </w:rPr>
  </w:style>
  <w:style w:type="character" w:customStyle="1" w:styleId="FootnoteTextChar">
    <w:name w:val="Footnote Text Char"/>
    <w:basedOn w:val="DefaultParagraphFont"/>
    <w:link w:val="FootnoteText"/>
    <w:rsid w:val="00EB7BE7"/>
    <w:rPr>
      <w:rFonts w:ascii="Times New Roman" w:eastAsia="Lucida Sans Unicode" w:hAnsi="Times New Roman" w:cs="Mangal"/>
      <w:kern w:val="1"/>
      <w:sz w:val="20"/>
      <w:szCs w:val="18"/>
      <w:lang w:eastAsia="hi-IN" w:bidi="hi-IN"/>
    </w:rPr>
  </w:style>
  <w:style w:type="character" w:styleId="FootnoteReference">
    <w:name w:val="footnote reference"/>
    <w:rsid w:val="00EB7BE7"/>
    <w:rPr>
      <w:vertAlign w:val="superscript"/>
    </w:rPr>
  </w:style>
  <w:style w:type="paragraph" w:styleId="BalloonText">
    <w:name w:val="Balloon Text"/>
    <w:basedOn w:val="Normal"/>
    <w:link w:val="BalloonTextChar"/>
    <w:uiPriority w:val="99"/>
    <w:semiHidden/>
    <w:unhideWhenUsed/>
    <w:rsid w:val="005D7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D0"/>
    <w:rPr>
      <w:rFonts w:ascii="Segoe UI" w:eastAsia="Times New Roman" w:hAnsi="Segoe UI" w:cs="Segoe UI"/>
      <w:sz w:val="18"/>
      <w:szCs w:val="18"/>
    </w:rPr>
  </w:style>
  <w:style w:type="paragraph" w:styleId="ListParagraph">
    <w:name w:val="List Paragraph"/>
    <w:basedOn w:val="Normal"/>
    <w:uiPriority w:val="34"/>
    <w:qFormat/>
    <w:rsid w:val="00D36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72951">
      <w:bodyDiv w:val="1"/>
      <w:marLeft w:val="0"/>
      <w:marRight w:val="0"/>
      <w:marTop w:val="0"/>
      <w:marBottom w:val="0"/>
      <w:divBdr>
        <w:top w:val="none" w:sz="0" w:space="0" w:color="auto"/>
        <w:left w:val="none" w:sz="0" w:space="0" w:color="auto"/>
        <w:bottom w:val="none" w:sz="0" w:space="0" w:color="auto"/>
        <w:right w:val="none" w:sz="0" w:space="0" w:color="auto"/>
      </w:divBdr>
      <w:divsChild>
        <w:div w:id="2119446383">
          <w:marLeft w:val="0"/>
          <w:marRight w:val="0"/>
          <w:marTop w:val="0"/>
          <w:marBottom w:val="0"/>
          <w:divBdr>
            <w:top w:val="none" w:sz="0" w:space="0" w:color="auto"/>
            <w:left w:val="none" w:sz="0" w:space="0" w:color="auto"/>
            <w:bottom w:val="none" w:sz="0" w:space="0" w:color="auto"/>
            <w:right w:val="none" w:sz="0" w:space="0" w:color="auto"/>
          </w:divBdr>
        </w:div>
        <w:div w:id="1237519542">
          <w:marLeft w:val="0"/>
          <w:marRight w:val="0"/>
          <w:marTop w:val="0"/>
          <w:marBottom w:val="0"/>
          <w:divBdr>
            <w:top w:val="none" w:sz="0" w:space="0" w:color="auto"/>
            <w:left w:val="none" w:sz="0" w:space="0" w:color="auto"/>
            <w:bottom w:val="none" w:sz="0" w:space="0" w:color="auto"/>
            <w:right w:val="none" w:sz="0" w:space="0" w:color="auto"/>
          </w:divBdr>
        </w:div>
      </w:divsChild>
    </w:div>
    <w:div w:id="1352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545-valsts-parvaldes-iekart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adzevic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5647-8249-405E-9D70-543DE436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10</Pages>
  <Words>2592</Words>
  <Characters>18150</Characters>
  <Application>Microsoft Office Word</Application>
  <DocSecurity>0</DocSecurity>
  <Lines>698</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30</cp:revision>
  <cp:lastPrinted>2018-04-05T06:55:00Z</cp:lastPrinted>
  <dcterms:created xsi:type="dcterms:W3CDTF">2016-12-28T14:06:00Z</dcterms:created>
  <dcterms:modified xsi:type="dcterms:W3CDTF">2018-04-05T12:56:00Z</dcterms:modified>
</cp:coreProperties>
</file>