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7EFD3" w14:textId="77777777" w:rsidR="00A906FA" w:rsidRDefault="00A33B4B" w:rsidP="00A906FA">
      <w:pPr>
        <w:spacing w:after="0" w:line="240" w:lineRule="auto"/>
        <w:jc w:val="center"/>
        <w:rPr>
          <w:rFonts w:ascii="Times New Roman" w:eastAsia="Times New Roman" w:hAnsi="Times New Roman" w:cs="Times New Roman"/>
          <w:b/>
          <w:bCs/>
          <w:sz w:val="26"/>
          <w:szCs w:val="26"/>
          <w:lang w:eastAsia="lv-LV"/>
        </w:rPr>
      </w:pPr>
      <w:bookmarkStart w:id="0" w:name="OLE_LINK8"/>
      <w:bookmarkStart w:id="1" w:name="OLE_LINK9"/>
      <w:r w:rsidRPr="00A906FA">
        <w:rPr>
          <w:rFonts w:ascii="Times New Roman" w:eastAsia="Times New Roman" w:hAnsi="Times New Roman" w:cs="Times New Roman"/>
          <w:b/>
          <w:bCs/>
          <w:sz w:val="26"/>
          <w:szCs w:val="26"/>
          <w:lang w:eastAsia="lv-LV"/>
        </w:rPr>
        <w:t xml:space="preserve">Ministru kabineta noteikumu </w:t>
      </w:r>
      <w:bookmarkStart w:id="2" w:name="OLE_LINK3"/>
      <w:bookmarkStart w:id="3" w:name="OLE_LINK4"/>
      <w:bookmarkStart w:id="4" w:name="OLE_LINK7"/>
      <w:bookmarkStart w:id="5" w:name="OLE_LINK1"/>
      <w:bookmarkStart w:id="6" w:name="OLE_LINK2"/>
      <w:bookmarkStart w:id="7" w:name="OLE_LINK5"/>
      <w:bookmarkStart w:id="8" w:name="OLE_LINK6"/>
      <w:r w:rsidR="00377C40" w:rsidRPr="00A906FA">
        <w:rPr>
          <w:rFonts w:ascii="Times New Roman" w:eastAsia="Times New Roman" w:hAnsi="Times New Roman" w:cs="Times New Roman"/>
          <w:b/>
          <w:bCs/>
          <w:sz w:val="26"/>
          <w:szCs w:val="26"/>
          <w:lang w:eastAsia="lv-LV"/>
        </w:rPr>
        <w:t xml:space="preserve">"Grozījumi </w:t>
      </w:r>
      <w:bookmarkEnd w:id="2"/>
      <w:bookmarkEnd w:id="3"/>
      <w:bookmarkEnd w:id="4"/>
      <w:r w:rsidR="00377C40" w:rsidRPr="00A906FA">
        <w:rPr>
          <w:rFonts w:ascii="Times New Roman" w:eastAsia="Times New Roman" w:hAnsi="Times New Roman" w:cs="Times New Roman"/>
          <w:b/>
          <w:bCs/>
          <w:sz w:val="26"/>
          <w:szCs w:val="26"/>
          <w:lang w:eastAsia="lv-LV"/>
        </w:rPr>
        <w:t xml:space="preserve">Ministru kabineta </w:t>
      </w:r>
    </w:p>
    <w:p w14:paraId="03E84C90" w14:textId="2F285B74" w:rsidR="004D15A9" w:rsidRPr="00A906FA" w:rsidRDefault="00377C40" w:rsidP="00A906FA">
      <w:pPr>
        <w:spacing w:after="0" w:line="240" w:lineRule="auto"/>
        <w:jc w:val="center"/>
        <w:rPr>
          <w:rFonts w:ascii="Times New Roman" w:eastAsia="Times New Roman" w:hAnsi="Times New Roman" w:cs="Times New Roman"/>
          <w:b/>
          <w:bCs/>
          <w:sz w:val="26"/>
          <w:szCs w:val="26"/>
          <w:lang w:eastAsia="lv-LV"/>
        </w:rPr>
      </w:pPr>
      <w:r w:rsidRPr="00A906FA">
        <w:rPr>
          <w:rFonts w:ascii="Times New Roman" w:eastAsia="Times New Roman" w:hAnsi="Times New Roman" w:cs="Times New Roman"/>
          <w:b/>
          <w:bCs/>
          <w:sz w:val="26"/>
          <w:szCs w:val="26"/>
          <w:lang w:eastAsia="lv-LV"/>
        </w:rPr>
        <w:t>2010.gada 19.oktobra noteikumos Nr.987 "Noteikumi par darbības programmas "Uzņēmējdarbība un inovācijas" papildinājuma 2.1.1.3.1.apakšaktivitātes "Zinātnes infrastruktūras attīstība" pirmo projektu iesniegumu atlases kārtu"</w:t>
      </w:r>
      <w:r w:rsidR="00C65EDD" w:rsidRPr="00A906FA">
        <w:rPr>
          <w:rFonts w:ascii="Times New Roman" w:eastAsia="Times New Roman" w:hAnsi="Times New Roman" w:cs="Times New Roman"/>
          <w:sz w:val="26"/>
          <w:szCs w:val="26"/>
          <w:lang w:eastAsia="lv-LV"/>
        </w:rPr>
        <w:t>"</w:t>
      </w:r>
      <w:r w:rsidR="0091269C" w:rsidRPr="00A906FA">
        <w:rPr>
          <w:rFonts w:ascii="Times New Roman" w:hAnsi="Times New Roman" w:cs="Times New Roman"/>
          <w:b/>
          <w:sz w:val="26"/>
          <w:szCs w:val="26"/>
        </w:rPr>
        <w:t xml:space="preserve"> </w:t>
      </w:r>
      <w:bookmarkEnd w:id="5"/>
      <w:bookmarkEnd w:id="6"/>
      <w:bookmarkEnd w:id="7"/>
      <w:bookmarkEnd w:id="8"/>
      <w:r w:rsidR="00A33B4B" w:rsidRPr="00A906FA">
        <w:rPr>
          <w:rFonts w:ascii="Times New Roman" w:eastAsia="Times New Roman" w:hAnsi="Times New Roman" w:cs="Times New Roman"/>
          <w:b/>
          <w:bCs/>
          <w:sz w:val="26"/>
          <w:szCs w:val="26"/>
          <w:lang w:eastAsia="lv-LV"/>
        </w:rPr>
        <w:t xml:space="preserve">projekta </w:t>
      </w:r>
      <w:r w:rsidR="004D15A9" w:rsidRPr="00A906FA">
        <w:rPr>
          <w:rFonts w:ascii="Times New Roman" w:eastAsia="Times New Roman" w:hAnsi="Times New Roman" w:cs="Times New Roman"/>
          <w:b/>
          <w:bCs/>
          <w:sz w:val="26"/>
          <w:szCs w:val="26"/>
          <w:lang w:eastAsia="lv-LV"/>
        </w:rPr>
        <w:t>sākotnējās ietekmes novērtējuma ziņojums (anotācija)</w:t>
      </w:r>
    </w:p>
    <w:bookmarkEnd w:id="0"/>
    <w:bookmarkEnd w:id="1"/>
    <w:p w14:paraId="01CDD508" w14:textId="77777777" w:rsidR="00DA596D" w:rsidRDefault="00DA596D" w:rsidP="0015365E">
      <w:pPr>
        <w:spacing w:after="0" w:line="240" w:lineRule="auto"/>
        <w:ind w:firstLine="300"/>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1"/>
        <w:gridCol w:w="5944"/>
      </w:tblGrid>
      <w:tr w:rsidR="002A5D03" w14:paraId="4E458FBC" w14:textId="77777777" w:rsidTr="002A5D03">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1DF4ACD" w14:textId="77777777" w:rsidR="002A5D03" w:rsidRPr="00DE33A2" w:rsidRDefault="002A5D03" w:rsidP="00DF2054">
            <w:pPr>
              <w:spacing w:after="100" w:afterAutospacing="1" w:line="254" w:lineRule="atLeast"/>
              <w:jc w:val="center"/>
              <w:rPr>
                <w:rFonts w:ascii="Times New Roman" w:eastAsia="Times New Roman" w:hAnsi="Times New Roman" w:cs="Times New Roman"/>
                <w:b/>
                <w:bCs/>
                <w:sz w:val="24"/>
                <w:szCs w:val="24"/>
                <w:lang w:eastAsia="lv-LV"/>
              </w:rPr>
            </w:pPr>
            <w:r w:rsidRPr="00DE33A2">
              <w:rPr>
                <w:rFonts w:ascii="Times New Roman" w:eastAsia="Times New Roman" w:hAnsi="Times New Roman" w:cs="Times New Roman"/>
                <w:b/>
                <w:bCs/>
                <w:sz w:val="24"/>
                <w:szCs w:val="24"/>
                <w:lang w:eastAsia="lv-LV"/>
              </w:rPr>
              <w:t>Tiesību akta projekta anotācijas kopsavilkums</w:t>
            </w:r>
          </w:p>
        </w:tc>
      </w:tr>
      <w:tr w:rsidR="002A5D03" w14:paraId="39C944F2" w14:textId="77777777" w:rsidTr="002A5D03">
        <w:tc>
          <w:tcPr>
            <w:tcW w:w="1718" w:type="pct"/>
            <w:tcBorders>
              <w:top w:val="outset" w:sz="6" w:space="0" w:color="414142"/>
              <w:left w:val="outset" w:sz="6" w:space="0" w:color="414142"/>
              <w:bottom w:val="outset" w:sz="6" w:space="0" w:color="414142"/>
              <w:right w:val="outset" w:sz="6" w:space="0" w:color="414142"/>
            </w:tcBorders>
            <w:hideMark/>
          </w:tcPr>
          <w:p w14:paraId="5DA80366" w14:textId="77777777" w:rsidR="002A5D03" w:rsidRPr="00DE33A2" w:rsidRDefault="002A5D03" w:rsidP="00DF2054">
            <w:pPr>
              <w:spacing w:after="0" w:line="240" w:lineRule="auto"/>
              <w:rPr>
                <w:rFonts w:ascii="Times New Roman" w:eastAsia="Times New Roman" w:hAnsi="Times New Roman" w:cs="Times New Roman"/>
                <w:sz w:val="24"/>
                <w:szCs w:val="24"/>
                <w:lang w:eastAsia="lv-LV"/>
              </w:rPr>
            </w:pPr>
            <w:r w:rsidRPr="00DE33A2">
              <w:rPr>
                <w:rFonts w:ascii="Times New Roman" w:eastAsia="Times New Roman" w:hAnsi="Times New Roman" w:cs="Times New Roman"/>
                <w:sz w:val="24"/>
                <w:szCs w:val="24"/>
                <w:lang w:eastAsia="lv-LV"/>
              </w:rPr>
              <w:t xml:space="preserve">Mērķis, risinājums un projekta spēkā stāšanās </w:t>
            </w:r>
            <w:r w:rsidRPr="00713410">
              <w:rPr>
                <w:rFonts w:ascii="Times New Roman" w:eastAsia="Times New Roman" w:hAnsi="Times New Roman" w:cs="Times New Roman"/>
                <w:sz w:val="24"/>
                <w:szCs w:val="24"/>
                <w:lang w:eastAsia="lv-LV"/>
              </w:rPr>
              <w:t>laiks (</w:t>
            </w:r>
            <w:r w:rsidRPr="00713410">
              <w:rPr>
                <w:rFonts w:ascii="Times New Roman" w:eastAsia="Times New Roman" w:hAnsi="Times New Roman" w:cs="Times New Roman"/>
                <w:color w:val="000000" w:themeColor="text1"/>
                <w:sz w:val="24"/>
                <w:szCs w:val="24"/>
                <w:lang w:eastAsia="lv-LV"/>
              </w:rPr>
              <w:t xml:space="preserve">500 zīmes </w:t>
            </w:r>
            <w:r w:rsidRPr="00DE33A2">
              <w:rPr>
                <w:rFonts w:ascii="Times New Roman" w:eastAsia="Times New Roman" w:hAnsi="Times New Roman" w:cs="Times New Roman"/>
                <w:sz w:val="24"/>
                <w:szCs w:val="24"/>
                <w:lang w:eastAsia="lv-LV"/>
              </w:rPr>
              <w:t>bez atstarpēm)</w:t>
            </w:r>
          </w:p>
        </w:tc>
        <w:tc>
          <w:tcPr>
            <w:tcW w:w="3282" w:type="pct"/>
            <w:tcBorders>
              <w:top w:val="outset" w:sz="6" w:space="0" w:color="414142"/>
              <w:left w:val="outset" w:sz="6" w:space="0" w:color="414142"/>
              <w:bottom w:val="outset" w:sz="6" w:space="0" w:color="414142"/>
              <w:right w:val="outset" w:sz="6" w:space="0" w:color="414142"/>
            </w:tcBorders>
            <w:hideMark/>
          </w:tcPr>
          <w:p w14:paraId="6E338DB0" w14:textId="77777777" w:rsidR="0011057C" w:rsidRPr="00DE33A2" w:rsidRDefault="0011057C" w:rsidP="0011057C">
            <w:pPr>
              <w:spacing w:before="10" w:after="0" w:line="240" w:lineRule="auto"/>
              <w:ind w:left="113" w:right="113"/>
              <w:jc w:val="both"/>
              <w:rPr>
                <w:rFonts w:ascii="Times New Roman" w:hAnsi="Times New Roman"/>
                <w:sz w:val="24"/>
                <w:szCs w:val="24"/>
              </w:rPr>
            </w:pPr>
            <w:r w:rsidRPr="00DE33A2">
              <w:rPr>
                <w:rFonts w:ascii="Times New Roman" w:hAnsi="Times New Roman"/>
                <w:sz w:val="24"/>
                <w:szCs w:val="24"/>
              </w:rPr>
              <w:t xml:space="preserve">Noteikumu projekts </w:t>
            </w:r>
            <w:r w:rsidRPr="002A5D03">
              <w:rPr>
                <w:rFonts w:ascii="Times New Roman" w:hAnsi="Times New Roman"/>
                <w:sz w:val="24"/>
                <w:szCs w:val="24"/>
              </w:rPr>
              <w:t>"Grozījumi Ministru kabineta 2010.gada 19.oktobra noteikumos Nr.987 "Noteikumi par darbības programmas "Uzņēmējdarbība un inovācijas" papildinājuma 2.1.1.3.1.apakšaktivitātes "Zinātnes infrastruktūras attīstība" pirmo projektu iesniegumu atlases kārtu""</w:t>
            </w:r>
            <w:r w:rsidRPr="00DE33A2">
              <w:rPr>
                <w:rFonts w:ascii="Times New Roman" w:hAnsi="Times New Roman"/>
                <w:sz w:val="24"/>
                <w:szCs w:val="24"/>
              </w:rPr>
              <w:t xml:space="preserve"> (turpmāk – noteikum</w:t>
            </w:r>
            <w:r>
              <w:rPr>
                <w:rFonts w:ascii="Times New Roman" w:hAnsi="Times New Roman"/>
                <w:sz w:val="24"/>
                <w:szCs w:val="24"/>
              </w:rPr>
              <w:t>u projekts</w:t>
            </w:r>
            <w:r w:rsidRPr="00DE33A2">
              <w:rPr>
                <w:rFonts w:ascii="Times New Roman" w:hAnsi="Times New Roman"/>
                <w:sz w:val="24"/>
                <w:szCs w:val="24"/>
              </w:rPr>
              <w:t xml:space="preserve">) </w:t>
            </w:r>
            <w:r>
              <w:rPr>
                <w:rFonts w:ascii="Times New Roman" w:hAnsi="Times New Roman"/>
                <w:sz w:val="24"/>
                <w:szCs w:val="24"/>
              </w:rPr>
              <w:t>sagatavots ar mērķi:</w:t>
            </w:r>
          </w:p>
          <w:p w14:paraId="4ACF8AC1" w14:textId="77777777" w:rsidR="0011057C" w:rsidRDefault="0011057C" w:rsidP="0011057C">
            <w:pPr>
              <w:spacing w:before="10" w:after="0" w:line="240" w:lineRule="auto"/>
              <w:ind w:left="113" w:right="113"/>
              <w:jc w:val="both"/>
              <w:rPr>
                <w:rFonts w:ascii="Times New Roman" w:hAnsi="Times New Roman"/>
                <w:sz w:val="24"/>
                <w:szCs w:val="24"/>
                <w:lang w:val="x-none"/>
              </w:rPr>
            </w:pPr>
            <w:r>
              <w:rPr>
                <w:rFonts w:ascii="Times New Roman" w:hAnsi="Times New Roman"/>
                <w:sz w:val="24"/>
                <w:szCs w:val="24"/>
              </w:rPr>
              <w:t xml:space="preserve">1. nodrošināt </w:t>
            </w:r>
            <w:r w:rsidRPr="002A5D03">
              <w:rPr>
                <w:rFonts w:ascii="Times New Roman" w:hAnsi="Times New Roman"/>
                <w:sz w:val="24"/>
                <w:szCs w:val="24"/>
              </w:rPr>
              <w:t xml:space="preserve">Ministru kabineta </w:t>
            </w:r>
            <w:r w:rsidRPr="00A906FA">
              <w:rPr>
                <w:rFonts w:ascii="Times New Roman" w:eastAsia="Times New Roman" w:hAnsi="Times New Roman" w:cs="Times New Roman"/>
                <w:sz w:val="26"/>
                <w:szCs w:val="26"/>
                <w:lang w:eastAsia="lv-LV"/>
              </w:rPr>
              <w:t xml:space="preserve">(turpmāk – MK) </w:t>
            </w:r>
            <w:r w:rsidRPr="002A5D03">
              <w:rPr>
                <w:rFonts w:ascii="Times New Roman" w:hAnsi="Times New Roman"/>
                <w:sz w:val="24"/>
                <w:szCs w:val="24"/>
              </w:rPr>
              <w:t>2010.gada 19.oktobra noteikum</w:t>
            </w:r>
            <w:r>
              <w:rPr>
                <w:rFonts w:ascii="Times New Roman" w:hAnsi="Times New Roman"/>
                <w:sz w:val="24"/>
                <w:szCs w:val="24"/>
              </w:rPr>
              <w:t>u</w:t>
            </w:r>
            <w:r w:rsidRPr="002A5D03">
              <w:rPr>
                <w:rFonts w:ascii="Times New Roman" w:hAnsi="Times New Roman"/>
                <w:sz w:val="24"/>
                <w:szCs w:val="24"/>
              </w:rPr>
              <w:t xml:space="preserve"> Nr.987 "Noteikumi par darbības programmas "Uzņēmējdarbība un inovācijas" papildinājuma 2.1.1.3.1.apakšaktivitātes "Zinātnes infrastruktūras attīstība" pirmo projektu iesniegumu atlases kārtu"</w:t>
            </w:r>
            <w:r>
              <w:rPr>
                <w:rFonts w:ascii="Times New Roman" w:hAnsi="Times New Roman"/>
                <w:sz w:val="24"/>
                <w:szCs w:val="24"/>
              </w:rPr>
              <w:t xml:space="preserve"> </w:t>
            </w:r>
            <w:r w:rsidRPr="00A906FA">
              <w:rPr>
                <w:rFonts w:ascii="Times New Roman" w:eastAsia="Times New Roman" w:hAnsi="Times New Roman" w:cs="Times New Roman"/>
                <w:sz w:val="26"/>
                <w:szCs w:val="26"/>
                <w:lang w:eastAsia="lv-LV"/>
              </w:rPr>
              <w:t>(turpmāk – MK noteikumi Nr. 987)</w:t>
            </w:r>
            <w:r>
              <w:rPr>
                <w:rFonts w:ascii="Times New Roman" w:eastAsia="Times New Roman" w:hAnsi="Times New Roman" w:cs="Times New Roman"/>
                <w:sz w:val="26"/>
                <w:szCs w:val="26"/>
                <w:lang w:eastAsia="lv-LV"/>
              </w:rPr>
              <w:t xml:space="preserve"> atbilstību </w:t>
            </w:r>
            <w:r w:rsidRPr="002A5D03">
              <w:rPr>
                <w:rFonts w:ascii="Times New Roman" w:eastAsia="Times New Roman" w:hAnsi="Times New Roman" w:cs="Times New Roman"/>
                <w:sz w:val="26"/>
                <w:szCs w:val="26"/>
                <w:lang w:eastAsia="lv-LV"/>
              </w:rPr>
              <w:t>Komisijas paziņojuma "Nostādnes par valsts atbalstu pētniecībai, izstrādei un inovācijai" (Eiropas Savienības Oficiālais Vēstnesis, 2014. gada 27. jūnijs, Nr. C 198/1) (turpmāk – Pamatnostādnes) un Komisijas 2014. gada 17. jūnija Regulas (ES) Nr. 651/2014, ar ko noteiktas atbalsta kategorijas atzīst par saderīgām ar iekšējo tirgu, piemērojot Līguma 107. un 108. pantu (turpmāk – Regula Nr.651/2014)</w:t>
            </w:r>
            <w:r>
              <w:rPr>
                <w:rFonts w:ascii="Times New Roman" w:eastAsia="Times New Roman" w:hAnsi="Times New Roman" w:cs="Times New Roman"/>
                <w:sz w:val="26"/>
                <w:szCs w:val="26"/>
                <w:lang w:eastAsia="lv-LV"/>
              </w:rPr>
              <w:t xml:space="preserve"> noteikumiem, ievērojot </w:t>
            </w:r>
            <w:r w:rsidRPr="00F302CC">
              <w:rPr>
                <w:rFonts w:ascii="Times New Roman" w:eastAsia="Times New Roman" w:hAnsi="Times New Roman" w:cs="Times New Roman"/>
                <w:sz w:val="26"/>
                <w:szCs w:val="26"/>
                <w:lang w:eastAsia="lv-LV"/>
              </w:rPr>
              <w:t>valsts atbalsta modernizācijas iniciatīv</w:t>
            </w:r>
            <w:r>
              <w:rPr>
                <w:rFonts w:ascii="Times New Roman" w:eastAsia="Times New Roman" w:hAnsi="Times New Roman" w:cs="Times New Roman"/>
                <w:sz w:val="26"/>
                <w:szCs w:val="26"/>
                <w:lang w:eastAsia="lv-LV"/>
              </w:rPr>
              <w:t>as un</w:t>
            </w:r>
            <w:r w:rsidRPr="00F302CC">
              <w:rPr>
                <w:rFonts w:ascii="Times New Roman" w:eastAsia="Times New Roman" w:hAnsi="Times New Roman" w:cs="Times New Roman"/>
                <w:sz w:val="26"/>
                <w:szCs w:val="26"/>
                <w:lang w:eastAsia="lv-LV"/>
              </w:rPr>
              <w:t xml:space="preserve"> nemainot sākotnējā nacionālā normatīvā akta būtību, bet skaidrojot pētniecības infrastruktūras ekspluatācijas noteikumus projekta pārskata </w:t>
            </w:r>
            <w:r>
              <w:rPr>
                <w:rFonts w:ascii="Times New Roman" w:eastAsia="Times New Roman" w:hAnsi="Times New Roman" w:cs="Times New Roman"/>
                <w:sz w:val="26"/>
                <w:szCs w:val="26"/>
                <w:lang w:eastAsia="lv-LV"/>
              </w:rPr>
              <w:t xml:space="preserve">(dzīves cikla) </w:t>
            </w:r>
            <w:r w:rsidRPr="00F302CC">
              <w:rPr>
                <w:rFonts w:ascii="Times New Roman" w:eastAsia="Times New Roman" w:hAnsi="Times New Roman" w:cs="Times New Roman"/>
                <w:sz w:val="26"/>
                <w:szCs w:val="26"/>
                <w:lang w:eastAsia="lv-LV"/>
              </w:rPr>
              <w:t>periodā.</w:t>
            </w:r>
          </w:p>
          <w:p w14:paraId="6B370BB6" w14:textId="170AE4A9" w:rsidR="00084D70" w:rsidRPr="002A5D03" w:rsidRDefault="0011057C" w:rsidP="0011057C">
            <w:pPr>
              <w:spacing w:before="10" w:after="0" w:line="240" w:lineRule="auto"/>
              <w:ind w:left="113" w:right="113"/>
              <w:jc w:val="both"/>
              <w:rPr>
                <w:rFonts w:ascii="Times New Roman" w:eastAsia="Times New Roman" w:hAnsi="Times New Roman" w:cs="Times New Roman"/>
                <w:sz w:val="24"/>
                <w:szCs w:val="24"/>
                <w:lang w:eastAsia="lv-LV"/>
              </w:rPr>
            </w:pPr>
            <w:r w:rsidRPr="00287172">
              <w:rPr>
                <w:rFonts w:ascii="Times New Roman" w:eastAsia="Times New Roman" w:hAnsi="Times New Roman" w:cs="Times New Roman"/>
                <w:sz w:val="26"/>
                <w:szCs w:val="26"/>
                <w:lang w:eastAsia="lv-LV"/>
              </w:rPr>
              <w:t xml:space="preserve">2.  sekmēt plašāku pieeju valsts nozīmes pētniecības centru (VNPC) ietvaros izveidotai pētniecības infrastruktūrai, tādējādi veicinot pētniecības rezultātu </w:t>
            </w:r>
            <w:proofErr w:type="spellStart"/>
            <w:r w:rsidRPr="00287172">
              <w:rPr>
                <w:rFonts w:ascii="Times New Roman" w:eastAsia="Times New Roman" w:hAnsi="Times New Roman" w:cs="Times New Roman"/>
                <w:sz w:val="26"/>
                <w:szCs w:val="26"/>
                <w:lang w:eastAsia="lv-LV"/>
              </w:rPr>
              <w:t>komercializāciju</w:t>
            </w:r>
            <w:proofErr w:type="spellEnd"/>
            <w:r w:rsidRPr="00287172">
              <w:rPr>
                <w:rFonts w:ascii="Times New Roman" w:eastAsia="Times New Roman" w:hAnsi="Times New Roman" w:cs="Times New Roman"/>
                <w:sz w:val="26"/>
                <w:szCs w:val="26"/>
                <w:lang w:eastAsia="lv-LV"/>
              </w:rPr>
              <w:t xml:space="preserve"> un paaugstinot pētniecības infrastruktūras izmantošanas efektivitāti.</w:t>
            </w:r>
          </w:p>
        </w:tc>
      </w:tr>
    </w:tbl>
    <w:p w14:paraId="3BF284D9" w14:textId="77777777" w:rsidR="002A5D03" w:rsidRPr="00A906FA" w:rsidRDefault="002A5D03" w:rsidP="0015365E">
      <w:pPr>
        <w:spacing w:after="0" w:line="240" w:lineRule="auto"/>
        <w:ind w:firstLine="300"/>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2"/>
        <w:gridCol w:w="141"/>
        <w:gridCol w:w="2658"/>
        <w:gridCol w:w="5944"/>
      </w:tblGrid>
      <w:tr w:rsidR="006A328C" w:rsidRPr="00A906FA" w14:paraId="4B2F0C04" w14:textId="77777777" w:rsidTr="00A906FA">
        <w:trPr>
          <w:trHeight w:val="405"/>
        </w:trPr>
        <w:tc>
          <w:tcPr>
            <w:tcW w:w="9055" w:type="dxa"/>
            <w:gridSpan w:val="4"/>
            <w:tcBorders>
              <w:top w:val="outset" w:sz="6" w:space="0" w:color="414142"/>
              <w:left w:val="outset" w:sz="6" w:space="0" w:color="414142"/>
              <w:bottom w:val="outset" w:sz="6" w:space="0" w:color="414142"/>
              <w:right w:val="outset" w:sz="6" w:space="0" w:color="414142"/>
            </w:tcBorders>
            <w:vAlign w:val="center"/>
            <w:hideMark/>
          </w:tcPr>
          <w:p w14:paraId="50724788" w14:textId="77777777" w:rsidR="004D15A9" w:rsidRPr="00A906FA"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A906FA">
              <w:rPr>
                <w:rFonts w:ascii="Times New Roman" w:eastAsia="Times New Roman" w:hAnsi="Times New Roman" w:cs="Times New Roman"/>
                <w:b/>
                <w:bCs/>
                <w:sz w:val="26"/>
                <w:szCs w:val="26"/>
                <w:lang w:eastAsia="lv-LV"/>
              </w:rPr>
              <w:t>I. Tiesību akta projekta izstrādes nepieciešamība</w:t>
            </w:r>
          </w:p>
        </w:tc>
      </w:tr>
      <w:tr w:rsidR="006A328C" w:rsidRPr="00A906FA" w14:paraId="2F80B6CB" w14:textId="77777777" w:rsidTr="00A906FA">
        <w:trPr>
          <w:trHeight w:val="405"/>
        </w:trPr>
        <w:tc>
          <w:tcPr>
            <w:tcW w:w="312" w:type="dxa"/>
            <w:tcBorders>
              <w:top w:val="outset" w:sz="6" w:space="0" w:color="414142"/>
              <w:left w:val="outset" w:sz="6" w:space="0" w:color="414142"/>
              <w:bottom w:val="outset" w:sz="6" w:space="0" w:color="414142"/>
              <w:right w:val="outset" w:sz="6" w:space="0" w:color="414142"/>
            </w:tcBorders>
            <w:hideMark/>
          </w:tcPr>
          <w:p w14:paraId="66ECDD9A" w14:textId="77777777" w:rsidR="004D15A9" w:rsidRPr="00A906FA" w:rsidRDefault="004D15A9" w:rsidP="00DA596D">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1.</w:t>
            </w:r>
          </w:p>
        </w:tc>
        <w:tc>
          <w:tcPr>
            <w:tcW w:w="2799" w:type="dxa"/>
            <w:gridSpan w:val="2"/>
            <w:tcBorders>
              <w:top w:val="outset" w:sz="6" w:space="0" w:color="414142"/>
              <w:left w:val="outset" w:sz="6" w:space="0" w:color="414142"/>
              <w:bottom w:val="outset" w:sz="6" w:space="0" w:color="414142"/>
              <w:right w:val="outset" w:sz="6" w:space="0" w:color="414142"/>
            </w:tcBorders>
            <w:hideMark/>
          </w:tcPr>
          <w:p w14:paraId="27FE4938" w14:textId="77777777" w:rsidR="004D15A9" w:rsidRPr="00A906FA" w:rsidRDefault="004D15A9" w:rsidP="00DA596D">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Pamatojums</w:t>
            </w:r>
          </w:p>
        </w:tc>
        <w:tc>
          <w:tcPr>
            <w:tcW w:w="5944" w:type="dxa"/>
            <w:tcBorders>
              <w:top w:val="outset" w:sz="6" w:space="0" w:color="414142"/>
              <w:left w:val="outset" w:sz="6" w:space="0" w:color="414142"/>
              <w:bottom w:val="outset" w:sz="6" w:space="0" w:color="414142"/>
              <w:right w:val="outset" w:sz="6" w:space="0" w:color="414142"/>
            </w:tcBorders>
            <w:hideMark/>
          </w:tcPr>
          <w:p w14:paraId="614BAEE0" w14:textId="134126D9" w:rsidR="004D15A9" w:rsidRPr="00A906FA" w:rsidRDefault="002A5D03" w:rsidP="002A5D03">
            <w:pPr>
              <w:spacing w:before="10" w:after="0" w:line="240" w:lineRule="auto"/>
              <w:ind w:left="113" w:right="11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w:t>
            </w:r>
            <w:r w:rsidR="0060326C" w:rsidRPr="00A906FA">
              <w:rPr>
                <w:rFonts w:ascii="Times New Roman" w:eastAsia="Times New Roman" w:hAnsi="Times New Roman" w:cs="Times New Roman"/>
                <w:sz w:val="26"/>
                <w:szCs w:val="26"/>
                <w:lang w:eastAsia="lv-LV"/>
              </w:rPr>
              <w:t>oteikumu projekts sagatavots</w:t>
            </w:r>
            <w:r w:rsidR="009A2504" w:rsidRPr="00A906FA">
              <w:rPr>
                <w:rFonts w:ascii="Times New Roman" w:eastAsia="Times New Roman" w:hAnsi="Times New Roman" w:cs="Times New Roman"/>
                <w:sz w:val="26"/>
                <w:szCs w:val="26"/>
                <w:lang w:eastAsia="lv-LV"/>
              </w:rPr>
              <w:t xml:space="preserve"> pēc Izglītības un zinātnes ministrijas iniciatīvas un</w:t>
            </w:r>
            <w:r w:rsidR="0060326C" w:rsidRPr="00A906FA">
              <w:rPr>
                <w:rFonts w:ascii="Times New Roman" w:eastAsia="Times New Roman" w:hAnsi="Times New Roman" w:cs="Times New Roman"/>
                <w:sz w:val="26"/>
                <w:szCs w:val="26"/>
                <w:lang w:eastAsia="lv-LV"/>
              </w:rPr>
              <w:t xml:space="preserve"> saskaņā ar</w:t>
            </w:r>
            <w:r w:rsidR="00E51C7E" w:rsidRPr="00A906FA">
              <w:rPr>
                <w:rFonts w:ascii="Times New Roman" w:eastAsia="Times New Roman" w:hAnsi="Times New Roman" w:cs="Times New Roman"/>
                <w:sz w:val="26"/>
                <w:szCs w:val="26"/>
                <w:lang w:eastAsia="lv-LV"/>
              </w:rPr>
              <w:t xml:space="preserve"> </w:t>
            </w:r>
            <w:r w:rsidR="0060326C" w:rsidRPr="00A906FA">
              <w:rPr>
                <w:rFonts w:ascii="Times New Roman" w:eastAsia="Times New Roman" w:hAnsi="Times New Roman" w:cs="Times New Roman"/>
                <w:sz w:val="26"/>
                <w:szCs w:val="26"/>
                <w:lang w:eastAsia="lv-LV"/>
              </w:rPr>
              <w:t>Eiropas Savienības</w:t>
            </w:r>
            <w:r w:rsidR="00DD0D1E" w:rsidRPr="00A906FA">
              <w:rPr>
                <w:rFonts w:ascii="Times New Roman" w:eastAsia="Times New Roman" w:hAnsi="Times New Roman" w:cs="Times New Roman"/>
                <w:sz w:val="26"/>
                <w:szCs w:val="26"/>
                <w:lang w:eastAsia="lv-LV"/>
              </w:rPr>
              <w:t xml:space="preserve"> </w:t>
            </w:r>
            <w:r w:rsidR="0060326C" w:rsidRPr="00A906FA">
              <w:rPr>
                <w:rFonts w:ascii="Times New Roman" w:eastAsia="Times New Roman" w:hAnsi="Times New Roman" w:cs="Times New Roman"/>
                <w:sz w:val="26"/>
                <w:szCs w:val="26"/>
                <w:lang w:eastAsia="lv-LV"/>
              </w:rPr>
              <w:t>struktūrfondu un Kohēzijas fonda vadības likuma 18.</w:t>
            </w:r>
            <w:r w:rsidR="00D728BB" w:rsidRPr="00A906FA">
              <w:rPr>
                <w:rFonts w:ascii="Times New Roman" w:eastAsia="Times New Roman" w:hAnsi="Times New Roman" w:cs="Times New Roman"/>
                <w:sz w:val="26"/>
                <w:szCs w:val="26"/>
                <w:lang w:eastAsia="lv-LV"/>
              </w:rPr>
              <w:t> </w:t>
            </w:r>
            <w:r w:rsidR="0060326C" w:rsidRPr="00A906FA">
              <w:rPr>
                <w:rFonts w:ascii="Times New Roman" w:eastAsia="Times New Roman" w:hAnsi="Times New Roman" w:cs="Times New Roman"/>
                <w:sz w:val="26"/>
                <w:szCs w:val="26"/>
                <w:lang w:eastAsia="lv-LV"/>
              </w:rPr>
              <w:t>panta 10.</w:t>
            </w:r>
            <w:r w:rsidR="00D728BB" w:rsidRPr="00A906FA">
              <w:rPr>
                <w:rFonts w:ascii="Times New Roman" w:eastAsia="Times New Roman" w:hAnsi="Times New Roman" w:cs="Times New Roman"/>
                <w:sz w:val="26"/>
                <w:szCs w:val="26"/>
                <w:lang w:eastAsia="lv-LV"/>
              </w:rPr>
              <w:t> </w:t>
            </w:r>
            <w:r w:rsidR="0060326C" w:rsidRPr="00A906FA">
              <w:rPr>
                <w:rFonts w:ascii="Times New Roman" w:eastAsia="Times New Roman" w:hAnsi="Times New Roman" w:cs="Times New Roman"/>
                <w:sz w:val="26"/>
                <w:szCs w:val="26"/>
                <w:lang w:eastAsia="lv-LV"/>
              </w:rPr>
              <w:t>punktu</w:t>
            </w:r>
            <w:r w:rsidR="00E51C7E" w:rsidRPr="00A906FA">
              <w:rPr>
                <w:rFonts w:ascii="Times New Roman" w:eastAsia="Times New Roman" w:hAnsi="Times New Roman" w:cs="Times New Roman"/>
                <w:sz w:val="26"/>
                <w:szCs w:val="26"/>
                <w:lang w:eastAsia="lv-LV"/>
              </w:rPr>
              <w:t>.</w:t>
            </w:r>
          </w:p>
        </w:tc>
      </w:tr>
      <w:tr w:rsidR="006A328C" w:rsidRPr="00A906FA" w14:paraId="7B73C071" w14:textId="77777777" w:rsidTr="00A906FA">
        <w:trPr>
          <w:trHeight w:val="465"/>
        </w:trPr>
        <w:tc>
          <w:tcPr>
            <w:tcW w:w="312" w:type="dxa"/>
            <w:tcBorders>
              <w:top w:val="outset" w:sz="6" w:space="0" w:color="414142"/>
              <w:left w:val="outset" w:sz="6" w:space="0" w:color="414142"/>
              <w:bottom w:val="outset" w:sz="6" w:space="0" w:color="414142"/>
              <w:right w:val="outset" w:sz="6" w:space="0" w:color="414142"/>
            </w:tcBorders>
            <w:hideMark/>
          </w:tcPr>
          <w:p w14:paraId="77F16767" w14:textId="77777777" w:rsidR="004D15A9" w:rsidRPr="00A906FA" w:rsidRDefault="004D15A9" w:rsidP="00DA596D">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lastRenderedPageBreak/>
              <w:t>2.</w:t>
            </w:r>
          </w:p>
        </w:tc>
        <w:tc>
          <w:tcPr>
            <w:tcW w:w="2799" w:type="dxa"/>
            <w:gridSpan w:val="2"/>
            <w:tcBorders>
              <w:top w:val="outset" w:sz="6" w:space="0" w:color="414142"/>
              <w:left w:val="outset" w:sz="6" w:space="0" w:color="414142"/>
              <w:bottom w:val="outset" w:sz="6" w:space="0" w:color="414142"/>
              <w:right w:val="outset" w:sz="6" w:space="0" w:color="414142"/>
            </w:tcBorders>
            <w:hideMark/>
          </w:tcPr>
          <w:p w14:paraId="0318DC93" w14:textId="77777777" w:rsidR="00747499" w:rsidRPr="00A906FA" w:rsidRDefault="004D15A9" w:rsidP="007E730B">
            <w:pPr>
              <w:spacing w:line="240" w:lineRule="auto"/>
              <w:ind w:left="101" w:right="102"/>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14:paraId="5743BE4F" w14:textId="77777777" w:rsidR="004D15A9" w:rsidRPr="00A906FA" w:rsidRDefault="004D15A9" w:rsidP="007E730B">
            <w:pPr>
              <w:ind w:left="101" w:right="102"/>
              <w:jc w:val="both"/>
              <w:rPr>
                <w:rFonts w:ascii="Times New Roman" w:eastAsia="Times New Roman" w:hAnsi="Times New Roman" w:cs="Times New Roman"/>
                <w:sz w:val="26"/>
                <w:szCs w:val="26"/>
                <w:lang w:eastAsia="lv-LV"/>
              </w:rPr>
            </w:pPr>
          </w:p>
        </w:tc>
        <w:tc>
          <w:tcPr>
            <w:tcW w:w="5944" w:type="dxa"/>
            <w:tcBorders>
              <w:top w:val="outset" w:sz="6" w:space="0" w:color="414142"/>
              <w:left w:val="outset" w:sz="6" w:space="0" w:color="414142"/>
              <w:bottom w:val="outset" w:sz="6" w:space="0" w:color="414142"/>
              <w:right w:val="outset" w:sz="6" w:space="0" w:color="414142"/>
            </w:tcBorders>
            <w:hideMark/>
          </w:tcPr>
          <w:p w14:paraId="4E406FF5" w14:textId="22BE312F" w:rsidR="00B92EB5" w:rsidRPr="00A906FA" w:rsidRDefault="000F30EB" w:rsidP="007E730B">
            <w:pPr>
              <w:spacing w:before="10" w:line="240" w:lineRule="auto"/>
              <w:ind w:left="101" w:right="102"/>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MK </w:t>
            </w:r>
            <w:r w:rsidR="00E72008" w:rsidRPr="00A906FA">
              <w:rPr>
                <w:rFonts w:ascii="Times New Roman" w:eastAsia="Times New Roman" w:hAnsi="Times New Roman" w:cs="Times New Roman"/>
                <w:sz w:val="26"/>
                <w:szCs w:val="26"/>
                <w:lang w:eastAsia="lv-LV"/>
              </w:rPr>
              <w:t>noteikumi Nr. </w:t>
            </w:r>
            <w:r w:rsidR="00C3664A" w:rsidRPr="00A906FA">
              <w:rPr>
                <w:rFonts w:ascii="Times New Roman" w:eastAsia="Times New Roman" w:hAnsi="Times New Roman" w:cs="Times New Roman"/>
                <w:sz w:val="26"/>
                <w:szCs w:val="26"/>
                <w:lang w:eastAsia="lv-LV"/>
              </w:rPr>
              <w:t>987</w:t>
            </w:r>
            <w:r w:rsidR="00E72008" w:rsidRPr="00A906FA">
              <w:rPr>
                <w:rFonts w:ascii="Times New Roman" w:eastAsia="Times New Roman" w:hAnsi="Times New Roman" w:cs="Times New Roman"/>
                <w:sz w:val="26"/>
                <w:szCs w:val="26"/>
                <w:lang w:eastAsia="lv-LV"/>
              </w:rPr>
              <w:t xml:space="preserve"> nosaka kārtību, kādā tiek īstenoti </w:t>
            </w:r>
            <w:r w:rsidR="00166990" w:rsidRPr="00A906FA">
              <w:rPr>
                <w:rFonts w:ascii="Times New Roman" w:eastAsia="Times New Roman" w:hAnsi="Times New Roman" w:cs="Times New Roman"/>
                <w:sz w:val="26"/>
                <w:szCs w:val="26"/>
                <w:lang w:eastAsia="lv-LV"/>
              </w:rPr>
              <w:t>2.1.1.3.1.apakšaktivitātes "Zinātnes infrastruktūras attīstība"</w:t>
            </w:r>
            <w:r w:rsidR="00B92EB5" w:rsidRPr="00A906FA">
              <w:rPr>
                <w:rFonts w:ascii="Times New Roman" w:eastAsia="Times New Roman" w:hAnsi="Times New Roman" w:cs="Times New Roman"/>
                <w:sz w:val="26"/>
                <w:szCs w:val="26"/>
                <w:lang w:eastAsia="lv-LV"/>
              </w:rPr>
              <w:t xml:space="preserve"> (turpmāk – 2.1.1.3.1.</w:t>
            </w:r>
            <w:r w:rsidR="00705F28" w:rsidRPr="00A906FA">
              <w:rPr>
                <w:rFonts w:ascii="Times New Roman" w:eastAsia="Times New Roman" w:hAnsi="Times New Roman" w:cs="Times New Roman"/>
                <w:sz w:val="26"/>
                <w:szCs w:val="26"/>
                <w:lang w:eastAsia="lv-LV"/>
              </w:rPr>
              <w:t xml:space="preserve"> </w:t>
            </w:r>
            <w:r w:rsidR="00B92EB5" w:rsidRPr="00A906FA">
              <w:rPr>
                <w:rFonts w:ascii="Times New Roman" w:eastAsia="Times New Roman" w:hAnsi="Times New Roman" w:cs="Times New Roman"/>
                <w:sz w:val="26"/>
                <w:szCs w:val="26"/>
                <w:lang w:eastAsia="lv-LV"/>
              </w:rPr>
              <w:t>aktivitāte)</w:t>
            </w:r>
            <w:r w:rsidR="00166990" w:rsidRPr="00A906FA">
              <w:rPr>
                <w:rFonts w:ascii="Times New Roman" w:eastAsia="Times New Roman" w:hAnsi="Times New Roman" w:cs="Times New Roman"/>
                <w:sz w:val="26"/>
                <w:szCs w:val="26"/>
                <w:lang w:eastAsia="lv-LV"/>
              </w:rPr>
              <w:t xml:space="preserve"> pirmās </w:t>
            </w:r>
            <w:r w:rsidRPr="00A906FA">
              <w:rPr>
                <w:rFonts w:ascii="Times New Roman" w:eastAsia="Times New Roman" w:hAnsi="Times New Roman" w:cs="Times New Roman"/>
                <w:sz w:val="26"/>
                <w:szCs w:val="26"/>
                <w:lang w:eastAsia="lv-LV"/>
              </w:rPr>
              <w:t xml:space="preserve">projektu iesniegumu atlases </w:t>
            </w:r>
            <w:r w:rsidR="00166990" w:rsidRPr="00A906FA">
              <w:rPr>
                <w:rFonts w:ascii="Times New Roman" w:eastAsia="Times New Roman" w:hAnsi="Times New Roman" w:cs="Times New Roman"/>
                <w:sz w:val="26"/>
                <w:szCs w:val="26"/>
                <w:lang w:eastAsia="lv-LV"/>
              </w:rPr>
              <w:t>kārtas</w:t>
            </w:r>
            <w:r w:rsidR="00E72008" w:rsidRPr="00A906FA">
              <w:rPr>
                <w:rFonts w:ascii="Times New Roman" w:eastAsia="Times New Roman" w:hAnsi="Times New Roman" w:cs="Times New Roman"/>
                <w:sz w:val="26"/>
                <w:szCs w:val="26"/>
                <w:lang w:eastAsia="lv-LV"/>
              </w:rPr>
              <w:t xml:space="preserve"> projekti</w:t>
            </w:r>
            <w:r w:rsidRPr="00A906FA">
              <w:rPr>
                <w:rFonts w:ascii="Times New Roman" w:eastAsia="Times New Roman" w:hAnsi="Times New Roman" w:cs="Times New Roman"/>
                <w:sz w:val="26"/>
                <w:szCs w:val="26"/>
                <w:lang w:eastAsia="lv-LV"/>
              </w:rPr>
              <w:t xml:space="preserve"> (turpmāk 2.1.1.3.1. aktivitātes projekti)</w:t>
            </w:r>
            <w:r w:rsidR="00E72008" w:rsidRPr="00A906FA">
              <w:rPr>
                <w:rFonts w:ascii="Times New Roman" w:eastAsia="Times New Roman" w:hAnsi="Times New Roman" w:cs="Times New Roman"/>
                <w:sz w:val="26"/>
                <w:szCs w:val="26"/>
                <w:lang w:eastAsia="lv-LV"/>
              </w:rPr>
              <w:t>.</w:t>
            </w:r>
            <w:r w:rsidR="00A82A82" w:rsidRPr="00A906FA">
              <w:rPr>
                <w:rFonts w:ascii="Times New Roman" w:eastAsia="Times New Roman" w:hAnsi="Times New Roman" w:cs="Times New Roman"/>
                <w:sz w:val="26"/>
                <w:szCs w:val="26"/>
                <w:lang w:eastAsia="lv-LV"/>
              </w:rPr>
              <w:t xml:space="preserve"> </w:t>
            </w:r>
          </w:p>
          <w:p w14:paraId="7199801A" w14:textId="3EFD0F11" w:rsidR="00705F28" w:rsidRPr="00A906FA" w:rsidRDefault="00705F28" w:rsidP="00705F28">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Saskaņā ar MK noteikumiem Nr. 987 2.1.1.3.1. aktivitātes ietvaros atbalstu sniedza šādu valsts nozīmes pētniecības centru (VNPC) izveidei, kas kopumā ietver 39 pētniecības infrastruktūras konkrētu pētniecības virzienu īstenošanai: </w:t>
            </w:r>
          </w:p>
          <w:p w14:paraId="28D46473" w14:textId="77777777" w:rsidR="00705F28" w:rsidRPr="00A906FA" w:rsidRDefault="00705F28" w:rsidP="00705F28">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1. enerģijas un vides resursu ieguves un ilgtspējīgas izmantošanas tehnoloģiju valsts nozīmes pētniecības centrs (ietverot arī Transporta un mašīnbūves centra attīstību). Pēc zinātnisko institūciju reorganizācijas, kas veikta 2015. gadā, centru veido trīs zinātnisko institūciju struktūras, kas īsteno pētniecību enerģijas un vides resursu ieguves un ilgtspējīgas izmantošanas jomā;</w:t>
            </w:r>
          </w:p>
          <w:p w14:paraId="771E651E" w14:textId="77777777" w:rsidR="00705F28" w:rsidRPr="00A906FA" w:rsidRDefault="00705F28" w:rsidP="00705F28">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2. farmācijas un </w:t>
            </w:r>
            <w:proofErr w:type="spellStart"/>
            <w:r w:rsidRPr="00A906FA">
              <w:rPr>
                <w:rFonts w:ascii="Times New Roman" w:eastAsia="Times New Roman" w:hAnsi="Times New Roman" w:cs="Times New Roman"/>
                <w:sz w:val="26"/>
                <w:szCs w:val="26"/>
                <w:lang w:eastAsia="lv-LV"/>
              </w:rPr>
              <w:t>biomedicīnas</w:t>
            </w:r>
            <w:proofErr w:type="spellEnd"/>
            <w:r w:rsidRPr="00A906FA">
              <w:rPr>
                <w:rFonts w:ascii="Times New Roman" w:eastAsia="Times New Roman" w:hAnsi="Times New Roman" w:cs="Times New Roman"/>
                <w:sz w:val="26"/>
                <w:szCs w:val="26"/>
                <w:lang w:eastAsia="lv-LV"/>
              </w:rPr>
              <w:t xml:space="preserve"> valsts nozīmes pētniecības centrs (ietverot arī farmaceitisko tehnoloģiju studiju un pētījuma centra un </w:t>
            </w:r>
            <w:proofErr w:type="spellStart"/>
            <w:r w:rsidRPr="00A906FA">
              <w:rPr>
                <w:rFonts w:ascii="Times New Roman" w:eastAsia="Times New Roman" w:hAnsi="Times New Roman" w:cs="Times New Roman"/>
                <w:sz w:val="26"/>
                <w:szCs w:val="26"/>
                <w:lang w:eastAsia="lv-LV"/>
              </w:rPr>
              <w:t>biofarmācijas</w:t>
            </w:r>
            <w:proofErr w:type="spellEnd"/>
            <w:r w:rsidRPr="00A906FA">
              <w:rPr>
                <w:rFonts w:ascii="Times New Roman" w:eastAsia="Times New Roman" w:hAnsi="Times New Roman" w:cs="Times New Roman"/>
                <w:sz w:val="26"/>
                <w:szCs w:val="26"/>
                <w:lang w:eastAsia="lv-LV"/>
              </w:rPr>
              <w:t xml:space="preserve"> centra izveidi). Centru veido četru zinātnisko institūciju struktūras, kas īsteno pētniecību farmācijas un </w:t>
            </w:r>
            <w:proofErr w:type="spellStart"/>
            <w:r w:rsidRPr="00A906FA">
              <w:rPr>
                <w:rFonts w:ascii="Times New Roman" w:eastAsia="Times New Roman" w:hAnsi="Times New Roman" w:cs="Times New Roman"/>
                <w:sz w:val="26"/>
                <w:szCs w:val="26"/>
                <w:lang w:eastAsia="lv-LV"/>
              </w:rPr>
              <w:t>biomedicīnas</w:t>
            </w:r>
            <w:proofErr w:type="spellEnd"/>
            <w:r w:rsidRPr="00A906FA">
              <w:rPr>
                <w:rFonts w:ascii="Times New Roman" w:eastAsia="Times New Roman" w:hAnsi="Times New Roman" w:cs="Times New Roman"/>
                <w:sz w:val="26"/>
                <w:szCs w:val="26"/>
                <w:lang w:eastAsia="lv-LV"/>
              </w:rPr>
              <w:t xml:space="preserve"> jomā;</w:t>
            </w:r>
          </w:p>
          <w:p w14:paraId="641A2BD4" w14:textId="77777777" w:rsidR="00705F28" w:rsidRPr="00A906FA" w:rsidRDefault="00705F28" w:rsidP="00705F28">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3. informācijas, komunikāciju un </w:t>
            </w:r>
            <w:proofErr w:type="spellStart"/>
            <w:r w:rsidRPr="00A906FA">
              <w:rPr>
                <w:rFonts w:ascii="Times New Roman" w:eastAsia="Times New Roman" w:hAnsi="Times New Roman" w:cs="Times New Roman"/>
                <w:sz w:val="26"/>
                <w:szCs w:val="26"/>
                <w:lang w:eastAsia="lv-LV"/>
              </w:rPr>
              <w:t>signālapstrādes</w:t>
            </w:r>
            <w:proofErr w:type="spellEnd"/>
            <w:r w:rsidRPr="00A906FA">
              <w:rPr>
                <w:rFonts w:ascii="Times New Roman" w:eastAsia="Times New Roman" w:hAnsi="Times New Roman" w:cs="Times New Roman"/>
                <w:sz w:val="26"/>
                <w:szCs w:val="26"/>
                <w:lang w:eastAsia="lv-LV"/>
              </w:rPr>
              <w:t xml:space="preserve"> tehnoloģiju valsts nozīmes pētniecības centrs (ietverot arī kosmisko datu apstrādes centru). Centru veido piecu zinātnisko institūciju struktūras, kas īsteno pētniecību informācijas, komunikāciju un </w:t>
            </w:r>
            <w:proofErr w:type="spellStart"/>
            <w:r w:rsidRPr="00A906FA">
              <w:rPr>
                <w:rFonts w:ascii="Times New Roman" w:eastAsia="Times New Roman" w:hAnsi="Times New Roman" w:cs="Times New Roman"/>
                <w:sz w:val="26"/>
                <w:szCs w:val="26"/>
                <w:lang w:eastAsia="lv-LV"/>
              </w:rPr>
              <w:t>signālapstrādes</w:t>
            </w:r>
            <w:proofErr w:type="spellEnd"/>
            <w:r w:rsidRPr="00A906FA">
              <w:rPr>
                <w:rFonts w:ascii="Times New Roman" w:eastAsia="Times New Roman" w:hAnsi="Times New Roman" w:cs="Times New Roman"/>
                <w:sz w:val="26"/>
                <w:szCs w:val="26"/>
                <w:lang w:eastAsia="lv-LV"/>
              </w:rPr>
              <w:t xml:space="preserve"> tehnoloģiju jomā;</w:t>
            </w:r>
          </w:p>
          <w:p w14:paraId="5B104EA3" w14:textId="77777777" w:rsidR="00705F28" w:rsidRPr="00A906FA" w:rsidRDefault="00705F28" w:rsidP="00705F28">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4. latviešu valodas, kultūrvēsturiskā mantojuma un radošo tehnoloģiju valsts nozīmes pētniecības centrs. Pēc zinātnisko institūciju reorganizācijas Centru veido divu zinātnisko institūciju struktūras, kas īsteno pētniecību latviešu valodas, kultūrvēsturiskā mantojuma un radošo tehnoloģiju jomā;</w:t>
            </w:r>
          </w:p>
          <w:p w14:paraId="1BA5AF44" w14:textId="77777777" w:rsidR="00705F28" w:rsidRPr="00A906FA" w:rsidRDefault="00705F28" w:rsidP="00705F28">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5. lauksaimniecības resursu izmantošanas un pārtikas valsts nozīmes pētniecības centrs. Centru veido sešu zinātnisko institūciju struktūras, kas īsteno pētniecību lauksaimniecības resursu izmantošanas un pārtikas tehnoloģiju jomā;</w:t>
            </w:r>
          </w:p>
          <w:p w14:paraId="3E417455" w14:textId="77777777" w:rsidR="00705F28" w:rsidRPr="00A906FA" w:rsidRDefault="00705F28" w:rsidP="00705F28">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6. meža un ūdens resursu valsts nozīmes pētniecības centrs. Centru veido sešu zinātnisko institūciju </w:t>
            </w:r>
            <w:r w:rsidRPr="00A906FA">
              <w:rPr>
                <w:rFonts w:ascii="Times New Roman" w:eastAsia="Times New Roman" w:hAnsi="Times New Roman" w:cs="Times New Roman"/>
                <w:sz w:val="26"/>
                <w:szCs w:val="26"/>
                <w:lang w:eastAsia="lv-LV"/>
              </w:rPr>
              <w:lastRenderedPageBreak/>
              <w:t>struktūras, kas īsteno pētniecību meža un ūdens resursu jomā;</w:t>
            </w:r>
          </w:p>
          <w:p w14:paraId="7018B64B" w14:textId="77777777" w:rsidR="00705F28" w:rsidRPr="00A906FA" w:rsidRDefault="00705F28" w:rsidP="00705F28">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7. </w:t>
            </w:r>
            <w:proofErr w:type="spellStart"/>
            <w:r w:rsidRPr="00A906FA">
              <w:rPr>
                <w:rFonts w:ascii="Times New Roman" w:eastAsia="Times New Roman" w:hAnsi="Times New Roman" w:cs="Times New Roman"/>
                <w:sz w:val="26"/>
                <w:szCs w:val="26"/>
                <w:lang w:eastAsia="lv-LV"/>
              </w:rPr>
              <w:t>nanostrukturēto</w:t>
            </w:r>
            <w:proofErr w:type="spellEnd"/>
            <w:r w:rsidRPr="00A906FA">
              <w:rPr>
                <w:rFonts w:ascii="Times New Roman" w:eastAsia="Times New Roman" w:hAnsi="Times New Roman" w:cs="Times New Roman"/>
                <w:sz w:val="26"/>
                <w:szCs w:val="26"/>
                <w:lang w:eastAsia="lv-LV"/>
              </w:rPr>
              <w:t xml:space="preserve"> un daudzfunkcionālo materiālu, konstrukciju un tehnoloģiju valsts nozīmes pētniecības centrs. Pēc zinātnisko institūciju reorganizācijas Centru veido trīs zinātnisko institūciju struktūras, kas īsteno pētniecību </w:t>
            </w:r>
            <w:proofErr w:type="spellStart"/>
            <w:r w:rsidRPr="00A906FA">
              <w:rPr>
                <w:rFonts w:ascii="Times New Roman" w:eastAsia="Times New Roman" w:hAnsi="Times New Roman" w:cs="Times New Roman"/>
                <w:sz w:val="26"/>
                <w:szCs w:val="26"/>
                <w:lang w:eastAsia="lv-LV"/>
              </w:rPr>
              <w:t>nanostrukturēto</w:t>
            </w:r>
            <w:proofErr w:type="spellEnd"/>
            <w:r w:rsidRPr="00A906FA">
              <w:rPr>
                <w:rFonts w:ascii="Times New Roman" w:eastAsia="Times New Roman" w:hAnsi="Times New Roman" w:cs="Times New Roman"/>
                <w:sz w:val="26"/>
                <w:szCs w:val="26"/>
                <w:lang w:eastAsia="lv-LV"/>
              </w:rPr>
              <w:t xml:space="preserve"> un daudzfunkcionālo materiālu, konstrukciju un tehnoloģiju jomā;</w:t>
            </w:r>
          </w:p>
          <w:p w14:paraId="7F165E24" w14:textId="77777777" w:rsidR="00705F28" w:rsidRPr="00A906FA" w:rsidRDefault="00705F28" w:rsidP="00705F28">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8. sabiedrības veselības un klīniskās medicīnas valsts nozīmes pētniecības centrs. Centru veido divu zinātnisko institūciju struktūras, kas veic pētniecību sabiedrības veselības un klīniskās medicīnas jomā;</w:t>
            </w:r>
          </w:p>
          <w:p w14:paraId="182697DF" w14:textId="77777777" w:rsidR="00705F28" w:rsidRPr="00A906FA" w:rsidRDefault="00705F28" w:rsidP="00705F28">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9. valsts nozīmes pētniecības centrs </w:t>
            </w:r>
            <w:proofErr w:type="spellStart"/>
            <w:r w:rsidRPr="00A906FA">
              <w:rPr>
                <w:rFonts w:ascii="Times New Roman" w:eastAsia="Times New Roman" w:hAnsi="Times New Roman" w:cs="Times New Roman"/>
                <w:sz w:val="26"/>
                <w:szCs w:val="26"/>
                <w:lang w:eastAsia="lv-LV"/>
              </w:rPr>
              <w:t>sociālekonomikā</w:t>
            </w:r>
            <w:proofErr w:type="spellEnd"/>
            <w:r w:rsidRPr="00A906FA">
              <w:rPr>
                <w:rFonts w:ascii="Times New Roman" w:eastAsia="Times New Roman" w:hAnsi="Times New Roman" w:cs="Times New Roman"/>
                <w:sz w:val="26"/>
                <w:szCs w:val="26"/>
                <w:lang w:eastAsia="lv-LV"/>
              </w:rPr>
              <w:t xml:space="preserve"> un sabiedrības vadībā. Centru veido divu zinātnisko institūciju struktūras, kas veic pētniecību </w:t>
            </w:r>
            <w:proofErr w:type="spellStart"/>
            <w:r w:rsidRPr="00A906FA">
              <w:rPr>
                <w:rFonts w:ascii="Times New Roman" w:eastAsia="Times New Roman" w:hAnsi="Times New Roman" w:cs="Times New Roman"/>
                <w:sz w:val="26"/>
                <w:szCs w:val="26"/>
                <w:lang w:eastAsia="lv-LV"/>
              </w:rPr>
              <w:t>sociālekonomikā</w:t>
            </w:r>
            <w:proofErr w:type="spellEnd"/>
            <w:r w:rsidRPr="00A906FA">
              <w:rPr>
                <w:rFonts w:ascii="Times New Roman" w:eastAsia="Times New Roman" w:hAnsi="Times New Roman" w:cs="Times New Roman"/>
                <w:sz w:val="26"/>
                <w:szCs w:val="26"/>
                <w:lang w:eastAsia="lv-LV"/>
              </w:rPr>
              <w:t xml:space="preserve"> un sabiedrības vadībā. </w:t>
            </w:r>
          </w:p>
          <w:p w14:paraId="3F9D810A" w14:textId="57F77FBE" w:rsidR="004110F6" w:rsidRPr="00FF4E4F" w:rsidRDefault="004110F6" w:rsidP="00676B31">
            <w:pPr>
              <w:spacing w:before="10" w:line="240" w:lineRule="auto"/>
              <w:ind w:left="101" w:right="102"/>
              <w:jc w:val="both"/>
              <w:rPr>
                <w:rFonts w:ascii="Times New Roman" w:eastAsia="Times New Roman" w:hAnsi="Times New Roman" w:cs="Times New Roman"/>
                <w:sz w:val="26"/>
                <w:szCs w:val="26"/>
                <w:lang w:eastAsia="lv-LV"/>
              </w:rPr>
            </w:pPr>
            <w:r w:rsidRPr="00F67916">
              <w:rPr>
                <w:rFonts w:ascii="Times New Roman" w:eastAsia="Times New Roman" w:hAnsi="Times New Roman" w:cs="Times New Roman"/>
                <w:sz w:val="26"/>
                <w:szCs w:val="26"/>
                <w:lang w:eastAsia="lv-LV"/>
              </w:rPr>
              <w:t xml:space="preserve">Saskaņā ar </w:t>
            </w:r>
            <w:r w:rsidR="00FF4E4F" w:rsidRPr="00F67916">
              <w:rPr>
                <w:rFonts w:ascii="Times New Roman" w:eastAsia="Times New Roman" w:hAnsi="Times New Roman" w:cs="Times New Roman"/>
                <w:sz w:val="26"/>
                <w:szCs w:val="26"/>
                <w:lang w:eastAsia="lv-LV"/>
              </w:rPr>
              <w:t>Pamatnostād</w:t>
            </w:r>
            <w:r w:rsidR="00F302CC" w:rsidRPr="00F67916">
              <w:rPr>
                <w:rFonts w:ascii="Times New Roman" w:eastAsia="Times New Roman" w:hAnsi="Times New Roman" w:cs="Times New Roman"/>
                <w:sz w:val="26"/>
                <w:szCs w:val="26"/>
                <w:lang w:eastAsia="lv-LV"/>
              </w:rPr>
              <w:t>ņu</w:t>
            </w:r>
            <w:r w:rsidRPr="00F67916">
              <w:rPr>
                <w:rFonts w:ascii="Times New Roman" w:eastAsia="Times New Roman" w:hAnsi="Times New Roman" w:cs="Times New Roman"/>
                <w:sz w:val="26"/>
                <w:szCs w:val="26"/>
                <w:lang w:eastAsia="lv-LV"/>
              </w:rPr>
              <w:t xml:space="preserve"> 20. punktu un </w:t>
            </w:r>
            <w:r w:rsidR="00FF4E4F" w:rsidRPr="00F67916">
              <w:rPr>
                <w:rFonts w:ascii="Times New Roman" w:eastAsia="Times New Roman" w:hAnsi="Times New Roman" w:cs="Times New Roman"/>
                <w:sz w:val="26"/>
                <w:szCs w:val="26"/>
                <w:lang w:eastAsia="lv-LV"/>
              </w:rPr>
              <w:t>Regula</w:t>
            </w:r>
            <w:r w:rsidR="00F302CC" w:rsidRPr="00F67916">
              <w:rPr>
                <w:rFonts w:ascii="Times New Roman" w:eastAsia="Times New Roman" w:hAnsi="Times New Roman" w:cs="Times New Roman"/>
                <w:sz w:val="26"/>
                <w:szCs w:val="26"/>
                <w:lang w:eastAsia="lv-LV"/>
              </w:rPr>
              <w:t>s</w:t>
            </w:r>
            <w:r w:rsidR="00FF4E4F" w:rsidRPr="00F67916">
              <w:rPr>
                <w:rFonts w:ascii="Times New Roman" w:eastAsia="Times New Roman" w:hAnsi="Times New Roman" w:cs="Times New Roman"/>
                <w:sz w:val="26"/>
                <w:szCs w:val="26"/>
                <w:lang w:eastAsia="lv-LV"/>
              </w:rPr>
              <w:t xml:space="preserve"> Nr.651/2014</w:t>
            </w:r>
            <w:r w:rsidRPr="00F67916">
              <w:rPr>
                <w:rFonts w:ascii="Times New Roman" w:eastAsia="Times New Roman" w:hAnsi="Times New Roman" w:cs="Times New Roman"/>
                <w:sz w:val="26"/>
                <w:szCs w:val="26"/>
                <w:lang w:eastAsia="lv-LV"/>
              </w:rPr>
              <w:t xml:space="preserve"> 49. </w:t>
            </w:r>
            <w:r w:rsidR="00084D70">
              <w:rPr>
                <w:rFonts w:ascii="Times New Roman" w:eastAsia="Times New Roman" w:hAnsi="Times New Roman" w:cs="Times New Roman"/>
                <w:sz w:val="26"/>
                <w:szCs w:val="26"/>
                <w:lang w:eastAsia="lv-LV"/>
              </w:rPr>
              <w:t>apsvērumu</w:t>
            </w:r>
            <w:r w:rsidR="003549DB" w:rsidRPr="00F67916">
              <w:rPr>
                <w:rFonts w:ascii="Times New Roman" w:eastAsia="Times New Roman" w:hAnsi="Times New Roman" w:cs="Times New Roman"/>
                <w:sz w:val="26"/>
                <w:szCs w:val="26"/>
                <w:lang w:eastAsia="lv-LV"/>
              </w:rPr>
              <w:t>: …</w:t>
            </w:r>
            <w:r w:rsidR="003549DB" w:rsidRPr="00F67916">
              <w:rPr>
                <w:rFonts w:ascii="Times New Roman" w:eastAsia="Times New Roman" w:hAnsi="Times New Roman" w:cs="Times New Roman"/>
                <w:i/>
                <w:sz w:val="26"/>
                <w:szCs w:val="26"/>
                <w:lang w:eastAsia="lv-LV"/>
              </w:rPr>
              <w:t>Ja infrastruktūru izmanto galvenokārt</w:t>
            </w:r>
            <w:r w:rsidR="003549DB" w:rsidRPr="00FF4E4F">
              <w:rPr>
                <w:rFonts w:ascii="Times New Roman" w:eastAsia="Times New Roman" w:hAnsi="Times New Roman" w:cs="Times New Roman"/>
                <w:i/>
                <w:sz w:val="26"/>
                <w:szCs w:val="26"/>
                <w:lang w:eastAsia="lv-LV"/>
              </w:rPr>
              <w:t xml:space="preserve"> tikai nesaimnieciskajai darbībai, valsts atbalsta noteikumi uz attiecīgo finansējumu var vispār neattiekties ar nosacījumu, ka saimnieciskais izmantojums ir vienīgi papildinošs, tas ir, šī ir ierobežotas jomas darbība, kura ir tieši saistīta ar infrastruktūras ekspluatāciju un ir tai nepieciešama vai cieši saistīta ar tās galveno nesaimniecisko izmantojumu. Šis nosacījums būtu jāuzskata par izpildītu, ja attiecīgā saimnieciskā darbība patērē tos pašus resursus (piemēram, tos pašus materiālus, iekārtas, darbaspēku, pamatkapitālu) kā nesaimnieciskā darbība un ja šai saimnieciskajai darbībai iedalītā jauda ik gadu nepārsniedz 20 % no pētniecības infrastruktūras kopējās gada jaudas</w:t>
            </w:r>
            <w:r w:rsidR="003549DB" w:rsidRPr="00FF4E4F">
              <w:rPr>
                <w:rFonts w:ascii="Times New Roman" w:eastAsia="Times New Roman" w:hAnsi="Times New Roman" w:cs="Times New Roman"/>
                <w:sz w:val="26"/>
                <w:szCs w:val="26"/>
                <w:lang w:eastAsia="lv-LV"/>
              </w:rPr>
              <w:t>.</w:t>
            </w:r>
            <w:r w:rsidRPr="00FF4E4F">
              <w:rPr>
                <w:rFonts w:ascii="Times New Roman" w:eastAsia="Times New Roman" w:hAnsi="Times New Roman" w:cs="Times New Roman"/>
                <w:sz w:val="26"/>
                <w:szCs w:val="26"/>
                <w:lang w:eastAsia="lv-LV"/>
              </w:rPr>
              <w:t xml:space="preserve"> </w:t>
            </w:r>
          </w:p>
          <w:p w14:paraId="203AB4FD" w14:textId="77777777" w:rsidR="00BD36D3" w:rsidRPr="00FF4E4F" w:rsidRDefault="004E2004" w:rsidP="00676B31">
            <w:pPr>
              <w:spacing w:before="10" w:line="240" w:lineRule="auto"/>
              <w:ind w:left="101" w:right="102"/>
              <w:jc w:val="both"/>
              <w:rPr>
                <w:rFonts w:ascii="Times New Roman" w:eastAsia="Times New Roman" w:hAnsi="Times New Roman" w:cs="Times New Roman"/>
                <w:sz w:val="26"/>
                <w:szCs w:val="26"/>
                <w:lang w:eastAsia="lv-LV"/>
              </w:rPr>
            </w:pPr>
            <w:r w:rsidRPr="00FF4E4F">
              <w:rPr>
                <w:rFonts w:ascii="Times New Roman" w:eastAsia="Times New Roman" w:hAnsi="Times New Roman" w:cs="Times New Roman"/>
                <w:sz w:val="26"/>
                <w:szCs w:val="26"/>
                <w:lang w:eastAsia="lv-LV"/>
              </w:rPr>
              <w:t>Esošais MK noteikumu Nr. 987 regulējums</w:t>
            </w:r>
            <w:r w:rsidR="00BD36D3" w:rsidRPr="00FF4E4F">
              <w:rPr>
                <w:rFonts w:ascii="Times New Roman" w:eastAsia="Times New Roman" w:hAnsi="Times New Roman" w:cs="Times New Roman"/>
                <w:sz w:val="26"/>
                <w:szCs w:val="26"/>
                <w:lang w:eastAsia="lv-LV"/>
              </w:rPr>
              <w:t>:</w:t>
            </w:r>
          </w:p>
          <w:p w14:paraId="0A0BC0C8" w14:textId="57ECE445" w:rsidR="00C862F5" w:rsidRPr="00FF4E4F" w:rsidRDefault="00BD36D3" w:rsidP="00676B31">
            <w:pPr>
              <w:spacing w:before="10" w:line="240" w:lineRule="auto"/>
              <w:ind w:left="101" w:right="102"/>
              <w:jc w:val="both"/>
              <w:rPr>
                <w:rFonts w:ascii="Times New Roman" w:eastAsia="Times New Roman" w:hAnsi="Times New Roman" w:cs="Times New Roman"/>
                <w:sz w:val="26"/>
                <w:szCs w:val="26"/>
                <w:lang w:eastAsia="lv-LV"/>
              </w:rPr>
            </w:pPr>
            <w:r w:rsidRPr="00FF4E4F">
              <w:rPr>
                <w:rFonts w:ascii="Times New Roman" w:eastAsia="Times New Roman" w:hAnsi="Times New Roman" w:cs="Times New Roman"/>
                <w:sz w:val="26"/>
                <w:szCs w:val="26"/>
                <w:lang w:eastAsia="lv-LV"/>
              </w:rPr>
              <w:t>– </w:t>
            </w:r>
            <w:r w:rsidR="00191E22" w:rsidRPr="00FF4E4F">
              <w:rPr>
                <w:rFonts w:ascii="Times New Roman" w:eastAsia="Times New Roman" w:hAnsi="Times New Roman" w:cs="Times New Roman"/>
                <w:sz w:val="26"/>
                <w:szCs w:val="26"/>
                <w:lang w:eastAsia="lv-LV"/>
              </w:rPr>
              <w:t>projekta dzīves cikla laikā</w:t>
            </w:r>
            <w:r w:rsidRPr="00FF4E4F">
              <w:rPr>
                <w:rFonts w:ascii="Times New Roman" w:eastAsia="Times New Roman" w:hAnsi="Times New Roman" w:cs="Times New Roman"/>
                <w:sz w:val="26"/>
                <w:szCs w:val="26"/>
                <w:lang w:eastAsia="lv-LV"/>
              </w:rPr>
              <w:t xml:space="preserve"> liedz</w:t>
            </w:r>
            <w:r w:rsidR="004E2004" w:rsidRPr="00FF4E4F">
              <w:rPr>
                <w:rFonts w:ascii="Times New Roman" w:eastAsia="Times New Roman" w:hAnsi="Times New Roman" w:cs="Times New Roman"/>
                <w:sz w:val="26"/>
                <w:szCs w:val="26"/>
                <w:lang w:eastAsia="lv-LV"/>
              </w:rPr>
              <w:t>:</w:t>
            </w:r>
            <w:r w:rsidRPr="00FF4E4F">
              <w:rPr>
                <w:rFonts w:ascii="Times New Roman" w:eastAsia="Times New Roman" w:hAnsi="Times New Roman" w:cs="Times New Roman"/>
                <w:sz w:val="26"/>
                <w:szCs w:val="26"/>
                <w:lang w:eastAsia="lv-LV"/>
              </w:rPr>
              <w:t xml:space="preserve"> 1) </w:t>
            </w:r>
            <w:r w:rsidR="00191E22" w:rsidRPr="00FF4E4F">
              <w:rPr>
                <w:rFonts w:ascii="Times New Roman" w:eastAsia="Times New Roman" w:hAnsi="Times New Roman" w:cs="Times New Roman"/>
                <w:sz w:val="26"/>
                <w:szCs w:val="26"/>
                <w:lang w:eastAsia="lv-LV"/>
              </w:rPr>
              <w:t>veidot partnerattiecības ar privātā sektora pārstāvjiem;</w:t>
            </w:r>
            <w:r w:rsidRPr="00FF4E4F">
              <w:rPr>
                <w:rFonts w:ascii="Times New Roman" w:eastAsia="Times New Roman" w:hAnsi="Times New Roman" w:cs="Times New Roman"/>
                <w:sz w:val="26"/>
                <w:szCs w:val="26"/>
                <w:lang w:eastAsia="lv-LV"/>
              </w:rPr>
              <w:t xml:space="preserve"> 2) </w:t>
            </w:r>
            <w:r w:rsidR="00191E22" w:rsidRPr="00FF4E4F">
              <w:rPr>
                <w:rFonts w:ascii="Times New Roman" w:eastAsia="Times New Roman" w:hAnsi="Times New Roman" w:cs="Times New Roman"/>
                <w:sz w:val="26"/>
                <w:szCs w:val="26"/>
                <w:lang w:eastAsia="lv-LV"/>
              </w:rPr>
              <w:t>ar komercdarbību nesaistīta projekta ietvaros izveidotu vai moderniz</w:t>
            </w:r>
            <w:r w:rsidRPr="00FF4E4F">
              <w:rPr>
                <w:rFonts w:ascii="Times New Roman" w:eastAsia="Times New Roman" w:hAnsi="Times New Roman" w:cs="Times New Roman"/>
                <w:sz w:val="26"/>
                <w:szCs w:val="26"/>
                <w:lang w:eastAsia="lv-LV"/>
              </w:rPr>
              <w:t>ē</w:t>
            </w:r>
            <w:r w:rsidR="00191E22" w:rsidRPr="00FF4E4F">
              <w:rPr>
                <w:rFonts w:ascii="Times New Roman" w:eastAsia="Times New Roman" w:hAnsi="Times New Roman" w:cs="Times New Roman"/>
                <w:sz w:val="26"/>
                <w:szCs w:val="26"/>
                <w:lang w:eastAsia="lv-LV"/>
              </w:rPr>
              <w:t xml:space="preserve">tu </w:t>
            </w:r>
            <w:r w:rsidR="004E2004" w:rsidRPr="00FF4E4F">
              <w:rPr>
                <w:rFonts w:ascii="Times New Roman" w:eastAsia="Times New Roman" w:hAnsi="Times New Roman" w:cs="Times New Roman"/>
                <w:sz w:val="26"/>
                <w:szCs w:val="26"/>
                <w:lang w:eastAsia="lv-LV"/>
              </w:rPr>
              <w:t xml:space="preserve">pētniecības infrastruktūru izmantot ierobežotas jomas darbību īstenošanai, </w:t>
            </w:r>
            <w:r w:rsidR="00D219B5" w:rsidRPr="00FF4E4F">
              <w:rPr>
                <w:rFonts w:ascii="Times New Roman" w:eastAsia="Times New Roman" w:hAnsi="Times New Roman" w:cs="Times New Roman"/>
                <w:sz w:val="26"/>
                <w:szCs w:val="26"/>
                <w:lang w:eastAsia="lv-LV"/>
              </w:rPr>
              <w:t>tajā skaitā</w:t>
            </w:r>
            <w:r w:rsidR="004E2004" w:rsidRPr="00FF4E4F">
              <w:rPr>
                <w:rFonts w:ascii="Times New Roman" w:eastAsia="Times New Roman" w:hAnsi="Times New Roman" w:cs="Times New Roman"/>
                <w:sz w:val="26"/>
                <w:szCs w:val="26"/>
                <w:lang w:eastAsia="lv-LV"/>
              </w:rPr>
              <w:t xml:space="preserve"> </w:t>
            </w:r>
            <w:r w:rsidR="00191E22" w:rsidRPr="00FF4E4F">
              <w:rPr>
                <w:rFonts w:ascii="Times New Roman" w:eastAsia="Times New Roman" w:hAnsi="Times New Roman" w:cs="Times New Roman"/>
                <w:sz w:val="26"/>
                <w:szCs w:val="26"/>
                <w:lang w:eastAsia="lv-LV"/>
              </w:rPr>
              <w:t>finansējuma saņēmējam un sadarbības partnerim nav tiesību</w:t>
            </w:r>
            <w:r w:rsidR="004E2004" w:rsidRPr="00FF4E4F">
              <w:rPr>
                <w:rFonts w:ascii="Times New Roman" w:eastAsia="Times New Roman" w:hAnsi="Times New Roman" w:cs="Times New Roman"/>
                <w:sz w:val="26"/>
                <w:szCs w:val="26"/>
                <w:lang w:eastAsia="lv-LV"/>
              </w:rPr>
              <w:t xml:space="preserve"> veikt </w:t>
            </w:r>
            <w:proofErr w:type="spellStart"/>
            <w:r w:rsidR="004E2004" w:rsidRPr="00FF4E4F">
              <w:rPr>
                <w:rFonts w:ascii="Times New Roman" w:eastAsia="Times New Roman" w:hAnsi="Times New Roman" w:cs="Times New Roman"/>
                <w:sz w:val="26"/>
                <w:szCs w:val="26"/>
                <w:lang w:eastAsia="lv-LV"/>
              </w:rPr>
              <w:t>līgumpētījumus</w:t>
            </w:r>
            <w:proofErr w:type="spellEnd"/>
            <w:r w:rsidR="004E2004" w:rsidRPr="00FF4E4F">
              <w:rPr>
                <w:rFonts w:ascii="Times New Roman" w:eastAsia="Times New Roman" w:hAnsi="Times New Roman" w:cs="Times New Roman"/>
                <w:sz w:val="26"/>
                <w:szCs w:val="26"/>
                <w:lang w:eastAsia="lv-LV"/>
              </w:rPr>
              <w:t xml:space="preserve"> komersantu uzdevumā un nodrošināt piekļuvi komersantiem;</w:t>
            </w:r>
            <w:r w:rsidRPr="00FF4E4F">
              <w:rPr>
                <w:rFonts w:ascii="Times New Roman" w:eastAsia="Times New Roman" w:hAnsi="Times New Roman" w:cs="Times New Roman"/>
                <w:sz w:val="26"/>
                <w:szCs w:val="26"/>
                <w:lang w:eastAsia="lv-LV"/>
              </w:rPr>
              <w:t xml:space="preserve"> 3) ar komercdarbību saistīta projekta ietvaros izveidotai vai </w:t>
            </w:r>
            <w:r w:rsidRPr="00FF4E4F">
              <w:rPr>
                <w:rFonts w:ascii="Times New Roman" w:eastAsia="Times New Roman" w:hAnsi="Times New Roman" w:cs="Times New Roman"/>
                <w:sz w:val="26"/>
                <w:szCs w:val="26"/>
                <w:lang w:eastAsia="lv-LV"/>
              </w:rPr>
              <w:lastRenderedPageBreak/>
              <w:t xml:space="preserve">modernizētai pētniecības infrastruktūrai </w:t>
            </w:r>
            <w:r w:rsidR="00436D55" w:rsidRPr="00FF4E4F">
              <w:rPr>
                <w:rFonts w:ascii="Times New Roman" w:eastAsia="Times New Roman" w:hAnsi="Times New Roman" w:cs="Times New Roman"/>
                <w:sz w:val="26"/>
                <w:szCs w:val="26"/>
                <w:lang w:eastAsia="lv-LV"/>
              </w:rPr>
              <w:t>nodrošināt piekļuvi vairākiem lietotājiem</w:t>
            </w:r>
            <w:r w:rsidRPr="00FF4E4F">
              <w:rPr>
                <w:rFonts w:ascii="Times New Roman" w:eastAsia="Times New Roman" w:hAnsi="Times New Roman" w:cs="Times New Roman"/>
                <w:sz w:val="26"/>
                <w:szCs w:val="26"/>
                <w:lang w:eastAsia="lv-LV"/>
              </w:rPr>
              <w:t>.</w:t>
            </w:r>
          </w:p>
          <w:p w14:paraId="325A2A8A" w14:textId="35FE0B5A" w:rsidR="004E2004" w:rsidRPr="00FF4E4F" w:rsidRDefault="00C862F5" w:rsidP="00676B31">
            <w:pPr>
              <w:spacing w:before="10" w:line="240" w:lineRule="auto"/>
              <w:ind w:left="101" w:right="102"/>
              <w:jc w:val="both"/>
              <w:rPr>
                <w:rFonts w:ascii="Times New Roman" w:eastAsia="Times New Roman" w:hAnsi="Times New Roman" w:cs="Times New Roman"/>
                <w:sz w:val="26"/>
                <w:szCs w:val="26"/>
                <w:lang w:eastAsia="lv-LV"/>
              </w:rPr>
            </w:pPr>
            <w:r w:rsidRPr="00FF4E4F">
              <w:rPr>
                <w:rFonts w:ascii="Times New Roman" w:eastAsia="Times New Roman" w:hAnsi="Times New Roman" w:cs="Times New Roman"/>
                <w:sz w:val="26"/>
                <w:szCs w:val="26"/>
                <w:lang w:eastAsia="lv-LV"/>
              </w:rPr>
              <w:t>– nenosaka kārtību, kādā nodrošina piekļuvi projekta ietvaros izveidotai pētniecības infrastruktūrai</w:t>
            </w:r>
            <w:r w:rsidR="004E2004" w:rsidRPr="00FF4E4F">
              <w:rPr>
                <w:rFonts w:ascii="Times New Roman" w:eastAsia="Times New Roman" w:hAnsi="Times New Roman" w:cs="Times New Roman"/>
                <w:sz w:val="26"/>
                <w:szCs w:val="26"/>
                <w:lang w:eastAsia="lv-LV"/>
              </w:rPr>
              <w:t>.</w:t>
            </w:r>
          </w:p>
          <w:p w14:paraId="364F6F2D" w14:textId="7F10EB7D" w:rsidR="00C27286" w:rsidRPr="00A906FA" w:rsidRDefault="00676B31" w:rsidP="00C27286">
            <w:pPr>
              <w:spacing w:before="10" w:line="240" w:lineRule="auto"/>
              <w:ind w:left="101" w:right="102"/>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Ievērojot minēto,</w:t>
            </w:r>
            <w:r w:rsidR="00C27286" w:rsidRPr="00A906FA">
              <w:rPr>
                <w:rFonts w:ascii="Times New Roman" w:eastAsia="Times New Roman" w:hAnsi="Times New Roman" w:cs="Times New Roman"/>
                <w:sz w:val="26"/>
                <w:szCs w:val="26"/>
                <w:lang w:eastAsia="lv-LV"/>
              </w:rPr>
              <w:t xml:space="preserve"> noteikumu projekts paredz veikt šādus MK noteikumu Nr.987 grozījumus:</w:t>
            </w:r>
          </w:p>
          <w:p w14:paraId="764C8D5B" w14:textId="2D4655AA" w:rsidR="003F4D5C" w:rsidRPr="00A906FA" w:rsidRDefault="003F4D5C" w:rsidP="00C27286">
            <w:pPr>
              <w:spacing w:before="10" w:line="240" w:lineRule="auto"/>
              <w:ind w:left="101" w:right="102"/>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1. </w:t>
            </w:r>
            <w:r w:rsidR="002F2941" w:rsidRPr="00A906FA">
              <w:rPr>
                <w:rFonts w:ascii="Times New Roman" w:eastAsia="Times New Roman" w:hAnsi="Times New Roman" w:cs="Times New Roman"/>
                <w:sz w:val="26"/>
                <w:szCs w:val="26"/>
                <w:lang w:eastAsia="lv-LV"/>
              </w:rPr>
              <w:t>Atbilstoši Pamatnostād</w:t>
            </w:r>
            <w:r w:rsidR="0072004D" w:rsidRPr="00A906FA">
              <w:rPr>
                <w:rFonts w:ascii="Times New Roman" w:eastAsia="Times New Roman" w:hAnsi="Times New Roman" w:cs="Times New Roman"/>
                <w:sz w:val="26"/>
                <w:szCs w:val="26"/>
                <w:lang w:eastAsia="lv-LV"/>
              </w:rPr>
              <w:t>ņu 20 un 25. punktam</w:t>
            </w:r>
            <w:r w:rsidR="002F2941" w:rsidRPr="00A906FA">
              <w:rPr>
                <w:rFonts w:ascii="Times New Roman" w:eastAsia="Times New Roman" w:hAnsi="Times New Roman" w:cs="Times New Roman"/>
                <w:sz w:val="26"/>
                <w:szCs w:val="26"/>
                <w:lang w:eastAsia="lv-LV"/>
              </w:rPr>
              <w:t xml:space="preserve"> </w:t>
            </w:r>
            <w:r w:rsidRPr="00A906FA">
              <w:rPr>
                <w:rFonts w:ascii="Times New Roman" w:eastAsia="Times New Roman" w:hAnsi="Times New Roman" w:cs="Times New Roman"/>
                <w:sz w:val="26"/>
                <w:szCs w:val="26"/>
                <w:lang w:eastAsia="lv-LV"/>
              </w:rPr>
              <w:t xml:space="preserve">MK noteikumi </w:t>
            </w:r>
            <w:r w:rsidR="0072004D" w:rsidRPr="00A906FA">
              <w:rPr>
                <w:rFonts w:ascii="Times New Roman" w:eastAsia="Times New Roman" w:hAnsi="Times New Roman" w:cs="Times New Roman"/>
                <w:sz w:val="26"/>
                <w:szCs w:val="26"/>
                <w:lang w:eastAsia="lv-LV"/>
              </w:rPr>
              <w:t>N</w:t>
            </w:r>
            <w:r w:rsidRPr="00A906FA">
              <w:rPr>
                <w:rFonts w:ascii="Times New Roman" w:eastAsia="Times New Roman" w:hAnsi="Times New Roman" w:cs="Times New Roman"/>
                <w:sz w:val="26"/>
                <w:szCs w:val="26"/>
                <w:lang w:eastAsia="lv-LV"/>
              </w:rPr>
              <w:t>r. 987</w:t>
            </w:r>
            <w:r w:rsidR="002B1804" w:rsidRPr="00A906FA">
              <w:rPr>
                <w:rFonts w:ascii="Times New Roman" w:eastAsia="Times New Roman" w:hAnsi="Times New Roman" w:cs="Times New Roman"/>
                <w:sz w:val="26"/>
                <w:szCs w:val="26"/>
                <w:lang w:eastAsia="lv-LV"/>
              </w:rPr>
              <w:t xml:space="preserve"> </w:t>
            </w:r>
            <w:r w:rsidRPr="00A906FA">
              <w:rPr>
                <w:rFonts w:ascii="Times New Roman" w:eastAsia="Times New Roman" w:hAnsi="Times New Roman" w:cs="Times New Roman"/>
                <w:sz w:val="26"/>
                <w:szCs w:val="26"/>
                <w:lang w:eastAsia="lv-LV"/>
              </w:rPr>
              <w:t>papildināti ar punktiem, kas</w:t>
            </w:r>
            <w:r w:rsidR="0072004D" w:rsidRPr="00A906FA">
              <w:rPr>
                <w:rFonts w:ascii="Times New Roman" w:eastAsia="Times New Roman" w:hAnsi="Times New Roman" w:cs="Times New Roman"/>
                <w:sz w:val="26"/>
                <w:szCs w:val="26"/>
                <w:lang w:eastAsia="lv-LV"/>
              </w:rPr>
              <w:t xml:space="preserve"> nosaka šādus terminus</w:t>
            </w:r>
            <w:r w:rsidR="002B1804" w:rsidRPr="00A906FA">
              <w:rPr>
                <w:rFonts w:ascii="Times New Roman" w:eastAsia="Times New Roman" w:hAnsi="Times New Roman" w:cs="Times New Roman"/>
                <w:sz w:val="26"/>
                <w:szCs w:val="26"/>
                <w:lang w:eastAsia="lv-LV"/>
              </w:rPr>
              <w:t>:</w:t>
            </w:r>
          </w:p>
          <w:p w14:paraId="54465704" w14:textId="78202498" w:rsidR="003F4D5C" w:rsidRPr="00D70A9C" w:rsidRDefault="000F30EB" w:rsidP="00E01F4B">
            <w:pPr>
              <w:spacing w:before="10" w:line="240" w:lineRule="auto"/>
              <w:ind w:left="101" w:right="102"/>
              <w:jc w:val="both"/>
              <w:rPr>
                <w:rFonts w:ascii="Times New Roman" w:eastAsia="Times New Roman" w:hAnsi="Times New Roman" w:cs="Times New Roman"/>
                <w:sz w:val="26"/>
                <w:szCs w:val="26"/>
                <w:lang w:eastAsia="lv-LV"/>
              </w:rPr>
            </w:pPr>
            <w:r w:rsidRPr="00D70A9C">
              <w:rPr>
                <w:rFonts w:ascii="Times New Roman" w:eastAsia="Times New Roman" w:hAnsi="Times New Roman" w:cs="Times New Roman"/>
                <w:sz w:val="26"/>
                <w:szCs w:val="26"/>
                <w:lang w:eastAsia="lv-LV"/>
              </w:rPr>
              <w:t>1.1.  </w:t>
            </w:r>
            <w:r w:rsidR="003F4D5C" w:rsidRPr="00D70A9C">
              <w:rPr>
                <w:rFonts w:ascii="Times New Roman" w:eastAsia="Times New Roman" w:hAnsi="Times New Roman" w:cs="Times New Roman"/>
                <w:sz w:val="26"/>
                <w:szCs w:val="26"/>
                <w:lang w:eastAsia="lv-LV"/>
              </w:rPr>
              <w:t xml:space="preserve"> ierobežotas jomas darbība</w:t>
            </w:r>
            <w:r w:rsidR="002B1804" w:rsidRPr="00D70A9C">
              <w:rPr>
                <w:rFonts w:ascii="Times New Roman" w:eastAsia="Times New Roman" w:hAnsi="Times New Roman" w:cs="Times New Roman"/>
                <w:sz w:val="26"/>
                <w:szCs w:val="26"/>
                <w:lang w:eastAsia="lv-LV"/>
              </w:rPr>
              <w:t xml:space="preserve"> (</w:t>
            </w:r>
            <w:r w:rsidR="00AA6AEE" w:rsidRPr="00D70A9C">
              <w:rPr>
                <w:rFonts w:ascii="Times New Roman" w:eastAsia="Times New Roman" w:hAnsi="Times New Roman" w:cs="Times New Roman"/>
                <w:sz w:val="26"/>
                <w:szCs w:val="26"/>
                <w:lang w:eastAsia="lv-LV"/>
              </w:rPr>
              <w:t xml:space="preserve">MK noteikumu Nr. 987 </w:t>
            </w:r>
            <w:r w:rsidR="002B1804" w:rsidRPr="00D70A9C">
              <w:rPr>
                <w:rFonts w:ascii="Times New Roman" w:eastAsia="Times New Roman" w:hAnsi="Times New Roman" w:cs="Times New Roman"/>
                <w:sz w:val="26"/>
                <w:szCs w:val="26"/>
                <w:lang w:eastAsia="lv-LV"/>
              </w:rPr>
              <w:t>2.1.</w:t>
            </w:r>
            <w:r w:rsidR="002B1804" w:rsidRPr="00D70A9C">
              <w:rPr>
                <w:rFonts w:ascii="Times New Roman" w:eastAsia="Times New Roman" w:hAnsi="Times New Roman" w:cs="Times New Roman"/>
                <w:sz w:val="26"/>
                <w:szCs w:val="26"/>
                <w:vertAlign w:val="superscript"/>
                <w:lang w:eastAsia="lv-LV"/>
              </w:rPr>
              <w:t>3</w:t>
            </w:r>
            <w:r w:rsidR="002B1804" w:rsidRPr="00D70A9C">
              <w:rPr>
                <w:rFonts w:ascii="Times New Roman" w:eastAsia="Times New Roman" w:hAnsi="Times New Roman" w:cs="Times New Roman"/>
                <w:sz w:val="26"/>
                <w:szCs w:val="26"/>
                <w:lang w:eastAsia="lv-LV"/>
              </w:rPr>
              <w:t xml:space="preserve"> apakšpunkts)</w:t>
            </w:r>
            <w:r w:rsidR="00676B31" w:rsidRPr="00D70A9C">
              <w:rPr>
                <w:rFonts w:ascii="Times New Roman" w:eastAsia="Times New Roman" w:hAnsi="Times New Roman" w:cs="Times New Roman"/>
                <w:sz w:val="26"/>
                <w:szCs w:val="26"/>
                <w:lang w:eastAsia="lv-LV"/>
              </w:rPr>
              <w:t xml:space="preserve">. </w:t>
            </w:r>
            <w:r w:rsidR="003549DB" w:rsidRPr="00D70A9C">
              <w:rPr>
                <w:rFonts w:ascii="Times New Roman" w:eastAsia="Times New Roman" w:hAnsi="Times New Roman" w:cs="Times New Roman"/>
                <w:sz w:val="26"/>
                <w:szCs w:val="26"/>
                <w:lang w:eastAsia="lv-LV"/>
              </w:rPr>
              <w:t xml:space="preserve">Atbilstoši </w:t>
            </w:r>
            <w:r w:rsidR="00676B31" w:rsidRPr="00D70A9C">
              <w:rPr>
                <w:rFonts w:ascii="Times New Roman" w:eastAsia="Times New Roman" w:hAnsi="Times New Roman" w:cs="Times New Roman"/>
                <w:sz w:val="26"/>
                <w:szCs w:val="26"/>
                <w:lang w:eastAsia="lv-LV"/>
              </w:rPr>
              <w:t>Pamatnostādņu 20. punkt</w:t>
            </w:r>
            <w:r w:rsidR="003549DB" w:rsidRPr="00D70A9C">
              <w:rPr>
                <w:rFonts w:ascii="Times New Roman" w:eastAsia="Times New Roman" w:hAnsi="Times New Roman" w:cs="Times New Roman"/>
                <w:sz w:val="26"/>
                <w:szCs w:val="26"/>
                <w:lang w:eastAsia="lv-LV"/>
              </w:rPr>
              <w:t>am</w:t>
            </w:r>
            <w:r w:rsidR="00676B31" w:rsidRPr="00D70A9C">
              <w:rPr>
                <w:rFonts w:ascii="Times New Roman" w:eastAsia="Times New Roman" w:hAnsi="Times New Roman" w:cs="Times New Roman"/>
                <w:sz w:val="26"/>
                <w:szCs w:val="26"/>
                <w:lang w:eastAsia="lv-LV"/>
              </w:rPr>
              <w:t xml:space="preserve"> 2.1.1.3.1.aktivitātes projektos veiktā ierobežotas jomas darbība ir uzskatāma par </w:t>
            </w:r>
            <w:r w:rsidRPr="00D70A9C">
              <w:rPr>
                <w:rFonts w:ascii="Times New Roman" w:eastAsia="Times New Roman" w:hAnsi="Times New Roman" w:cs="Times New Roman"/>
                <w:sz w:val="26"/>
                <w:szCs w:val="26"/>
                <w:lang w:eastAsia="lv-LV"/>
              </w:rPr>
              <w:t>darbību, kurai nav saimniecisks raksturs</w:t>
            </w:r>
            <w:r w:rsidR="00676B31" w:rsidRPr="00D70A9C">
              <w:rPr>
                <w:rFonts w:ascii="Times New Roman" w:eastAsia="Times New Roman" w:hAnsi="Times New Roman" w:cs="Times New Roman"/>
                <w:sz w:val="26"/>
                <w:szCs w:val="26"/>
                <w:lang w:eastAsia="lv-LV"/>
              </w:rPr>
              <w:t>, un šai darbībai ir piemērojams tāds pats regulējums kā pārējai ar saimniecisku darbību nesaistītai darbībai</w:t>
            </w:r>
            <w:r w:rsidR="00E01F4B" w:rsidRPr="00D70A9C">
              <w:rPr>
                <w:rFonts w:ascii="Times New Roman" w:eastAsia="Times New Roman" w:hAnsi="Times New Roman" w:cs="Times New Roman"/>
                <w:sz w:val="26"/>
                <w:szCs w:val="26"/>
                <w:lang w:eastAsia="lv-LV"/>
              </w:rPr>
              <w:t xml:space="preserve">. Termina “ierobežotas jomas darbība” ieviešanas rezultātā projektu īstenotājiem tiek radīti labvēlīgāki nosacījumi, salīdzinot ar šobrīd esošo situāciju, jo ar komercdarbības atbalstu nesaistīta projekta ietvaros izveidotu/iegādātu pētniecības infrastruktūru projekta pārskata (dzīves cikla) periodā var izmantot ierobežotas jomas darbības – pētniecības organizācijas vai pētniecības infrastruktūras saimnieciskās pamatdarbības īstenošanai. Vienlaikus šis projekts joprojām var tikt uzskatīts par projektu, kuram nav saimniecisks raksturs. Lai varētu piemērot Pamatnostādņu 20.punktā noteikto, ir jānodrošina atbilstoša projekta ikgadēja uzraudzība projekta pārskata (dzīves cikla) periodā, kas noteikts, ievērojot Komisijas </w:t>
            </w:r>
            <w:r w:rsidR="00E01F4B" w:rsidRPr="00D70A9C">
              <w:rPr>
                <w:rFonts w:ascii="Times New Roman" w:hAnsi="Times New Roman" w:cs="Times New Roman"/>
                <w:sz w:val="26"/>
                <w:szCs w:val="26"/>
              </w:rPr>
              <w:t>2014. gada 3. marta R</w:t>
            </w:r>
            <w:r w:rsidR="00E01F4B" w:rsidRPr="00D70A9C">
              <w:rPr>
                <w:rFonts w:ascii="Times New Roman" w:eastAsia="Times New Roman" w:hAnsi="Times New Roman" w:cs="Times New Roman"/>
                <w:sz w:val="26"/>
                <w:szCs w:val="26"/>
                <w:lang w:eastAsia="lv-LV"/>
              </w:rPr>
              <w:t xml:space="preserve">egulā Nr.480/2014, </w:t>
            </w:r>
            <w:r w:rsidR="00E01F4B" w:rsidRPr="00D70A9C">
              <w:rPr>
                <w:rFonts w:ascii="Times New Roman" w:eastAsia="Times New Roman" w:hAnsi="Times New Roman" w:cs="Times New Roman"/>
                <w:i/>
                <w:sz w:val="26"/>
                <w:szCs w:val="26"/>
                <w:lang w:eastAsia="lv-LV"/>
              </w:rPr>
              <w:t>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Komisijas regula Nr.480/2014) I pielikumā noteikto</w:t>
            </w:r>
            <w:r w:rsidR="0072004D" w:rsidRPr="00D70A9C">
              <w:rPr>
                <w:rFonts w:ascii="Times New Roman" w:eastAsia="Times New Roman" w:hAnsi="Times New Roman" w:cs="Times New Roman"/>
                <w:sz w:val="26"/>
                <w:szCs w:val="26"/>
                <w:lang w:eastAsia="lv-LV"/>
              </w:rPr>
              <w:t>;</w:t>
            </w:r>
          </w:p>
          <w:p w14:paraId="4E6F75AE" w14:textId="32143802" w:rsidR="000F30EB" w:rsidRDefault="002F2941" w:rsidP="007E730B">
            <w:pPr>
              <w:spacing w:before="10" w:line="240" w:lineRule="auto"/>
              <w:ind w:left="101" w:right="102"/>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lastRenderedPageBreak/>
              <w:t>1</w:t>
            </w:r>
            <w:r w:rsidR="000F30EB" w:rsidRPr="00A906FA">
              <w:rPr>
                <w:rFonts w:ascii="Times New Roman" w:eastAsia="Times New Roman" w:hAnsi="Times New Roman" w:cs="Times New Roman"/>
                <w:sz w:val="26"/>
                <w:szCs w:val="26"/>
                <w:lang w:eastAsia="lv-LV"/>
              </w:rPr>
              <w:t>.2. tirgus cena (</w:t>
            </w:r>
            <w:r w:rsidR="00AA6AEE" w:rsidRPr="00A906FA">
              <w:rPr>
                <w:rFonts w:ascii="Times New Roman" w:eastAsia="Times New Roman" w:hAnsi="Times New Roman" w:cs="Times New Roman"/>
                <w:sz w:val="26"/>
                <w:szCs w:val="26"/>
                <w:lang w:eastAsia="lv-LV"/>
              </w:rPr>
              <w:t xml:space="preserve">MK noteikumu Nr. 987 </w:t>
            </w:r>
            <w:r w:rsidR="000F30EB" w:rsidRPr="00A906FA">
              <w:rPr>
                <w:rFonts w:ascii="Times New Roman" w:eastAsia="Times New Roman" w:hAnsi="Times New Roman" w:cs="Times New Roman"/>
                <w:sz w:val="26"/>
                <w:szCs w:val="26"/>
                <w:lang w:eastAsia="lv-LV"/>
              </w:rPr>
              <w:t>2.12. apakšpunkts)</w:t>
            </w:r>
            <w:r w:rsidRPr="00A906FA">
              <w:rPr>
                <w:rFonts w:ascii="Times New Roman" w:eastAsia="Times New Roman" w:hAnsi="Times New Roman" w:cs="Times New Roman"/>
                <w:sz w:val="26"/>
                <w:szCs w:val="26"/>
                <w:lang w:eastAsia="lv-LV"/>
              </w:rPr>
              <w:t>.</w:t>
            </w:r>
            <w:r w:rsidR="0072004D" w:rsidRPr="00A906FA">
              <w:rPr>
                <w:rFonts w:ascii="Times New Roman" w:eastAsia="Times New Roman" w:hAnsi="Times New Roman" w:cs="Times New Roman"/>
                <w:sz w:val="26"/>
                <w:szCs w:val="26"/>
                <w:lang w:eastAsia="lv-LV"/>
              </w:rPr>
              <w:t xml:space="preserve"> Termins skaidro nosacījumus, kas piemērojami, nodrošinot piekļuvi 2.1.1.3.1. aktivitātes projekta ietvaros izveidotai vai modernizētai pētniecības infrastruktūrai. </w:t>
            </w:r>
          </w:p>
          <w:p w14:paraId="5C378F9E" w14:textId="7CE84074" w:rsidR="00626F5C" w:rsidRPr="00A906FA" w:rsidRDefault="00626F5C" w:rsidP="007E730B">
            <w:pPr>
              <w:spacing w:before="10" w:line="240" w:lineRule="auto"/>
              <w:ind w:left="101" w:right="102"/>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2. Atbilstoši </w:t>
            </w:r>
            <w:r w:rsidR="00676B31" w:rsidRPr="00A906FA">
              <w:rPr>
                <w:rFonts w:ascii="Times New Roman" w:eastAsia="Times New Roman" w:hAnsi="Times New Roman" w:cs="Times New Roman"/>
                <w:sz w:val="26"/>
                <w:szCs w:val="26"/>
                <w:lang w:eastAsia="lv-LV"/>
              </w:rPr>
              <w:t>P</w:t>
            </w:r>
            <w:r w:rsidRPr="00A906FA">
              <w:rPr>
                <w:rFonts w:ascii="Times New Roman" w:eastAsia="Times New Roman" w:hAnsi="Times New Roman" w:cs="Times New Roman"/>
                <w:sz w:val="26"/>
                <w:szCs w:val="26"/>
                <w:lang w:eastAsia="lv-LV"/>
              </w:rPr>
              <w:t>amatnostādnēm precizēt</w:t>
            </w:r>
            <w:r w:rsidR="002F2941" w:rsidRPr="00A906FA">
              <w:rPr>
                <w:rFonts w:ascii="Times New Roman" w:eastAsia="Times New Roman" w:hAnsi="Times New Roman" w:cs="Times New Roman"/>
                <w:sz w:val="26"/>
                <w:szCs w:val="26"/>
                <w:lang w:eastAsia="lv-LV"/>
              </w:rPr>
              <w:t>s</w:t>
            </w:r>
            <w:r w:rsidRPr="00A906FA">
              <w:rPr>
                <w:rFonts w:ascii="Times New Roman" w:eastAsia="Times New Roman" w:hAnsi="Times New Roman" w:cs="Times New Roman"/>
                <w:sz w:val="26"/>
                <w:szCs w:val="26"/>
                <w:lang w:eastAsia="lv-LV"/>
              </w:rPr>
              <w:t xml:space="preserve"> MK noteikumu Nr. 987 </w:t>
            </w:r>
            <w:r w:rsidR="002F2941" w:rsidRPr="00A906FA">
              <w:rPr>
                <w:rFonts w:ascii="Times New Roman" w:eastAsia="Times New Roman" w:hAnsi="Times New Roman" w:cs="Times New Roman"/>
                <w:sz w:val="26"/>
                <w:szCs w:val="26"/>
                <w:lang w:eastAsia="lv-LV"/>
              </w:rPr>
              <w:t>2.1.2., 2.2.2. un 7.4.apakš</w:t>
            </w:r>
            <w:r w:rsidRPr="00A906FA">
              <w:rPr>
                <w:rFonts w:ascii="Times New Roman" w:eastAsia="Times New Roman" w:hAnsi="Times New Roman" w:cs="Times New Roman"/>
                <w:sz w:val="26"/>
                <w:szCs w:val="26"/>
                <w:lang w:eastAsia="lv-LV"/>
              </w:rPr>
              <w:t>punkt</w:t>
            </w:r>
            <w:r w:rsidR="002F2941" w:rsidRPr="00A906FA">
              <w:rPr>
                <w:rFonts w:ascii="Times New Roman" w:eastAsia="Times New Roman" w:hAnsi="Times New Roman" w:cs="Times New Roman"/>
                <w:sz w:val="26"/>
                <w:szCs w:val="26"/>
                <w:lang w:eastAsia="lv-LV"/>
              </w:rPr>
              <w:t>s.</w:t>
            </w:r>
            <w:r w:rsidRPr="00A906FA">
              <w:rPr>
                <w:rFonts w:ascii="Times New Roman" w:eastAsia="Times New Roman" w:hAnsi="Times New Roman" w:cs="Times New Roman"/>
                <w:sz w:val="26"/>
                <w:szCs w:val="26"/>
                <w:lang w:eastAsia="lv-LV"/>
              </w:rPr>
              <w:t xml:space="preserve"> </w:t>
            </w:r>
          </w:p>
          <w:p w14:paraId="256C09EA" w14:textId="236D1E65" w:rsidR="003F4D5C" w:rsidRDefault="002B1804" w:rsidP="007E730B">
            <w:pPr>
              <w:spacing w:before="10" w:line="240" w:lineRule="auto"/>
              <w:ind w:left="101" w:right="102"/>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3. </w:t>
            </w:r>
            <w:r w:rsidR="00626F5C" w:rsidRPr="00A906FA">
              <w:rPr>
                <w:rFonts w:ascii="Times New Roman" w:eastAsia="Times New Roman" w:hAnsi="Times New Roman" w:cs="Times New Roman"/>
                <w:sz w:val="26"/>
                <w:szCs w:val="26"/>
                <w:lang w:eastAsia="lv-LV"/>
              </w:rPr>
              <w:t xml:space="preserve">Atbilstoši </w:t>
            </w:r>
            <w:r w:rsidR="00FF4E4F">
              <w:rPr>
                <w:rFonts w:ascii="Times New Roman" w:eastAsia="Times New Roman" w:hAnsi="Times New Roman" w:cs="Times New Roman"/>
                <w:sz w:val="26"/>
                <w:szCs w:val="26"/>
                <w:lang w:eastAsia="lv-LV"/>
              </w:rPr>
              <w:t xml:space="preserve">Pamatnostādņu 20. punktam un </w:t>
            </w:r>
            <w:r w:rsidR="00626F5C" w:rsidRPr="00A906FA">
              <w:rPr>
                <w:rFonts w:ascii="Times New Roman" w:eastAsia="Times New Roman" w:hAnsi="Times New Roman" w:cs="Times New Roman"/>
                <w:sz w:val="26"/>
                <w:szCs w:val="26"/>
                <w:lang w:eastAsia="lv-LV"/>
              </w:rPr>
              <w:t>Regula</w:t>
            </w:r>
            <w:r w:rsidR="00676B31" w:rsidRPr="00A906FA">
              <w:rPr>
                <w:rFonts w:ascii="Times New Roman" w:eastAsia="Times New Roman" w:hAnsi="Times New Roman" w:cs="Times New Roman"/>
                <w:sz w:val="26"/>
                <w:szCs w:val="26"/>
                <w:lang w:eastAsia="lv-LV"/>
              </w:rPr>
              <w:t>s</w:t>
            </w:r>
            <w:r w:rsidR="00626F5C" w:rsidRPr="00A906FA">
              <w:rPr>
                <w:rFonts w:ascii="Times New Roman" w:eastAsia="Times New Roman" w:hAnsi="Times New Roman" w:cs="Times New Roman"/>
                <w:sz w:val="26"/>
                <w:szCs w:val="26"/>
                <w:lang w:eastAsia="lv-LV"/>
              </w:rPr>
              <w:t xml:space="preserve"> Nr. 651/2014 26.panta 7.punktam a</w:t>
            </w:r>
            <w:r w:rsidRPr="00A906FA">
              <w:rPr>
                <w:rFonts w:ascii="Times New Roman" w:eastAsia="Times New Roman" w:hAnsi="Times New Roman" w:cs="Times New Roman"/>
                <w:sz w:val="26"/>
                <w:szCs w:val="26"/>
                <w:lang w:eastAsia="lv-LV"/>
              </w:rPr>
              <w:t xml:space="preserve">ktualizētas </w:t>
            </w:r>
            <w:r w:rsidR="00D743E3">
              <w:rPr>
                <w:rFonts w:ascii="Times New Roman" w:eastAsia="Times New Roman" w:hAnsi="Times New Roman" w:cs="Times New Roman"/>
                <w:sz w:val="26"/>
                <w:szCs w:val="26"/>
                <w:lang w:eastAsia="lv-LV"/>
              </w:rPr>
              <w:t xml:space="preserve">atbildīgās iestādes un </w:t>
            </w:r>
            <w:r w:rsidRPr="00A906FA">
              <w:rPr>
                <w:rFonts w:ascii="Times New Roman" w:eastAsia="Times New Roman" w:hAnsi="Times New Roman" w:cs="Times New Roman"/>
                <w:sz w:val="26"/>
                <w:szCs w:val="26"/>
                <w:lang w:eastAsia="lv-LV"/>
              </w:rPr>
              <w:t>sadarbības iestādes funkcijas</w:t>
            </w:r>
            <w:r w:rsidR="00676B31" w:rsidRPr="00A906FA">
              <w:rPr>
                <w:rFonts w:ascii="Times New Roman" w:eastAsia="Times New Roman" w:hAnsi="Times New Roman" w:cs="Times New Roman"/>
                <w:sz w:val="26"/>
                <w:szCs w:val="26"/>
                <w:lang w:eastAsia="lv-LV"/>
              </w:rPr>
              <w:t xml:space="preserve"> un </w:t>
            </w:r>
            <w:r w:rsidR="00AD24FB" w:rsidRPr="00A906FA">
              <w:rPr>
                <w:rFonts w:ascii="Times New Roman" w:eastAsia="Times New Roman" w:hAnsi="Times New Roman" w:cs="Times New Roman"/>
                <w:sz w:val="26"/>
                <w:szCs w:val="26"/>
                <w:lang w:eastAsia="lv-LV"/>
              </w:rPr>
              <w:t xml:space="preserve">projektu </w:t>
            </w:r>
            <w:r w:rsidR="00676B31" w:rsidRPr="00A906FA">
              <w:rPr>
                <w:rFonts w:ascii="Times New Roman" w:eastAsia="Times New Roman" w:hAnsi="Times New Roman" w:cs="Times New Roman"/>
                <w:sz w:val="26"/>
                <w:szCs w:val="26"/>
                <w:lang w:eastAsia="lv-LV"/>
              </w:rPr>
              <w:t>uzraudzības periods</w:t>
            </w:r>
            <w:r w:rsidR="00626F5C" w:rsidRPr="00A906FA">
              <w:rPr>
                <w:rFonts w:ascii="Times New Roman" w:eastAsia="Times New Roman" w:hAnsi="Times New Roman" w:cs="Times New Roman"/>
                <w:sz w:val="26"/>
                <w:szCs w:val="26"/>
                <w:lang w:eastAsia="lv-LV"/>
              </w:rPr>
              <w:t xml:space="preserve"> </w:t>
            </w:r>
            <w:r w:rsidR="00FF4E4F">
              <w:rPr>
                <w:rFonts w:ascii="Times New Roman" w:eastAsia="Times New Roman" w:hAnsi="Times New Roman" w:cs="Times New Roman"/>
                <w:sz w:val="26"/>
                <w:szCs w:val="26"/>
                <w:lang w:eastAsia="lv-LV"/>
              </w:rPr>
              <w:t>(</w:t>
            </w:r>
            <w:r w:rsidR="00626F5C" w:rsidRPr="00A906FA">
              <w:rPr>
                <w:rFonts w:ascii="Times New Roman" w:eastAsia="Times New Roman" w:hAnsi="Times New Roman" w:cs="Times New Roman"/>
                <w:sz w:val="26"/>
                <w:szCs w:val="26"/>
                <w:lang w:eastAsia="lv-LV"/>
              </w:rPr>
              <w:t xml:space="preserve">MK noteikumu Nr. 987 </w:t>
            </w:r>
            <w:r w:rsidR="00D743E3" w:rsidRPr="009F6D45">
              <w:rPr>
                <w:rFonts w:ascii="Times New Roman" w:eastAsia="Times New Roman" w:hAnsi="Times New Roman" w:cs="Times New Roman"/>
                <w:sz w:val="26"/>
                <w:szCs w:val="26"/>
                <w:lang w:eastAsia="lv-LV"/>
              </w:rPr>
              <w:t>13.9.,</w:t>
            </w:r>
            <w:r w:rsidR="00D743E3" w:rsidRPr="00723601">
              <w:rPr>
                <w:rFonts w:ascii="Times New Roman" w:eastAsia="Times New Roman" w:hAnsi="Times New Roman" w:cs="Times New Roman"/>
                <w:b/>
                <w:sz w:val="26"/>
                <w:szCs w:val="26"/>
                <w:lang w:eastAsia="lv-LV"/>
              </w:rPr>
              <w:t xml:space="preserve"> </w:t>
            </w:r>
            <w:r w:rsidR="00626F5C" w:rsidRPr="00A906FA">
              <w:rPr>
                <w:rFonts w:ascii="Times New Roman" w:eastAsia="Times New Roman" w:hAnsi="Times New Roman" w:cs="Times New Roman"/>
                <w:sz w:val="26"/>
                <w:szCs w:val="26"/>
                <w:lang w:eastAsia="lv-LV"/>
              </w:rPr>
              <w:t>14.21.</w:t>
            </w:r>
            <w:r w:rsidR="00546CD0" w:rsidRPr="00A906FA">
              <w:rPr>
                <w:rFonts w:ascii="Times New Roman" w:eastAsia="Times New Roman" w:hAnsi="Times New Roman" w:cs="Times New Roman"/>
                <w:sz w:val="26"/>
                <w:szCs w:val="26"/>
                <w:lang w:eastAsia="lv-LV"/>
              </w:rPr>
              <w:t>, 80.</w:t>
            </w:r>
            <w:r w:rsidR="00546CD0" w:rsidRPr="00A906FA">
              <w:rPr>
                <w:rFonts w:ascii="Times New Roman" w:eastAsia="Times New Roman" w:hAnsi="Times New Roman" w:cs="Times New Roman"/>
                <w:sz w:val="26"/>
                <w:szCs w:val="26"/>
                <w:vertAlign w:val="superscript"/>
                <w:lang w:eastAsia="lv-LV"/>
              </w:rPr>
              <w:t>1</w:t>
            </w:r>
            <w:r w:rsidR="00546CD0" w:rsidRPr="00A906FA">
              <w:rPr>
                <w:rFonts w:ascii="Times New Roman" w:eastAsia="Times New Roman" w:hAnsi="Times New Roman" w:cs="Times New Roman"/>
                <w:sz w:val="26"/>
                <w:szCs w:val="26"/>
                <w:lang w:eastAsia="lv-LV"/>
              </w:rPr>
              <w:t>1.</w:t>
            </w:r>
            <w:r w:rsidR="00626F5C" w:rsidRPr="00A906FA">
              <w:rPr>
                <w:rFonts w:ascii="Times New Roman" w:eastAsia="Times New Roman" w:hAnsi="Times New Roman" w:cs="Times New Roman"/>
                <w:sz w:val="26"/>
                <w:szCs w:val="26"/>
                <w:lang w:eastAsia="lv-LV"/>
              </w:rPr>
              <w:t>apakšpunkts</w:t>
            </w:r>
            <w:r w:rsidR="00FF4E4F">
              <w:rPr>
                <w:rFonts w:ascii="Times New Roman" w:eastAsia="Times New Roman" w:hAnsi="Times New Roman" w:cs="Times New Roman"/>
                <w:sz w:val="26"/>
                <w:szCs w:val="26"/>
                <w:lang w:eastAsia="lv-LV"/>
              </w:rPr>
              <w:t>)</w:t>
            </w:r>
            <w:r w:rsidR="00626F5C" w:rsidRPr="00A906FA">
              <w:rPr>
                <w:rFonts w:ascii="Times New Roman" w:eastAsia="Times New Roman" w:hAnsi="Times New Roman" w:cs="Times New Roman"/>
                <w:sz w:val="26"/>
                <w:szCs w:val="26"/>
                <w:lang w:eastAsia="lv-LV"/>
              </w:rPr>
              <w:t>.</w:t>
            </w:r>
          </w:p>
          <w:p w14:paraId="35816395" w14:textId="0FB6472A" w:rsidR="00D743E3" w:rsidRPr="00D70A9C" w:rsidRDefault="00D743E3" w:rsidP="007E730B">
            <w:pPr>
              <w:spacing w:before="10" w:line="240" w:lineRule="auto"/>
              <w:ind w:left="101" w:right="102"/>
              <w:jc w:val="both"/>
              <w:rPr>
                <w:rFonts w:ascii="Times New Roman" w:hAnsi="Times New Roman" w:cs="Times New Roman"/>
                <w:sz w:val="26"/>
                <w:szCs w:val="26"/>
              </w:rPr>
            </w:pPr>
            <w:r w:rsidRPr="00D70A9C">
              <w:rPr>
                <w:rFonts w:ascii="Times New Roman" w:eastAsia="Times New Roman" w:hAnsi="Times New Roman" w:cs="Times New Roman"/>
                <w:sz w:val="26"/>
                <w:szCs w:val="26"/>
                <w:lang w:eastAsia="lv-LV"/>
              </w:rPr>
              <w:t>Lai finansējuma saņēmējiem un sadarbības partneriem sniegtu informāciju par MK noteikumu Nr. 987 grozījumos ietvertajiem nosacījumiem</w:t>
            </w:r>
            <w:r w:rsidR="00F216E1" w:rsidRPr="00D70A9C">
              <w:rPr>
                <w:rFonts w:ascii="Times New Roman" w:eastAsia="Times New Roman" w:hAnsi="Times New Roman" w:cs="Times New Roman"/>
                <w:sz w:val="26"/>
                <w:szCs w:val="26"/>
                <w:lang w:eastAsia="lv-LV"/>
              </w:rPr>
              <w:t xml:space="preserve"> (saistībā ar pētniecības infrastruktūras izmantošanu ierobežotas jomas darbību īstenošanai, piekļuves pētniecības infrastruktūrai nodrošināšanu un norēķinu kārtību, ierobežotas jomas darbību uzskaiti un citi nosacījumi)</w:t>
            </w:r>
            <w:r w:rsidRPr="00D70A9C">
              <w:rPr>
                <w:rFonts w:ascii="Times New Roman" w:eastAsia="Times New Roman" w:hAnsi="Times New Roman" w:cs="Times New Roman"/>
                <w:sz w:val="26"/>
                <w:szCs w:val="26"/>
                <w:lang w:eastAsia="lv-LV"/>
              </w:rPr>
              <w:t>, kas piemērojami retrospektīvi, sadarbības iestāde</w:t>
            </w:r>
            <w:r w:rsidR="00ED7E79">
              <w:rPr>
                <w:rFonts w:ascii="Times New Roman" w:eastAsia="Times New Roman" w:hAnsi="Times New Roman" w:cs="Times New Roman"/>
                <w:sz w:val="26"/>
                <w:szCs w:val="26"/>
                <w:lang w:eastAsia="lv-LV"/>
              </w:rPr>
              <w:t xml:space="preserve">  informē labuma guvējus par </w:t>
            </w:r>
            <w:r w:rsidR="00980087">
              <w:rPr>
                <w:rFonts w:ascii="Times New Roman" w:eastAsia="Times New Roman" w:hAnsi="Times New Roman" w:cs="Times New Roman"/>
                <w:sz w:val="26"/>
                <w:szCs w:val="26"/>
                <w:lang w:eastAsia="lv-LV"/>
              </w:rPr>
              <w:t>a) </w:t>
            </w:r>
            <w:r w:rsidR="00ED7E79">
              <w:rPr>
                <w:rFonts w:ascii="Times New Roman" w:eastAsia="Times New Roman" w:hAnsi="Times New Roman" w:cs="Times New Roman"/>
                <w:sz w:val="26"/>
                <w:szCs w:val="26"/>
                <w:lang w:eastAsia="lv-LV"/>
              </w:rPr>
              <w:t xml:space="preserve"> prasībām, kas izriet no </w:t>
            </w:r>
            <w:r w:rsidR="00F216E1" w:rsidRPr="00D70A9C">
              <w:rPr>
                <w:rFonts w:ascii="Times New Roman" w:hAnsi="Times New Roman" w:cs="Times New Roman"/>
                <w:sz w:val="26"/>
                <w:szCs w:val="26"/>
              </w:rPr>
              <w:t xml:space="preserve">MK </w:t>
            </w:r>
            <w:r w:rsidRPr="00D70A9C">
              <w:rPr>
                <w:rFonts w:ascii="Times New Roman" w:hAnsi="Times New Roman" w:cs="Times New Roman"/>
                <w:sz w:val="26"/>
                <w:szCs w:val="26"/>
              </w:rPr>
              <w:t xml:space="preserve">noteikumu </w:t>
            </w:r>
            <w:r w:rsidR="00F216E1" w:rsidRPr="00D70A9C">
              <w:rPr>
                <w:rFonts w:ascii="Times New Roman" w:hAnsi="Times New Roman" w:cs="Times New Roman"/>
                <w:sz w:val="26"/>
                <w:szCs w:val="26"/>
              </w:rPr>
              <w:t xml:space="preserve">Nr.987 </w:t>
            </w:r>
            <w:r w:rsidRPr="00D70A9C">
              <w:rPr>
                <w:rFonts w:ascii="Times New Roman" w:hAnsi="Times New Roman" w:cs="Times New Roman"/>
                <w:sz w:val="26"/>
                <w:szCs w:val="26"/>
              </w:rPr>
              <w:t>2.1.2., 2.1.</w:t>
            </w:r>
            <w:r w:rsidRPr="00D70A9C">
              <w:rPr>
                <w:rFonts w:ascii="Times New Roman" w:hAnsi="Times New Roman" w:cs="Times New Roman"/>
                <w:sz w:val="26"/>
                <w:szCs w:val="26"/>
                <w:vertAlign w:val="superscript"/>
              </w:rPr>
              <w:t>3</w:t>
            </w:r>
            <w:r w:rsidRPr="00D70A9C">
              <w:rPr>
                <w:rFonts w:ascii="Times New Roman" w:hAnsi="Times New Roman" w:cs="Times New Roman"/>
                <w:sz w:val="26"/>
                <w:szCs w:val="26"/>
              </w:rPr>
              <w:t>, 2.2.2., 2.12., 19.9., 32.1., 32.2., 53.1., 80.</w:t>
            </w:r>
            <w:r w:rsidRPr="00D70A9C">
              <w:rPr>
                <w:rFonts w:ascii="Times New Roman" w:hAnsi="Times New Roman" w:cs="Times New Roman"/>
                <w:sz w:val="26"/>
                <w:szCs w:val="26"/>
                <w:vertAlign w:val="superscript"/>
              </w:rPr>
              <w:t>1</w:t>
            </w:r>
            <w:r w:rsidRPr="00D70A9C">
              <w:rPr>
                <w:rFonts w:ascii="Times New Roman" w:hAnsi="Times New Roman" w:cs="Times New Roman"/>
                <w:sz w:val="26"/>
                <w:szCs w:val="26"/>
              </w:rPr>
              <w:t>1. apakšpunkta, 25. 79.</w:t>
            </w:r>
            <w:r w:rsidRPr="00D70A9C">
              <w:rPr>
                <w:rFonts w:ascii="Times New Roman" w:hAnsi="Times New Roman" w:cs="Times New Roman"/>
                <w:sz w:val="26"/>
                <w:szCs w:val="26"/>
                <w:vertAlign w:val="superscript"/>
              </w:rPr>
              <w:t>3</w:t>
            </w:r>
            <w:r w:rsidRPr="00D70A9C">
              <w:rPr>
                <w:rFonts w:ascii="Times New Roman" w:hAnsi="Times New Roman" w:cs="Times New Roman"/>
                <w:sz w:val="26"/>
                <w:szCs w:val="26"/>
              </w:rPr>
              <w:t>, un 79.</w:t>
            </w:r>
            <w:r w:rsidRPr="00D70A9C">
              <w:rPr>
                <w:rFonts w:ascii="Times New Roman" w:hAnsi="Times New Roman" w:cs="Times New Roman"/>
                <w:sz w:val="26"/>
                <w:szCs w:val="26"/>
                <w:vertAlign w:val="superscript"/>
              </w:rPr>
              <w:t>5</w:t>
            </w:r>
            <w:r w:rsidRPr="00D70A9C">
              <w:rPr>
                <w:rFonts w:ascii="Times New Roman" w:hAnsi="Times New Roman" w:cs="Times New Roman"/>
                <w:sz w:val="26"/>
                <w:szCs w:val="26"/>
              </w:rPr>
              <w:t xml:space="preserve"> punkta nosacījumiem un normatīvajiem aktiem par Eiropas Savienības struktūrfondu un Kohēzijas fonda vadību, īstenošanu un īstenošanas uzraudzību</w:t>
            </w:r>
            <w:r w:rsidR="00443EC4" w:rsidRPr="00D70A9C">
              <w:rPr>
                <w:rFonts w:ascii="Times New Roman" w:hAnsi="Times New Roman" w:cs="Times New Roman"/>
                <w:sz w:val="26"/>
                <w:szCs w:val="26"/>
              </w:rPr>
              <w:t>;</w:t>
            </w:r>
            <w:r w:rsidR="00ED7E79">
              <w:rPr>
                <w:rFonts w:ascii="Times New Roman" w:hAnsi="Times New Roman" w:cs="Times New Roman"/>
                <w:sz w:val="26"/>
                <w:szCs w:val="26"/>
              </w:rPr>
              <w:t xml:space="preserve"> </w:t>
            </w:r>
            <w:r w:rsidR="00ED7E79" w:rsidRPr="00ED7E79">
              <w:rPr>
                <w:rFonts w:ascii="Times New Roman" w:hAnsi="Times New Roman" w:cs="Times New Roman"/>
                <w:sz w:val="26"/>
                <w:szCs w:val="26"/>
              </w:rPr>
              <w:t xml:space="preserve">un </w:t>
            </w:r>
            <w:r w:rsidR="00980087">
              <w:rPr>
                <w:rFonts w:ascii="Times New Roman" w:hAnsi="Times New Roman" w:cs="Times New Roman"/>
                <w:sz w:val="26"/>
                <w:szCs w:val="26"/>
              </w:rPr>
              <w:t xml:space="preserve">b) </w:t>
            </w:r>
            <w:r w:rsidR="00ED7E79" w:rsidRPr="00ED7E79">
              <w:rPr>
                <w:rFonts w:ascii="Times New Roman" w:hAnsi="Times New Roman" w:cs="Times New Roman"/>
                <w:sz w:val="26"/>
                <w:szCs w:val="26"/>
              </w:rPr>
              <w:t>saistīt</w:t>
            </w:r>
            <w:r w:rsidR="00980087">
              <w:rPr>
                <w:rFonts w:ascii="Times New Roman" w:hAnsi="Times New Roman" w:cs="Times New Roman"/>
                <w:sz w:val="26"/>
                <w:szCs w:val="26"/>
              </w:rPr>
              <w:t>ajiem</w:t>
            </w:r>
            <w:r w:rsidR="00ED7E79" w:rsidRPr="00ED7E79">
              <w:rPr>
                <w:rFonts w:ascii="Times New Roman" w:hAnsi="Times New Roman" w:cs="Times New Roman"/>
                <w:sz w:val="26"/>
                <w:szCs w:val="26"/>
              </w:rPr>
              <w:t xml:space="preserve"> grozījum</w:t>
            </w:r>
            <w:r w:rsidR="00980087">
              <w:rPr>
                <w:rFonts w:ascii="Times New Roman" w:hAnsi="Times New Roman" w:cs="Times New Roman"/>
                <w:sz w:val="26"/>
                <w:szCs w:val="26"/>
              </w:rPr>
              <w:t>iem</w:t>
            </w:r>
            <w:r w:rsidR="00ED7E79" w:rsidRPr="00ED7E79">
              <w:rPr>
                <w:rFonts w:ascii="Times New Roman" w:hAnsi="Times New Roman" w:cs="Times New Roman"/>
                <w:sz w:val="26"/>
                <w:szCs w:val="26"/>
              </w:rPr>
              <w:t xml:space="preserve"> līgumā vai vienošanās par projekta īstenošanu</w:t>
            </w:r>
            <w:r w:rsidR="00980087">
              <w:rPr>
                <w:rFonts w:ascii="Times New Roman" w:hAnsi="Times New Roman" w:cs="Times New Roman"/>
                <w:sz w:val="26"/>
                <w:szCs w:val="26"/>
              </w:rPr>
              <w:t xml:space="preserve">, ko veic atbilstoši </w:t>
            </w:r>
            <w:r w:rsidR="00980087" w:rsidRPr="00980087">
              <w:rPr>
                <w:rFonts w:ascii="Times New Roman" w:hAnsi="Times New Roman" w:cs="Times New Roman"/>
                <w:sz w:val="26"/>
                <w:szCs w:val="26"/>
              </w:rPr>
              <w:t>MK 2007.gada 26.jūnija noteikumos Nr.419 “Kārtība, kādā Eiropas Savienības struktūrfondu un Kohēzijas fonda vadībā iesaistītās institūcijas nodrošina plānošanas dokumentu sagatavošanu un šo fondu ieviešanu” noteikt</w:t>
            </w:r>
            <w:r w:rsidR="00980087">
              <w:rPr>
                <w:rFonts w:ascii="Times New Roman" w:hAnsi="Times New Roman" w:cs="Times New Roman"/>
                <w:sz w:val="26"/>
                <w:szCs w:val="26"/>
              </w:rPr>
              <w:t>ajam</w:t>
            </w:r>
            <w:r w:rsidR="00980087" w:rsidRPr="00980087">
              <w:rPr>
                <w:rFonts w:ascii="Times New Roman" w:hAnsi="Times New Roman" w:cs="Times New Roman"/>
                <w:sz w:val="26"/>
                <w:szCs w:val="26"/>
              </w:rPr>
              <w:t xml:space="preserve"> regulējum</w:t>
            </w:r>
            <w:r w:rsidR="00980087">
              <w:rPr>
                <w:rFonts w:ascii="Times New Roman" w:hAnsi="Times New Roman" w:cs="Times New Roman"/>
                <w:sz w:val="26"/>
                <w:szCs w:val="26"/>
              </w:rPr>
              <w:t>am.</w:t>
            </w:r>
          </w:p>
          <w:p w14:paraId="4AB1F6BC" w14:textId="1EAC37EF" w:rsidR="00A65B18" w:rsidRPr="00D70A9C" w:rsidRDefault="00A65B18" w:rsidP="007E730B">
            <w:pPr>
              <w:spacing w:before="10" w:line="240" w:lineRule="auto"/>
              <w:ind w:left="101" w:right="102"/>
              <w:jc w:val="both"/>
              <w:rPr>
                <w:rFonts w:ascii="Times New Roman" w:eastAsia="Times New Roman" w:hAnsi="Times New Roman" w:cs="Times New Roman"/>
                <w:sz w:val="26"/>
                <w:szCs w:val="26"/>
                <w:lang w:eastAsia="lv-LV"/>
              </w:rPr>
            </w:pPr>
            <w:r w:rsidRPr="00D70A9C">
              <w:rPr>
                <w:rFonts w:ascii="Times New Roman" w:eastAsia="Times New Roman" w:hAnsi="Times New Roman" w:cs="Times New Roman"/>
                <w:sz w:val="26"/>
                <w:szCs w:val="26"/>
                <w:lang w:eastAsia="lv-LV"/>
              </w:rPr>
              <w:t xml:space="preserve">Sadarbības iestāde, izstrādājot MK noteikumu Nr. 987 14.21. apakšpunktā minēto publiskā finansējuma uzraudzības un atgūšanas mehānismu, ņem vērā </w:t>
            </w:r>
            <w:r w:rsidR="00443EC4" w:rsidRPr="00D70A9C">
              <w:rPr>
                <w:rFonts w:ascii="Times New Roman" w:eastAsia="Times New Roman" w:hAnsi="Times New Roman" w:cs="Times New Roman"/>
                <w:sz w:val="26"/>
                <w:szCs w:val="26"/>
                <w:lang w:eastAsia="lv-LV"/>
              </w:rPr>
              <w:t xml:space="preserve">Konkurences Ģenerāldirektorāta </w:t>
            </w:r>
            <w:r w:rsidRPr="00D70A9C">
              <w:rPr>
                <w:rFonts w:ascii="Times New Roman" w:eastAsia="Times New Roman" w:hAnsi="Times New Roman" w:cs="Times New Roman"/>
                <w:sz w:val="26"/>
                <w:szCs w:val="26"/>
                <w:lang w:eastAsia="lv-LV"/>
              </w:rPr>
              <w:t>e-</w:t>
            </w:r>
            <w:proofErr w:type="spellStart"/>
            <w:r w:rsidRPr="00D70A9C">
              <w:rPr>
                <w:rFonts w:ascii="Times New Roman" w:eastAsia="Times New Roman" w:hAnsi="Times New Roman" w:cs="Times New Roman"/>
                <w:sz w:val="26"/>
                <w:szCs w:val="26"/>
                <w:lang w:eastAsia="lv-LV"/>
              </w:rPr>
              <w:t>State</w:t>
            </w:r>
            <w:proofErr w:type="spellEnd"/>
            <w:r w:rsidRPr="00D70A9C">
              <w:rPr>
                <w:rFonts w:ascii="Times New Roman" w:eastAsia="Times New Roman" w:hAnsi="Times New Roman" w:cs="Times New Roman"/>
                <w:sz w:val="26"/>
                <w:szCs w:val="26"/>
                <w:lang w:eastAsia="lv-LV"/>
              </w:rPr>
              <w:t xml:space="preserve"> Aid WIKI sistēmā</w:t>
            </w:r>
            <w:r w:rsidRPr="00D70A9C">
              <w:rPr>
                <w:rStyle w:val="FootnoteReference"/>
                <w:rFonts w:ascii="Times New Roman" w:eastAsia="Times New Roman" w:hAnsi="Times New Roman" w:cs="Times New Roman"/>
                <w:sz w:val="26"/>
                <w:szCs w:val="26"/>
                <w:lang w:eastAsia="lv-LV"/>
              </w:rPr>
              <w:footnoteReference w:id="1"/>
            </w:r>
            <w:r w:rsidRPr="00D70A9C">
              <w:rPr>
                <w:rFonts w:ascii="Times New Roman" w:eastAsia="Times New Roman" w:hAnsi="Times New Roman" w:cs="Times New Roman"/>
                <w:sz w:val="26"/>
                <w:szCs w:val="26"/>
                <w:lang w:eastAsia="lv-LV"/>
              </w:rPr>
              <w:t xml:space="preserve"> sniegto skaidrojumu par atgūšanas mehānismu un atgūstam</w:t>
            </w:r>
            <w:r w:rsidR="00EA1E21" w:rsidRPr="00D70A9C">
              <w:rPr>
                <w:rFonts w:ascii="Times New Roman" w:eastAsia="Times New Roman" w:hAnsi="Times New Roman" w:cs="Times New Roman"/>
                <w:sz w:val="26"/>
                <w:szCs w:val="26"/>
                <w:lang w:eastAsia="lv-LV"/>
              </w:rPr>
              <w:t>ā</w:t>
            </w:r>
            <w:r w:rsidRPr="00D70A9C">
              <w:rPr>
                <w:rFonts w:ascii="Times New Roman" w:eastAsia="Times New Roman" w:hAnsi="Times New Roman" w:cs="Times New Roman"/>
                <w:sz w:val="26"/>
                <w:szCs w:val="26"/>
                <w:lang w:eastAsia="lv-LV"/>
              </w:rPr>
              <w:t xml:space="preserve"> publiskā finansējuma </w:t>
            </w:r>
            <w:r w:rsidR="00EA1E21" w:rsidRPr="00D70A9C">
              <w:rPr>
                <w:rFonts w:ascii="Times New Roman" w:eastAsia="Times New Roman" w:hAnsi="Times New Roman" w:cs="Times New Roman"/>
                <w:sz w:val="26"/>
                <w:szCs w:val="26"/>
                <w:lang w:eastAsia="lv-LV"/>
              </w:rPr>
              <w:t>aprēķināšanas metodiku</w:t>
            </w:r>
            <w:r w:rsidR="00443EC4" w:rsidRPr="00D70A9C">
              <w:rPr>
                <w:rFonts w:ascii="Times New Roman" w:eastAsia="Times New Roman" w:hAnsi="Times New Roman" w:cs="Times New Roman"/>
                <w:sz w:val="26"/>
                <w:szCs w:val="26"/>
                <w:lang w:eastAsia="lv-LV"/>
              </w:rPr>
              <w:t>.</w:t>
            </w:r>
          </w:p>
          <w:p w14:paraId="5266371E" w14:textId="27BC5694" w:rsidR="00367B73" w:rsidRPr="00D70A9C" w:rsidRDefault="00367B73" w:rsidP="007E730B">
            <w:pPr>
              <w:spacing w:before="10" w:line="240" w:lineRule="auto"/>
              <w:ind w:left="101" w:right="102"/>
              <w:jc w:val="both"/>
              <w:rPr>
                <w:rFonts w:ascii="Times New Roman" w:eastAsia="Times New Roman" w:hAnsi="Times New Roman" w:cs="Times New Roman"/>
                <w:sz w:val="26"/>
                <w:szCs w:val="26"/>
                <w:lang w:eastAsia="lv-LV"/>
              </w:rPr>
            </w:pPr>
            <w:r w:rsidRPr="00D70A9C">
              <w:rPr>
                <w:rFonts w:ascii="Times New Roman" w:eastAsia="Times New Roman" w:hAnsi="Times New Roman" w:cs="Times New Roman"/>
                <w:sz w:val="26"/>
                <w:szCs w:val="26"/>
                <w:lang w:eastAsia="lv-LV"/>
              </w:rPr>
              <w:lastRenderedPageBreak/>
              <w:t xml:space="preserve">Saskaņā ar Eiropas Savienības struktūrfondu un Kohēzijas fonda vadības likuma 14. panta pirmo daļu atbildīgo iestādi un sadarbības iestādi, kā arī kompetences sadalījumu starp tām nosaka Ministru kabinets (MK). Atbilstoši MK deleģējumam Valsts izglītības attīstības aģentūra kā sadarbības iestāde nodrošina Eiropas Savienības fondu 2007.–2013. gada plānošanas perioda projektu </w:t>
            </w:r>
            <w:proofErr w:type="spellStart"/>
            <w:r w:rsidRPr="00D70A9C">
              <w:rPr>
                <w:rFonts w:ascii="Times New Roman" w:eastAsia="Times New Roman" w:hAnsi="Times New Roman" w:cs="Times New Roman"/>
                <w:sz w:val="26"/>
                <w:szCs w:val="26"/>
                <w:lang w:eastAsia="lv-LV"/>
              </w:rPr>
              <w:t>pēcuzraudzību</w:t>
            </w:r>
            <w:proofErr w:type="spellEnd"/>
            <w:r w:rsidRPr="00D70A9C">
              <w:rPr>
                <w:rFonts w:ascii="Times New Roman" w:eastAsia="Times New Roman" w:hAnsi="Times New Roman" w:cs="Times New Roman"/>
                <w:sz w:val="26"/>
                <w:szCs w:val="26"/>
                <w:lang w:eastAsia="lv-LV"/>
              </w:rPr>
              <w:t xml:space="preserve">. Ņemot vērā, ka 2.1.1.3.1. aktivitātes projektu uzraudzības periods pārsniedz </w:t>
            </w:r>
            <w:proofErr w:type="spellStart"/>
            <w:r w:rsidRPr="00D70A9C">
              <w:rPr>
                <w:rFonts w:ascii="Times New Roman" w:eastAsia="Times New Roman" w:hAnsi="Times New Roman" w:cs="Times New Roman"/>
                <w:sz w:val="26"/>
                <w:szCs w:val="26"/>
                <w:lang w:eastAsia="lv-LV"/>
              </w:rPr>
              <w:t>pēcuzraudzības</w:t>
            </w:r>
            <w:proofErr w:type="spellEnd"/>
            <w:r w:rsidRPr="00D70A9C">
              <w:rPr>
                <w:rFonts w:ascii="Times New Roman" w:eastAsia="Times New Roman" w:hAnsi="Times New Roman" w:cs="Times New Roman"/>
                <w:sz w:val="26"/>
                <w:szCs w:val="26"/>
                <w:lang w:eastAsia="lv-LV"/>
              </w:rPr>
              <w:t xml:space="preserve"> periodu, noteikumu projekts paredz, ka Eiropas Savienības fondu 2007.–2013. gada plānošanas perioda 2.1.1.3.1. aktivitātes projektu uzraudzību pārskata (dzīves cikla) periodā līdz 2020.gada 31. decembrim veic sadarbības iestāde, bet no 2021. gada 1. janvāra līdz 2032. gada 31. decembrim nodrošina atbildīgā iestāde.</w:t>
            </w:r>
          </w:p>
          <w:p w14:paraId="3A204FB6" w14:textId="5C331C56" w:rsidR="00626F5C" w:rsidRPr="00A906FA" w:rsidRDefault="00626F5C" w:rsidP="007E730B">
            <w:pPr>
              <w:spacing w:before="10" w:line="240" w:lineRule="auto"/>
              <w:ind w:left="101" w:right="102"/>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4.</w:t>
            </w:r>
            <w:r w:rsidR="009F6D45">
              <w:rPr>
                <w:rFonts w:ascii="Times New Roman" w:eastAsia="Times New Roman" w:hAnsi="Times New Roman" w:cs="Times New Roman"/>
                <w:sz w:val="26"/>
                <w:szCs w:val="26"/>
                <w:lang w:eastAsia="lv-LV"/>
              </w:rPr>
              <w:t> </w:t>
            </w:r>
            <w:r w:rsidRPr="00A906FA">
              <w:rPr>
                <w:rFonts w:ascii="Times New Roman" w:eastAsia="Times New Roman" w:hAnsi="Times New Roman" w:cs="Times New Roman"/>
                <w:sz w:val="26"/>
                <w:szCs w:val="26"/>
                <w:lang w:eastAsia="lv-LV"/>
              </w:rPr>
              <w:t xml:space="preserve">Ievērojot Regulas Nr.651/2014 un </w:t>
            </w:r>
            <w:r w:rsidR="00676B31" w:rsidRPr="00A906FA">
              <w:rPr>
                <w:rFonts w:ascii="Times New Roman" w:eastAsia="Times New Roman" w:hAnsi="Times New Roman" w:cs="Times New Roman"/>
                <w:sz w:val="26"/>
                <w:szCs w:val="26"/>
                <w:lang w:eastAsia="lv-LV"/>
              </w:rPr>
              <w:t>P</w:t>
            </w:r>
            <w:r w:rsidRPr="00A906FA">
              <w:rPr>
                <w:rFonts w:ascii="Times New Roman" w:eastAsia="Times New Roman" w:hAnsi="Times New Roman" w:cs="Times New Roman"/>
                <w:sz w:val="26"/>
                <w:szCs w:val="26"/>
                <w:lang w:eastAsia="lv-LV"/>
              </w:rPr>
              <w:t xml:space="preserve">amatnostādņu nosacījumus, precizēti piekļuves pētniecības infrastruktūrai </w:t>
            </w:r>
            <w:r w:rsidR="00443EC4">
              <w:rPr>
                <w:rFonts w:ascii="Times New Roman" w:eastAsia="Times New Roman" w:hAnsi="Times New Roman" w:cs="Times New Roman"/>
                <w:sz w:val="26"/>
                <w:szCs w:val="26"/>
                <w:lang w:eastAsia="lv-LV"/>
              </w:rPr>
              <w:t>nosacījumi un noteikta norēķinu kārtība</w:t>
            </w:r>
            <w:r w:rsidRPr="00A906FA">
              <w:rPr>
                <w:rFonts w:ascii="Times New Roman" w:eastAsia="Times New Roman" w:hAnsi="Times New Roman" w:cs="Times New Roman"/>
                <w:sz w:val="26"/>
                <w:szCs w:val="26"/>
                <w:lang w:eastAsia="lv-LV"/>
              </w:rPr>
              <w:t xml:space="preserve"> </w:t>
            </w:r>
            <w:r w:rsidR="00443EC4">
              <w:rPr>
                <w:rFonts w:ascii="Times New Roman" w:eastAsia="Times New Roman" w:hAnsi="Times New Roman" w:cs="Times New Roman"/>
                <w:sz w:val="26"/>
                <w:szCs w:val="26"/>
                <w:lang w:eastAsia="lv-LV"/>
              </w:rPr>
              <w:t>(</w:t>
            </w:r>
            <w:r w:rsidRPr="00A906FA">
              <w:rPr>
                <w:rFonts w:ascii="Times New Roman" w:eastAsia="Times New Roman" w:hAnsi="Times New Roman" w:cs="Times New Roman"/>
                <w:sz w:val="26"/>
                <w:szCs w:val="26"/>
                <w:lang w:eastAsia="lv-LV"/>
              </w:rPr>
              <w:t xml:space="preserve">MK noteikumu </w:t>
            </w:r>
            <w:r w:rsidR="00546CD0" w:rsidRPr="00A906FA">
              <w:rPr>
                <w:rFonts w:ascii="Times New Roman" w:eastAsia="Times New Roman" w:hAnsi="Times New Roman" w:cs="Times New Roman"/>
                <w:sz w:val="26"/>
                <w:szCs w:val="26"/>
                <w:lang w:eastAsia="lv-LV"/>
              </w:rPr>
              <w:t>N</w:t>
            </w:r>
            <w:r w:rsidRPr="00A906FA">
              <w:rPr>
                <w:rFonts w:ascii="Times New Roman" w:eastAsia="Times New Roman" w:hAnsi="Times New Roman" w:cs="Times New Roman"/>
                <w:sz w:val="26"/>
                <w:szCs w:val="26"/>
                <w:lang w:eastAsia="lv-LV"/>
              </w:rPr>
              <w:t xml:space="preserve">r.987 </w:t>
            </w:r>
            <w:r w:rsidR="00546CD0" w:rsidRPr="00A906FA">
              <w:rPr>
                <w:rFonts w:ascii="Times New Roman" w:eastAsia="Times New Roman" w:hAnsi="Times New Roman" w:cs="Times New Roman"/>
                <w:sz w:val="26"/>
                <w:szCs w:val="26"/>
                <w:lang w:eastAsia="lv-LV"/>
              </w:rPr>
              <w:t>19.9., 32.1., 32.2. apakšpunkts</w:t>
            </w:r>
            <w:r w:rsidR="00676B31" w:rsidRPr="00A906FA">
              <w:rPr>
                <w:rFonts w:ascii="Times New Roman" w:eastAsia="Times New Roman" w:hAnsi="Times New Roman" w:cs="Times New Roman"/>
                <w:sz w:val="26"/>
                <w:szCs w:val="26"/>
                <w:lang w:eastAsia="lv-LV"/>
              </w:rPr>
              <w:t xml:space="preserve"> un 25.punkts</w:t>
            </w:r>
            <w:r w:rsidR="00AB26FE">
              <w:rPr>
                <w:rFonts w:ascii="Times New Roman" w:eastAsia="Times New Roman" w:hAnsi="Times New Roman" w:cs="Times New Roman"/>
                <w:sz w:val="26"/>
                <w:szCs w:val="26"/>
                <w:lang w:eastAsia="lv-LV"/>
              </w:rPr>
              <w:t>)</w:t>
            </w:r>
            <w:r w:rsidR="00676B31" w:rsidRPr="00A906FA">
              <w:rPr>
                <w:rFonts w:ascii="Times New Roman" w:eastAsia="Times New Roman" w:hAnsi="Times New Roman" w:cs="Times New Roman"/>
                <w:sz w:val="26"/>
                <w:szCs w:val="26"/>
                <w:lang w:eastAsia="lv-LV"/>
              </w:rPr>
              <w:t>.</w:t>
            </w:r>
            <w:r w:rsidR="00546CD0" w:rsidRPr="00A906FA">
              <w:rPr>
                <w:rFonts w:ascii="Times New Roman" w:eastAsia="Times New Roman" w:hAnsi="Times New Roman" w:cs="Times New Roman"/>
                <w:sz w:val="26"/>
                <w:szCs w:val="26"/>
                <w:lang w:eastAsia="lv-LV"/>
              </w:rPr>
              <w:t xml:space="preserve"> </w:t>
            </w:r>
          </w:p>
          <w:p w14:paraId="532903F7" w14:textId="16A34B7E" w:rsidR="00DE7141" w:rsidRPr="00A906FA" w:rsidRDefault="00546CD0" w:rsidP="007E730B">
            <w:pPr>
              <w:spacing w:before="10" w:line="240" w:lineRule="auto"/>
              <w:ind w:left="101" w:right="102"/>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5. MK noteikumi </w:t>
            </w:r>
            <w:r w:rsidR="00676B31" w:rsidRPr="00A906FA">
              <w:rPr>
                <w:rFonts w:ascii="Times New Roman" w:eastAsia="Times New Roman" w:hAnsi="Times New Roman" w:cs="Times New Roman"/>
                <w:sz w:val="26"/>
                <w:szCs w:val="26"/>
                <w:lang w:eastAsia="lv-LV"/>
              </w:rPr>
              <w:t>N</w:t>
            </w:r>
            <w:r w:rsidRPr="00A906FA">
              <w:rPr>
                <w:rFonts w:ascii="Times New Roman" w:eastAsia="Times New Roman" w:hAnsi="Times New Roman" w:cs="Times New Roman"/>
                <w:sz w:val="26"/>
                <w:szCs w:val="26"/>
                <w:lang w:eastAsia="lv-LV"/>
              </w:rPr>
              <w:t>r. 987 papildināti ar normām, kas nosaka</w:t>
            </w:r>
            <w:r w:rsidR="008A1D1B" w:rsidRPr="00A906FA">
              <w:rPr>
                <w:rFonts w:ascii="Times New Roman" w:eastAsia="Times New Roman" w:hAnsi="Times New Roman" w:cs="Times New Roman"/>
                <w:sz w:val="26"/>
                <w:szCs w:val="26"/>
                <w:lang w:eastAsia="lv-LV"/>
              </w:rPr>
              <w:t xml:space="preserve"> </w:t>
            </w:r>
            <w:r w:rsidR="00DE7141" w:rsidRPr="00A906FA">
              <w:rPr>
                <w:rFonts w:ascii="Times New Roman" w:eastAsia="Times New Roman" w:hAnsi="Times New Roman" w:cs="Times New Roman"/>
                <w:sz w:val="26"/>
                <w:szCs w:val="26"/>
                <w:lang w:eastAsia="lv-LV"/>
              </w:rPr>
              <w:t> </w:t>
            </w:r>
            <w:r w:rsidRPr="00A906FA">
              <w:rPr>
                <w:rFonts w:ascii="Times New Roman" w:eastAsia="Times New Roman" w:hAnsi="Times New Roman" w:cs="Times New Roman"/>
                <w:sz w:val="26"/>
                <w:szCs w:val="26"/>
                <w:lang w:eastAsia="lv-LV"/>
              </w:rPr>
              <w:t xml:space="preserve">finansējuma saņēmējam izvirzītās prasības, kas izriet no ES </w:t>
            </w:r>
            <w:r w:rsidR="002F2941" w:rsidRPr="00A906FA">
              <w:rPr>
                <w:rFonts w:ascii="Times New Roman" w:eastAsia="Times New Roman" w:hAnsi="Times New Roman" w:cs="Times New Roman"/>
                <w:sz w:val="26"/>
                <w:szCs w:val="26"/>
                <w:lang w:eastAsia="lv-LV"/>
              </w:rPr>
              <w:t xml:space="preserve">un nacionālās </w:t>
            </w:r>
            <w:r w:rsidRPr="00A906FA">
              <w:rPr>
                <w:rFonts w:ascii="Times New Roman" w:eastAsia="Times New Roman" w:hAnsi="Times New Roman" w:cs="Times New Roman"/>
                <w:sz w:val="26"/>
                <w:szCs w:val="26"/>
                <w:lang w:eastAsia="lv-LV"/>
              </w:rPr>
              <w:t>tiesību sistēmas</w:t>
            </w:r>
            <w:r w:rsidR="00AB26FE">
              <w:rPr>
                <w:rFonts w:ascii="Times New Roman" w:eastAsia="Times New Roman" w:hAnsi="Times New Roman" w:cs="Times New Roman"/>
                <w:sz w:val="26"/>
                <w:szCs w:val="26"/>
                <w:lang w:eastAsia="lv-LV"/>
              </w:rPr>
              <w:t xml:space="preserve"> (</w:t>
            </w:r>
            <w:r w:rsidR="00A02CE4" w:rsidRPr="00A906FA">
              <w:rPr>
                <w:rFonts w:ascii="Times New Roman" w:eastAsia="Times New Roman" w:hAnsi="Times New Roman" w:cs="Times New Roman"/>
                <w:sz w:val="26"/>
                <w:szCs w:val="26"/>
                <w:lang w:eastAsia="lv-LV"/>
              </w:rPr>
              <w:t xml:space="preserve">MK noteikumu Nr. 987 7.4., 19.9., </w:t>
            </w:r>
            <w:r w:rsidR="00314FF2" w:rsidRPr="00F67916">
              <w:rPr>
                <w:rFonts w:ascii="Times New Roman" w:eastAsia="Times New Roman" w:hAnsi="Times New Roman" w:cs="Times New Roman"/>
                <w:b/>
                <w:sz w:val="26"/>
                <w:szCs w:val="26"/>
                <w:lang w:eastAsia="lv-LV"/>
              </w:rPr>
              <w:t>51.3</w:t>
            </w:r>
            <w:r w:rsidR="00314FF2">
              <w:rPr>
                <w:rFonts w:ascii="Times New Roman" w:eastAsia="Times New Roman" w:hAnsi="Times New Roman" w:cs="Times New Roman"/>
                <w:sz w:val="26"/>
                <w:szCs w:val="26"/>
                <w:lang w:eastAsia="lv-LV"/>
              </w:rPr>
              <w:t>. </w:t>
            </w:r>
            <w:r w:rsidR="00A02CE4" w:rsidRPr="00A906FA">
              <w:rPr>
                <w:rFonts w:ascii="Times New Roman" w:eastAsia="Times New Roman" w:hAnsi="Times New Roman" w:cs="Times New Roman"/>
                <w:sz w:val="26"/>
                <w:szCs w:val="26"/>
                <w:lang w:eastAsia="lv-LV"/>
              </w:rPr>
              <w:t>apakšpunkts</w:t>
            </w:r>
            <w:r w:rsidR="0059341B" w:rsidRPr="00A906FA">
              <w:rPr>
                <w:rFonts w:ascii="Times New Roman" w:eastAsia="Times New Roman" w:hAnsi="Times New Roman" w:cs="Times New Roman"/>
                <w:sz w:val="26"/>
                <w:szCs w:val="26"/>
                <w:lang w:eastAsia="lv-LV"/>
              </w:rPr>
              <w:t xml:space="preserve"> un</w:t>
            </w:r>
            <w:r w:rsidR="00A02CE4" w:rsidRPr="00A906FA">
              <w:rPr>
                <w:rFonts w:ascii="Times New Roman" w:eastAsia="Times New Roman" w:hAnsi="Times New Roman" w:cs="Times New Roman"/>
                <w:sz w:val="26"/>
                <w:szCs w:val="26"/>
                <w:lang w:eastAsia="lv-LV"/>
              </w:rPr>
              <w:t xml:space="preserve"> 25., </w:t>
            </w:r>
            <w:r w:rsidR="00AB26FE" w:rsidRPr="00A906FA">
              <w:rPr>
                <w:rFonts w:ascii="Times New Roman" w:eastAsia="Times New Roman" w:hAnsi="Times New Roman" w:cs="Times New Roman"/>
                <w:sz w:val="26"/>
                <w:szCs w:val="26"/>
                <w:lang w:eastAsia="lv-LV"/>
              </w:rPr>
              <w:t>79.</w:t>
            </w:r>
            <w:r w:rsidR="00AB26FE" w:rsidRPr="00F67916">
              <w:rPr>
                <w:rFonts w:ascii="Times New Roman" w:eastAsia="Times New Roman" w:hAnsi="Times New Roman" w:cs="Times New Roman"/>
                <w:sz w:val="26"/>
                <w:szCs w:val="26"/>
                <w:vertAlign w:val="superscript"/>
                <w:lang w:eastAsia="lv-LV"/>
              </w:rPr>
              <w:t>2</w:t>
            </w:r>
            <w:r w:rsidR="00AB26FE">
              <w:rPr>
                <w:rFonts w:ascii="Times New Roman" w:eastAsia="Times New Roman" w:hAnsi="Times New Roman" w:cs="Times New Roman"/>
                <w:sz w:val="26"/>
                <w:szCs w:val="26"/>
                <w:lang w:eastAsia="lv-LV"/>
              </w:rPr>
              <w:t xml:space="preserve">, </w:t>
            </w:r>
            <w:r w:rsidR="00A02CE4" w:rsidRPr="00AB26FE">
              <w:rPr>
                <w:rFonts w:ascii="Times New Roman" w:eastAsia="Times New Roman" w:hAnsi="Times New Roman" w:cs="Times New Roman"/>
                <w:sz w:val="26"/>
                <w:szCs w:val="26"/>
                <w:lang w:eastAsia="lv-LV"/>
              </w:rPr>
              <w:t>79</w:t>
            </w:r>
            <w:r w:rsidR="00A02CE4" w:rsidRPr="00A906FA">
              <w:rPr>
                <w:rFonts w:ascii="Times New Roman" w:eastAsia="Times New Roman" w:hAnsi="Times New Roman" w:cs="Times New Roman"/>
                <w:sz w:val="26"/>
                <w:szCs w:val="26"/>
                <w:lang w:eastAsia="lv-LV"/>
              </w:rPr>
              <w:t>.</w:t>
            </w:r>
            <w:r w:rsidR="00A02CE4" w:rsidRPr="00A906FA">
              <w:rPr>
                <w:rFonts w:ascii="Times New Roman" w:eastAsia="Times New Roman" w:hAnsi="Times New Roman" w:cs="Times New Roman"/>
                <w:sz w:val="26"/>
                <w:szCs w:val="26"/>
                <w:vertAlign w:val="superscript"/>
                <w:lang w:eastAsia="lv-LV"/>
              </w:rPr>
              <w:t>3</w:t>
            </w:r>
            <w:r w:rsidR="00A02CE4" w:rsidRPr="00A906FA">
              <w:rPr>
                <w:rFonts w:ascii="Times New Roman" w:eastAsia="Times New Roman" w:hAnsi="Times New Roman" w:cs="Times New Roman"/>
                <w:sz w:val="26"/>
                <w:szCs w:val="26"/>
                <w:lang w:eastAsia="lv-LV"/>
              </w:rPr>
              <w:t>, 79.</w:t>
            </w:r>
            <w:r w:rsidR="00A02CE4" w:rsidRPr="00A906FA">
              <w:rPr>
                <w:rFonts w:ascii="Times New Roman" w:eastAsia="Times New Roman" w:hAnsi="Times New Roman" w:cs="Times New Roman"/>
                <w:sz w:val="26"/>
                <w:szCs w:val="26"/>
                <w:vertAlign w:val="superscript"/>
                <w:lang w:eastAsia="lv-LV"/>
              </w:rPr>
              <w:t>4</w:t>
            </w:r>
            <w:r w:rsidR="00A02CE4" w:rsidRPr="00A906FA">
              <w:rPr>
                <w:rFonts w:ascii="Times New Roman" w:eastAsia="Times New Roman" w:hAnsi="Times New Roman" w:cs="Times New Roman"/>
                <w:sz w:val="26"/>
                <w:szCs w:val="26"/>
                <w:lang w:eastAsia="lv-LV"/>
              </w:rPr>
              <w:t>., 79.</w:t>
            </w:r>
            <w:r w:rsidR="00A02CE4" w:rsidRPr="00A906FA">
              <w:rPr>
                <w:rFonts w:ascii="Times New Roman" w:eastAsia="Times New Roman" w:hAnsi="Times New Roman" w:cs="Times New Roman"/>
                <w:sz w:val="26"/>
                <w:szCs w:val="26"/>
                <w:vertAlign w:val="superscript"/>
                <w:lang w:eastAsia="lv-LV"/>
              </w:rPr>
              <w:t>5</w:t>
            </w:r>
            <w:r w:rsidR="00A02CE4" w:rsidRPr="00A906FA">
              <w:rPr>
                <w:rFonts w:ascii="Times New Roman" w:eastAsia="Times New Roman" w:hAnsi="Times New Roman" w:cs="Times New Roman"/>
                <w:sz w:val="26"/>
                <w:szCs w:val="26"/>
                <w:lang w:eastAsia="lv-LV"/>
              </w:rPr>
              <w:t xml:space="preserve"> punkts</w:t>
            </w:r>
            <w:r w:rsidR="00AB26FE">
              <w:rPr>
                <w:rFonts w:ascii="Times New Roman" w:eastAsia="Times New Roman" w:hAnsi="Times New Roman" w:cs="Times New Roman"/>
                <w:sz w:val="26"/>
                <w:szCs w:val="26"/>
                <w:lang w:eastAsia="lv-LV"/>
              </w:rPr>
              <w:t>)</w:t>
            </w:r>
            <w:r w:rsidR="008A1D1B" w:rsidRPr="00A906FA">
              <w:rPr>
                <w:rFonts w:ascii="Times New Roman" w:eastAsia="Times New Roman" w:hAnsi="Times New Roman" w:cs="Times New Roman"/>
                <w:sz w:val="26"/>
                <w:szCs w:val="26"/>
                <w:lang w:eastAsia="lv-LV"/>
              </w:rPr>
              <w:t>.</w:t>
            </w:r>
          </w:p>
          <w:p w14:paraId="6154E4CB" w14:textId="1193D66D" w:rsidR="00C46744" w:rsidRPr="00A906FA" w:rsidRDefault="00C46744" w:rsidP="005808C2">
            <w:pPr>
              <w:spacing w:line="240" w:lineRule="auto"/>
              <w:ind w:left="101" w:right="102"/>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Noteikumu projekts paredz, ka ar komercdarbīb</w:t>
            </w:r>
            <w:r w:rsidR="002F2941" w:rsidRPr="00A906FA">
              <w:rPr>
                <w:rFonts w:ascii="Times New Roman" w:eastAsia="Times New Roman" w:hAnsi="Times New Roman" w:cs="Times New Roman"/>
                <w:sz w:val="26"/>
                <w:szCs w:val="26"/>
                <w:lang w:eastAsia="lv-LV"/>
              </w:rPr>
              <w:t>as atbalstu</w:t>
            </w:r>
            <w:r w:rsidRPr="00A906FA">
              <w:rPr>
                <w:rFonts w:ascii="Times New Roman" w:eastAsia="Times New Roman" w:hAnsi="Times New Roman" w:cs="Times New Roman"/>
                <w:sz w:val="26"/>
                <w:szCs w:val="26"/>
                <w:lang w:eastAsia="lv-LV"/>
              </w:rPr>
              <w:t xml:space="preserve"> nesaistīta projekta vai kombinēta atbalsta veida projekta ar saimniecisku darbību nesaistītās projekta daļas ietvaros izveidotā pētniecības infrastruktūra ir izmantojama ar saimniecisku darbību nesaistītu un ierobežotas jomas darbību īstenošanai</w:t>
            </w:r>
            <w:r w:rsidR="005056E8" w:rsidRPr="00A906FA">
              <w:rPr>
                <w:rFonts w:ascii="Times New Roman" w:eastAsia="Times New Roman" w:hAnsi="Times New Roman" w:cs="Times New Roman"/>
                <w:sz w:val="26"/>
                <w:szCs w:val="26"/>
                <w:lang w:eastAsia="lv-LV"/>
              </w:rPr>
              <w:t>,</w:t>
            </w:r>
            <w:r w:rsidRPr="00A906FA">
              <w:rPr>
                <w:rFonts w:ascii="Times New Roman" w:eastAsia="Times New Roman" w:hAnsi="Times New Roman" w:cs="Times New Roman"/>
                <w:sz w:val="26"/>
                <w:szCs w:val="26"/>
                <w:lang w:eastAsia="lv-LV"/>
              </w:rPr>
              <w:t xml:space="preserve"> ja pētniecības organizācija nodrošina šādu nosacījumu izpildi:</w:t>
            </w:r>
          </w:p>
          <w:p w14:paraId="10DA1D7C" w14:textId="7C4776E0" w:rsidR="00C46744" w:rsidRPr="00A906FA" w:rsidRDefault="00C46744" w:rsidP="005808C2">
            <w:pPr>
              <w:spacing w:line="240" w:lineRule="auto"/>
              <w:ind w:left="101" w:right="102"/>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1</w:t>
            </w:r>
            <w:r w:rsidR="00AB26FE">
              <w:rPr>
                <w:rFonts w:ascii="Times New Roman" w:eastAsia="Times New Roman" w:hAnsi="Times New Roman" w:cs="Times New Roman"/>
                <w:sz w:val="26"/>
                <w:szCs w:val="26"/>
                <w:lang w:eastAsia="lv-LV"/>
              </w:rPr>
              <w:t>)</w:t>
            </w:r>
            <w:r w:rsidRPr="00A906FA">
              <w:rPr>
                <w:rFonts w:ascii="Times New Roman" w:eastAsia="Times New Roman" w:hAnsi="Times New Roman" w:cs="Times New Roman"/>
                <w:sz w:val="26"/>
                <w:szCs w:val="26"/>
                <w:lang w:eastAsia="lv-LV"/>
              </w:rPr>
              <w:t xml:space="preserve"> pētniecības organizācija nodala: a) ar saimniecisku darbību nesaistītas pamatdarbības (un ar tām saistītās finanšu plūsmas) no saimnieciskajām pamatdarbībām; b) pamatdarbības un ar tām saistītās finanšu plūsmas no pārējām </w:t>
            </w:r>
            <w:r w:rsidR="002F2941" w:rsidRPr="00A906FA">
              <w:rPr>
                <w:rFonts w:ascii="Times New Roman" w:eastAsia="Times New Roman" w:hAnsi="Times New Roman" w:cs="Times New Roman"/>
                <w:sz w:val="26"/>
                <w:szCs w:val="26"/>
                <w:lang w:eastAsia="lv-LV"/>
              </w:rPr>
              <w:t>pētniecības organizācijas</w:t>
            </w:r>
            <w:r w:rsidRPr="00A906FA">
              <w:rPr>
                <w:rFonts w:ascii="Times New Roman" w:eastAsia="Times New Roman" w:hAnsi="Times New Roman" w:cs="Times New Roman"/>
                <w:sz w:val="26"/>
                <w:szCs w:val="26"/>
                <w:lang w:eastAsia="lv-LV"/>
              </w:rPr>
              <w:t xml:space="preserve"> darbībām un ar tām saistītajām finanšu plūsmām;</w:t>
            </w:r>
          </w:p>
          <w:p w14:paraId="35B49243" w14:textId="0B7998F9" w:rsidR="00954AF5" w:rsidRDefault="00C46744" w:rsidP="005808C2">
            <w:pPr>
              <w:spacing w:line="240" w:lineRule="auto"/>
              <w:ind w:left="101" w:right="102"/>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2</w:t>
            </w:r>
            <w:r w:rsidR="00AB26FE">
              <w:rPr>
                <w:rFonts w:ascii="Times New Roman" w:eastAsia="Times New Roman" w:hAnsi="Times New Roman" w:cs="Times New Roman"/>
                <w:sz w:val="26"/>
                <w:szCs w:val="26"/>
                <w:lang w:eastAsia="lv-LV"/>
              </w:rPr>
              <w:t>)</w:t>
            </w:r>
            <w:r w:rsidRPr="00A906FA">
              <w:rPr>
                <w:rFonts w:ascii="Times New Roman" w:eastAsia="Times New Roman" w:hAnsi="Times New Roman" w:cs="Times New Roman"/>
                <w:sz w:val="26"/>
                <w:szCs w:val="26"/>
                <w:lang w:eastAsia="lv-LV"/>
              </w:rPr>
              <w:t xml:space="preserve"> pētniecības organizācijas ierobežotas jomas darbība a) ir tieši saistīta ar pētniecības organizācijas vai </w:t>
            </w:r>
            <w:r w:rsidRPr="00A906FA">
              <w:rPr>
                <w:rFonts w:ascii="Times New Roman" w:eastAsia="Times New Roman" w:hAnsi="Times New Roman" w:cs="Times New Roman"/>
                <w:sz w:val="26"/>
                <w:szCs w:val="26"/>
                <w:lang w:eastAsia="lv-LV"/>
              </w:rPr>
              <w:lastRenderedPageBreak/>
              <w:t xml:space="preserve">pētniecības infrastruktūras darbību un izmantošanu ar saimniecisku darbību nesaistītā jomā; b) tai tiek patērēti tādi paši resursi (piemēram, materiāli, aprīkojums, darbaspēks un pamatkapitāls) kā ar saimniecisku darbību nesaistītām pamatdarbībām; c) </w:t>
            </w:r>
            <w:r w:rsidR="002F2941" w:rsidRPr="00A906FA">
              <w:rPr>
                <w:rFonts w:ascii="Times New Roman" w:eastAsia="Times New Roman" w:hAnsi="Times New Roman" w:cs="Times New Roman"/>
                <w:sz w:val="26"/>
                <w:szCs w:val="26"/>
                <w:lang w:eastAsia="lv-LV"/>
              </w:rPr>
              <w:t xml:space="preserve">ierobežotas jomas darbībai </w:t>
            </w:r>
            <w:r w:rsidR="001C0E7D" w:rsidRPr="00A906FA">
              <w:rPr>
                <w:rFonts w:ascii="Times New Roman" w:eastAsia="Times New Roman" w:hAnsi="Times New Roman" w:cs="Times New Roman"/>
                <w:sz w:val="26"/>
                <w:szCs w:val="26"/>
                <w:lang w:eastAsia="lv-LV"/>
              </w:rPr>
              <w:t>katru gadu iedalītā jauda finanšu izteiksmē nepārsniedz 20 procentus no pētniecības infrastruktūras kopējās gada jaudas finanšu izteiksmē</w:t>
            </w:r>
            <w:r w:rsidR="00954AF5">
              <w:rPr>
                <w:rFonts w:ascii="Times New Roman" w:eastAsia="Times New Roman" w:hAnsi="Times New Roman" w:cs="Times New Roman"/>
                <w:sz w:val="26"/>
                <w:szCs w:val="26"/>
                <w:lang w:eastAsia="lv-LV"/>
              </w:rPr>
              <w:t>;</w:t>
            </w:r>
          </w:p>
          <w:p w14:paraId="1AA9DA71" w14:textId="5577C536" w:rsidR="00C46744" w:rsidRPr="00A906FA" w:rsidRDefault="00AB26FE" w:rsidP="00954AF5">
            <w:pPr>
              <w:spacing w:before="10" w:line="240" w:lineRule="auto"/>
              <w:ind w:left="101" w:right="102"/>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w:t>
            </w:r>
            <w:r w:rsidR="00954AF5" w:rsidRPr="00A906FA">
              <w:rPr>
                <w:rFonts w:ascii="Times New Roman" w:eastAsia="Times New Roman" w:hAnsi="Times New Roman" w:cs="Times New Roman"/>
                <w:sz w:val="26"/>
                <w:szCs w:val="26"/>
                <w:lang w:eastAsia="lv-LV"/>
              </w:rPr>
              <w:t xml:space="preserve"> Valsts nozīmes pētniecības centru veidojošās  zinātniskās institūcijas savā finanšu vadības un grāmatvedības politikas aprakstam pievieno ierobežotas jomas darbības jaudas finanšu izteiksmē aprēķinu metodes aprakstu, ierobežotas jomas darbību kontroles mehānisma aprakstu</w:t>
            </w:r>
            <w:r>
              <w:rPr>
                <w:rFonts w:ascii="Times New Roman" w:eastAsia="Times New Roman" w:hAnsi="Times New Roman" w:cs="Times New Roman"/>
                <w:sz w:val="26"/>
                <w:szCs w:val="26"/>
                <w:lang w:eastAsia="lv-LV"/>
              </w:rPr>
              <w:t>, piekļuves pētniecības infrastruktūrai kārtību</w:t>
            </w:r>
            <w:r w:rsidR="00954AF5" w:rsidRPr="00A906FA">
              <w:rPr>
                <w:rFonts w:ascii="Times New Roman" w:eastAsia="Times New Roman" w:hAnsi="Times New Roman" w:cs="Times New Roman"/>
                <w:sz w:val="26"/>
                <w:szCs w:val="26"/>
                <w:lang w:eastAsia="lv-LV"/>
              </w:rPr>
              <w:t>.</w:t>
            </w:r>
          </w:p>
          <w:p w14:paraId="238C6A81" w14:textId="269C2401" w:rsidR="00CE0CCA" w:rsidRPr="00314FF2" w:rsidRDefault="006207F8" w:rsidP="00CE0CCA">
            <w:pPr>
              <w:pStyle w:val="ListParagraph"/>
              <w:spacing w:after="0" w:line="240" w:lineRule="auto"/>
              <w:ind w:left="101" w:right="102"/>
              <w:contextualSpacing w:val="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6</w:t>
            </w:r>
            <w:r w:rsidR="00954AF5">
              <w:rPr>
                <w:rFonts w:ascii="Times New Roman" w:eastAsia="Times New Roman" w:hAnsi="Times New Roman" w:cs="Times New Roman"/>
                <w:sz w:val="26"/>
                <w:szCs w:val="26"/>
                <w:lang w:eastAsia="lv-LV"/>
              </w:rPr>
              <w:t>.</w:t>
            </w:r>
            <w:r w:rsidR="008C2A62">
              <w:rPr>
                <w:rFonts w:ascii="Times New Roman" w:eastAsia="Times New Roman" w:hAnsi="Times New Roman" w:cs="Times New Roman"/>
                <w:sz w:val="26"/>
                <w:szCs w:val="26"/>
                <w:lang w:eastAsia="lv-LV"/>
              </w:rPr>
              <w:t> </w:t>
            </w:r>
            <w:r w:rsidR="00CE0CCA" w:rsidRPr="00314FF2">
              <w:rPr>
                <w:rFonts w:ascii="Times New Roman" w:eastAsia="Times New Roman" w:hAnsi="Times New Roman" w:cs="Times New Roman"/>
                <w:sz w:val="26"/>
                <w:szCs w:val="26"/>
                <w:lang w:eastAsia="lv-LV"/>
              </w:rPr>
              <w:t xml:space="preserve">MK noteikumu projekta normas piemērojamas </w:t>
            </w:r>
            <w:proofErr w:type="spellStart"/>
            <w:r w:rsidR="00CE0CCA" w:rsidRPr="00314FF2">
              <w:rPr>
                <w:rFonts w:ascii="Times New Roman" w:eastAsia="Times New Roman" w:hAnsi="Times New Roman" w:cs="Times New Roman"/>
                <w:sz w:val="26"/>
                <w:szCs w:val="26"/>
                <w:lang w:eastAsia="lv-LV"/>
              </w:rPr>
              <w:t>retroaktīvi</w:t>
            </w:r>
            <w:proofErr w:type="spellEnd"/>
            <w:r w:rsidR="00CE0CCA" w:rsidRPr="00314FF2">
              <w:rPr>
                <w:rFonts w:ascii="Times New Roman" w:eastAsia="Times New Roman" w:hAnsi="Times New Roman" w:cs="Times New Roman"/>
                <w:sz w:val="26"/>
                <w:szCs w:val="26"/>
                <w:lang w:eastAsia="lv-LV"/>
              </w:rPr>
              <w:t xml:space="preserve"> no 2016. gada 1. janvāra</w:t>
            </w:r>
            <w:r>
              <w:rPr>
                <w:rFonts w:ascii="Times New Roman" w:eastAsia="Times New Roman" w:hAnsi="Times New Roman" w:cs="Times New Roman"/>
                <w:sz w:val="26"/>
                <w:szCs w:val="26"/>
                <w:lang w:eastAsia="lv-LV"/>
              </w:rPr>
              <w:t>,</w:t>
            </w:r>
            <w:r w:rsidR="00CE0CCA" w:rsidRPr="00314FF2">
              <w:rPr>
                <w:rFonts w:ascii="Times New Roman" w:eastAsia="Times New Roman" w:hAnsi="Times New Roman" w:cs="Times New Roman"/>
                <w:sz w:val="26"/>
                <w:szCs w:val="26"/>
                <w:lang w:eastAsia="lv-LV"/>
              </w:rPr>
              <w:t xml:space="preserve"> </w:t>
            </w:r>
            <w:r w:rsidR="00314FF2" w:rsidRPr="00314FF2">
              <w:rPr>
                <w:rFonts w:ascii="Times New Roman" w:eastAsia="Times New Roman" w:hAnsi="Times New Roman" w:cs="Times New Roman"/>
                <w:sz w:val="26"/>
                <w:szCs w:val="26"/>
                <w:lang w:eastAsia="lv-LV"/>
              </w:rPr>
              <w:t xml:space="preserve">jo </w:t>
            </w:r>
            <w:r w:rsidR="00CE0CCA" w:rsidRPr="00314FF2">
              <w:rPr>
                <w:rFonts w:ascii="Times New Roman" w:eastAsia="Times New Roman" w:hAnsi="Times New Roman" w:cs="Times New Roman"/>
                <w:sz w:val="26"/>
                <w:szCs w:val="26"/>
                <w:lang w:eastAsia="lv-LV"/>
              </w:rPr>
              <w:t> MK noteikumu projekta normas attiecināmas uz 2.1.1.3.1. aktivitātes projektu ietvaros izveidotās vai iegādātās pētniecības infrastruktūras ekonomiski derīgo laikposmu (kurā ir iespējams gūt finansiālu un ekonomisku labumu no projekta ietvaros radītiem aktīviem), kas sākas no 2016. gada 1. janvāra pēc projekta īstenošanas termiņa beigām, kad izveidoti valsts nozīmes pētniecības centri un tajos uzsākta pētnieciskā darbība, veicinot publisko resursu izmantošanu Eiropas un Latvijas izaugsmes potenciāla palielināšanai</w:t>
            </w:r>
            <w:r w:rsidR="008C2A62">
              <w:rPr>
                <w:rFonts w:ascii="Times New Roman" w:eastAsia="Times New Roman" w:hAnsi="Times New Roman" w:cs="Times New Roman"/>
                <w:sz w:val="26"/>
                <w:szCs w:val="26"/>
                <w:lang w:eastAsia="lv-LV"/>
              </w:rPr>
              <w:t xml:space="preserve"> (</w:t>
            </w:r>
            <w:proofErr w:type="spellStart"/>
            <w:r w:rsidR="008C2A62" w:rsidRPr="00F302CC">
              <w:rPr>
                <w:rFonts w:ascii="Times New Roman" w:eastAsia="Times New Roman" w:hAnsi="Times New Roman" w:cs="Times New Roman"/>
                <w:sz w:val="24"/>
                <w:szCs w:val="24"/>
                <w:lang w:eastAsia="lv-LV"/>
              </w:rPr>
              <w:t>pēcuzraudzības</w:t>
            </w:r>
            <w:proofErr w:type="spellEnd"/>
            <w:r w:rsidR="008C2A62" w:rsidRPr="00F302CC">
              <w:rPr>
                <w:rFonts w:ascii="Times New Roman" w:eastAsia="Times New Roman" w:hAnsi="Times New Roman" w:cs="Times New Roman"/>
                <w:sz w:val="24"/>
                <w:szCs w:val="24"/>
                <w:lang w:eastAsia="lv-LV"/>
              </w:rPr>
              <w:t xml:space="preserve"> un projekta pārskata (dzīves cikla) period</w:t>
            </w:r>
            <w:r w:rsidR="008C2A62">
              <w:rPr>
                <w:rFonts w:ascii="Times New Roman" w:eastAsia="Times New Roman" w:hAnsi="Times New Roman" w:cs="Times New Roman"/>
                <w:sz w:val="24"/>
                <w:szCs w:val="24"/>
                <w:lang w:eastAsia="lv-LV"/>
              </w:rPr>
              <w:t>s)</w:t>
            </w:r>
            <w:r w:rsidR="00CE0CCA" w:rsidRPr="00314FF2">
              <w:rPr>
                <w:rFonts w:ascii="Times New Roman" w:eastAsia="Times New Roman" w:hAnsi="Times New Roman" w:cs="Times New Roman"/>
                <w:sz w:val="26"/>
                <w:szCs w:val="26"/>
                <w:lang w:eastAsia="lv-LV"/>
              </w:rPr>
              <w:t>.</w:t>
            </w:r>
          </w:p>
          <w:p w14:paraId="4492B1B2" w14:textId="00450FF7" w:rsidR="00FF40B4" w:rsidRPr="00D70A9C" w:rsidRDefault="006207F8" w:rsidP="00FF40B4">
            <w:pPr>
              <w:pStyle w:val="ListParagraph"/>
              <w:spacing w:afterAutospacing="1" w:line="240" w:lineRule="auto"/>
              <w:ind w:left="101" w:right="102"/>
              <w:contextualSpacing w:val="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7. </w:t>
            </w:r>
            <w:r w:rsidR="00F21A9E">
              <w:rPr>
                <w:rFonts w:ascii="Times New Roman" w:eastAsia="Times New Roman" w:hAnsi="Times New Roman" w:cs="Times New Roman"/>
                <w:sz w:val="26"/>
                <w:szCs w:val="26"/>
                <w:lang w:eastAsia="lv-LV"/>
              </w:rPr>
              <w:t>No</w:t>
            </w:r>
            <w:r w:rsidR="00F57D27">
              <w:rPr>
                <w:rFonts w:ascii="Times New Roman" w:eastAsia="Times New Roman" w:hAnsi="Times New Roman" w:cs="Times New Roman"/>
                <w:sz w:val="26"/>
                <w:szCs w:val="26"/>
                <w:lang w:eastAsia="lv-LV"/>
              </w:rPr>
              <w:t xml:space="preserve"> </w:t>
            </w:r>
            <w:r w:rsidR="00FF40B4" w:rsidRPr="00A906FA">
              <w:rPr>
                <w:rFonts w:ascii="Times New Roman" w:eastAsia="Times New Roman" w:hAnsi="Times New Roman" w:cs="Times New Roman"/>
                <w:sz w:val="26"/>
                <w:szCs w:val="26"/>
                <w:lang w:eastAsia="lv-LV"/>
              </w:rPr>
              <w:t>Eiropas Parlamenta un Padomes 2013. gada 17. decembra Regulas (ES) Nr. </w:t>
            </w:r>
            <w:hyperlink r:id="rId8" w:tgtFrame="_blank" w:history="1">
              <w:r w:rsidR="00FF40B4" w:rsidRPr="00A906FA">
                <w:rPr>
                  <w:rFonts w:ascii="Times New Roman" w:eastAsia="Times New Roman" w:hAnsi="Times New Roman" w:cs="Times New Roman"/>
                  <w:sz w:val="26"/>
                  <w:szCs w:val="26"/>
                  <w:lang w:eastAsia="lv-LV"/>
                </w:rPr>
                <w:t>1303/2013</w:t>
              </w:r>
            </w:hyperlink>
            <w:r w:rsidR="00FF40B4" w:rsidRPr="00A906FA">
              <w:rPr>
                <w:rFonts w:ascii="Times New Roman" w:eastAsia="Times New Roman" w:hAnsi="Times New Roman" w:cs="Times New Roman"/>
                <w:sz w:val="26"/>
                <w:szCs w:val="26"/>
                <w:lang w:eastAsia="lv-LV"/>
              </w:rPr>
              <w:t xml:space="preserve">, </w:t>
            </w:r>
            <w:r w:rsidR="00FF40B4" w:rsidRPr="00A906FA">
              <w:rPr>
                <w:rFonts w:ascii="Times New Roman" w:eastAsia="Times New Roman" w:hAnsi="Times New Roman" w:cs="Times New Roman"/>
                <w:i/>
                <w:sz w:val="26"/>
                <w:szCs w:val="26"/>
                <w:lang w:eastAsia="lv-LV"/>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9" w:tgtFrame="_blank" w:history="1">
              <w:r w:rsidR="00FF40B4" w:rsidRPr="00A906FA">
                <w:rPr>
                  <w:rFonts w:ascii="Times New Roman" w:eastAsia="Times New Roman" w:hAnsi="Times New Roman" w:cs="Times New Roman"/>
                  <w:i/>
                  <w:sz w:val="26"/>
                  <w:szCs w:val="26"/>
                  <w:lang w:eastAsia="lv-LV"/>
                </w:rPr>
                <w:t>1083/2006</w:t>
              </w:r>
            </w:hyperlink>
            <w:r w:rsidR="00FF40B4" w:rsidRPr="00A906FA">
              <w:rPr>
                <w:rFonts w:ascii="Times New Roman" w:eastAsia="Times New Roman" w:hAnsi="Times New Roman" w:cs="Times New Roman"/>
                <w:sz w:val="26"/>
                <w:szCs w:val="26"/>
                <w:lang w:eastAsia="lv-LV"/>
              </w:rPr>
              <w:t xml:space="preserve"> 71. </w:t>
            </w:r>
            <w:r w:rsidR="00F57D27" w:rsidRPr="00A906FA">
              <w:rPr>
                <w:rFonts w:ascii="Times New Roman" w:eastAsia="Times New Roman" w:hAnsi="Times New Roman" w:cs="Times New Roman"/>
                <w:sz w:val="26"/>
                <w:szCs w:val="26"/>
                <w:lang w:eastAsia="lv-LV"/>
              </w:rPr>
              <w:t>pant</w:t>
            </w:r>
            <w:r w:rsidR="000D0695">
              <w:rPr>
                <w:rFonts w:ascii="Times New Roman" w:eastAsia="Times New Roman" w:hAnsi="Times New Roman" w:cs="Times New Roman"/>
                <w:sz w:val="26"/>
                <w:szCs w:val="26"/>
                <w:lang w:eastAsia="lv-LV"/>
              </w:rPr>
              <w:t>a 1. un 2. punkt</w:t>
            </w:r>
            <w:r w:rsidR="00F21A9E">
              <w:rPr>
                <w:rFonts w:ascii="Times New Roman" w:eastAsia="Times New Roman" w:hAnsi="Times New Roman" w:cs="Times New Roman"/>
                <w:sz w:val="26"/>
                <w:szCs w:val="26"/>
                <w:lang w:eastAsia="lv-LV"/>
              </w:rPr>
              <w:t>a izriet, ka</w:t>
            </w:r>
            <w:r w:rsidR="0025457A">
              <w:rPr>
                <w:rFonts w:ascii="Times New Roman" w:eastAsia="Times New Roman" w:hAnsi="Times New Roman" w:cs="Times New Roman"/>
                <w:sz w:val="26"/>
                <w:szCs w:val="26"/>
                <w:lang w:eastAsia="lv-LV"/>
              </w:rPr>
              <w:t>:</w:t>
            </w:r>
            <w:r w:rsidR="003A3F3F">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a</w:t>
            </w:r>
            <w:r w:rsidR="003A3F3F">
              <w:rPr>
                <w:rFonts w:ascii="Times New Roman" w:eastAsia="Times New Roman" w:hAnsi="Times New Roman" w:cs="Times New Roman"/>
                <w:sz w:val="26"/>
                <w:szCs w:val="26"/>
                <w:lang w:eastAsia="lv-LV"/>
              </w:rPr>
              <w:t xml:space="preserve">) </w:t>
            </w:r>
            <w:r w:rsidR="00FF40B4" w:rsidRPr="00A906FA">
              <w:rPr>
                <w:rFonts w:ascii="Times New Roman" w:eastAsia="Times New Roman" w:hAnsi="Times New Roman" w:cs="Times New Roman"/>
                <w:sz w:val="26"/>
                <w:szCs w:val="26"/>
                <w:lang w:eastAsia="lv-LV"/>
              </w:rPr>
              <w:t xml:space="preserve">ar saimniecisku darbību nesaistīta projekta vai projekta daļas </w:t>
            </w:r>
            <w:proofErr w:type="spellStart"/>
            <w:r w:rsidR="00F57D27" w:rsidRPr="00F67916">
              <w:rPr>
                <w:rFonts w:ascii="Times New Roman" w:eastAsia="Times New Roman" w:hAnsi="Times New Roman" w:cs="Times New Roman"/>
                <w:sz w:val="26"/>
                <w:szCs w:val="26"/>
                <w:lang w:eastAsia="lv-LV"/>
              </w:rPr>
              <w:t>pēcuzraudzību</w:t>
            </w:r>
            <w:proofErr w:type="spellEnd"/>
            <w:r w:rsidR="00F57D27" w:rsidRPr="00F67916">
              <w:rPr>
                <w:rFonts w:ascii="Times New Roman" w:eastAsia="Times New Roman" w:hAnsi="Times New Roman" w:cs="Times New Roman"/>
                <w:sz w:val="26"/>
                <w:szCs w:val="26"/>
                <w:lang w:eastAsia="lv-LV"/>
              </w:rPr>
              <w:t xml:space="preserve"> veic </w:t>
            </w:r>
            <w:r w:rsidR="00FF40B4" w:rsidRPr="00F67916">
              <w:rPr>
                <w:rFonts w:ascii="Times New Roman" w:eastAsia="Times New Roman" w:hAnsi="Times New Roman" w:cs="Times New Roman"/>
                <w:sz w:val="26"/>
                <w:szCs w:val="26"/>
                <w:lang w:eastAsia="lv-LV"/>
              </w:rPr>
              <w:t xml:space="preserve">piecu gadu </w:t>
            </w:r>
            <w:r w:rsidR="00F57D27" w:rsidRPr="00F67916">
              <w:rPr>
                <w:rFonts w:ascii="Times New Roman" w:eastAsia="Times New Roman" w:hAnsi="Times New Roman" w:cs="Times New Roman"/>
                <w:sz w:val="26"/>
                <w:szCs w:val="26"/>
                <w:lang w:eastAsia="lv-LV"/>
              </w:rPr>
              <w:t xml:space="preserve">periodā </w:t>
            </w:r>
            <w:r w:rsidR="00FF40B4" w:rsidRPr="00F67916">
              <w:rPr>
                <w:rFonts w:ascii="Times New Roman" w:eastAsia="Times New Roman" w:hAnsi="Times New Roman" w:cs="Times New Roman"/>
                <w:sz w:val="26"/>
                <w:szCs w:val="26"/>
                <w:lang w:eastAsia="lv-LV"/>
              </w:rPr>
              <w:t>pēc noslēguma maksājuma veikšanas finansējuma saņēmējam</w:t>
            </w:r>
            <w:r w:rsidR="0025457A" w:rsidRPr="00D70A9C">
              <w:rPr>
                <w:rFonts w:ascii="Times New Roman" w:eastAsia="Times New Roman" w:hAnsi="Times New Roman" w:cs="Times New Roman"/>
                <w:sz w:val="26"/>
                <w:szCs w:val="26"/>
                <w:lang w:eastAsia="lv-LV"/>
              </w:rPr>
              <w:t>;</w:t>
            </w:r>
            <w:r w:rsidR="003A3F3F" w:rsidRPr="00D70A9C">
              <w:rPr>
                <w:rFonts w:ascii="Times New Roman" w:eastAsia="Times New Roman" w:hAnsi="Times New Roman" w:cs="Times New Roman"/>
                <w:sz w:val="26"/>
                <w:szCs w:val="26"/>
                <w:lang w:eastAsia="lv-LV"/>
              </w:rPr>
              <w:t xml:space="preserve"> </w:t>
            </w:r>
            <w:r w:rsidRPr="00D70A9C">
              <w:rPr>
                <w:rFonts w:ascii="Times New Roman" w:eastAsia="Times New Roman" w:hAnsi="Times New Roman" w:cs="Times New Roman"/>
                <w:sz w:val="26"/>
                <w:szCs w:val="26"/>
                <w:lang w:eastAsia="lv-LV"/>
              </w:rPr>
              <w:t>b</w:t>
            </w:r>
            <w:r w:rsidR="003A3F3F" w:rsidRPr="00D70A9C">
              <w:rPr>
                <w:rFonts w:ascii="Times New Roman" w:eastAsia="Times New Roman" w:hAnsi="Times New Roman" w:cs="Times New Roman"/>
                <w:sz w:val="26"/>
                <w:szCs w:val="26"/>
                <w:lang w:eastAsia="lv-LV"/>
              </w:rPr>
              <w:t>)</w:t>
            </w:r>
            <w:r w:rsidR="0025457A" w:rsidRPr="00D70A9C">
              <w:rPr>
                <w:rFonts w:ascii="Times New Roman" w:eastAsia="Times New Roman" w:hAnsi="Times New Roman" w:cs="Times New Roman"/>
                <w:sz w:val="26"/>
                <w:szCs w:val="26"/>
                <w:lang w:eastAsia="lv-LV"/>
              </w:rPr>
              <w:t> ja</w:t>
            </w:r>
            <w:r w:rsidR="002E5834" w:rsidRPr="00D70A9C">
              <w:rPr>
                <w:rFonts w:ascii="Times New Roman" w:eastAsia="Times New Roman" w:hAnsi="Times New Roman" w:cs="Times New Roman"/>
                <w:sz w:val="26"/>
                <w:szCs w:val="26"/>
                <w:lang w:eastAsia="lv-LV"/>
              </w:rPr>
              <w:t xml:space="preserve"> no Eiropas strukturāliem un investīciju fondiem saņemtais atbalsts </w:t>
            </w:r>
            <w:r w:rsidR="002E5834" w:rsidRPr="00D70A9C">
              <w:rPr>
                <w:rFonts w:ascii="Times New Roman" w:eastAsia="Times New Roman" w:hAnsi="Times New Roman" w:cs="Times New Roman"/>
                <w:sz w:val="26"/>
                <w:szCs w:val="26"/>
                <w:lang w:eastAsia="lv-LV"/>
              </w:rPr>
              <w:lastRenderedPageBreak/>
              <w:t xml:space="preserve">ir valsts atbalsts, </w:t>
            </w:r>
            <w:r w:rsidR="000D0695" w:rsidRPr="00D70A9C">
              <w:rPr>
                <w:rFonts w:ascii="Times New Roman" w:eastAsia="Times New Roman" w:hAnsi="Times New Roman" w:cs="Times New Roman"/>
                <w:sz w:val="26"/>
                <w:szCs w:val="26"/>
                <w:lang w:eastAsia="lv-LV"/>
              </w:rPr>
              <w:t>desmit gadu termiņu aizstāj ar termiņu, kas piemērojams saskaņā ar valsts atbalsta noteikumiem</w:t>
            </w:r>
            <w:r w:rsidR="002E5834" w:rsidRPr="00D70A9C">
              <w:rPr>
                <w:rFonts w:ascii="Times New Roman" w:eastAsia="Times New Roman" w:hAnsi="Times New Roman" w:cs="Times New Roman"/>
                <w:sz w:val="26"/>
                <w:szCs w:val="26"/>
                <w:lang w:eastAsia="lv-LV"/>
              </w:rPr>
              <w:t>.</w:t>
            </w:r>
            <w:r w:rsidR="00735783" w:rsidRPr="00D70A9C">
              <w:rPr>
                <w:rFonts w:ascii="Times New Roman" w:eastAsia="Times New Roman" w:hAnsi="Times New Roman" w:cs="Times New Roman"/>
                <w:sz w:val="26"/>
                <w:szCs w:val="26"/>
                <w:lang w:eastAsia="lv-LV"/>
              </w:rPr>
              <w:t xml:space="preserve"> </w:t>
            </w:r>
            <w:r w:rsidR="00DB6EDE" w:rsidRPr="00D70A9C">
              <w:rPr>
                <w:rFonts w:ascii="Times New Roman" w:eastAsia="Times New Roman" w:hAnsi="Times New Roman" w:cs="Times New Roman"/>
                <w:sz w:val="26"/>
                <w:szCs w:val="26"/>
                <w:lang w:eastAsia="lv-LV"/>
              </w:rPr>
              <w:t>Ja ierobežotas jomas darbība nepārsniegs 20 procentus no pētniecības infrastruktūras kopējās gada jaudas finanšu izteiksmē, ierobežotas jomas darbība uzskatāma par nesaimnieciska rakstura darbību, vienlaikus (ņemot vērā DG COMP e-</w:t>
            </w:r>
            <w:proofErr w:type="spellStart"/>
            <w:r w:rsidR="00DB6EDE" w:rsidRPr="00D70A9C">
              <w:rPr>
                <w:rFonts w:ascii="Times New Roman" w:eastAsia="Times New Roman" w:hAnsi="Times New Roman" w:cs="Times New Roman"/>
                <w:sz w:val="26"/>
                <w:szCs w:val="26"/>
                <w:lang w:eastAsia="lv-LV"/>
              </w:rPr>
              <w:t>State</w:t>
            </w:r>
            <w:proofErr w:type="spellEnd"/>
            <w:r w:rsidR="00DB6EDE" w:rsidRPr="00D70A9C">
              <w:rPr>
                <w:rFonts w:ascii="Times New Roman" w:eastAsia="Times New Roman" w:hAnsi="Times New Roman" w:cs="Times New Roman"/>
                <w:sz w:val="26"/>
                <w:szCs w:val="26"/>
                <w:lang w:eastAsia="lv-LV"/>
              </w:rPr>
              <w:t xml:space="preserve"> Aid WIKI sistēmā sniegtos skaidrojumus) ir jānodrošina projektu uzraudzība, lai pārliecinātos par to, ka minētais ierobežotas jomas darbības procentuālais limits tiek ievērots visā projekta dzīves cikla laikā.</w:t>
            </w:r>
            <w:r w:rsidR="00735783" w:rsidRPr="00D70A9C">
              <w:rPr>
                <w:rFonts w:ascii="Times New Roman" w:eastAsia="Times New Roman" w:hAnsi="Times New Roman" w:cs="Times New Roman"/>
                <w:sz w:val="26"/>
                <w:szCs w:val="26"/>
                <w:lang w:eastAsia="lv-LV"/>
              </w:rPr>
              <w:t xml:space="preserve"> </w:t>
            </w:r>
          </w:p>
          <w:p w14:paraId="1534F339" w14:textId="3D49BE7C" w:rsidR="00735783" w:rsidRPr="00D70A9C" w:rsidRDefault="00735783" w:rsidP="00FF40B4">
            <w:pPr>
              <w:pStyle w:val="ListParagraph"/>
              <w:spacing w:afterAutospacing="1" w:line="240" w:lineRule="auto"/>
              <w:ind w:left="101" w:right="102"/>
              <w:contextualSpacing w:val="0"/>
              <w:jc w:val="both"/>
              <w:rPr>
                <w:rFonts w:ascii="Times New Roman" w:eastAsia="Times New Roman" w:hAnsi="Times New Roman" w:cs="Times New Roman"/>
                <w:sz w:val="26"/>
                <w:szCs w:val="26"/>
                <w:lang w:eastAsia="lv-LV"/>
              </w:rPr>
            </w:pPr>
            <w:r w:rsidRPr="00D70A9C">
              <w:rPr>
                <w:rFonts w:ascii="Times New Roman" w:eastAsia="Times New Roman" w:hAnsi="Times New Roman" w:cs="Times New Roman"/>
                <w:sz w:val="26"/>
                <w:szCs w:val="26"/>
                <w:lang w:eastAsia="lv-LV"/>
              </w:rPr>
              <w:t>Sadarbības iestāde, izstrādājot publi</w:t>
            </w:r>
            <w:r w:rsidR="00F21A9E" w:rsidRPr="00D70A9C">
              <w:rPr>
                <w:rFonts w:ascii="Times New Roman" w:eastAsia="Times New Roman" w:hAnsi="Times New Roman" w:cs="Times New Roman"/>
                <w:sz w:val="26"/>
                <w:szCs w:val="26"/>
                <w:lang w:eastAsia="lv-LV"/>
              </w:rPr>
              <w:t>s</w:t>
            </w:r>
            <w:r w:rsidRPr="00D70A9C">
              <w:rPr>
                <w:rFonts w:ascii="Times New Roman" w:eastAsia="Times New Roman" w:hAnsi="Times New Roman" w:cs="Times New Roman"/>
                <w:sz w:val="26"/>
                <w:szCs w:val="26"/>
                <w:lang w:eastAsia="lv-LV"/>
              </w:rPr>
              <w:t xml:space="preserve">kā finansējuma uzraudzības un atgūšanas mehānismu, ievēro </w:t>
            </w:r>
            <w:r w:rsidR="00F21A9E" w:rsidRPr="00D70A9C">
              <w:rPr>
                <w:rFonts w:ascii="Times New Roman" w:eastAsia="Times New Roman" w:hAnsi="Times New Roman" w:cs="Times New Roman"/>
                <w:sz w:val="26"/>
                <w:szCs w:val="26"/>
                <w:lang w:eastAsia="lv-LV"/>
              </w:rPr>
              <w:t>Konkurences Ģenerāldirektorāta</w:t>
            </w:r>
            <w:r w:rsidR="00F21A9E" w:rsidRPr="00D70A9C">
              <w:rPr>
                <w:sz w:val="20"/>
                <w:szCs w:val="20"/>
              </w:rPr>
              <w:t xml:space="preserve"> (</w:t>
            </w:r>
            <w:r w:rsidR="00723601" w:rsidRPr="00D70A9C">
              <w:rPr>
                <w:rFonts w:ascii="Times New Roman" w:eastAsia="Times New Roman" w:hAnsi="Times New Roman" w:cs="Times New Roman"/>
                <w:sz w:val="26"/>
                <w:szCs w:val="26"/>
                <w:lang w:eastAsia="lv-LV"/>
              </w:rPr>
              <w:t>DG COMP</w:t>
            </w:r>
            <w:r w:rsidR="00F21A9E" w:rsidRPr="00D70A9C">
              <w:rPr>
                <w:rFonts w:ascii="Times New Roman" w:eastAsia="Times New Roman" w:hAnsi="Times New Roman" w:cs="Times New Roman"/>
                <w:sz w:val="26"/>
                <w:szCs w:val="26"/>
                <w:lang w:eastAsia="lv-LV"/>
              </w:rPr>
              <w:t>)</w:t>
            </w:r>
            <w:r w:rsidR="00723601" w:rsidRPr="00D70A9C">
              <w:rPr>
                <w:rFonts w:ascii="Times New Roman" w:eastAsia="Times New Roman" w:hAnsi="Times New Roman" w:cs="Times New Roman"/>
                <w:sz w:val="26"/>
                <w:szCs w:val="26"/>
                <w:lang w:eastAsia="lv-LV"/>
              </w:rPr>
              <w:t xml:space="preserve"> e-</w:t>
            </w:r>
            <w:proofErr w:type="spellStart"/>
            <w:r w:rsidR="00723601" w:rsidRPr="00D70A9C">
              <w:rPr>
                <w:rFonts w:ascii="Times New Roman" w:eastAsia="Times New Roman" w:hAnsi="Times New Roman" w:cs="Times New Roman"/>
                <w:sz w:val="26"/>
                <w:szCs w:val="26"/>
                <w:lang w:eastAsia="lv-LV"/>
              </w:rPr>
              <w:t>State</w:t>
            </w:r>
            <w:proofErr w:type="spellEnd"/>
            <w:r w:rsidR="00723601" w:rsidRPr="00D70A9C">
              <w:rPr>
                <w:rFonts w:ascii="Times New Roman" w:eastAsia="Times New Roman" w:hAnsi="Times New Roman" w:cs="Times New Roman"/>
                <w:sz w:val="26"/>
                <w:szCs w:val="26"/>
                <w:lang w:eastAsia="lv-LV"/>
              </w:rPr>
              <w:t xml:space="preserve"> Aid WIKI sistēmā sniegtos skaidrojumus par </w:t>
            </w:r>
            <w:r w:rsidRPr="00D70A9C">
              <w:rPr>
                <w:rFonts w:ascii="Times New Roman" w:eastAsia="Times New Roman" w:hAnsi="Times New Roman" w:cs="Times New Roman"/>
                <w:sz w:val="26"/>
                <w:szCs w:val="26"/>
                <w:lang w:eastAsia="lv-LV"/>
              </w:rPr>
              <w:t>Pamatnostādņu 20. punkta un Regulas Nr. 651/2014 26. panta 7. punkta noteikumu</w:t>
            </w:r>
            <w:r w:rsidR="00723601" w:rsidRPr="00D70A9C">
              <w:rPr>
                <w:rFonts w:ascii="Times New Roman" w:eastAsia="Times New Roman" w:hAnsi="Times New Roman" w:cs="Times New Roman"/>
                <w:sz w:val="26"/>
                <w:szCs w:val="26"/>
                <w:lang w:eastAsia="lv-LV"/>
              </w:rPr>
              <w:t xml:space="preserve"> piemērošanu</w:t>
            </w:r>
            <w:r w:rsidRPr="00D70A9C">
              <w:rPr>
                <w:rFonts w:ascii="Times New Roman" w:eastAsia="Times New Roman" w:hAnsi="Times New Roman" w:cs="Times New Roman"/>
                <w:sz w:val="26"/>
                <w:szCs w:val="26"/>
                <w:lang w:eastAsia="lv-LV"/>
              </w:rPr>
              <w:t xml:space="preserve">.  </w:t>
            </w:r>
          </w:p>
          <w:p w14:paraId="03A3AF06" w14:textId="4FD71453" w:rsidR="00FF40B4" w:rsidRDefault="00FF40B4" w:rsidP="00FF40B4">
            <w:pPr>
              <w:pStyle w:val="ListParagraph"/>
              <w:spacing w:afterAutospacing="1" w:line="240" w:lineRule="auto"/>
              <w:ind w:left="101" w:right="102"/>
              <w:contextualSpacing w:val="0"/>
              <w:jc w:val="both"/>
              <w:rPr>
                <w:rFonts w:ascii="Times New Roman" w:hAnsi="Times New Roman" w:cs="Times New Roman"/>
                <w:sz w:val="26"/>
                <w:szCs w:val="26"/>
              </w:rPr>
            </w:pPr>
            <w:r w:rsidRPr="00A906FA">
              <w:rPr>
                <w:rFonts w:ascii="Times New Roman" w:hAnsi="Times New Roman" w:cs="Times New Roman"/>
                <w:sz w:val="26"/>
                <w:szCs w:val="26"/>
              </w:rPr>
              <w:t>Projekta pārskata periods (projekta dzīves cikls) ir projekta ekonomiski derīgais laikposms, kurā ir iespējams gūt finansiālu vai ekonomisku labumu no projektā ieguldītajiem līdzekļiem vai radītajiem aktīviem. Projekta pārskata periodu nosaka atbilstoši Komisijas Regulas Nr. 480/2014</w:t>
            </w:r>
            <w:r w:rsidR="00E01F4B">
              <w:rPr>
                <w:rFonts w:ascii="Times New Roman" w:hAnsi="Times New Roman" w:cs="Times New Roman"/>
                <w:sz w:val="26"/>
                <w:szCs w:val="26"/>
              </w:rPr>
              <w:t xml:space="preserve"> </w:t>
            </w:r>
            <w:r w:rsidRPr="00A906FA">
              <w:rPr>
                <w:rFonts w:ascii="Times New Roman" w:hAnsi="Times New Roman" w:cs="Times New Roman"/>
                <w:sz w:val="26"/>
                <w:szCs w:val="26"/>
              </w:rPr>
              <w:t>1.pielikumam, kur noteikts, ka pētniecības un inovāciju nozarē pārskata periods ir 15-25 gadi. Atbildīgā iestāde metodiskajos noteikumos</w:t>
            </w:r>
            <w:r w:rsidR="00FB5C08" w:rsidRPr="00A906FA">
              <w:rPr>
                <w:rStyle w:val="FootnoteReference"/>
                <w:rFonts w:ascii="Times New Roman" w:hAnsi="Times New Roman" w:cs="Times New Roman"/>
                <w:sz w:val="26"/>
                <w:szCs w:val="26"/>
              </w:rPr>
              <w:footnoteReference w:id="2"/>
            </w:r>
            <w:r w:rsidRPr="00A906FA">
              <w:rPr>
                <w:rFonts w:ascii="Times New Roman" w:hAnsi="Times New Roman" w:cs="Times New Roman"/>
                <w:sz w:val="26"/>
                <w:szCs w:val="26"/>
              </w:rPr>
              <w:t xml:space="preserve"> par izmaksu-ieguvumu analīzes izstrādi 2.1.1.3.1. aktivitātes ietvaros ir noteikusi, ka 2.1.1.3.1. aktivitātes projektu dzīves cikls ir 20 gadi</w:t>
            </w:r>
            <w:r w:rsidR="00FB5C08" w:rsidRPr="00A906FA">
              <w:rPr>
                <w:rFonts w:ascii="Times New Roman" w:hAnsi="Times New Roman" w:cs="Times New Roman"/>
                <w:sz w:val="26"/>
                <w:szCs w:val="26"/>
              </w:rPr>
              <w:t>, ja veic jaunas būves būvniecību</w:t>
            </w:r>
            <w:r w:rsidRPr="00A906FA">
              <w:rPr>
                <w:rFonts w:ascii="Times New Roman" w:hAnsi="Times New Roman" w:cs="Times New Roman"/>
                <w:sz w:val="26"/>
                <w:szCs w:val="26"/>
              </w:rPr>
              <w:t xml:space="preserve">. Vienlaikus jāņem vērā, ka projekta ekonomiski lietderīgais laikposms </w:t>
            </w:r>
            <w:r w:rsidR="00F67916">
              <w:rPr>
                <w:rFonts w:ascii="Times New Roman" w:hAnsi="Times New Roman" w:cs="Times New Roman"/>
                <w:sz w:val="26"/>
                <w:szCs w:val="26"/>
              </w:rPr>
              <w:t xml:space="preserve">– pārskata periods </w:t>
            </w:r>
            <w:r w:rsidRPr="00A906FA">
              <w:rPr>
                <w:rFonts w:ascii="Times New Roman" w:hAnsi="Times New Roman" w:cs="Times New Roman"/>
                <w:sz w:val="26"/>
                <w:szCs w:val="26"/>
              </w:rPr>
              <w:t>var būt īsāks par 20 gadiem (</w:t>
            </w:r>
            <w:r w:rsidR="00F67916">
              <w:rPr>
                <w:rFonts w:ascii="Times New Roman" w:hAnsi="Times New Roman" w:cs="Times New Roman"/>
                <w:sz w:val="26"/>
                <w:szCs w:val="26"/>
              </w:rPr>
              <w:t>tajā skaitā šādos gadījumos:</w:t>
            </w:r>
            <w:r w:rsidR="00FB5C08" w:rsidRPr="00A906FA">
              <w:rPr>
                <w:rFonts w:ascii="Times New Roman" w:hAnsi="Times New Roman" w:cs="Times New Roman"/>
                <w:sz w:val="26"/>
                <w:szCs w:val="26"/>
              </w:rPr>
              <w:t xml:space="preserve"> projekta ietvaros nav veikta </w:t>
            </w:r>
            <w:r w:rsidR="00F67916">
              <w:rPr>
                <w:rFonts w:ascii="Times New Roman" w:hAnsi="Times New Roman" w:cs="Times New Roman"/>
                <w:sz w:val="26"/>
                <w:szCs w:val="26"/>
              </w:rPr>
              <w:t xml:space="preserve">ēku renovācija vai </w:t>
            </w:r>
            <w:r w:rsidR="00FB5C08" w:rsidRPr="00A906FA">
              <w:rPr>
                <w:rFonts w:ascii="Times New Roman" w:hAnsi="Times New Roman" w:cs="Times New Roman"/>
                <w:sz w:val="26"/>
                <w:szCs w:val="26"/>
              </w:rPr>
              <w:t xml:space="preserve">jaunas būves būvniecība, </w:t>
            </w:r>
            <w:r w:rsidRPr="00A906FA">
              <w:rPr>
                <w:rFonts w:ascii="Times New Roman" w:hAnsi="Times New Roman" w:cs="Times New Roman"/>
                <w:sz w:val="26"/>
                <w:szCs w:val="26"/>
              </w:rPr>
              <w:t>zinātnisk</w:t>
            </w:r>
            <w:r w:rsidR="00F67916">
              <w:rPr>
                <w:rFonts w:ascii="Times New Roman" w:hAnsi="Times New Roman" w:cs="Times New Roman"/>
                <w:sz w:val="26"/>
                <w:szCs w:val="26"/>
              </w:rPr>
              <w:t>ās</w:t>
            </w:r>
            <w:r w:rsidRPr="00A906FA">
              <w:rPr>
                <w:rFonts w:ascii="Times New Roman" w:hAnsi="Times New Roman" w:cs="Times New Roman"/>
                <w:sz w:val="26"/>
                <w:szCs w:val="26"/>
              </w:rPr>
              <w:t xml:space="preserve"> institūcij</w:t>
            </w:r>
            <w:r w:rsidR="00F67916">
              <w:rPr>
                <w:rFonts w:ascii="Times New Roman" w:hAnsi="Times New Roman" w:cs="Times New Roman"/>
                <w:sz w:val="26"/>
                <w:szCs w:val="26"/>
              </w:rPr>
              <w:t>as</w:t>
            </w:r>
            <w:r w:rsidRPr="00A906FA">
              <w:rPr>
                <w:rFonts w:ascii="Times New Roman" w:hAnsi="Times New Roman" w:cs="Times New Roman"/>
                <w:sz w:val="26"/>
                <w:szCs w:val="26"/>
              </w:rPr>
              <w:t xml:space="preserve"> likvidācija</w:t>
            </w:r>
            <w:r w:rsidR="00942B9D" w:rsidRPr="00A906FA">
              <w:rPr>
                <w:rFonts w:ascii="Times New Roman" w:hAnsi="Times New Roman" w:cs="Times New Roman"/>
                <w:sz w:val="26"/>
                <w:szCs w:val="26"/>
              </w:rPr>
              <w:t>s gadījumā vai</w:t>
            </w:r>
            <w:r w:rsidRPr="00A906FA">
              <w:rPr>
                <w:rFonts w:ascii="Times New Roman" w:hAnsi="Times New Roman" w:cs="Times New Roman"/>
                <w:sz w:val="26"/>
                <w:szCs w:val="26"/>
              </w:rPr>
              <w:t xml:space="preserve"> sadarbības iestādei nav tiesiska pamata </w:t>
            </w:r>
            <w:r w:rsidRPr="00A906FA">
              <w:rPr>
                <w:rFonts w:ascii="Times New Roman" w:eastAsia="Times New Roman" w:hAnsi="Times New Roman" w:cs="Times New Roman"/>
                <w:sz w:val="26"/>
                <w:szCs w:val="26"/>
              </w:rPr>
              <w:t>nodrošināt projekta uzraudzību</w:t>
            </w:r>
            <w:r w:rsidR="00FB5C08" w:rsidRPr="00A906FA">
              <w:rPr>
                <w:rFonts w:ascii="Times New Roman" w:eastAsia="Times New Roman" w:hAnsi="Times New Roman" w:cs="Times New Roman"/>
                <w:sz w:val="26"/>
                <w:szCs w:val="26"/>
              </w:rPr>
              <w:t>)</w:t>
            </w:r>
            <w:r w:rsidRPr="00A906FA">
              <w:rPr>
                <w:rFonts w:ascii="Times New Roman" w:hAnsi="Times New Roman" w:cs="Times New Roman"/>
                <w:sz w:val="26"/>
                <w:szCs w:val="26"/>
              </w:rPr>
              <w:t>.</w:t>
            </w:r>
          </w:p>
          <w:p w14:paraId="6674EC74" w14:textId="65C27539" w:rsidR="00CE0CCA" w:rsidRPr="00A906FA" w:rsidRDefault="00FB5C08" w:rsidP="00CE0CCA">
            <w:pPr>
              <w:pStyle w:val="ListParagraph"/>
              <w:spacing w:after="0" w:line="240" w:lineRule="auto"/>
              <w:ind w:left="102" w:right="102"/>
              <w:contextualSpacing w:val="0"/>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Noteikumu projekts paredz, ka </w:t>
            </w:r>
            <w:r w:rsidR="00CE0CCA" w:rsidRPr="00A906FA">
              <w:rPr>
                <w:rFonts w:ascii="Times New Roman" w:eastAsia="Times New Roman" w:hAnsi="Times New Roman" w:cs="Times New Roman"/>
                <w:sz w:val="26"/>
                <w:szCs w:val="26"/>
                <w:lang w:eastAsia="lv-LV"/>
              </w:rPr>
              <w:t xml:space="preserve">Komisijas regulas Nr. </w:t>
            </w:r>
            <w:hyperlink r:id="rId10" w:tgtFrame="_blank" w:history="1">
              <w:r w:rsidR="00CE0CCA" w:rsidRPr="00A906FA">
                <w:rPr>
                  <w:rFonts w:ascii="Times New Roman" w:eastAsia="Times New Roman" w:hAnsi="Times New Roman" w:cs="Times New Roman"/>
                  <w:sz w:val="26"/>
                  <w:szCs w:val="26"/>
                  <w:lang w:eastAsia="lv-LV"/>
                </w:rPr>
                <w:t>480/2014</w:t>
              </w:r>
            </w:hyperlink>
            <w:r w:rsidR="00CE0CCA" w:rsidRPr="00A906FA">
              <w:rPr>
                <w:rFonts w:ascii="Times New Roman" w:eastAsia="Times New Roman" w:hAnsi="Times New Roman" w:cs="Times New Roman"/>
                <w:sz w:val="26"/>
                <w:szCs w:val="26"/>
                <w:lang w:eastAsia="lv-LV"/>
              </w:rPr>
              <w:t xml:space="preserve"> 1. pielikumā noteiktajā projekta pārskata (dzīves cikla) periodā </w:t>
            </w:r>
            <w:r w:rsidR="008A1D1B" w:rsidRPr="00A906FA">
              <w:rPr>
                <w:rFonts w:ascii="Times New Roman" w:eastAsia="Times New Roman" w:hAnsi="Times New Roman" w:cs="Times New Roman"/>
                <w:sz w:val="26"/>
                <w:szCs w:val="26"/>
                <w:lang w:eastAsia="lv-LV"/>
              </w:rPr>
              <w:t>projekta uzraudzību</w:t>
            </w:r>
            <w:r w:rsidR="00CE0CCA" w:rsidRPr="00A906FA">
              <w:rPr>
                <w:rFonts w:ascii="Times New Roman" w:eastAsia="Times New Roman" w:hAnsi="Times New Roman" w:cs="Times New Roman"/>
                <w:sz w:val="26"/>
                <w:szCs w:val="26"/>
                <w:lang w:eastAsia="lv-LV"/>
              </w:rPr>
              <w:t>:</w:t>
            </w:r>
          </w:p>
          <w:p w14:paraId="418B936A" w14:textId="189B76A8" w:rsidR="00CE0CCA" w:rsidRPr="00A906FA" w:rsidRDefault="008A1D1B" w:rsidP="00CE0CCA">
            <w:pPr>
              <w:pStyle w:val="ListParagraph"/>
              <w:spacing w:after="0" w:line="240" w:lineRule="auto"/>
              <w:ind w:left="102" w:right="102"/>
              <w:contextualSpacing w:val="0"/>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lastRenderedPageBreak/>
              <w:t xml:space="preserve"> </w:t>
            </w:r>
            <w:r w:rsidR="00CE0CCA" w:rsidRPr="00A906FA">
              <w:rPr>
                <w:rFonts w:ascii="Times New Roman" w:eastAsia="Times New Roman" w:hAnsi="Times New Roman" w:cs="Times New Roman"/>
                <w:sz w:val="26"/>
                <w:szCs w:val="26"/>
                <w:lang w:eastAsia="lv-LV"/>
              </w:rPr>
              <w:t>–</w:t>
            </w:r>
            <w:r w:rsidR="00AB46D5" w:rsidRPr="00A906FA">
              <w:rPr>
                <w:rFonts w:ascii="Times New Roman" w:eastAsia="Times New Roman" w:hAnsi="Times New Roman" w:cs="Times New Roman"/>
                <w:sz w:val="26"/>
                <w:szCs w:val="26"/>
                <w:lang w:eastAsia="lv-LV"/>
              </w:rPr>
              <w:t xml:space="preserve"> līdz </w:t>
            </w:r>
            <w:r w:rsidR="00AB46D5" w:rsidRPr="00D70A9C">
              <w:rPr>
                <w:rFonts w:ascii="Times New Roman" w:eastAsia="Times New Roman" w:hAnsi="Times New Roman" w:cs="Times New Roman"/>
                <w:sz w:val="26"/>
                <w:szCs w:val="26"/>
                <w:lang w:eastAsia="lv-LV"/>
              </w:rPr>
              <w:t>2020.</w:t>
            </w:r>
            <w:r w:rsidR="00D70A9C">
              <w:rPr>
                <w:rFonts w:ascii="Times New Roman" w:eastAsia="Times New Roman" w:hAnsi="Times New Roman" w:cs="Times New Roman"/>
                <w:sz w:val="26"/>
                <w:szCs w:val="26"/>
                <w:lang w:eastAsia="lv-LV"/>
              </w:rPr>
              <w:t xml:space="preserve"> </w:t>
            </w:r>
            <w:r w:rsidR="00AB46D5" w:rsidRPr="00D70A9C">
              <w:rPr>
                <w:rFonts w:ascii="Times New Roman" w:eastAsia="Times New Roman" w:hAnsi="Times New Roman" w:cs="Times New Roman"/>
                <w:sz w:val="26"/>
                <w:szCs w:val="26"/>
                <w:lang w:eastAsia="lv-LV"/>
              </w:rPr>
              <w:t>gada</w:t>
            </w:r>
            <w:r w:rsidR="00AB46D5" w:rsidRPr="00A906FA">
              <w:rPr>
                <w:rFonts w:ascii="Times New Roman" w:eastAsia="Times New Roman" w:hAnsi="Times New Roman" w:cs="Times New Roman"/>
                <w:sz w:val="26"/>
                <w:szCs w:val="26"/>
                <w:lang w:eastAsia="lv-LV"/>
              </w:rPr>
              <w:t xml:space="preserve"> 31. decembrim </w:t>
            </w:r>
            <w:r w:rsidR="00CE0CCA" w:rsidRPr="00A906FA">
              <w:rPr>
                <w:rFonts w:ascii="Times New Roman" w:eastAsia="Times New Roman" w:hAnsi="Times New Roman" w:cs="Times New Roman"/>
                <w:sz w:val="26"/>
                <w:szCs w:val="26"/>
                <w:lang w:eastAsia="lv-LV"/>
              </w:rPr>
              <w:t xml:space="preserve">veiks </w:t>
            </w:r>
            <w:r w:rsidR="00AB46D5">
              <w:rPr>
                <w:rFonts w:ascii="Times New Roman" w:eastAsia="Times New Roman" w:hAnsi="Times New Roman" w:cs="Times New Roman"/>
                <w:sz w:val="26"/>
                <w:szCs w:val="26"/>
                <w:lang w:eastAsia="lv-LV"/>
              </w:rPr>
              <w:t xml:space="preserve">VIAA kā </w:t>
            </w:r>
            <w:r w:rsidR="00CE0CCA" w:rsidRPr="00A906FA">
              <w:rPr>
                <w:rFonts w:ascii="Times New Roman" w:eastAsia="Times New Roman" w:hAnsi="Times New Roman" w:cs="Times New Roman"/>
                <w:sz w:val="26"/>
                <w:szCs w:val="26"/>
                <w:lang w:eastAsia="lv-LV"/>
              </w:rPr>
              <w:t>sadarbības iestāde;</w:t>
            </w:r>
          </w:p>
          <w:p w14:paraId="3789A006" w14:textId="172848E4" w:rsidR="00FB5C08" w:rsidRPr="00800AB9" w:rsidRDefault="00CE0CCA" w:rsidP="00CE0CCA">
            <w:pPr>
              <w:pStyle w:val="ListParagraph"/>
              <w:spacing w:after="0" w:line="240" w:lineRule="auto"/>
              <w:ind w:left="102" w:right="102"/>
              <w:contextualSpacing w:val="0"/>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w:t>
            </w:r>
            <w:r w:rsidR="00AB46D5" w:rsidRPr="00800AB9">
              <w:rPr>
                <w:rFonts w:ascii="Times New Roman" w:eastAsia="Times New Roman" w:hAnsi="Times New Roman" w:cs="Times New Roman"/>
                <w:sz w:val="26"/>
                <w:szCs w:val="26"/>
                <w:lang w:eastAsia="lv-LV"/>
              </w:rPr>
              <w:t xml:space="preserve">laikposmā no </w:t>
            </w:r>
            <w:r w:rsidR="00AB46D5" w:rsidRPr="009F6D45">
              <w:rPr>
                <w:rFonts w:ascii="Times New Roman" w:eastAsia="Times New Roman" w:hAnsi="Times New Roman" w:cs="Times New Roman"/>
                <w:sz w:val="26"/>
                <w:szCs w:val="26"/>
                <w:lang w:eastAsia="lv-LV"/>
              </w:rPr>
              <w:t>2021.</w:t>
            </w:r>
            <w:r w:rsidR="00AB46D5" w:rsidRPr="00800AB9">
              <w:rPr>
                <w:rFonts w:ascii="Times New Roman" w:eastAsia="Times New Roman" w:hAnsi="Times New Roman" w:cs="Times New Roman"/>
                <w:sz w:val="26"/>
                <w:szCs w:val="26"/>
                <w:lang w:eastAsia="lv-LV"/>
              </w:rPr>
              <w:t xml:space="preserve"> gada 1. janvāra līdz 2032. gada 31. decembrim </w:t>
            </w:r>
            <w:r w:rsidRPr="00A906FA">
              <w:rPr>
                <w:rFonts w:ascii="Times New Roman" w:eastAsia="Times New Roman" w:hAnsi="Times New Roman" w:cs="Times New Roman"/>
                <w:sz w:val="26"/>
                <w:szCs w:val="26"/>
                <w:lang w:eastAsia="lv-LV"/>
              </w:rPr>
              <w:t>nodrošinās</w:t>
            </w:r>
            <w:r w:rsidR="00800AB9">
              <w:rPr>
                <w:rFonts w:ascii="Times New Roman" w:eastAsia="Times New Roman" w:hAnsi="Times New Roman" w:cs="Times New Roman"/>
                <w:sz w:val="26"/>
                <w:szCs w:val="26"/>
                <w:lang w:eastAsia="lv-LV"/>
              </w:rPr>
              <w:t xml:space="preserve"> </w:t>
            </w:r>
            <w:r w:rsidRPr="00800AB9">
              <w:rPr>
                <w:rFonts w:ascii="Times New Roman" w:eastAsia="Times New Roman" w:hAnsi="Times New Roman" w:cs="Times New Roman"/>
                <w:sz w:val="26"/>
                <w:szCs w:val="26"/>
                <w:lang w:eastAsia="lv-LV"/>
              </w:rPr>
              <w:t xml:space="preserve">atbildīgā iestāde </w:t>
            </w:r>
            <w:r w:rsidR="003C4A25" w:rsidRPr="00800AB9">
              <w:rPr>
                <w:rFonts w:ascii="Times New Roman" w:eastAsia="Times New Roman" w:hAnsi="Times New Roman" w:cs="Times New Roman"/>
                <w:sz w:val="26"/>
                <w:szCs w:val="26"/>
                <w:lang w:eastAsia="lv-LV"/>
              </w:rPr>
              <w:t>(MK noteikumu Nr. 987 13.9. apakšpunkts)</w:t>
            </w:r>
            <w:r w:rsidRPr="00800AB9">
              <w:rPr>
                <w:rFonts w:ascii="Times New Roman" w:eastAsia="Times New Roman" w:hAnsi="Times New Roman" w:cs="Times New Roman"/>
                <w:sz w:val="26"/>
                <w:szCs w:val="26"/>
                <w:lang w:eastAsia="lv-LV"/>
              </w:rPr>
              <w:t>.</w:t>
            </w:r>
          </w:p>
          <w:p w14:paraId="112CC255" w14:textId="6C711430" w:rsidR="000C2ECF" w:rsidRPr="00A906FA" w:rsidRDefault="006207F8" w:rsidP="007E730B">
            <w:pPr>
              <w:spacing w:before="10" w:line="240" w:lineRule="auto"/>
              <w:ind w:left="101" w:right="102"/>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8. </w:t>
            </w:r>
            <w:r w:rsidR="00294385" w:rsidRPr="00A906FA">
              <w:rPr>
                <w:rFonts w:ascii="Times New Roman" w:eastAsia="Times New Roman" w:hAnsi="Times New Roman" w:cs="Times New Roman"/>
                <w:sz w:val="26"/>
                <w:szCs w:val="26"/>
                <w:lang w:eastAsia="lv-LV"/>
              </w:rPr>
              <w:t>Noteikumu projekts neietekmē pievienotās vērtības nodokļa attiecināšanu.</w:t>
            </w:r>
            <w:r w:rsidR="000C2ECF" w:rsidRPr="00A906FA">
              <w:rPr>
                <w:rFonts w:ascii="Times New Roman" w:eastAsia="Times New Roman" w:hAnsi="Times New Roman" w:cs="Times New Roman"/>
                <w:sz w:val="26"/>
                <w:szCs w:val="26"/>
                <w:lang w:eastAsia="lv-LV"/>
              </w:rPr>
              <w:t xml:space="preserve"> 2007.-2013. gada plānošanas periodā deklarētās attiecināmās izmaksas nav jākoriģē attiecībā uz pievienotās vērtības nodokli, ja:</w:t>
            </w:r>
          </w:p>
          <w:p w14:paraId="7D27F571" w14:textId="77777777" w:rsidR="000C2ECF" w:rsidRPr="00A906FA" w:rsidRDefault="000C2ECF" w:rsidP="007E730B">
            <w:pPr>
              <w:spacing w:before="10" w:line="240" w:lineRule="auto"/>
              <w:ind w:left="101" w:right="102"/>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īstenots ar saimniecisko darbību nesaistīts projekts, kura ietvaros veiktas arī ierobežotas jomas darbības;</w:t>
            </w:r>
          </w:p>
          <w:p w14:paraId="00FFE398" w14:textId="4B6D1FF3" w:rsidR="000C2ECF" w:rsidRPr="00A906FA" w:rsidRDefault="000C2ECF" w:rsidP="007E730B">
            <w:pPr>
              <w:spacing w:before="10" w:line="240" w:lineRule="auto"/>
              <w:ind w:left="101" w:right="102"/>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finansējuma saņēmējs var nodrošināt izsekojamību priekšnodokļa apmēram (nodrošinot liecības, ka tas nebija atgūstams)</w:t>
            </w:r>
            <w:r w:rsidR="00724399" w:rsidRPr="00A906FA">
              <w:rPr>
                <w:rFonts w:ascii="Times New Roman" w:eastAsia="Times New Roman" w:hAnsi="Times New Roman" w:cs="Times New Roman"/>
                <w:sz w:val="26"/>
                <w:szCs w:val="26"/>
                <w:lang w:eastAsia="lv-LV"/>
              </w:rPr>
              <w:t>;</w:t>
            </w:r>
            <w:r w:rsidRPr="00A906FA">
              <w:rPr>
                <w:rFonts w:ascii="Times New Roman" w:eastAsia="Times New Roman" w:hAnsi="Times New Roman" w:cs="Times New Roman"/>
                <w:sz w:val="26"/>
                <w:szCs w:val="26"/>
                <w:lang w:eastAsia="lv-LV"/>
              </w:rPr>
              <w:t xml:space="preserve"> un</w:t>
            </w:r>
          </w:p>
          <w:p w14:paraId="73CAF54A" w14:textId="77777777" w:rsidR="000C2ECF" w:rsidRPr="00A906FA" w:rsidRDefault="000C2ECF" w:rsidP="007E730B">
            <w:pPr>
              <w:spacing w:before="10" w:line="240" w:lineRule="auto"/>
              <w:ind w:left="101" w:right="102"/>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 PVN par konkrēto darījumu nebija jāatskaita kā priekšnodoklis. </w:t>
            </w:r>
          </w:p>
          <w:p w14:paraId="72FD535B" w14:textId="3EC2F6E4" w:rsidR="00414F90" w:rsidRPr="00A906FA" w:rsidRDefault="000C2ECF" w:rsidP="00FB5C08">
            <w:pPr>
              <w:spacing w:before="10" w:line="240" w:lineRule="auto"/>
              <w:ind w:left="101" w:right="102"/>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Finansējuma saņēmējs turpmāk nav tiesīgs atgūt</w:t>
            </w:r>
            <w:r w:rsidRPr="00A906FA" w:rsidDel="004A2F20">
              <w:rPr>
                <w:rFonts w:ascii="Times New Roman" w:eastAsia="Times New Roman" w:hAnsi="Times New Roman" w:cs="Times New Roman"/>
                <w:sz w:val="26"/>
                <w:szCs w:val="26"/>
                <w:lang w:eastAsia="lv-LV"/>
              </w:rPr>
              <w:t xml:space="preserve"> </w:t>
            </w:r>
            <w:r w:rsidRPr="00A906FA">
              <w:rPr>
                <w:rFonts w:ascii="Times New Roman" w:eastAsia="Times New Roman" w:hAnsi="Times New Roman" w:cs="Times New Roman"/>
                <w:sz w:val="26"/>
                <w:szCs w:val="26"/>
                <w:lang w:eastAsia="lv-LV"/>
              </w:rPr>
              <w:t>PVN  summu, kas bija iekļauta projekta attiecināmajās izmaksās un deklarēta Eiropas Komisijai.</w:t>
            </w:r>
            <w:r w:rsidRPr="00A906FA">
              <w:rPr>
                <w:rFonts w:ascii="Times New Roman" w:eastAsia="Times New Roman" w:hAnsi="Times New Roman" w:cs="Times New Roman"/>
                <w:b/>
                <w:sz w:val="26"/>
                <w:szCs w:val="26"/>
                <w:lang w:eastAsia="lv-LV"/>
              </w:rPr>
              <w:t xml:space="preserve"> </w:t>
            </w:r>
          </w:p>
        </w:tc>
      </w:tr>
      <w:tr w:rsidR="006A328C" w:rsidRPr="00A906FA" w14:paraId="3C1598F3" w14:textId="77777777" w:rsidTr="00A906FA">
        <w:trPr>
          <w:trHeight w:val="465"/>
        </w:trPr>
        <w:tc>
          <w:tcPr>
            <w:tcW w:w="312" w:type="dxa"/>
            <w:tcBorders>
              <w:top w:val="outset" w:sz="6" w:space="0" w:color="414142"/>
              <w:left w:val="outset" w:sz="6" w:space="0" w:color="414142"/>
              <w:bottom w:val="outset" w:sz="6" w:space="0" w:color="414142"/>
              <w:right w:val="outset" w:sz="6" w:space="0" w:color="414142"/>
            </w:tcBorders>
            <w:hideMark/>
          </w:tcPr>
          <w:p w14:paraId="22AAAEF5" w14:textId="2853760C" w:rsidR="004D15A9" w:rsidRPr="00A906FA" w:rsidRDefault="004D15A9" w:rsidP="00DA596D">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lastRenderedPageBreak/>
              <w:t>3.</w:t>
            </w:r>
          </w:p>
        </w:tc>
        <w:tc>
          <w:tcPr>
            <w:tcW w:w="2799" w:type="dxa"/>
            <w:gridSpan w:val="2"/>
            <w:tcBorders>
              <w:top w:val="outset" w:sz="6" w:space="0" w:color="414142"/>
              <w:left w:val="outset" w:sz="6" w:space="0" w:color="414142"/>
              <w:bottom w:val="outset" w:sz="6" w:space="0" w:color="414142"/>
              <w:right w:val="outset" w:sz="6" w:space="0" w:color="414142"/>
            </w:tcBorders>
            <w:hideMark/>
          </w:tcPr>
          <w:p w14:paraId="0906A2E2" w14:textId="780F3058" w:rsidR="004D15A9" w:rsidRPr="00A906FA" w:rsidRDefault="004D15A9" w:rsidP="00DA596D">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Projekta izstrādē iesaistītās </w:t>
            </w:r>
            <w:r w:rsidR="00845412" w:rsidRPr="00845412">
              <w:rPr>
                <w:rFonts w:ascii="Times New Roman" w:eastAsia="Times New Roman" w:hAnsi="Times New Roman" w:cs="Times New Roman"/>
                <w:sz w:val="26"/>
                <w:szCs w:val="26"/>
                <w:lang w:eastAsia="lv-LV"/>
              </w:rPr>
              <w:t>institūcijas un publiskas personas kapitālsabiedrības</w:t>
            </w:r>
          </w:p>
        </w:tc>
        <w:tc>
          <w:tcPr>
            <w:tcW w:w="5944" w:type="dxa"/>
            <w:tcBorders>
              <w:top w:val="outset" w:sz="6" w:space="0" w:color="414142"/>
              <w:left w:val="outset" w:sz="6" w:space="0" w:color="414142"/>
              <w:bottom w:val="outset" w:sz="6" w:space="0" w:color="414142"/>
              <w:right w:val="outset" w:sz="6" w:space="0" w:color="414142"/>
            </w:tcBorders>
            <w:hideMark/>
          </w:tcPr>
          <w:p w14:paraId="5EA35C37" w14:textId="77777777" w:rsidR="004D15A9" w:rsidRPr="00A906FA" w:rsidRDefault="00A33B4B" w:rsidP="009D6792">
            <w:pPr>
              <w:spacing w:after="0" w:line="240" w:lineRule="auto"/>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Noteikumu projektu izstrādāja </w:t>
            </w:r>
            <w:r w:rsidR="00A03AEC" w:rsidRPr="00A906FA">
              <w:rPr>
                <w:rFonts w:ascii="Times New Roman" w:eastAsia="Times New Roman" w:hAnsi="Times New Roman" w:cs="Times New Roman"/>
                <w:sz w:val="26"/>
                <w:szCs w:val="26"/>
                <w:lang w:eastAsia="lv-LV"/>
              </w:rPr>
              <w:t>I</w:t>
            </w:r>
            <w:r w:rsidR="00303F40" w:rsidRPr="00A906FA">
              <w:rPr>
                <w:rFonts w:ascii="Times New Roman" w:eastAsia="Times New Roman" w:hAnsi="Times New Roman" w:cs="Times New Roman"/>
                <w:sz w:val="26"/>
                <w:szCs w:val="26"/>
                <w:lang w:eastAsia="lv-LV"/>
              </w:rPr>
              <w:t xml:space="preserve">zglītības un zinātnes </w:t>
            </w:r>
            <w:r w:rsidR="00970A3F" w:rsidRPr="00A906FA">
              <w:rPr>
                <w:rFonts w:ascii="Times New Roman" w:eastAsia="Times New Roman" w:hAnsi="Times New Roman" w:cs="Times New Roman"/>
                <w:sz w:val="26"/>
                <w:szCs w:val="26"/>
                <w:lang w:eastAsia="lv-LV"/>
              </w:rPr>
              <w:t xml:space="preserve"> ministrija.</w:t>
            </w:r>
            <w:r w:rsidRPr="00A906FA">
              <w:rPr>
                <w:rFonts w:ascii="Times New Roman" w:eastAsia="Times New Roman" w:hAnsi="Times New Roman" w:cs="Times New Roman"/>
                <w:sz w:val="26"/>
                <w:szCs w:val="26"/>
                <w:lang w:eastAsia="lv-LV"/>
              </w:rPr>
              <w:t xml:space="preserve"> </w:t>
            </w:r>
          </w:p>
        </w:tc>
      </w:tr>
      <w:tr w:rsidR="006A328C" w:rsidRPr="00A906FA" w14:paraId="365BA933" w14:textId="77777777" w:rsidTr="00A906FA">
        <w:tc>
          <w:tcPr>
            <w:tcW w:w="312" w:type="dxa"/>
            <w:tcBorders>
              <w:top w:val="outset" w:sz="6" w:space="0" w:color="414142"/>
              <w:left w:val="outset" w:sz="6" w:space="0" w:color="414142"/>
              <w:bottom w:val="outset" w:sz="6" w:space="0" w:color="414142"/>
              <w:right w:val="outset" w:sz="6" w:space="0" w:color="414142"/>
            </w:tcBorders>
            <w:hideMark/>
          </w:tcPr>
          <w:p w14:paraId="23997C7E" w14:textId="77777777" w:rsidR="004D15A9" w:rsidRPr="00A906FA" w:rsidRDefault="004D15A9" w:rsidP="00DA596D">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4.</w:t>
            </w:r>
          </w:p>
        </w:tc>
        <w:tc>
          <w:tcPr>
            <w:tcW w:w="2799" w:type="dxa"/>
            <w:gridSpan w:val="2"/>
            <w:tcBorders>
              <w:top w:val="outset" w:sz="6" w:space="0" w:color="414142"/>
              <w:left w:val="outset" w:sz="6" w:space="0" w:color="414142"/>
              <w:bottom w:val="outset" w:sz="6" w:space="0" w:color="414142"/>
              <w:right w:val="outset" w:sz="6" w:space="0" w:color="414142"/>
            </w:tcBorders>
            <w:hideMark/>
          </w:tcPr>
          <w:p w14:paraId="5249BBEC" w14:textId="77777777" w:rsidR="004D15A9" w:rsidRPr="00A906FA" w:rsidRDefault="004D15A9" w:rsidP="00DA596D">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Cita informācija</w:t>
            </w:r>
          </w:p>
        </w:tc>
        <w:tc>
          <w:tcPr>
            <w:tcW w:w="5944" w:type="dxa"/>
            <w:tcBorders>
              <w:top w:val="outset" w:sz="6" w:space="0" w:color="414142"/>
              <w:left w:val="outset" w:sz="6" w:space="0" w:color="414142"/>
              <w:bottom w:val="outset" w:sz="6" w:space="0" w:color="414142"/>
              <w:right w:val="outset" w:sz="6" w:space="0" w:color="414142"/>
            </w:tcBorders>
            <w:hideMark/>
          </w:tcPr>
          <w:p w14:paraId="71BB37E1" w14:textId="77777777" w:rsidR="004D15A9" w:rsidRPr="00A906FA" w:rsidRDefault="004D15A9" w:rsidP="00A33B4B">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Nav</w:t>
            </w:r>
          </w:p>
        </w:tc>
      </w:tr>
      <w:tr w:rsidR="006A328C" w:rsidRPr="00A906FA" w14:paraId="6E00132E" w14:textId="77777777" w:rsidTr="00A906FA">
        <w:trPr>
          <w:trHeight w:val="128"/>
        </w:trPr>
        <w:tc>
          <w:tcPr>
            <w:tcW w:w="9055" w:type="dxa"/>
            <w:gridSpan w:val="4"/>
            <w:tcBorders>
              <w:top w:val="outset" w:sz="6" w:space="0" w:color="414142"/>
              <w:left w:val="nil"/>
              <w:bottom w:val="outset" w:sz="6" w:space="0" w:color="414142"/>
              <w:right w:val="nil"/>
            </w:tcBorders>
          </w:tcPr>
          <w:p w14:paraId="7576EA1B" w14:textId="77777777" w:rsidR="00A33B4B" w:rsidRPr="00A906FA" w:rsidRDefault="00A33B4B" w:rsidP="0081203F">
            <w:pPr>
              <w:tabs>
                <w:tab w:val="left" w:pos="990"/>
              </w:tabs>
              <w:spacing w:after="0" w:line="240" w:lineRule="auto"/>
              <w:rPr>
                <w:rFonts w:ascii="Times New Roman" w:eastAsia="Times New Roman" w:hAnsi="Times New Roman" w:cs="Times New Roman"/>
                <w:sz w:val="26"/>
                <w:szCs w:val="26"/>
                <w:lang w:eastAsia="lv-LV"/>
              </w:rPr>
            </w:pPr>
          </w:p>
        </w:tc>
      </w:tr>
      <w:tr w:rsidR="006A328C" w:rsidRPr="00A906FA" w14:paraId="7A6F4EC2" w14:textId="77777777" w:rsidTr="00A906FA">
        <w:trPr>
          <w:trHeight w:val="351"/>
        </w:trPr>
        <w:tc>
          <w:tcPr>
            <w:tcW w:w="9055" w:type="dxa"/>
            <w:gridSpan w:val="4"/>
            <w:tcBorders>
              <w:top w:val="nil"/>
              <w:left w:val="outset" w:sz="6" w:space="0" w:color="414142"/>
              <w:bottom w:val="outset" w:sz="6" w:space="0" w:color="414142"/>
              <w:right w:val="outset" w:sz="6" w:space="0" w:color="414142"/>
            </w:tcBorders>
            <w:vAlign w:val="center"/>
            <w:hideMark/>
          </w:tcPr>
          <w:p w14:paraId="13ECB1D7" w14:textId="77777777" w:rsidR="004D15A9" w:rsidRPr="00A906FA"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A906FA">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6A328C" w:rsidRPr="00A906FA" w14:paraId="308B4C59" w14:textId="77777777" w:rsidTr="00A906FA">
        <w:trPr>
          <w:trHeight w:val="465"/>
        </w:trPr>
        <w:tc>
          <w:tcPr>
            <w:tcW w:w="453" w:type="dxa"/>
            <w:gridSpan w:val="2"/>
            <w:tcBorders>
              <w:top w:val="outset" w:sz="6" w:space="0" w:color="414142"/>
              <w:left w:val="outset" w:sz="6" w:space="0" w:color="414142"/>
              <w:bottom w:val="outset" w:sz="6" w:space="0" w:color="414142"/>
              <w:right w:val="outset" w:sz="6" w:space="0" w:color="414142"/>
            </w:tcBorders>
            <w:hideMark/>
          </w:tcPr>
          <w:p w14:paraId="1B2D5786" w14:textId="77777777" w:rsidR="004D15A9" w:rsidRPr="00A906FA" w:rsidRDefault="004D15A9" w:rsidP="00DA596D">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1.</w:t>
            </w:r>
          </w:p>
        </w:tc>
        <w:tc>
          <w:tcPr>
            <w:tcW w:w="2658" w:type="dxa"/>
            <w:tcBorders>
              <w:top w:val="outset" w:sz="6" w:space="0" w:color="414142"/>
              <w:left w:val="outset" w:sz="6" w:space="0" w:color="414142"/>
              <w:bottom w:val="outset" w:sz="6" w:space="0" w:color="414142"/>
              <w:right w:val="outset" w:sz="6" w:space="0" w:color="414142"/>
            </w:tcBorders>
            <w:hideMark/>
          </w:tcPr>
          <w:p w14:paraId="35836AA6" w14:textId="77777777" w:rsidR="004D15A9" w:rsidRPr="00A906FA" w:rsidRDefault="004D15A9" w:rsidP="00DA596D">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Sabiedrības </w:t>
            </w:r>
            <w:proofErr w:type="spellStart"/>
            <w:r w:rsidRPr="00A906FA">
              <w:rPr>
                <w:rFonts w:ascii="Times New Roman" w:eastAsia="Times New Roman" w:hAnsi="Times New Roman" w:cs="Times New Roman"/>
                <w:sz w:val="26"/>
                <w:szCs w:val="26"/>
                <w:lang w:eastAsia="lv-LV"/>
              </w:rPr>
              <w:t>mērķgrupas</w:t>
            </w:r>
            <w:proofErr w:type="spellEnd"/>
            <w:r w:rsidRPr="00A906FA">
              <w:rPr>
                <w:rFonts w:ascii="Times New Roman" w:eastAsia="Times New Roman" w:hAnsi="Times New Roman" w:cs="Times New Roman"/>
                <w:sz w:val="26"/>
                <w:szCs w:val="26"/>
                <w:lang w:eastAsia="lv-LV"/>
              </w:rPr>
              <w:t>, kuras tiesiskais regulējums ietekmē vai varētu ietekmēt</w:t>
            </w:r>
          </w:p>
        </w:tc>
        <w:tc>
          <w:tcPr>
            <w:tcW w:w="5944" w:type="dxa"/>
            <w:tcBorders>
              <w:top w:val="outset" w:sz="6" w:space="0" w:color="414142"/>
              <w:left w:val="outset" w:sz="6" w:space="0" w:color="414142"/>
              <w:bottom w:val="outset" w:sz="6" w:space="0" w:color="414142"/>
              <w:right w:val="outset" w:sz="6" w:space="0" w:color="414142"/>
            </w:tcBorders>
            <w:hideMark/>
          </w:tcPr>
          <w:p w14:paraId="0D9F3A46" w14:textId="77777777" w:rsidR="00A33B4B" w:rsidRPr="00A906FA" w:rsidRDefault="00901BE6" w:rsidP="00EC6509">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Mērķa grupa</w:t>
            </w:r>
            <w:r w:rsidR="007C52FC" w:rsidRPr="00A906FA">
              <w:rPr>
                <w:rFonts w:ascii="Times New Roman" w:eastAsia="Times New Roman" w:hAnsi="Times New Roman" w:cs="Times New Roman"/>
                <w:sz w:val="26"/>
                <w:szCs w:val="26"/>
                <w:lang w:eastAsia="lv-LV"/>
              </w:rPr>
              <w:t xml:space="preserve"> 2.1.1.3.1.aktivitātes </w:t>
            </w:r>
            <w:r w:rsidR="004943E4" w:rsidRPr="00A906FA">
              <w:rPr>
                <w:rFonts w:ascii="Times New Roman" w:eastAsia="Times New Roman" w:hAnsi="Times New Roman" w:cs="Times New Roman"/>
                <w:sz w:val="26"/>
                <w:szCs w:val="26"/>
                <w:lang w:eastAsia="lv-LV"/>
              </w:rPr>
              <w:t xml:space="preserve">"Zinātnes infrastruktūras attīstība" </w:t>
            </w:r>
            <w:r w:rsidR="00C96820" w:rsidRPr="00A906FA">
              <w:rPr>
                <w:rFonts w:ascii="Times New Roman" w:eastAsia="Times New Roman" w:hAnsi="Times New Roman" w:cs="Times New Roman"/>
                <w:sz w:val="26"/>
                <w:szCs w:val="26"/>
                <w:lang w:eastAsia="lv-LV"/>
              </w:rPr>
              <w:t>pirmās</w:t>
            </w:r>
            <w:r w:rsidR="007C52FC" w:rsidRPr="00A906FA">
              <w:rPr>
                <w:rFonts w:ascii="Times New Roman" w:eastAsia="Times New Roman" w:hAnsi="Times New Roman" w:cs="Times New Roman"/>
                <w:sz w:val="26"/>
                <w:szCs w:val="26"/>
                <w:lang w:eastAsia="lv-LV"/>
              </w:rPr>
              <w:t xml:space="preserve"> </w:t>
            </w:r>
            <w:r w:rsidR="004943E4" w:rsidRPr="00A906FA">
              <w:rPr>
                <w:rFonts w:ascii="Times New Roman" w:eastAsia="Times New Roman" w:hAnsi="Times New Roman" w:cs="Times New Roman"/>
                <w:sz w:val="26"/>
                <w:szCs w:val="26"/>
                <w:lang w:eastAsia="lv-LV"/>
              </w:rPr>
              <w:t xml:space="preserve">projektu iesniegumu atlases </w:t>
            </w:r>
            <w:r w:rsidR="007C52FC" w:rsidRPr="00A906FA">
              <w:rPr>
                <w:rFonts w:ascii="Times New Roman" w:eastAsia="Times New Roman" w:hAnsi="Times New Roman" w:cs="Times New Roman"/>
                <w:sz w:val="26"/>
                <w:szCs w:val="26"/>
                <w:lang w:eastAsia="lv-LV"/>
              </w:rPr>
              <w:t xml:space="preserve">kārtas ietvaros: </w:t>
            </w:r>
            <w:r w:rsidR="007E7D9B" w:rsidRPr="00A906FA">
              <w:rPr>
                <w:rFonts w:ascii="Times New Roman" w:eastAsia="Times New Roman" w:hAnsi="Times New Roman" w:cs="Times New Roman"/>
                <w:sz w:val="26"/>
                <w:szCs w:val="26"/>
                <w:lang w:eastAsia="lv-LV"/>
              </w:rPr>
              <w:t xml:space="preserve">zinātniskās institūcijas, </w:t>
            </w:r>
            <w:r w:rsidR="00247B45" w:rsidRPr="00A906FA">
              <w:rPr>
                <w:rFonts w:ascii="Times New Roman" w:eastAsia="Times New Roman" w:hAnsi="Times New Roman" w:cs="Times New Roman"/>
                <w:sz w:val="26"/>
                <w:szCs w:val="26"/>
                <w:lang w:eastAsia="lv-LV"/>
              </w:rPr>
              <w:t>zinātnē nodarbinātie darbinieki,</w:t>
            </w:r>
            <w:r w:rsidR="00FB44FD" w:rsidRPr="00A906FA">
              <w:rPr>
                <w:rFonts w:ascii="Times New Roman" w:eastAsia="Times New Roman" w:hAnsi="Times New Roman" w:cs="Times New Roman"/>
                <w:sz w:val="26"/>
                <w:szCs w:val="26"/>
                <w:lang w:eastAsia="lv-LV"/>
              </w:rPr>
              <w:t xml:space="preserve"> Valsts izglītības attīstības aģentūra</w:t>
            </w:r>
            <w:r w:rsidR="00247B45" w:rsidRPr="00A906FA">
              <w:rPr>
                <w:rFonts w:ascii="Times New Roman" w:eastAsia="Times New Roman" w:hAnsi="Times New Roman" w:cs="Times New Roman"/>
                <w:sz w:val="26"/>
                <w:szCs w:val="26"/>
                <w:lang w:eastAsia="lv-LV"/>
              </w:rPr>
              <w:t xml:space="preserve"> </w:t>
            </w:r>
            <w:r w:rsidR="004245A8" w:rsidRPr="00A906FA">
              <w:rPr>
                <w:rFonts w:ascii="Times New Roman" w:eastAsia="Times New Roman" w:hAnsi="Times New Roman" w:cs="Times New Roman"/>
                <w:sz w:val="26"/>
                <w:szCs w:val="26"/>
                <w:lang w:eastAsia="lv-LV"/>
              </w:rPr>
              <w:t>(</w:t>
            </w:r>
            <w:r w:rsidR="00DC1D11" w:rsidRPr="00A906FA">
              <w:rPr>
                <w:rFonts w:ascii="Times New Roman" w:eastAsia="Times New Roman" w:hAnsi="Times New Roman" w:cs="Times New Roman"/>
                <w:sz w:val="26"/>
                <w:szCs w:val="26"/>
                <w:lang w:eastAsia="lv-LV"/>
              </w:rPr>
              <w:t>sadarbības iestāde</w:t>
            </w:r>
            <w:r w:rsidR="004245A8" w:rsidRPr="00A906FA">
              <w:rPr>
                <w:rFonts w:ascii="Times New Roman" w:eastAsia="Times New Roman" w:hAnsi="Times New Roman" w:cs="Times New Roman"/>
                <w:sz w:val="26"/>
                <w:szCs w:val="26"/>
                <w:lang w:eastAsia="lv-LV"/>
              </w:rPr>
              <w:t>)</w:t>
            </w:r>
            <w:r w:rsidR="00DC1D11" w:rsidRPr="00A906FA">
              <w:rPr>
                <w:rFonts w:ascii="Times New Roman" w:eastAsia="Times New Roman" w:hAnsi="Times New Roman" w:cs="Times New Roman"/>
                <w:sz w:val="26"/>
                <w:szCs w:val="26"/>
                <w:lang w:eastAsia="lv-LV"/>
              </w:rPr>
              <w:t>.</w:t>
            </w:r>
          </w:p>
        </w:tc>
      </w:tr>
      <w:tr w:rsidR="006A328C" w:rsidRPr="00A906FA" w14:paraId="381A5E75" w14:textId="77777777" w:rsidTr="00A906FA">
        <w:trPr>
          <w:trHeight w:val="381"/>
        </w:trPr>
        <w:tc>
          <w:tcPr>
            <w:tcW w:w="453" w:type="dxa"/>
            <w:gridSpan w:val="2"/>
            <w:tcBorders>
              <w:top w:val="outset" w:sz="6" w:space="0" w:color="414142"/>
              <w:left w:val="outset" w:sz="6" w:space="0" w:color="414142"/>
              <w:bottom w:val="outset" w:sz="6" w:space="0" w:color="414142"/>
              <w:right w:val="outset" w:sz="6" w:space="0" w:color="414142"/>
            </w:tcBorders>
            <w:hideMark/>
          </w:tcPr>
          <w:p w14:paraId="6AFCBFA8" w14:textId="77777777" w:rsidR="004D15A9" w:rsidRPr="00A906FA" w:rsidRDefault="004D15A9" w:rsidP="00DA596D">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2.</w:t>
            </w:r>
          </w:p>
        </w:tc>
        <w:tc>
          <w:tcPr>
            <w:tcW w:w="2658" w:type="dxa"/>
            <w:tcBorders>
              <w:top w:val="outset" w:sz="6" w:space="0" w:color="414142"/>
              <w:left w:val="outset" w:sz="6" w:space="0" w:color="414142"/>
              <w:bottom w:val="outset" w:sz="6" w:space="0" w:color="414142"/>
              <w:right w:val="outset" w:sz="6" w:space="0" w:color="414142"/>
            </w:tcBorders>
            <w:hideMark/>
          </w:tcPr>
          <w:p w14:paraId="7D517B40" w14:textId="77777777" w:rsidR="004D15A9" w:rsidRPr="00A906FA" w:rsidRDefault="004D15A9" w:rsidP="00DA596D">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Tiesiskā regulējuma ietekme uz tautsaimniecību un administratīvo slogu</w:t>
            </w:r>
          </w:p>
        </w:tc>
        <w:tc>
          <w:tcPr>
            <w:tcW w:w="5944" w:type="dxa"/>
            <w:tcBorders>
              <w:top w:val="outset" w:sz="6" w:space="0" w:color="414142"/>
              <w:left w:val="outset" w:sz="6" w:space="0" w:color="414142"/>
              <w:bottom w:val="outset" w:sz="6" w:space="0" w:color="414142"/>
              <w:right w:val="outset" w:sz="6" w:space="0" w:color="414142"/>
            </w:tcBorders>
            <w:hideMark/>
          </w:tcPr>
          <w:p w14:paraId="39F243C1" w14:textId="77777777" w:rsidR="00C70F3E" w:rsidRPr="00A906FA" w:rsidRDefault="00214B7E" w:rsidP="00F528CD">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Noteikumu projektā ietv</w:t>
            </w:r>
            <w:r w:rsidR="003E07DF" w:rsidRPr="00A906FA">
              <w:rPr>
                <w:rFonts w:ascii="Times New Roman" w:eastAsia="Times New Roman" w:hAnsi="Times New Roman" w:cs="Times New Roman"/>
                <w:sz w:val="26"/>
                <w:szCs w:val="26"/>
                <w:lang w:eastAsia="lv-LV"/>
              </w:rPr>
              <w:t>e</w:t>
            </w:r>
            <w:r w:rsidRPr="00A906FA">
              <w:rPr>
                <w:rFonts w:ascii="Times New Roman" w:eastAsia="Times New Roman" w:hAnsi="Times New Roman" w:cs="Times New Roman"/>
                <w:sz w:val="26"/>
                <w:szCs w:val="26"/>
                <w:lang w:eastAsia="lv-LV"/>
              </w:rPr>
              <w:t xml:space="preserve">rtais </w:t>
            </w:r>
            <w:r w:rsidR="003E07DF" w:rsidRPr="00A906FA">
              <w:rPr>
                <w:rFonts w:ascii="Times New Roman" w:eastAsia="Times New Roman" w:hAnsi="Times New Roman" w:cs="Times New Roman"/>
                <w:sz w:val="26"/>
                <w:szCs w:val="26"/>
                <w:lang w:eastAsia="lv-LV"/>
              </w:rPr>
              <w:t>tiesiskais regulējums</w:t>
            </w:r>
            <w:r w:rsidR="001E34BE" w:rsidRPr="00A906FA">
              <w:rPr>
                <w:rFonts w:ascii="Times New Roman" w:eastAsia="Times New Roman" w:hAnsi="Times New Roman" w:cs="Times New Roman"/>
                <w:sz w:val="26"/>
                <w:szCs w:val="26"/>
                <w:lang w:eastAsia="lv-LV"/>
              </w:rPr>
              <w:t xml:space="preserve"> nodrošina</w:t>
            </w:r>
            <w:r w:rsidR="00C70F3E" w:rsidRPr="00A906FA">
              <w:rPr>
                <w:rFonts w:ascii="Times New Roman" w:eastAsia="Times New Roman" w:hAnsi="Times New Roman" w:cs="Times New Roman"/>
                <w:sz w:val="26"/>
                <w:szCs w:val="26"/>
                <w:lang w:eastAsia="lv-LV"/>
              </w:rPr>
              <w:t>:</w:t>
            </w:r>
          </w:p>
          <w:p w14:paraId="1E1E268C" w14:textId="77777777" w:rsidR="001E34BE" w:rsidRPr="00A906FA" w:rsidRDefault="001E34BE" w:rsidP="00F528CD">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w:t>
            </w:r>
            <w:r w:rsidR="0082432D" w:rsidRPr="00A906FA">
              <w:rPr>
                <w:rFonts w:ascii="Times New Roman" w:eastAsia="Times New Roman" w:hAnsi="Times New Roman" w:cs="Times New Roman"/>
                <w:sz w:val="26"/>
                <w:szCs w:val="26"/>
                <w:lang w:eastAsia="lv-LV"/>
              </w:rPr>
              <w:t xml:space="preserve">normatīvā akta </w:t>
            </w:r>
            <w:r w:rsidRPr="00A906FA">
              <w:rPr>
                <w:rFonts w:ascii="Times New Roman" w:eastAsia="Times New Roman" w:hAnsi="Times New Roman" w:cs="Times New Roman"/>
                <w:sz w:val="26"/>
                <w:szCs w:val="26"/>
                <w:lang w:eastAsia="lv-LV"/>
              </w:rPr>
              <w:t>atbilstību Latvijas Republikas starptautiskajām saistībām;</w:t>
            </w:r>
          </w:p>
          <w:p w14:paraId="4668D61A" w14:textId="77777777" w:rsidR="00B31661" w:rsidRPr="00A906FA" w:rsidRDefault="0082432D" w:rsidP="00B400E0">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 normatīvā akta </w:t>
            </w:r>
            <w:r w:rsidR="00A36827" w:rsidRPr="00A906FA">
              <w:rPr>
                <w:rFonts w:ascii="Times New Roman" w:eastAsia="Times New Roman" w:hAnsi="Times New Roman" w:cs="Times New Roman"/>
                <w:sz w:val="26"/>
                <w:szCs w:val="26"/>
                <w:lang w:eastAsia="lv-LV"/>
              </w:rPr>
              <w:t>un ES tiesību sistēmā iekļauto normu harmonizāciju</w:t>
            </w:r>
            <w:r w:rsidR="00B907B1" w:rsidRPr="00A906FA">
              <w:rPr>
                <w:rFonts w:ascii="Times New Roman" w:eastAsia="Times New Roman" w:hAnsi="Times New Roman" w:cs="Times New Roman"/>
                <w:sz w:val="26"/>
                <w:szCs w:val="26"/>
                <w:lang w:eastAsia="lv-LV"/>
              </w:rPr>
              <w:t>.</w:t>
            </w:r>
          </w:p>
          <w:p w14:paraId="05B97DC3" w14:textId="0457397E" w:rsidR="00D8300B" w:rsidRPr="00A906FA" w:rsidRDefault="00D8300B" w:rsidP="00D8300B">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Noteikumu projektā ietvertais tiesiskais regulējums netieši sekmē tautsaimniecības attīstību, ņemot vērā </w:t>
            </w:r>
            <w:r w:rsidRPr="00A906FA">
              <w:rPr>
                <w:rFonts w:ascii="Times New Roman" w:eastAsia="Times New Roman" w:hAnsi="Times New Roman" w:cs="Times New Roman"/>
                <w:sz w:val="26"/>
                <w:szCs w:val="26"/>
                <w:lang w:eastAsia="lv-LV"/>
              </w:rPr>
              <w:lastRenderedPageBreak/>
              <w:t xml:space="preserve">publiskā finansējuma efektīvu izmantojumu, ko nodrošina iespēja publiskos resursus izmantot kopīgi, veidojot partnerattiecības ar privātā sektora pārstāvjiem. </w:t>
            </w:r>
          </w:p>
        </w:tc>
      </w:tr>
      <w:tr w:rsidR="006A328C" w:rsidRPr="00A906FA" w14:paraId="196E2FD9" w14:textId="77777777" w:rsidTr="00A906FA">
        <w:trPr>
          <w:trHeight w:val="510"/>
        </w:trPr>
        <w:tc>
          <w:tcPr>
            <w:tcW w:w="453" w:type="dxa"/>
            <w:gridSpan w:val="2"/>
            <w:tcBorders>
              <w:top w:val="outset" w:sz="6" w:space="0" w:color="414142"/>
              <w:left w:val="outset" w:sz="6" w:space="0" w:color="414142"/>
              <w:bottom w:val="outset" w:sz="6" w:space="0" w:color="414142"/>
              <w:right w:val="outset" w:sz="6" w:space="0" w:color="414142"/>
            </w:tcBorders>
            <w:hideMark/>
          </w:tcPr>
          <w:p w14:paraId="66A68651" w14:textId="77777777" w:rsidR="004D15A9" w:rsidRPr="00A906FA" w:rsidRDefault="004D15A9" w:rsidP="00DA596D">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lastRenderedPageBreak/>
              <w:t>3.</w:t>
            </w:r>
          </w:p>
        </w:tc>
        <w:tc>
          <w:tcPr>
            <w:tcW w:w="2658" w:type="dxa"/>
            <w:tcBorders>
              <w:top w:val="outset" w:sz="6" w:space="0" w:color="414142"/>
              <w:left w:val="outset" w:sz="6" w:space="0" w:color="414142"/>
              <w:bottom w:val="outset" w:sz="6" w:space="0" w:color="414142"/>
              <w:right w:val="outset" w:sz="6" w:space="0" w:color="414142"/>
            </w:tcBorders>
            <w:hideMark/>
          </w:tcPr>
          <w:p w14:paraId="1D7BCD23" w14:textId="77777777" w:rsidR="004D15A9" w:rsidRPr="00A906FA" w:rsidRDefault="004D15A9" w:rsidP="00DA596D">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Administratīvo izmaksu monetārs novērtējums</w:t>
            </w:r>
          </w:p>
        </w:tc>
        <w:tc>
          <w:tcPr>
            <w:tcW w:w="5944" w:type="dxa"/>
            <w:tcBorders>
              <w:top w:val="outset" w:sz="6" w:space="0" w:color="414142"/>
              <w:left w:val="outset" w:sz="6" w:space="0" w:color="414142"/>
              <w:bottom w:val="outset" w:sz="6" w:space="0" w:color="414142"/>
              <w:right w:val="outset" w:sz="6" w:space="0" w:color="414142"/>
            </w:tcBorders>
            <w:hideMark/>
          </w:tcPr>
          <w:p w14:paraId="7815A353" w14:textId="323D75F3" w:rsidR="00DE3C69" w:rsidRPr="00A906FA" w:rsidRDefault="005B0D5D" w:rsidP="00705F28">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2.1.1.3.1. aktivitātes ietvaros jāveic 39 apakšprojektu uzraudzība</w:t>
            </w:r>
            <w:r w:rsidR="00705F28" w:rsidRPr="00A906FA">
              <w:rPr>
                <w:rFonts w:ascii="Times New Roman" w:eastAsia="Times New Roman" w:hAnsi="Times New Roman" w:cs="Times New Roman"/>
                <w:sz w:val="26"/>
                <w:szCs w:val="26"/>
                <w:lang w:eastAsia="lv-LV"/>
              </w:rPr>
              <w:t xml:space="preserve"> ar </w:t>
            </w:r>
            <w:r w:rsidR="00DE3C69" w:rsidRPr="00A906FA">
              <w:rPr>
                <w:rFonts w:ascii="Times New Roman" w:eastAsia="Times New Roman" w:hAnsi="Times New Roman" w:cs="Times New Roman"/>
                <w:sz w:val="26"/>
                <w:szCs w:val="26"/>
                <w:lang w:eastAsia="lv-LV"/>
              </w:rPr>
              <w:t>mērķi nodrošināt Komisijas regulas Nr.651/2014 26. panta 7. punktā minēto nosacījumu un ierobežotas jomas darbībām izvirzīto kritēriju izpildi katra 2.1.1.3.1. apakšprojekta dzīves cikla laikā (pārskata periodā)</w:t>
            </w:r>
            <w:r w:rsidR="008F791E" w:rsidRPr="00A906FA">
              <w:rPr>
                <w:rFonts w:ascii="Times New Roman" w:eastAsia="Times New Roman" w:hAnsi="Times New Roman" w:cs="Times New Roman"/>
                <w:sz w:val="26"/>
                <w:szCs w:val="26"/>
                <w:lang w:eastAsia="lv-LV"/>
              </w:rPr>
              <w:t xml:space="preserve"> līdz 2032.gadam</w:t>
            </w:r>
            <w:r w:rsidR="00DE3C69" w:rsidRPr="00A906FA">
              <w:rPr>
                <w:rFonts w:ascii="Times New Roman" w:eastAsia="Times New Roman" w:hAnsi="Times New Roman" w:cs="Times New Roman"/>
                <w:sz w:val="26"/>
                <w:szCs w:val="26"/>
                <w:lang w:eastAsia="lv-LV"/>
              </w:rPr>
              <w:t>.</w:t>
            </w:r>
          </w:p>
          <w:p w14:paraId="7127A8A0" w14:textId="2D62CBD1" w:rsidR="00DE3C69" w:rsidRPr="00A906FA" w:rsidRDefault="00DE3C69" w:rsidP="00DE3C69">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Uzraudzības ietvaros </w:t>
            </w:r>
            <w:r w:rsidR="008F791E" w:rsidRPr="00A906FA">
              <w:rPr>
                <w:rFonts w:ascii="Times New Roman" w:eastAsia="Times New Roman" w:hAnsi="Times New Roman" w:cs="Times New Roman"/>
                <w:sz w:val="26"/>
                <w:szCs w:val="26"/>
                <w:lang w:eastAsia="lv-LV"/>
              </w:rPr>
              <w:t xml:space="preserve">(1) </w:t>
            </w:r>
            <w:r w:rsidRPr="00A906FA">
              <w:rPr>
                <w:rFonts w:ascii="Times New Roman" w:eastAsia="Times New Roman" w:hAnsi="Times New Roman" w:cs="Times New Roman"/>
                <w:sz w:val="26"/>
                <w:szCs w:val="26"/>
                <w:lang w:eastAsia="lv-LV"/>
              </w:rPr>
              <w:t>vērtē</w:t>
            </w:r>
            <w:r w:rsidR="008F791E" w:rsidRPr="00A906FA">
              <w:rPr>
                <w:rFonts w:ascii="Times New Roman" w:eastAsia="Times New Roman" w:hAnsi="Times New Roman" w:cs="Times New Roman"/>
                <w:sz w:val="26"/>
                <w:szCs w:val="26"/>
                <w:lang w:eastAsia="lv-LV"/>
              </w:rPr>
              <w:t>:</w:t>
            </w:r>
            <w:r w:rsidRPr="00A906FA">
              <w:rPr>
                <w:rFonts w:ascii="Times New Roman" w:eastAsia="Times New Roman" w:hAnsi="Times New Roman" w:cs="Times New Roman"/>
                <w:sz w:val="26"/>
                <w:szCs w:val="26"/>
                <w:lang w:eastAsia="lv-LV"/>
              </w:rPr>
              <w:t xml:space="preserve"> </w:t>
            </w:r>
            <w:r w:rsidR="008F791E" w:rsidRPr="00A906FA">
              <w:rPr>
                <w:rFonts w:ascii="Times New Roman" w:eastAsia="Times New Roman" w:hAnsi="Times New Roman" w:cs="Times New Roman"/>
                <w:sz w:val="26"/>
                <w:szCs w:val="26"/>
                <w:lang w:eastAsia="lv-LV"/>
              </w:rPr>
              <w:t>a</w:t>
            </w:r>
            <w:r w:rsidRPr="00A906FA">
              <w:rPr>
                <w:rFonts w:ascii="Times New Roman" w:eastAsia="Times New Roman" w:hAnsi="Times New Roman" w:cs="Times New Roman"/>
                <w:sz w:val="26"/>
                <w:szCs w:val="26"/>
                <w:lang w:eastAsia="lv-LV"/>
              </w:rPr>
              <w:t>) labuma guvēja finanšu vadības sistēmu (</w:t>
            </w:r>
            <w:r w:rsidR="008F791E" w:rsidRPr="00A906FA">
              <w:rPr>
                <w:rFonts w:ascii="Times New Roman" w:eastAsia="Times New Roman" w:hAnsi="Times New Roman" w:cs="Times New Roman"/>
                <w:sz w:val="26"/>
                <w:szCs w:val="26"/>
                <w:lang w:eastAsia="lv-LV"/>
              </w:rPr>
              <w:t>kas ietver jautājumus, kas saistīti ar</w:t>
            </w:r>
            <w:r w:rsidRPr="00A906FA">
              <w:rPr>
                <w:rFonts w:ascii="Times New Roman" w:eastAsia="Times New Roman" w:hAnsi="Times New Roman" w:cs="Times New Roman"/>
                <w:sz w:val="26"/>
                <w:szCs w:val="26"/>
                <w:lang w:eastAsia="lv-LV"/>
              </w:rPr>
              <w:t xml:space="preserve"> darbību </w:t>
            </w:r>
            <w:r w:rsidR="008F791E" w:rsidRPr="00A906FA">
              <w:rPr>
                <w:rFonts w:ascii="Times New Roman" w:eastAsia="Times New Roman" w:hAnsi="Times New Roman" w:cs="Times New Roman"/>
                <w:sz w:val="26"/>
                <w:szCs w:val="26"/>
                <w:lang w:eastAsia="lv-LV"/>
              </w:rPr>
              <w:t>nodalīšanu</w:t>
            </w:r>
            <w:r w:rsidRPr="00A906FA">
              <w:rPr>
                <w:rFonts w:ascii="Times New Roman" w:eastAsia="Times New Roman" w:hAnsi="Times New Roman" w:cs="Times New Roman"/>
                <w:sz w:val="26"/>
                <w:szCs w:val="26"/>
                <w:lang w:eastAsia="lv-LV"/>
              </w:rPr>
              <w:t xml:space="preserve">, ieņēmumu </w:t>
            </w:r>
            <w:proofErr w:type="spellStart"/>
            <w:r w:rsidR="008F791E" w:rsidRPr="00A906FA">
              <w:rPr>
                <w:rFonts w:ascii="Times New Roman" w:eastAsia="Times New Roman" w:hAnsi="Times New Roman" w:cs="Times New Roman"/>
                <w:sz w:val="26"/>
                <w:szCs w:val="26"/>
                <w:lang w:eastAsia="lv-LV"/>
              </w:rPr>
              <w:t>reinvestēšanu</w:t>
            </w:r>
            <w:proofErr w:type="spellEnd"/>
            <w:r w:rsidR="008F791E" w:rsidRPr="00A906FA">
              <w:rPr>
                <w:rFonts w:ascii="Times New Roman" w:eastAsia="Times New Roman" w:hAnsi="Times New Roman" w:cs="Times New Roman"/>
                <w:sz w:val="26"/>
                <w:szCs w:val="26"/>
                <w:lang w:eastAsia="lv-LV"/>
              </w:rPr>
              <w:t xml:space="preserve"> </w:t>
            </w:r>
            <w:r w:rsidRPr="00A906FA">
              <w:rPr>
                <w:rFonts w:ascii="Times New Roman" w:eastAsia="Times New Roman" w:hAnsi="Times New Roman" w:cs="Times New Roman"/>
                <w:sz w:val="26"/>
                <w:szCs w:val="26"/>
                <w:lang w:eastAsia="lv-LV"/>
              </w:rPr>
              <w:t xml:space="preserve">pamatdarbībā </w:t>
            </w:r>
            <w:r w:rsidR="008F791E" w:rsidRPr="00A906FA">
              <w:rPr>
                <w:rFonts w:ascii="Times New Roman" w:eastAsia="Times New Roman" w:hAnsi="Times New Roman" w:cs="Times New Roman"/>
                <w:sz w:val="26"/>
                <w:szCs w:val="26"/>
                <w:lang w:eastAsia="lv-LV"/>
              </w:rPr>
              <w:t>u.c.</w:t>
            </w:r>
            <w:r w:rsidRPr="00A906FA">
              <w:rPr>
                <w:rFonts w:ascii="Times New Roman" w:eastAsia="Times New Roman" w:hAnsi="Times New Roman" w:cs="Times New Roman"/>
                <w:sz w:val="26"/>
                <w:szCs w:val="26"/>
                <w:lang w:eastAsia="lv-LV"/>
              </w:rPr>
              <w:t xml:space="preserve"> pētniecības organizācijām izvirzītie</w:t>
            </w:r>
            <w:r w:rsidR="008F791E" w:rsidRPr="00A906FA">
              <w:rPr>
                <w:rFonts w:ascii="Times New Roman" w:eastAsia="Times New Roman" w:hAnsi="Times New Roman" w:cs="Times New Roman"/>
                <w:sz w:val="26"/>
                <w:szCs w:val="26"/>
                <w:lang w:eastAsia="lv-LV"/>
              </w:rPr>
              <w:t>m</w:t>
            </w:r>
            <w:r w:rsidRPr="00A906FA">
              <w:rPr>
                <w:rFonts w:ascii="Times New Roman" w:eastAsia="Times New Roman" w:hAnsi="Times New Roman" w:cs="Times New Roman"/>
                <w:sz w:val="26"/>
                <w:szCs w:val="26"/>
                <w:lang w:eastAsia="lv-LV"/>
              </w:rPr>
              <w:t xml:space="preserve"> nosacījumi</w:t>
            </w:r>
            <w:r w:rsidR="008F791E" w:rsidRPr="00A906FA">
              <w:rPr>
                <w:rFonts w:ascii="Times New Roman" w:eastAsia="Times New Roman" w:hAnsi="Times New Roman" w:cs="Times New Roman"/>
                <w:sz w:val="26"/>
                <w:szCs w:val="26"/>
                <w:lang w:eastAsia="lv-LV"/>
              </w:rPr>
              <w:t>em</w:t>
            </w:r>
            <w:r w:rsidRPr="00A906FA">
              <w:rPr>
                <w:rFonts w:ascii="Times New Roman" w:eastAsia="Times New Roman" w:hAnsi="Times New Roman" w:cs="Times New Roman"/>
                <w:sz w:val="26"/>
                <w:szCs w:val="26"/>
                <w:lang w:eastAsia="lv-LV"/>
              </w:rPr>
              <w:t xml:space="preserve">), </w:t>
            </w:r>
            <w:r w:rsidR="008F791E" w:rsidRPr="00A906FA">
              <w:rPr>
                <w:rFonts w:ascii="Times New Roman" w:eastAsia="Times New Roman" w:hAnsi="Times New Roman" w:cs="Times New Roman"/>
                <w:sz w:val="26"/>
                <w:szCs w:val="26"/>
                <w:lang w:eastAsia="lv-LV"/>
              </w:rPr>
              <w:t>b</w:t>
            </w:r>
            <w:r w:rsidRPr="00A906FA">
              <w:rPr>
                <w:rFonts w:ascii="Times New Roman" w:eastAsia="Times New Roman" w:hAnsi="Times New Roman" w:cs="Times New Roman"/>
                <w:sz w:val="26"/>
                <w:szCs w:val="26"/>
                <w:lang w:eastAsia="lv-LV"/>
              </w:rPr>
              <w:t>) darbību raksturu (saimnieciska</w:t>
            </w:r>
            <w:r w:rsidR="008F791E" w:rsidRPr="00A906FA">
              <w:rPr>
                <w:rFonts w:ascii="Times New Roman" w:eastAsia="Times New Roman" w:hAnsi="Times New Roman" w:cs="Times New Roman"/>
                <w:sz w:val="26"/>
                <w:szCs w:val="26"/>
                <w:lang w:eastAsia="lv-LV"/>
              </w:rPr>
              <w:t xml:space="preserve"> darbība</w:t>
            </w:r>
            <w:r w:rsidRPr="00A906FA">
              <w:rPr>
                <w:rFonts w:ascii="Times New Roman" w:eastAsia="Times New Roman" w:hAnsi="Times New Roman" w:cs="Times New Roman"/>
                <w:sz w:val="26"/>
                <w:szCs w:val="26"/>
                <w:lang w:eastAsia="lv-LV"/>
              </w:rPr>
              <w:t xml:space="preserve">, </w:t>
            </w:r>
            <w:r w:rsidR="008F791E" w:rsidRPr="00A906FA">
              <w:rPr>
                <w:rFonts w:ascii="Times New Roman" w:eastAsia="Times New Roman" w:hAnsi="Times New Roman" w:cs="Times New Roman"/>
                <w:sz w:val="26"/>
                <w:szCs w:val="26"/>
                <w:lang w:eastAsia="lv-LV"/>
              </w:rPr>
              <w:t>darbība, kurai nav saimniecisks raksturs</w:t>
            </w:r>
            <w:r w:rsidRPr="00A906FA">
              <w:rPr>
                <w:rFonts w:ascii="Times New Roman" w:eastAsia="Times New Roman" w:hAnsi="Times New Roman" w:cs="Times New Roman"/>
                <w:sz w:val="26"/>
                <w:szCs w:val="26"/>
                <w:lang w:eastAsia="lv-LV"/>
              </w:rPr>
              <w:t>), ko īsteno, izmantojot katra apakšprojekta ietvaros izveidoto pētniecības infrastruktūru</w:t>
            </w:r>
            <w:r w:rsidR="008F791E" w:rsidRPr="00A906FA">
              <w:rPr>
                <w:rFonts w:ascii="Times New Roman" w:eastAsia="Times New Roman" w:hAnsi="Times New Roman" w:cs="Times New Roman"/>
                <w:sz w:val="26"/>
                <w:szCs w:val="26"/>
                <w:lang w:eastAsia="lv-LV"/>
              </w:rPr>
              <w:t xml:space="preserve">; </w:t>
            </w:r>
            <w:r w:rsidRPr="00A906FA">
              <w:rPr>
                <w:rFonts w:ascii="Times New Roman" w:eastAsia="Times New Roman" w:hAnsi="Times New Roman" w:cs="Times New Roman"/>
                <w:sz w:val="26"/>
                <w:szCs w:val="26"/>
                <w:lang w:eastAsia="lv-LV"/>
              </w:rPr>
              <w:t>(</w:t>
            </w:r>
            <w:r w:rsidR="008F791E" w:rsidRPr="00A906FA">
              <w:rPr>
                <w:rFonts w:ascii="Times New Roman" w:eastAsia="Times New Roman" w:hAnsi="Times New Roman" w:cs="Times New Roman"/>
                <w:sz w:val="26"/>
                <w:szCs w:val="26"/>
                <w:lang w:eastAsia="lv-LV"/>
              </w:rPr>
              <w:t>2</w:t>
            </w:r>
            <w:r w:rsidRPr="00A906FA">
              <w:rPr>
                <w:rFonts w:ascii="Times New Roman" w:eastAsia="Times New Roman" w:hAnsi="Times New Roman" w:cs="Times New Roman"/>
                <w:sz w:val="26"/>
                <w:szCs w:val="26"/>
                <w:lang w:eastAsia="lv-LV"/>
              </w:rPr>
              <w:t>) nosaka saimnieciska rakstura pamatdarbību jaudu finanšu izteiksmē</w:t>
            </w:r>
            <w:r w:rsidR="008F791E" w:rsidRPr="00A906FA">
              <w:rPr>
                <w:rFonts w:ascii="Times New Roman" w:eastAsia="Times New Roman" w:hAnsi="Times New Roman" w:cs="Times New Roman"/>
                <w:sz w:val="26"/>
                <w:szCs w:val="26"/>
                <w:lang w:eastAsia="lv-LV"/>
              </w:rPr>
              <w:t xml:space="preserve">; (3) </w:t>
            </w:r>
            <w:r w:rsidRPr="00A906FA">
              <w:rPr>
                <w:rFonts w:ascii="Times New Roman" w:eastAsia="Times New Roman" w:hAnsi="Times New Roman" w:cs="Times New Roman"/>
                <w:sz w:val="26"/>
                <w:szCs w:val="26"/>
                <w:lang w:eastAsia="lv-LV"/>
              </w:rPr>
              <w:t>izvērtē saimnieciska rakstura pamatdarbību atbilstību ierobežotas jomas darbību kritērijiem</w:t>
            </w:r>
            <w:r w:rsidR="008F791E" w:rsidRPr="00A906FA">
              <w:rPr>
                <w:rFonts w:ascii="Times New Roman" w:eastAsia="Times New Roman" w:hAnsi="Times New Roman" w:cs="Times New Roman"/>
                <w:sz w:val="26"/>
                <w:szCs w:val="26"/>
                <w:lang w:eastAsia="lv-LV"/>
              </w:rPr>
              <w:t xml:space="preserve">, (4) piemēro </w:t>
            </w:r>
            <w:r w:rsidR="00A54679">
              <w:rPr>
                <w:rFonts w:ascii="Times New Roman" w:eastAsia="Times New Roman" w:hAnsi="Times New Roman" w:cs="Times New Roman"/>
                <w:sz w:val="26"/>
                <w:szCs w:val="26"/>
                <w:lang w:eastAsia="lv-LV"/>
              </w:rPr>
              <w:t>publiskā</w:t>
            </w:r>
            <w:r w:rsidR="008F791E" w:rsidRPr="00A906FA">
              <w:rPr>
                <w:rFonts w:ascii="Times New Roman" w:eastAsia="Times New Roman" w:hAnsi="Times New Roman" w:cs="Times New Roman"/>
                <w:sz w:val="26"/>
                <w:szCs w:val="26"/>
                <w:lang w:eastAsia="lv-LV"/>
              </w:rPr>
              <w:t xml:space="preserve"> finansējuma atgūšanas mehānismu (ja attiecināms)</w:t>
            </w:r>
            <w:r w:rsidR="008F791E" w:rsidRPr="00A906FA">
              <w:rPr>
                <w:rFonts w:ascii="Times New Roman" w:hAnsi="Times New Roman" w:cs="Times New Roman"/>
                <w:sz w:val="26"/>
                <w:szCs w:val="26"/>
              </w:rPr>
              <w:t xml:space="preserve">, </w:t>
            </w:r>
            <w:r w:rsidR="008F791E" w:rsidRPr="00A906FA">
              <w:rPr>
                <w:rFonts w:ascii="Times New Roman" w:eastAsia="Times New Roman" w:hAnsi="Times New Roman" w:cs="Times New Roman"/>
                <w:sz w:val="26"/>
                <w:szCs w:val="26"/>
                <w:lang w:eastAsia="lv-LV"/>
              </w:rPr>
              <w:t>nodrošinot Komisijas regulas Nr.651/2014 26. panta 7. punktā minēto nosacījumu izpildi</w:t>
            </w:r>
            <w:r w:rsidRPr="00A906FA">
              <w:rPr>
                <w:rFonts w:ascii="Times New Roman" w:eastAsia="Times New Roman" w:hAnsi="Times New Roman" w:cs="Times New Roman"/>
                <w:sz w:val="26"/>
                <w:szCs w:val="26"/>
                <w:lang w:eastAsia="lv-LV"/>
              </w:rPr>
              <w:t xml:space="preserve">. </w:t>
            </w:r>
          </w:p>
          <w:p w14:paraId="197CFD89" w14:textId="77777777" w:rsidR="00DE3C69" w:rsidRPr="00A906FA" w:rsidRDefault="00DE3C69" w:rsidP="00DE3C69">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2.1.1.3.1. aktivitātes ietvaros ieguldījumi veikti šādu pamatlīdzekļu modernizācijai, iegādei vai izveidei:</w:t>
            </w:r>
          </w:p>
          <w:p w14:paraId="6B172A89" w14:textId="77777777" w:rsidR="00DE3C69" w:rsidRPr="00A906FA" w:rsidRDefault="00DE3C69" w:rsidP="00DE3C69">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1. zinātniskā aparatūra – tehnoloģiskās iekārtas, kuru amortizācijas periods ir 10 gadi. Ieguldījumi veikti 38 apakšprojektu ietvaros;</w:t>
            </w:r>
          </w:p>
          <w:p w14:paraId="72C7CBB1" w14:textId="4481B162" w:rsidR="00DE3C69" w:rsidRPr="00A906FA" w:rsidRDefault="00DE3C69" w:rsidP="00DE3C69">
            <w:pPr>
              <w:spacing w:before="10" w:after="0" w:line="240" w:lineRule="auto"/>
              <w:ind w:left="113" w:right="113"/>
              <w:jc w:val="both"/>
              <w:rPr>
                <w:rFonts w:ascii="Times New Roman" w:hAnsi="Times New Roman" w:cs="Times New Roman"/>
                <w:color w:val="1F497D"/>
                <w:sz w:val="26"/>
                <w:szCs w:val="26"/>
              </w:rPr>
            </w:pPr>
            <w:r w:rsidRPr="00A906FA">
              <w:rPr>
                <w:rFonts w:ascii="Times New Roman" w:eastAsia="Times New Roman" w:hAnsi="Times New Roman" w:cs="Times New Roman"/>
                <w:sz w:val="26"/>
                <w:szCs w:val="26"/>
                <w:lang w:eastAsia="lv-LV"/>
              </w:rPr>
              <w:t xml:space="preserve">2. telpu un ēku renovācija un rekonstrukcija. Minētie ieguldījumi veikti 21 apakšprojekta ietvaros. </w:t>
            </w:r>
            <w:r w:rsidR="00CC7BC2" w:rsidRPr="00A906FA">
              <w:rPr>
                <w:rFonts w:ascii="Times New Roman" w:eastAsia="Times New Roman" w:hAnsi="Times New Roman" w:cs="Times New Roman"/>
                <w:sz w:val="26"/>
                <w:szCs w:val="26"/>
                <w:lang w:eastAsia="lv-LV"/>
              </w:rPr>
              <w:t>U</w:t>
            </w:r>
            <w:r w:rsidRPr="00A906FA">
              <w:rPr>
                <w:rFonts w:ascii="Times New Roman" w:eastAsia="Times New Roman" w:hAnsi="Times New Roman" w:cs="Times New Roman"/>
                <w:sz w:val="26"/>
                <w:szCs w:val="26"/>
                <w:lang w:eastAsia="lv-LV"/>
              </w:rPr>
              <w:t>zraudzīb</w:t>
            </w:r>
            <w:r w:rsidR="00CC7BC2" w:rsidRPr="00A906FA">
              <w:rPr>
                <w:rFonts w:ascii="Times New Roman" w:eastAsia="Times New Roman" w:hAnsi="Times New Roman" w:cs="Times New Roman"/>
                <w:sz w:val="26"/>
                <w:szCs w:val="26"/>
                <w:lang w:eastAsia="lv-LV"/>
              </w:rPr>
              <w:t>u</w:t>
            </w:r>
            <w:r w:rsidRPr="00A906FA">
              <w:rPr>
                <w:rFonts w:ascii="Times New Roman" w:eastAsia="Times New Roman" w:hAnsi="Times New Roman" w:cs="Times New Roman"/>
                <w:sz w:val="26"/>
                <w:szCs w:val="26"/>
                <w:lang w:eastAsia="lv-LV"/>
              </w:rPr>
              <w:t xml:space="preserve"> veic projekta pārskata periodā līdz 2032.gadam</w:t>
            </w:r>
            <w:r w:rsidRPr="00A906FA">
              <w:rPr>
                <w:rFonts w:ascii="Times New Roman" w:hAnsi="Times New Roman" w:cs="Times New Roman"/>
                <w:color w:val="1F497D"/>
                <w:sz w:val="26"/>
                <w:szCs w:val="26"/>
              </w:rPr>
              <w:t xml:space="preserve">; </w:t>
            </w:r>
          </w:p>
          <w:p w14:paraId="75DE444D" w14:textId="3E62B725" w:rsidR="00DE3C69" w:rsidRDefault="00DE3C69" w:rsidP="00DE3C69">
            <w:pPr>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3. jaunu būvju būvniecība, kas veikta 12 apakšprojektu ietvaros. </w:t>
            </w:r>
          </w:p>
          <w:p w14:paraId="297EFFFF" w14:textId="7597F055" w:rsidR="00DF2054" w:rsidRPr="00A906FA" w:rsidRDefault="00DF2054" w:rsidP="00DE3C69">
            <w:pPr>
              <w:rPr>
                <w:rFonts w:ascii="Times New Roman" w:hAnsi="Times New Roman" w:cs="Times New Roman"/>
                <w:sz w:val="26"/>
                <w:szCs w:val="26"/>
              </w:rPr>
            </w:pPr>
            <w:r>
              <w:rPr>
                <w:rFonts w:ascii="Times New Roman" w:hAnsi="Times New Roman" w:cs="Times New Roman"/>
                <w:sz w:val="26"/>
                <w:szCs w:val="26"/>
              </w:rPr>
              <w:t xml:space="preserve">Administratīvo izmaksas </w:t>
            </w:r>
            <w:proofErr w:type="spellStart"/>
            <w:r w:rsidRPr="00A906FA">
              <w:rPr>
                <w:rFonts w:ascii="Times New Roman" w:eastAsia="Times New Roman" w:hAnsi="Times New Roman" w:cs="Times New Roman"/>
                <w:sz w:val="26"/>
                <w:szCs w:val="26"/>
                <w:lang w:eastAsia="lv-LV"/>
              </w:rPr>
              <w:t>C</w:t>
            </w:r>
            <w:r w:rsidRPr="00A906FA">
              <w:rPr>
                <w:rFonts w:ascii="Times New Roman" w:eastAsia="Times New Roman" w:hAnsi="Times New Roman" w:cs="Times New Roman"/>
                <w:sz w:val="26"/>
                <w:szCs w:val="26"/>
                <w:vertAlign w:val="subscript"/>
                <w:lang w:eastAsia="lv-LV"/>
              </w:rPr>
              <w:t>g</w:t>
            </w:r>
            <w:proofErr w:type="spellEnd"/>
            <w:r>
              <w:rPr>
                <w:rFonts w:ascii="Times New Roman" w:hAnsi="Times New Roman" w:cs="Times New Roman"/>
                <w:sz w:val="26"/>
                <w:szCs w:val="26"/>
              </w:rPr>
              <w:t xml:space="preserve"> gadā aprēķina, izmantojot šādu formulu: </w:t>
            </w:r>
          </w:p>
          <w:p w14:paraId="562486A3" w14:textId="136DB62F" w:rsidR="0003107E" w:rsidRPr="00A906FA" w:rsidRDefault="00CC7BC2" w:rsidP="0015234D">
            <w:pPr>
              <w:spacing w:before="10" w:after="0" w:line="240" w:lineRule="auto"/>
              <w:ind w:left="113" w:right="113"/>
              <w:jc w:val="both"/>
              <w:rPr>
                <w:rFonts w:ascii="Times New Roman" w:eastAsia="Times New Roman" w:hAnsi="Times New Roman" w:cs="Times New Roman"/>
                <w:sz w:val="26"/>
                <w:szCs w:val="26"/>
                <w:lang w:eastAsia="lv-LV"/>
              </w:rPr>
            </w:pPr>
            <w:proofErr w:type="spellStart"/>
            <w:r w:rsidRPr="00A906FA">
              <w:rPr>
                <w:rFonts w:ascii="Times New Roman" w:eastAsia="Times New Roman" w:hAnsi="Times New Roman" w:cs="Times New Roman"/>
                <w:sz w:val="26"/>
                <w:szCs w:val="26"/>
                <w:lang w:eastAsia="lv-LV"/>
              </w:rPr>
              <w:t>C</w:t>
            </w:r>
            <w:r w:rsidR="00F17FE1" w:rsidRPr="00A906FA">
              <w:rPr>
                <w:rFonts w:ascii="Times New Roman" w:eastAsia="Times New Roman" w:hAnsi="Times New Roman" w:cs="Times New Roman"/>
                <w:sz w:val="26"/>
                <w:szCs w:val="26"/>
                <w:vertAlign w:val="subscript"/>
                <w:lang w:eastAsia="lv-LV"/>
              </w:rPr>
              <w:t>g</w:t>
            </w:r>
            <w:proofErr w:type="spellEnd"/>
            <w:r w:rsidRPr="00A906FA">
              <w:rPr>
                <w:rFonts w:ascii="Times New Roman" w:eastAsia="Times New Roman" w:hAnsi="Times New Roman" w:cs="Times New Roman"/>
                <w:sz w:val="26"/>
                <w:szCs w:val="26"/>
                <w:lang w:eastAsia="lv-LV"/>
              </w:rPr>
              <w:t xml:space="preserve"> = (f x l) x (n x b)</w:t>
            </w:r>
            <w:r w:rsidR="0003107E" w:rsidRPr="00A906FA">
              <w:rPr>
                <w:rFonts w:ascii="Times New Roman" w:eastAsia="Times New Roman" w:hAnsi="Times New Roman" w:cs="Times New Roman"/>
                <w:sz w:val="26"/>
                <w:szCs w:val="26"/>
                <w:lang w:eastAsia="lv-LV"/>
              </w:rPr>
              <w:t xml:space="preserve"> = </w:t>
            </w:r>
          </w:p>
          <w:p w14:paraId="3F3DFB52" w14:textId="52AD54E1" w:rsidR="00CC7BC2" w:rsidRPr="00A906FA" w:rsidRDefault="0003107E" w:rsidP="0015234D">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 </w:t>
            </w:r>
            <w:r w:rsidR="00C878D0" w:rsidRPr="00A906FA">
              <w:rPr>
                <w:rFonts w:ascii="Times New Roman" w:eastAsia="Times New Roman" w:hAnsi="Times New Roman" w:cs="Times New Roman"/>
                <w:sz w:val="26"/>
                <w:szCs w:val="26"/>
                <w:lang w:eastAsia="lv-LV"/>
              </w:rPr>
              <w:t>16</w:t>
            </w:r>
            <w:r w:rsidRPr="00A906FA">
              <w:rPr>
                <w:rFonts w:ascii="Times New Roman" w:eastAsia="Times New Roman" w:hAnsi="Times New Roman" w:cs="Times New Roman"/>
                <w:sz w:val="26"/>
                <w:szCs w:val="26"/>
                <w:lang w:eastAsia="lv-LV"/>
              </w:rPr>
              <w:t xml:space="preserve"> x 1224 x </w:t>
            </w:r>
            <w:r w:rsidR="00F17FE1" w:rsidRPr="00A906FA">
              <w:rPr>
                <w:rFonts w:ascii="Times New Roman" w:eastAsia="Times New Roman" w:hAnsi="Times New Roman" w:cs="Times New Roman"/>
                <w:sz w:val="26"/>
                <w:szCs w:val="26"/>
                <w:lang w:eastAsia="lv-LV"/>
              </w:rPr>
              <w:t>2</w:t>
            </w:r>
            <w:r w:rsidRPr="00A906FA">
              <w:rPr>
                <w:rFonts w:ascii="Times New Roman" w:eastAsia="Times New Roman" w:hAnsi="Times New Roman" w:cs="Times New Roman"/>
                <w:sz w:val="26"/>
                <w:szCs w:val="26"/>
                <w:lang w:eastAsia="lv-LV"/>
              </w:rPr>
              <w:t xml:space="preserve"> x 1 </w:t>
            </w:r>
            <w:r w:rsidR="00EE2BFD" w:rsidRPr="00A906FA">
              <w:rPr>
                <w:rFonts w:ascii="Times New Roman" w:eastAsia="Times New Roman" w:hAnsi="Times New Roman" w:cs="Times New Roman"/>
                <w:sz w:val="26"/>
                <w:szCs w:val="26"/>
                <w:lang w:eastAsia="lv-LV"/>
              </w:rPr>
              <w:t xml:space="preserve">= </w:t>
            </w:r>
            <w:r w:rsidR="0015234D" w:rsidRPr="00A906FA">
              <w:rPr>
                <w:rFonts w:ascii="Times New Roman" w:eastAsia="Times New Roman" w:hAnsi="Times New Roman" w:cs="Times New Roman"/>
                <w:sz w:val="26"/>
                <w:szCs w:val="26"/>
                <w:lang w:eastAsia="lv-LV"/>
              </w:rPr>
              <w:t>3</w:t>
            </w:r>
            <w:r w:rsidR="00C878D0" w:rsidRPr="00A906FA">
              <w:rPr>
                <w:rFonts w:ascii="Times New Roman" w:eastAsia="Times New Roman" w:hAnsi="Times New Roman" w:cs="Times New Roman"/>
                <w:sz w:val="26"/>
                <w:szCs w:val="26"/>
                <w:lang w:eastAsia="lv-LV"/>
              </w:rPr>
              <w:t>9</w:t>
            </w:r>
            <w:r w:rsidR="0015234D" w:rsidRPr="00A906FA">
              <w:rPr>
                <w:rFonts w:ascii="Times New Roman" w:eastAsia="Times New Roman" w:hAnsi="Times New Roman" w:cs="Times New Roman"/>
                <w:sz w:val="26"/>
                <w:szCs w:val="26"/>
                <w:lang w:eastAsia="lv-LV"/>
              </w:rPr>
              <w:t> </w:t>
            </w:r>
            <w:r w:rsidR="00C878D0" w:rsidRPr="00A906FA">
              <w:rPr>
                <w:rFonts w:ascii="Times New Roman" w:eastAsia="Times New Roman" w:hAnsi="Times New Roman" w:cs="Times New Roman"/>
                <w:sz w:val="26"/>
                <w:szCs w:val="26"/>
                <w:lang w:eastAsia="lv-LV"/>
              </w:rPr>
              <w:t>168</w:t>
            </w:r>
            <w:r w:rsidR="0015234D" w:rsidRPr="00A906FA">
              <w:rPr>
                <w:rFonts w:ascii="Times New Roman" w:eastAsia="Times New Roman" w:hAnsi="Times New Roman" w:cs="Times New Roman"/>
                <w:sz w:val="26"/>
                <w:szCs w:val="26"/>
                <w:lang w:eastAsia="lv-LV"/>
              </w:rPr>
              <w:t xml:space="preserve"> (EUR)</w:t>
            </w:r>
            <w:r w:rsidR="00CC7BC2" w:rsidRPr="00A906FA">
              <w:rPr>
                <w:rFonts w:ascii="Times New Roman" w:eastAsia="Times New Roman" w:hAnsi="Times New Roman" w:cs="Times New Roman"/>
                <w:sz w:val="26"/>
                <w:szCs w:val="26"/>
                <w:lang w:eastAsia="lv-LV"/>
              </w:rPr>
              <w:t>, kur</w:t>
            </w:r>
          </w:p>
          <w:p w14:paraId="47DF4118" w14:textId="628E9C37" w:rsidR="00CC7BC2" w:rsidRPr="00A906FA" w:rsidRDefault="00F17FE1" w:rsidP="0015234D">
            <w:pPr>
              <w:spacing w:before="10" w:after="0" w:line="240" w:lineRule="auto"/>
              <w:ind w:left="113" w:right="113"/>
              <w:jc w:val="both"/>
              <w:rPr>
                <w:rFonts w:ascii="Times New Roman" w:eastAsia="Times New Roman" w:hAnsi="Times New Roman" w:cs="Times New Roman"/>
                <w:sz w:val="26"/>
                <w:szCs w:val="26"/>
                <w:lang w:eastAsia="lv-LV"/>
              </w:rPr>
            </w:pPr>
            <w:proofErr w:type="spellStart"/>
            <w:r w:rsidRPr="00A906FA">
              <w:rPr>
                <w:rFonts w:ascii="Times New Roman" w:eastAsia="Times New Roman" w:hAnsi="Times New Roman" w:cs="Times New Roman"/>
                <w:sz w:val="26"/>
                <w:szCs w:val="26"/>
                <w:lang w:eastAsia="lv-LV"/>
              </w:rPr>
              <w:t>C</w:t>
            </w:r>
            <w:r w:rsidRPr="00A906FA">
              <w:rPr>
                <w:rFonts w:ascii="Times New Roman" w:eastAsia="Times New Roman" w:hAnsi="Times New Roman" w:cs="Times New Roman"/>
                <w:sz w:val="26"/>
                <w:szCs w:val="26"/>
                <w:vertAlign w:val="subscript"/>
                <w:lang w:eastAsia="lv-LV"/>
              </w:rPr>
              <w:t>g</w:t>
            </w:r>
            <w:proofErr w:type="spellEnd"/>
            <w:r w:rsidR="00CC7BC2" w:rsidRPr="00A906FA">
              <w:rPr>
                <w:rFonts w:ascii="Times New Roman" w:eastAsia="Times New Roman" w:hAnsi="Times New Roman" w:cs="Times New Roman"/>
                <w:sz w:val="26"/>
                <w:szCs w:val="26"/>
                <w:lang w:eastAsia="lv-LV"/>
              </w:rPr>
              <w:t xml:space="preserve"> – informācijas sniegšanas, pieņemšanas, apstrādes vai uzglabāšanas pienākum</w:t>
            </w:r>
            <w:r w:rsidR="0003107E" w:rsidRPr="00A906FA">
              <w:rPr>
                <w:rFonts w:ascii="Times New Roman" w:eastAsia="Times New Roman" w:hAnsi="Times New Roman" w:cs="Times New Roman"/>
                <w:sz w:val="26"/>
                <w:szCs w:val="26"/>
                <w:lang w:eastAsia="lv-LV"/>
              </w:rPr>
              <w:t>u</w:t>
            </w:r>
            <w:r w:rsidR="00CC7BC2" w:rsidRPr="00A906FA">
              <w:rPr>
                <w:rFonts w:ascii="Times New Roman" w:eastAsia="Times New Roman" w:hAnsi="Times New Roman" w:cs="Times New Roman"/>
                <w:sz w:val="26"/>
                <w:szCs w:val="26"/>
                <w:lang w:eastAsia="lv-LV"/>
              </w:rPr>
              <w:t xml:space="preserve"> </w:t>
            </w:r>
            <w:r w:rsidR="0003107E" w:rsidRPr="00A906FA">
              <w:rPr>
                <w:rFonts w:ascii="Times New Roman" w:eastAsia="Times New Roman" w:hAnsi="Times New Roman" w:cs="Times New Roman"/>
                <w:sz w:val="26"/>
                <w:szCs w:val="26"/>
                <w:lang w:eastAsia="lv-LV"/>
              </w:rPr>
              <w:t xml:space="preserve">(turpmāk – uzraudzība) </w:t>
            </w:r>
            <w:r w:rsidR="00CC7BC2" w:rsidRPr="00A906FA">
              <w:rPr>
                <w:rFonts w:ascii="Times New Roman" w:eastAsia="Times New Roman" w:hAnsi="Times New Roman" w:cs="Times New Roman"/>
                <w:sz w:val="26"/>
                <w:szCs w:val="26"/>
                <w:lang w:eastAsia="lv-LV"/>
              </w:rPr>
              <w:lastRenderedPageBreak/>
              <w:t>radītās izmaksas jeb administratīvās izmaksas</w:t>
            </w:r>
            <w:r w:rsidRPr="00A906FA">
              <w:rPr>
                <w:rFonts w:ascii="Times New Roman" w:eastAsia="Times New Roman" w:hAnsi="Times New Roman" w:cs="Times New Roman"/>
                <w:sz w:val="26"/>
                <w:szCs w:val="26"/>
                <w:lang w:eastAsia="lv-LV"/>
              </w:rPr>
              <w:t xml:space="preserve"> gadā</w:t>
            </w:r>
            <w:r w:rsidR="0015234D" w:rsidRPr="00A906FA">
              <w:rPr>
                <w:rFonts w:ascii="Times New Roman" w:eastAsia="Times New Roman" w:hAnsi="Times New Roman" w:cs="Times New Roman"/>
                <w:sz w:val="26"/>
                <w:szCs w:val="26"/>
                <w:lang w:eastAsia="lv-LV"/>
              </w:rPr>
              <w:t xml:space="preserve"> (indikatīvi)</w:t>
            </w:r>
            <w:r w:rsidR="00CC7BC2" w:rsidRPr="00A906FA">
              <w:rPr>
                <w:rFonts w:ascii="Times New Roman" w:eastAsia="Times New Roman" w:hAnsi="Times New Roman" w:cs="Times New Roman"/>
                <w:sz w:val="26"/>
                <w:szCs w:val="26"/>
                <w:lang w:eastAsia="lv-LV"/>
              </w:rPr>
              <w:t>;</w:t>
            </w:r>
          </w:p>
          <w:p w14:paraId="5AD11A6C" w14:textId="3A186BB0" w:rsidR="00CC7BC2" w:rsidRPr="00A906FA" w:rsidRDefault="00CC7BC2" w:rsidP="0015234D">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f – finanšu līdzekļu apjoms, kas nepieciešams, lai nodrošinātu </w:t>
            </w:r>
            <w:r w:rsidR="0003107E" w:rsidRPr="00A906FA">
              <w:rPr>
                <w:rFonts w:ascii="Times New Roman" w:eastAsia="Times New Roman" w:hAnsi="Times New Roman" w:cs="Times New Roman"/>
                <w:sz w:val="26"/>
                <w:szCs w:val="26"/>
                <w:lang w:eastAsia="lv-LV"/>
              </w:rPr>
              <w:t>uzraudzību</w:t>
            </w:r>
            <w:r w:rsidRPr="00A906FA">
              <w:rPr>
                <w:rFonts w:ascii="Times New Roman" w:eastAsia="Times New Roman" w:hAnsi="Times New Roman" w:cs="Times New Roman"/>
                <w:sz w:val="26"/>
                <w:szCs w:val="26"/>
                <w:lang w:eastAsia="lv-LV"/>
              </w:rPr>
              <w:t xml:space="preserve"> (stundas samaksas likme, ieskaitot virsstundas);</w:t>
            </w:r>
          </w:p>
          <w:p w14:paraId="22EF7FDF" w14:textId="1D4E860D" w:rsidR="00CC7BC2" w:rsidRPr="00A906FA" w:rsidRDefault="00CC7BC2" w:rsidP="0015234D">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l – laika patēriņš, kas nepieciešams, lai </w:t>
            </w:r>
            <w:r w:rsidR="0003107E" w:rsidRPr="00A906FA">
              <w:rPr>
                <w:rFonts w:ascii="Times New Roman" w:eastAsia="Times New Roman" w:hAnsi="Times New Roman" w:cs="Times New Roman"/>
                <w:sz w:val="26"/>
                <w:szCs w:val="26"/>
                <w:lang w:eastAsia="lv-LV"/>
              </w:rPr>
              <w:t xml:space="preserve">veiktu </w:t>
            </w:r>
            <w:r w:rsidR="00F17FE1" w:rsidRPr="00A906FA">
              <w:rPr>
                <w:rFonts w:ascii="Times New Roman" w:eastAsia="Times New Roman" w:hAnsi="Times New Roman" w:cs="Times New Roman"/>
                <w:sz w:val="26"/>
                <w:szCs w:val="26"/>
                <w:lang w:eastAsia="lv-LV"/>
              </w:rPr>
              <w:t>39 apakšprojektu uzraudzību</w:t>
            </w:r>
            <w:r w:rsidR="00EE2BFD" w:rsidRPr="00A906FA">
              <w:rPr>
                <w:rFonts w:ascii="Times New Roman" w:eastAsia="Times New Roman" w:hAnsi="Times New Roman" w:cs="Times New Roman"/>
                <w:sz w:val="26"/>
                <w:szCs w:val="26"/>
                <w:lang w:eastAsia="lv-LV"/>
              </w:rPr>
              <w:t>, stundas</w:t>
            </w:r>
            <w:r w:rsidRPr="00A906FA">
              <w:rPr>
                <w:rFonts w:ascii="Times New Roman" w:eastAsia="Times New Roman" w:hAnsi="Times New Roman" w:cs="Times New Roman"/>
                <w:sz w:val="26"/>
                <w:szCs w:val="26"/>
                <w:lang w:eastAsia="lv-LV"/>
              </w:rPr>
              <w:t>;</w:t>
            </w:r>
          </w:p>
          <w:p w14:paraId="5909514C" w14:textId="2B2C9341" w:rsidR="00CC7BC2" w:rsidRPr="00A906FA" w:rsidRDefault="00CC7BC2" w:rsidP="0015234D">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n – subjektu skaits, uz ko attiecas </w:t>
            </w:r>
            <w:r w:rsidR="00F17FE1" w:rsidRPr="00A906FA">
              <w:rPr>
                <w:rFonts w:ascii="Times New Roman" w:eastAsia="Times New Roman" w:hAnsi="Times New Roman" w:cs="Times New Roman"/>
                <w:sz w:val="26"/>
                <w:szCs w:val="26"/>
                <w:lang w:eastAsia="lv-LV"/>
              </w:rPr>
              <w:t>uzraudzības veikšana</w:t>
            </w:r>
            <w:r w:rsidR="00EE2BFD" w:rsidRPr="00A906FA">
              <w:rPr>
                <w:rFonts w:ascii="Times New Roman" w:eastAsia="Times New Roman" w:hAnsi="Times New Roman" w:cs="Times New Roman"/>
                <w:sz w:val="26"/>
                <w:szCs w:val="26"/>
                <w:lang w:eastAsia="lv-LV"/>
              </w:rPr>
              <w:t xml:space="preserve"> (divi auditori</w:t>
            </w:r>
            <w:r w:rsidR="00F17FE1" w:rsidRPr="00A906FA">
              <w:rPr>
                <w:rFonts w:ascii="Times New Roman" w:eastAsia="Times New Roman" w:hAnsi="Times New Roman" w:cs="Times New Roman"/>
                <w:sz w:val="26"/>
                <w:szCs w:val="26"/>
                <w:lang w:eastAsia="lv-LV"/>
              </w:rPr>
              <w:t xml:space="preserve"> uz katru apakšprojektu</w:t>
            </w:r>
            <w:r w:rsidR="00EE2BFD" w:rsidRPr="00A906FA">
              <w:rPr>
                <w:rFonts w:ascii="Times New Roman" w:eastAsia="Times New Roman" w:hAnsi="Times New Roman" w:cs="Times New Roman"/>
                <w:sz w:val="26"/>
                <w:szCs w:val="26"/>
                <w:lang w:eastAsia="lv-LV"/>
              </w:rPr>
              <w:t>)</w:t>
            </w:r>
            <w:r w:rsidRPr="00A906FA">
              <w:rPr>
                <w:rFonts w:ascii="Times New Roman" w:eastAsia="Times New Roman" w:hAnsi="Times New Roman" w:cs="Times New Roman"/>
                <w:sz w:val="26"/>
                <w:szCs w:val="26"/>
                <w:lang w:eastAsia="lv-LV"/>
              </w:rPr>
              <w:t>;</w:t>
            </w:r>
          </w:p>
          <w:p w14:paraId="3B222070" w14:textId="61420BAA" w:rsidR="00393719" w:rsidRPr="00A906FA" w:rsidRDefault="00CC7BC2" w:rsidP="0003107E">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b – cik bieži gada laikā projekts paredz </w:t>
            </w:r>
            <w:r w:rsidR="00F17FE1" w:rsidRPr="00A906FA">
              <w:rPr>
                <w:rFonts w:ascii="Times New Roman" w:eastAsia="Times New Roman" w:hAnsi="Times New Roman" w:cs="Times New Roman"/>
                <w:sz w:val="26"/>
                <w:szCs w:val="26"/>
                <w:lang w:eastAsia="lv-LV"/>
              </w:rPr>
              <w:t>kontroli.</w:t>
            </w:r>
          </w:p>
          <w:p w14:paraId="28FBA37D" w14:textId="144F90A7" w:rsidR="0015234D" w:rsidRPr="00A906FA" w:rsidRDefault="00F17FE1" w:rsidP="00F17FE1">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Indikatīvās kopējās uzraudzības izmaksas pārskata periodā no 2018. gada līdz 2032. gadam</w:t>
            </w:r>
            <w:r w:rsidR="0015234D" w:rsidRPr="00A906FA">
              <w:rPr>
                <w:rFonts w:ascii="Times New Roman" w:eastAsia="Times New Roman" w:hAnsi="Times New Roman" w:cs="Times New Roman"/>
                <w:sz w:val="26"/>
                <w:szCs w:val="26"/>
                <w:lang w:eastAsia="lv-LV"/>
              </w:rPr>
              <w:t>:</w:t>
            </w:r>
            <w:r w:rsidRPr="00A906FA">
              <w:rPr>
                <w:rFonts w:ascii="Times New Roman" w:eastAsia="Times New Roman" w:hAnsi="Times New Roman" w:cs="Times New Roman"/>
                <w:sz w:val="26"/>
                <w:szCs w:val="26"/>
                <w:lang w:eastAsia="lv-LV"/>
              </w:rPr>
              <w:t xml:space="preserve"> </w:t>
            </w:r>
          </w:p>
          <w:p w14:paraId="6F4DCB6F" w14:textId="77777777" w:rsidR="0003107E" w:rsidRPr="00A906FA" w:rsidRDefault="00F17FE1" w:rsidP="00E37E53">
            <w:pPr>
              <w:spacing w:before="10" w:after="0" w:line="240" w:lineRule="auto"/>
              <w:ind w:left="113"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C</w:t>
            </w:r>
            <w:r w:rsidRPr="00A906FA">
              <w:rPr>
                <w:rFonts w:ascii="Times New Roman" w:eastAsia="Times New Roman" w:hAnsi="Times New Roman" w:cs="Times New Roman"/>
                <w:sz w:val="26"/>
                <w:szCs w:val="26"/>
                <w:vertAlign w:val="subscript"/>
                <w:lang w:eastAsia="lv-LV"/>
              </w:rPr>
              <w:t xml:space="preserve">2032 </w:t>
            </w:r>
            <w:r w:rsidRPr="00A906FA">
              <w:rPr>
                <w:rFonts w:ascii="Times New Roman" w:eastAsia="Times New Roman" w:hAnsi="Times New Roman" w:cs="Times New Roman"/>
                <w:sz w:val="26"/>
                <w:szCs w:val="26"/>
                <w:lang w:eastAsia="lv-LV"/>
              </w:rPr>
              <w:t xml:space="preserve">= </w:t>
            </w:r>
            <w:r w:rsidR="00C878D0" w:rsidRPr="00A906FA">
              <w:rPr>
                <w:rFonts w:ascii="Times New Roman" w:eastAsia="Times New Roman" w:hAnsi="Times New Roman" w:cs="Times New Roman"/>
                <w:sz w:val="26"/>
                <w:szCs w:val="26"/>
                <w:lang w:eastAsia="lv-LV"/>
              </w:rPr>
              <w:t>536</w:t>
            </w:r>
            <w:r w:rsidR="008F791E" w:rsidRPr="00A906FA">
              <w:rPr>
                <w:rFonts w:ascii="Times New Roman" w:eastAsia="Times New Roman" w:hAnsi="Times New Roman" w:cs="Times New Roman"/>
                <w:sz w:val="26"/>
                <w:szCs w:val="26"/>
                <w:lang w:eastAsia="lv-LV"/>
              </w:rPr>
              <w:t> </w:t>
            </w:r>
            <w:r w:rsidR="00C878D0" w:rsidRPr="00A906FA">
              <w:rPr>
                <w:rFonts w:ascii="Times New Roman" w:eastAsia="Times New Roman" w:hAnsi="Times New Roman" w:cs="Times New Roman"/>
                <w:sz w:val="26"/>
                <w:szCs w:val="26"/>
                <w:lang w:eastAsia="lv-LV"/>
              </w:rPr>
              <w:t>8</w:t>
            </w:r>
            <w:r w:rsidR="00E37E53" w:rsidRPr="00A906FA">
              <w:rPr>
                <w:rFonts w:ascii="Times New Roman" w:eastAsia="Times New Roman" w:hAnsi="Times New Roman" w:cs="Times New Roman"/>
                <w:sz w:val="26"/>
                <w:szCs w:val="26"/>
                <w:lang w:eastAsia="lv-LV"/>
              </w:rPr>
              <w:t>32</w:t>
            </w:r>
            <w:r w:rsidR="00D55C24" w:rsidRPr="00A906FA">
              <w:rPr>
                <w:rFonts w:ascii="Times New Roman" w:eastAsia="Times New Roman" w:hAnsi="Times New Roman" w:cs="Times New Roman"/>
                <w:sz w:val="26"/>
                <w:szCs w:val="26"/>
                <w:lang w:eastAsia="lv-LV"/>
              </w:rPr>
              <w:t xml:space="preserve"> </w:t>
            </w:r>
            <w:r w:rsidR="0015234D" w:rsidRPr="00A906FA">
              <w:rPr>
                <w:rFonts w:ascii="Times New Roman" w:eastAsia="Times New Roman" w:hAnsi="Times New Roman" w:cs="Times New Roman"/>
                <w:sz w:val="26"/>
                <w:szCs w:val="26"/>
                <w:lang w:eastAsia="lv-LV"/>
              </w:rPr>
              <w:t>EUR</w:t>
            </w:r>
            <w:r w:rsidR="007A5E15" w:rsidRPr="00A906FA">
              <w:rPr>
                <w:rFonts w:ascii="Times New Roman" w:eastAsia="Times New Roman" w:hAnsi="Times New Roman" w:cs="Times New Roman"/>
                <w:sz w:val="26"/>
                <w:szCs w:val="26"/>
                <w:lang w:eastAsia="lv-LV"/>
              </w:rPr>
              <w:t>.</w:t>
            </w:r>
          </w:p>
          <w:p w14:paraId="6C8263DF" w14:textId="53D57F80" w:rsidR="00C24D1E" w:rsidRPr="006207F8" w:rsidRDefault="00C24D1E" w:rsidP="00C24D1E">
            <w:pPr>
              <w:spacing w:before="10" w:after="0" w:line="240" w:lineRule="auto"/>
              <w:ind w:left="113" w:right="113"/>
              <w:jc w:val="both"/>
              <w:rPr>
                <w:rFonts w:ascii="Times New Roman" w:eastAsia="Times New Roman" w:hAnsi="Times New Roman" w:cs="Times New Roman"/>
                <w:sz w:val="26"/>
                <w:szCs w:val="26"/>
                <w:lang w:eastAsia="lv-LV"/>
              </w:rPr>
            </w:pPr>
            <w:r w:rsidRPr="006207F8">
              <w:rPr>
                <w:rFonts w:ascii="Times New Roman" w:eastAsia="Times New Roman" w:hAnsi="Times New Roman" w:cs="Times New Roman"/>
                <w:sz w:val="26"/>
                <w:szCs w:val="26"/>
                <w:lang w:eastAsia="lv-LV"/>
              </w:rPr>
              <w:t>No 2019. gada 1. janvāra līdz 202</w:t>
            </w:r>
            <w:r w:rsidR="003E07C6" w:rsidRPr="006207F8">
              <w:rPr>
                <w:rFonts w:ascii="Times New Roman" w:eastAsia="Times New Roman" w:hAnsi="Times New Roman" w:cs="Times New Roman"/>
                <w:sz w:val="26"/>
                <w:szCs w:val="26"/>
                <w:lang w:eastAsia="lv-LV"/>
              </w:rPr>
              <w:t>0</w:t>
            </w:r>
            <w:r w:rsidRPr="006207F8">
              <w:rPr>
                <w:rFonts w:ascii="Times New Roman" w:eastAsia="Times New Roman" w:hAnsi="Times New Roman" w:cs="Times New Roman"/>
                <w:sz w:val="26"/>
                <w:szCs w:val="26"/>
                <w:lang w:eastAsia="lv-LV"/>
              </w:rPr>
              <w:t xml:space="preserve">. gada 31. decembrim projektu uzraudzībai projektu dzīves cikla laikā nepieciešamais finansējums </w:t>
            </w:r>
            <w:r w:rsidR="003E07C6" w:rsidRPr="006207F8">
              <w:rPr>
                <w:rFonts w:ascii="Times New Roman" w:eastAsia="Times New Roman" w:hAnsi="Times New Roman" w:cs="Times New Roman"/>
                <w:sz w:val="26"/>
                <w:szCs w:val="26"/>
                <w:lang w:eastAsia="lv-LV"/>
              </w:rPr>
              <w:t>78</w:t>
            </w:r>
            <w:r w:rsidRPr="006207F8">
              <w:rPr>
                <w:rFonts w:ascii="Times New Roman" w:eastAsia="Times New Roman" w:hAnsi="Times New Roman" w:cs="Times New Roman"/>
                <w:sz w:val="26"/>
                <w:szCs w:val="26"/>
                <w:lang w:eastAsia="lv-LV"/>
              </w:rPr>
              <w:t> </w:t>
            </w:r>
            <w:r w:rsidR="003E07C6" w:rsidRPr="006207F8">
              <w:rPr>
                <w:rFonts w:ascii="Times New Roman" w:eastAsia="Times New Roman" w:hAnsi="Times New Roman" w:cs="Times New Roman"/>
                <w:sz w:val="26"/>
                <w:szCs w:val="26"/>
                <w:lang w:eastAsia="lv-LV"/>
              </w:rPr>
              <w:t>336</w:t>
            </w:r>
            <w:r w:rsidRPr="006207F8">
              <w:rPr>
                <w:rFonts w:ascii="Times New Roman" w:eastAsia="Times New Roman" w:hAnsi="Times New Roman" w:cs="Times New Roman"/>
                <w:sz w:val="26"/>
                <w:szCs w:val="26"/>
                <w:lang w:eastAsia="lv-LV"/>
              </w:rPr>
              <w:t xml:space="preserve"> </w:t>
            </w:r>
            <w:r w:rsidRPr="006207F8">
              <w:rPr>
                <w:rFonts w:ascii="Times New Roman" w:eastAsia="Times New Roman" w:hAnsi="Times New Roman" w:cs="Times New Roman"/>
                <w:i/>
                <w:sz w:val="26"/>
                <w:szCs w:val="26"/>
                <w:lang w:eastAsia="lv-LV"/>
              </w:rPr>
              <w:t>EUR</w:t>
            </w:r>
            <w:r w:rsidRPr="006207F8">
              <w:rPr>
                <w:rFonts w:ascii="Times New Roman" w:eastAsia="Times New Roman" w:hAnsi="Times New Roman" w:cs="Times New Roman"/>
                <w:sz w:val="26"/>
                <w:szCs w:val="26"/>
                <w:lang w:eastAsia="lv-LV"/>
              </w:rPr>
              <w:t>.</w:t>
            </w:r>
          </w:p>
          <w:p w14:paraId="317966EC" w14:textId="40194ED8" w:rsidR="00C24D1E" w:rsidRPr="00A906FA" w:rsidRDefault="00C24D1E" w:rsidP="003E07C6">
            <w:pPr>
              <w:spacing w:before="10" w:after="0" w:line="240" w:lineRule="auto"/>
              <w:ind w:left="113" w:right="113"/>
              <w:jc w:val="both"/>
              <w:rPr>
                <w:rFonts w:ascii="Times New Roman" w:eastAsia="Times New Roman" w:hAnsi="Times New Roman" w:cs="Times New Roman"/>
                <w:sz w:val="26"/>
                <w:szCs w:val="26"/>
                <w:lang w:eastAsia="lv-LV"/>
              </w:rPr>
            </w:pPr>
            <w:r w:rsidRPr="006207F8">
              <w:rPr>
                <w:rFonts w:ascii="Times New Roman" w:eastAsia="Times New Roman" w:hAnsi="Times New Roman" w:cs="Times New Roman"/>
                <w:sz w:val="26"/>
                <w:szCs w:val="26"/>
                <w:lang w:eastAsia="lv-LV"/>
              </w:rPr>
              <w:t>No 202</w:t>
            </w:r>
            <w:r w:rsidR="003E07C6" w:rsidRPr="006207F8">
              <w:rPr>
                <w:rFonts w:ascii="Times New Roman" w:eastAsia="Times New Roman" w:hAnsi="Times New Roman" w:cs="Times New Roman"/>
                <w:sz w:val="26"/>
                <w:szCs w:val="26"/>
                <w:lang w:eastAsia="lv-LV"/>
              </w:rPr>
              <w:t>1</w:t>
            </w:r>
            <w:r w:rsidRPr="006207F8">
              <w:rPr>
                <w:rFonts w:ascii="Times New Roman" w:eastAsia="Times New Roman" w:hAnsi="Times New Roman" w:cs="Times New Roman"/>
                <w:sz w:val="26"/>
                <w:szCs w:val="26"/>
                <w:lang w:eastAsia="lv-LV"/>
              </w:rPr>
              <w:t xml:space="preserve">. gada 1. janvāra līdz 2032. gada 31. decembrim projektu uzraudzībai projektu dzīves cikla laikā nepieciešamais finansējums </w:t>
            </w:r>
            <w:r w:rsidR="003E07C6" w:rsidRPr="006207F8">
              <w:rPr>
                <w:rFonts w:ascii="Times New Roman" w:eastAsia="Times New Roman" w:hAnsi="Times New Roman" w:cs="Times New Roman"/>
                <w:sz w:val="26"/>
                <w:szCs w:val="26"/>
                <w:lang w:eastAsia="lv-LV"/>
              </w:rPr>
              <w:t>419</w:t>
            </w:r>
            <w:r w:rsidRPr="006207F8">
              <w:rPr>
                <w:rFonts w:ascii="Times New Roman" w:eastAsia="Times New Roman" w:hAnsi="Times New Roman" w:cs="Times New Roman"/>
                <w:sz w:val="26"/>
                <w:szCs w:val="26"/>
                <w:lang w:eastAsia="lv-LV"/>
              </w:rPr>
              <w:t> </w:t>
            </w:r>
            <w:r w:rsidR="003E07C6" w:rsidRPr="006207F8">
              <w:rPr>
                <w:rFonts w:ascii="Times New Roman" w:eastAsia="Times New Roman" w:hAnsi="Times New Roman" w:cs="Times New Roman"/>
                <w:sz w:val="26"/>
                <w:szCs w:val="26"/>
                <w:lang w:eastAsia="lv-LV"/>
              </w:rPr>
              <w:t>328</w:t>
            </w:r>
            <w:r w:rsidRPr="006207F8">
              <w:rPr>
                <w:rFonts w:ascii="Times New Roman" w:hAnsi="Times New Roman" w:cs="Times New Roman"/>
                <w:bCs/>
                <w:color w:val="000000"/>
                <w:sz w:val="26"/>
                <w:szCs w:val="26"/>
              </w:rPr>
              <w:t xml:space="preserve"> </w:t>
            </w:r>
            <w:r w:rsidRPr="006207F8">
              <w:rPr>
                <w:rFonts w:ascii="Times New Roman" w:eastAsia="Times New Roman" w:hAnsi="Times New Roman" w:cs="Times New Roman"/>
                <w:i/>
                <w:sz w:val="26"/>
                <w:szCs w:val="26"/>
                <w:lang w:eastAsia="lv-LV"/>
              </w:rPr>
              <w:t>EUR</w:t>
            </w:r>
            <w:r w:rsidRPr="006207F8">
              <w:rPr>
                <w:rFonts w:ascii="Times New Roman" w:eastAsia="Times New Roman" w:hAnsi="Times New Roman" w:cs="Times New Roman"/>
                <w:sz w:val="26"/>
                <w:szCs w:val="26"/>
                <w:lang w:eastAsia="lv-LV"/>
              </w:rPr>
              <w:t>.</w:t>
            </w:r>
          </w:p>
        </w:tc>
      </w:tr>
      <w:tr w:rsidR="00800AB9" w:rsidRPr="00A906FA" w14:paraId="4C3B6044" w14:textId="77777777" w:rsidTr="00A906FA">
        <w:trPr>
          <w:trHeight w:val="345"/>
        </w:trPr>
        <w:tc>
          <w:tcPr>
            <w:tcW w:w="453" w:type="dxa"/>
            <w:gridSpan w:val="2"/>
            <w:tcBorders>
              <w:top w:val="outset" w:sz="6" w:space="0" w:color="414142"/>
              <w:left w:val="outset" w:sz="6" w:space="0" w:color="414142"/>
              <w:bottom w:val="outset" w:sz="6" w:space="0" w:color="414142"/>
              <w:right w:val="outset" w:sz="6" w:space="0" w:color="414142"/>
            </w:tcBorders>
          </w:tcPr>
          <w:p w14:paraId="200F8E7E" w14:textId="4F70E327" w:rsidR="00800AB9" w:rsidRPr="00A906FA" w:rsidRDefault="00800AB9" w:rsidP="00800AB9">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4.</w:t>
            </w:r>
          </w:p>
        </w:tc>
        <w:tc>
          <w:tcPr>
            <w:tcW w:w="2658" w:type="dxa"/>
            <w:tcBorders>
              <w:top w:val="outset" w:sz="6" w:space="0" w:color="414142"/>
              <w:left w:val="outset" w:sz="6" w:space="0" w:color="414142"/>
              <w:bottom w:val="outset" w:sz="6" w:space="0" w:color="414142"/>
              <w:right w:val="outset" w:sz="6" w:space="0" w:color="414142"/>
            </w:tcBorders>
          </w:tcPr>
          <w:p w14:paraId="0FDA4D6B" w14:textId="7C05517D" w:rsidR="00800AB9" w:rsidRPr="00A906FA" w:rsidRDefault="00800AB9" w:rsidP="00800AB9">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Atbilstības izmaksu monetārs novērtējums</w:t>
            </w:r>
          </w:p>
        </w:tc>
        <w:tc>
          <w:tcPr>
            <w:tcW w:w="5944" w:type="dxa"/>
            <w:tcBorders>
              <w:top w:val="outset" w:sz="6" w:space="0" w:color="414142"/>
              <w:left w:val="outset" w:sz="6" w:space="0" w:color="414142"/>
              <w:bottom w:val="outset" w:sz="6" w:space="0" w:color="414142"/>
              <w:right w:val="outset" w:sz="6" w:space="0" w:color="414142"/>
            </w:tcBorders>
          </w:tcPr>
          <w:p w14:paraId="44D8CCF3" w14:textId="73141AD3" w:rsidR="00800AB9" w:rsidRPr="00A906FA" w:rsidRDefault="00800AB9" w:rsidP="00800AB9">
            <w:pPr>
              <w:spacing w:before="10" w:after="0" w:line="240" w:lineRule="auto"/>
              <w:ind w:left="113" w:right="113"/>
              <w:jc w:val="both"/>
              <w:rPr>
                <w:rFonts w:ascii="Times New Roman" w:eastAsia="Times New Roman" w:hAnsi="Times New Roman" w:cs="Times New Roman"/>
                <w:b/>
                <w:sz w:val="26"/>
                <w:szCs w:val="26"/>
                <w:lang w:eastAsia="lv-LV"/>
              </w:rPr>
            </w:pPr>
            <w:r w:rsidRPr="00FD361C">
              <w:rPr>
                <w:rFonts w:ascii="Times New Roman" w:eastAsia="Times New Roman" w:hAnsi="Times New Roman" w:cs="Times New Roman"/>
                <w:sz w:val="26"/>
                <w:szCs w:val="26"/>
                <w:lang w:eastAsia="lv-LV"/>
              </w:rPr>
              <w:t>Projekts šo jomu neskar.</w:t>
            </w:r>
          </w:p>
        </w:tc>
      </w:tr>
      <w:tr w:rsidR="00800AB9" w:rsidRPr="00A906FA" w14:paraId="030547B4" w14:textId="77777777" w:rsidTr="00A906FA">
        <w:trPr>
          <w:trHeight w:val="345"/>
        </w:trPr>
        <w:tc>
          <w:tcPr>
            <w:tcW w:w="453" w:type="dxa"/>
            <w:gridSpan w:val="2"/>
            <w:tcBorders>
              <w:top w:val="outset" w:sz="6" w:space="0" w:color="414142"/>
              <w:left w:val="outset" w:sz="6" w:space="0" w:color="414142"/>
              <w:bottom w:val="outset" w:sz="6" w:space="0" w:color="414142"/>
              <w:right w:val="outset" w:sz="6" w:space="0" w:color="414142"/>
            </w:tcBorders>
            <w:hideMark/>
          </w:tcPr>
          <w:p w14:paraId="332E4F94" w14:textId="57782175" w:rsidR="00800AB9" w:rsidRPr="00A906FA" w:rsidRDefault="00800AB9" w:rsidP="00800AB9">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5</w:t>
            </w:r>
            <w:r w:rsidRPr="00A906FA">
              <w:rPr>
                <w:rFonts w:ascii="Times New Roman" w:eastAsia="Times New Roman" w:hAnsi="Times New Roman" w:cs="Times New Roman"/>
                <w:sz w:val="26"/>
                <w:szCs w:val="26"/>
                <w:lang w:eastAsia="lv-LV"/>
              </w:rPr>
              <w:t>.</w:t>
            </w:r>
          </w:p>
        </w:tc>
        <w:tc>
          <w:tcPr>
            <w:tcW w:w="2658" w:type="dxa"/>
            <w:tcBorders>
              <w:top w:val="outset" w:sz="6" w:space="0" w:color="414142"/>
              <w:left w:val="outset" w:sz="6" w:space="0" w:color="414142"/>
              <w:bottom w:val="outset" w:sz="6" w:space="0" w:color="414142"/>
              <w:right w:val="outset" w:sz="6" w:space="0" w:color="414142"/>
            </w:tcBorders>
            <w:hideMark/>
          </w:tcPr>
          <w:p w14:paraId="12AFC001" w14:textId="77777777" w:rsidR="00800AB9" w:rsidRPr="00A906FA" w:rsidRDefault="00800AB9" w:rsidP="00800AB9">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Cita informācija</w:t>
            </w:r>
          </w:p>
        </w:tc>
        <w:tc>
          <w:tcPr>
            <w:tcW w:w="5944" w:type="dxa"/>
            <w:tcBorders>
              <w:top w:val="outset" w:sz="6" w:space="0" w:color="414142"/>
              <w:left w:val="outset" w:sz="6" w:space="0" w:color="414142"/>
              <w:bottom w:val="outset" w:sz="6" w:space="0" w:color="414142"/>
              <w:right w:val="outset" w:sz="6" w:space="0" w:color="414142"/>
            </w:tcBorders>
            <w:hideMark/>
          </w:tcPr>
          <w:p w14:paraId="2DFD8FC0" w14:textId="29BACDBC" w:rsidR="00800AB9" w:rsidRPr="006207F8" w:rsidRDefault="00800AB9" w:rsidP="00800AB9">
            <w:pPr>
              <w:spacing w:before="10" w:after="0" w:line="240" w:lineRule="auto"/>
              <w:ind w:left="113" w:right="113"/>
              <w:jc w:val="both"/>
              <w:rPr>
                <w:rFonts w:ascii="Times New Roman" w:eastAsia="Times New Roman" w:hAnsi="Times New Roman" w:cs="Times New Roman"/>
                <w:sz w:val="26"/>
                <w:szCs w:val="26"/>
                <w:lang w:eastAsia="lv-LV"/>
              </w:rPr>
            </w:pPr>
            <w:r w:rsidRPr="006207F8">
              <w:rPr>
                <w:rFonts w:ascii="Times New Roman" w:eastAsia="Times New Roman" w:hAnsi="Times New Roman" w:cs="Times New Roman"/>
                <w:sz w:val="26"/>
                <w:szCs w:val="26"/>
                <w:lang w:eastAsia="lv-LV"/>
              </w:rPr>
              <w:t>Jautājumu par papildu administratīvo izmaksu segšanu plānots risināt:</w:t>
            </w:r>
          </w:p>
          <w:p w14:paraId="4DD226AB" w14:textId="76F11288" w:rsidR="00800AB9" w:rsidRPr="006207F8" w:rsidRDefault="00800AB9" w:rsidP="00800AB9">
            <w:pPr>
              <w:spacing w:before="10" w:after="0" w:line="240" w:lineRule="auto"/>
              <w:ind w:left="113" w:right="113"/>
              <w:jc w:val="both"/>
              <w:rPr>
                <w:rFonts w:ascii="Times New Roman" w:eastAsia="Times New Roman" w:hAnsi="Times New Roman" w:cs="Times New Roman"/>
                <w:sz w:val="26"/>
                <w:szCs w:val="26"/>
                <w:lang w:eastAsia="lv-LV"/>
              </w:rPr>
            </w:pPr>
            <w:r w:rsidRPr="006207F8">
              <w:rPr>
                <w:rFonts w:ascii="Times New Roman" w:eastAsia="Times New Roman" w:hAnsi="Times New Roman" w:cs="Times New Roman"/>
                <w:sz w:val="26"/>
                <w:szCs w:val="26"/>
                <w:lang w:eastAsia="lv-LV"/>
              </w:rPr>
              <w:t xml:space="preserve">1) izstrādājot Ministru kabineta noteikumus </w:t>
            </w:r>
            <w:r w:rsidRPr="006207F8">
              <w:rPr>
                <w:rFonts w:ascii="Times New Roman" w:eastAsia="Times New Roman" w:hAnsi="Times New Roman" w:cs="Times New Roman"/>
                <w:i/>
                <w:sz w:val="26"/>
                <w:szCs w:val="26"/>
                <w:lang w:eastAsia="lv-LV"/>
              </w:rPr>
              <w:t>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otro kārtu</w:t>
            </w:r>
            <w:r w:rsidRPr="006207F8">
              <w:rPr>
                <w:rFonts w:ascii="Times New Roman" w:eastAsia="Times New Roman" w:hAnsi="Times New Roman" w:cs="Times New Roman"/>
                <w:sz w:val="26"/>
                <w:szCs w:val="26"/>
                <w:lang w:eastAsia="lv-LV"/>
              </w:rPr>
              <w:t>;</w:t>
            </w:r>
          </w:p>
          <w:p w14:paraId="7B6594AA" w14:textId="63A83384" w:rsidR="00800AB9" w:rsidRPr="00A906FA" w:rsidRDefault="00800AB9" w:rsidP="00800AB9">
            <w:pPr>
              <w:spacing w:before="10" w:after="0" w:line="240" w:lineRule="auto"/>
              <w:ind w:left="113" w:right="113"/>
              <w:jc w:val="both"/>
              <w:rPr>
                <w:rFonts w:ascii="Times New Roman" w:eastAsia="Times New Roman" w:hAnsi="Times New Roman" w:cs="Times New Roman"/>
                <w:b/>
                <w:sz w:val="26"/>
                <w:szCs w:val="26"/>
                <w:lang w:eastAsia="lv-LV"/>
              </w:rPr>
            </w:pPr>
            <w:r w:rsidRPr="006207F8">
              <w:rPr>
                <w:rFonts w:ascii="Times New Roman" w:eastAsia="Times New Roman" w:hAnsi="Times New Roman" w:cs="Times New Roman"/>
                <w:sz w:val="26"/>
                <w:szCs w:val="26"/>
                <w:lang w:eastAsia="lv-LV"/>
              </w:rPr>
              <w:t xml:space="preserve">2) izstrādājot Eiropas Savienības Kohēzijas politikas 2021.–2027. gadam ieviešanas nosacījumus pētniecības un inovācijas attīstībai Latvijā vai </w:t>
            </w:r>
            <w:r w:rsidR="006207F8" w:rsidRPr="006207F8">
              <w:rPr>
                <w:rFonts w:ascii="Times New Roman" w:eastAsia="Times New Roman" w:hAnsi="Times New Roman" w:cs="Times New Roman"/>
                <w:sz w:val="26"/>
                <w:szCs w:val="26"/>
                <w:lang w:eastAsia="lv-LV"/>
              </w:rPr>
              <w:t>izskatot jautājumu par papildu finansējuma piešķiršanu Ministru kabinetā gadskārtējā valsts budžeta projekta sagatavošanas un izskatīšanas procesā kopā ar visu ministriju un centrālo valsts iestāžu iesniegtajiem prioritārajiem pasākumiem atbilstoši valsts budžeta finansiālajām iespējām</w:t>
            </w:r>
            <w:r w:rsidRPr="006207F8">
              <w:rPr>
                <w:rFonts w:ascii="Times New Roman" w:eastAsia="Times New Roman" w:hAnsi="Times New Roman" w:cs="Times New Roman"/>
                <w:sz w:val="26"/>
                <w:szCs w:val="26"/>
                <w:lang w:eastAsia="lv-LV"/>
              </w:rPr>
              <w:t>.</w:t>
            </w:r>
          </w:p>
        </w:tc>
      </w:tr>
    </w:tbl>
    <w:p w14:paraId="3F9C5E9B" w14:textId="77777777" w:rsidR="00226F1C" w:rsidRPr="00226F1C" w:rsidRDefault="00226F1C" w:rsidP="00226F1C">
      <w:pPr>
        <w:spacing w:after="0" w:line="240" w:lineRule="auto"/>
        <w:rPr>
          <w:rFonts w:ascii="Times New Roman" w:hAnsi="Times New Roman" w:cs="Times New Roman"/>
          <w:i/>
          <w:iCs/>
          <w:sz w:val="26"/>
          <w:szCs w:val="26"/>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53"/>
        <w:gridCol w:w="1115"/>
        <w:gridCol w:w="994"/>
        <w:gridCol w:w="837"/>
        <w:gridCol w:w="1116"/>
        <w:gridCol w:w="837"/>
        <w:gridCol w:w="1257"/>
        <w:gridCol w:w="1346"/>
      </w:tblGrid>
      <w:tr w:rsidR="00E43CD1" w14:paraId="58642342" w14:textId="77777777" w:rsidTr="00D52BB5">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D38AD"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E5A8D">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E43CD1" w14:paraId="54BD7DE5" w14:textId="77777777" w:rsidTr="00D52BB5">
        <w:tc>
          <w:tcPr>
            <w:tcW w:w="84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A96FB9"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Rādītāji</w:t>
            </w:r>
          </w:p>
        </w:tc>
        <w:tc>
          <w:tcPr>
            <w:tcW w:w="115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2FD064"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2018.gads</w:t>
            </w:r>
          </w:p>
        </w:tc>
        <w:tc>
          <w:tcPr>
            <w:tcW w:w="300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5A7169"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Turpmākie trīs gadi (</w:t>
            </w:r>
            <w:proofErr w:type="spellStart"/>
            <w:r w:rsidRPr="009E5A8D">
              <w:rPr>
                <w:rFonts w:ascii="Times New Roman" w:eastAsia="Times New Roman" w:hAnsi="Times New Roman" w:cs="Times New Roman"/>
                <w:i/>
                <w:iCs/>
                <w:sz w:val="24"/>
                <w:szCs w:val="24"/>
                <w:lang w:eastAsia="lv-LV"/>
              </w:rPr>
              <w:t>euro</w:t>
            </w:r>
            <w:proofErr w:type="spellEnd"/>
            <w:r w:rsidRPr="009E5A8D">
              <w:rPr>
                <w:rFonts w:ascii="Times New Roman" w:eastAsia="Times New Roman" w:hAnsi="Times New Roman" w:cs="Times New Roman"/>
                <w:sz w:val="24"/>
                <w:szCs w:val="24"/>
                <w:lang w:eastAsia="lv-LV"/>
              </w:rPr>
              <w:t>)</w:t>
            </w:r>
          </w:p>
        </w:tc>
      </w:tr>
      <w:tr w:rsidR="00E43CD1" w14:paraId="06912667" w14:textId="77777777" w:rsidTr="00D52BB5">
        <w:tc>
          <w:tcPr>
            <w:tcW w:w="8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38F3D" w14:textId="77777777" w:rsidR="00E43CD1" w:rsidRPr="009E5A8D" w:rsidRDefault="00E43CD1" w:rsidP="00DF2054">
            <w:pPr>
              <w:spacing w:after="0" w:line="240" w:lineRule="auto"/>
              <w:rPr>
                <w:rFonts w:ascii="Times New Roman" w:eastAsia="Times New Roman" w:hAnsi="Times New Roman" w:cs="Times New Roman"/>
                <w:sz w:val="24"/>
                <w:szCs w:val="24"/>
                <w:lang w:eastAsia="lv-LV"/>
              </w:rPr>
            </w:pPr>
          </w:p>
        </w:tc>
        <w:tc>
          <w:tcPr>
            <w:tcW w:w="1154"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EAD0DB" w14:textId="77777777" w:rsidR="00E43CD1" w:rsidRPr="009E5A8D" w:rsidRDefault="00E43CD1" w:rsidP="00DF2054">
            <w:pPr>
              <w:spacing w:after="0" w:line="240" w:lineRule="auto"/>
              <w:rPr>
                <w:rFonts w:ascii="Times New Roman" w:eastAsia="Times New Roman" w:hAnsi="Times New Roman" w:cs="Times New Roman"/>
                <w:sz w:val="24"/>
                <w:szCs w:val="24"/>
                <w:lang w:eastAsia="lv-LV"/>
              </w:rPr>
            </w:pPr>
          </w:p>
        </w:tc>
        <w:tc>
          <w:tcPr>
            <w:tcW w:w="107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B3626"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2019.</w:t>
            </w:r>
          </w:p>
        </w:tc>
        <w:tc>
          <w:tcPr>
            <w:tcW w:w="115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3952C7"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2020.</w:t>
            </w:r>
          </w:p>
        </w:tc>
        <w:tc>
          <w:tcPr>
            <w:tcW w:w="7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29899D"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2021.</w:t>
            </w:r>
          </w:p>
        </w:tc>
      </w:tr>
      <w:tr w:rsidR="00E43CD1" w14:paraId="751D6A60" w14:textId="77777777" w:rsidTr="00D52BB5">
        <w:tc>
          <w:tcPr>
            <w:tcW w:w="8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AF325" w14:textId="77777777" w:rsidR="00E43CD1" w:rsidRPr="009E5A8D" w:rsidRDefault="00E43CD1" w:rsidP="00DF2054">
            <w:pPr>
              <w:spacing w:after="0" w:line="240" w:lineRule="auto"/>
              <w:rPr>
                <w:rFonts w:ascii="Times New Roman" w:eastAsia="Times New Roman"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E8EFC"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saskaņā ar valsts budžetu kārtējam gadam</w:t>
            </w:r>
          </w:p>
        </w:tc>
        <w:tc>
          <w:tcPr>
            <w:tcW w:w="5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502A65"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izmaiņas kārtējā gadā, salīdzinot ar valsts budžetu kārtējam gadam</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773E28"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saskaņā ar vidēja termiņa budžeta ietvaru</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859BA"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izmaiņas, salīdzinot ar vidēja termiņa budžeta ietvaru n+1 gadam</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6FC34"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saskaņā ar vidēja termiņa budžeta ietvaru</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F6233F"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izmaiņas, salīdzinot ar vidēja termiņa budžeta ietvaru n+2 gadam</w:t>
            </w:r>
          </w:p>
        </w:tc>
        <w:tc>
          <w:tcPr>
            <w:tcW w:w="7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B2DEE1"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izmaiņas, salīdzinot ar vidēja termiņa budžeta ietvaru n+2 gadam</w:t>
            </w:r>
          </w:p>
        </w:tc>
      </w:tr>
      <w:tr w:rsidR="00E43CD1" w14:paraId="184A74FE" w14:textId="77777777" w:rsidTr="00D52BB5">
        <w:tc>
          <w:tcPr>
            <w:tcW w:w="8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6E2D5"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1</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B8C5E4"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2</w:t>
            </w:r>
          </w:p>
        </w:tc>
        <w:tc>
          <w:tcPr>
            <w:tcW w:w="5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8CA4BA"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3</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9858CD"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4</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937328"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B5B8B2"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6</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7B657A"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7</w:t>
            </w:r>
          </w:p>
        </w:tc>
        <w:tc>
          <w:tcPr>
            <w:tcW w:w="7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F0A082" w14:textId="77777777" w:rsidR="00E43CD1" w:rsidRPr="009E5A8D" w:rsidRDefault="00E43CD1" w:rsidP="00DF205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8</w:t>
            </w:r>
          </w:p>
        </w:tc>
      </w:tr>
      <w:tr w:rsidR="00E43CD1" w14:paraId="399DA95F" w14:textId="77777777" w:rsidTr="00D52B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B76FEF9" w14:textId="77777777" w:rsidR="00E43CD1" w:rsidRPr="009E5A8D" w:rsidRDefault="00E43CD1" w:rsidP="00E43CD1">
            <w:pPr>
              <w:spacing w:after="0" w:line="240" w:lineRule="auto"/>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1. Budžeta ieņēmumi</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1F209A55" w14:textId="2F53DBD5" w:rsidR="00E43CD1" w:rsidRPr="009E5A8D" w:rsidRDefault="00E43CD1" w:rsidP="00CA4EF6">
            <w:pPr>
              <w:spacing w:after="0" w:line="240" w:lineRule="auto"/>
              <w:jc w:val="center"/>
              <w:rPr>
                <w:rFonts w:ascii="Times New Roman" w:eastAsia="Arial Unicode MS" w:hAnsi="Times New Roman" w:cs="Times New Roman"/>
                <w:sz w:val="24"/>
                <w:szCs w:val="24"/>
                <w:lang w:eastAsia="lv-LV"/>
              </w:rPr>
            </w:pPr>
            <w:r w:rsidRPr="00441C70">
              <w:rPr>
                <w:rFonts w:ascii="Times New Roman" w:eastAsia="Calibri"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14:paraId="40CD7CBB" w14:textId="16FA100F" w:rsidR="00E43CD1" w:rsidRPr="009E5A8D" w:rsidRDefault="00E43CD1" w:rsidP="00CA4EF6">
            <w:pPr>
              <w:spacing w:after="0" w:line="240" w:lineRule="auto"/>
              <w:jc w:val="center"/>
              <w:rPr>
                <w:rFonts w:ascii="Times New Roman" w:eastAsia="Arial Unicode MS" w:hAnsi="Times New Roman" w:cs="Times New Roman"/>
                <w:sz w:val="24"/>
                <w:szCs w:val="24"/>
                <w:lang w:eastAsia="lv-LV"/>
              </w:rPr>
            </w:pPr>
            <w:r w:rsidRPr="001671B4">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2636E136" w14:textId="43CFC04F" w:rsidR="00E43CD1" w:rsidRPr="009E5A8D" w:rsidRDefault="00E43CD1" w:rsidP="00CA4E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226A8ED7" w14:textId="79962CA4" w:rsidR="00E43CD1" w:rsidRPr="009E5A8D" w:rsidRDefault="00E43CD1" w:rsidP="00CA4EF6">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6CF686C0" w14:textId="34B4613B" w:rsidR="00E43CD1" w:rsidRPr="009E5A8D" w:rsidRDefault="00E43CD1" w:rsidP="00CA4E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489C59E1" w14:textId="136B0869" w:rsidR="00E43CD1" w:rsidRPr="009E5A8D"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3130D665" w14:textId="6AB30B9C" w:rsidR="00E43CD1" w:rsidRPr="009E5A8D" w:rsidRDefault="00E43CD1" w:rsidP="00CA4E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ja-JP"/>
              </w:rPr>
              <w:t>0</w:t>
            </w:r>
          </w:p>
        </w:tc>
      </w:tr>
      <w:tr w:rsidR="00E43CD1" w14:paraId="151D4037" w14:textId="77777777" w:rsidTr="00D52B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07782B1" w14:textId="77777777" w:rsidR="00E43CD1" w:rsidRPr="00F062CA" w:rsidRDefault="00E43CD1" w:rsidP="00E43CD1">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33DDB0B2" w14:textId="256F7F46" w:rsidR="00E43CD1" w:rsidRPr="00441C70" w:rsidRDefault="00E43CD1" w:rsidP="00CA4EF6">
            <w:pPr>
              <w:spacing w:after="0" w:line="240" w:lineRule="auto"/>
              <w:jc w:val="center"/>
              <w:rPr>
                <w:rFonts w:ascii="Times New Roman" w:eastAsia="Arial Unicode MS" w:hAnsi="Times New Roman" w:cs="Times New Roman"/>
                <w:sz w:val="24"/>
                <w:szCs w:val="24"/>
                <w:lang w:eastAsia="lv-LV"/>
              </w:rPr>
            </w:pPr>
            <w:r w:rsidRPr="00441C70">
              <w:rPr>
                <w:rFonts w:ascii="Times New Roman" w:eastAsia="Calibri"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14:paraId="5AD061D2" w14:textId="5C7C60C2" w:rsidR="00E43CD1" w:rsidRPr="001671B4" w:rsidRDefault="00E43CD1" w:rsidP="00CA4EF6">
            <w:pPr>
              <w:spacing w:after="0" w:line="240" w:lineRule="auto"/>
              <w:jc w:val="center"/>
              <w:rPr>
                <w:rFonts w:ascii="Times New Roman" w:eastAsia="Arial Unicode MS" w:hAnsi="Times New Roman" w:cs="Times New Roman"/>
                <w:sz w:val="24"/>
                <w:szCs w:val="24"/>
                <w:lang w:eastAsia="lv-LV"/>
              </w:rPr>
            </w:pPr>
            <w:r w:rsidRPr="001671B4">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0745A83C" w14:textId="462A6B56"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1653AB57" w14:textId="0096FC65" w:rsidR="00E43CD1" w:rsidRPr="001671B4" w:rsidRDefault="00E43CD1" w:rsidP="00CA4EF6">
            <w:pPr>
              <w:spacing w:after="0" w:line="240" w:lineRule="auto"/>
              <w:jc w:val="center"/>
              <w:rPr>
                <w:rFonts w:ascii="Times New Roman" w:eastAsia="Times New Roman" w:hAnsi="Times New Roman" w:cs="Times New Roman"/>
                <w:b/>
                <w:sz w:val="24"/>
                <w:szCs w:val="24"/>
                <w:lang w:eastAsia="ja-JP"/>
              </w:rPr>
            </w:pPr>
            <w:r w:rsidRPr="00713410">
              <w:rPr>
                <w:rFonts w:ascii="Times New Roman" w:eastAsia="Times New Roman" w:hAnsi="Times New Roman" w:cs="Times New Roman"/>
                <w:sz w:val="24"/>
                <w:szCs w:val="24"/>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22E0DC29" w14:textId="078EE8AE"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276AC32C" w14:textId="409EF8CF" w:rsidR="00E43CD1" w:rsidRPr="001671B4" w:rsidRDefault="00E43CD1" w:rsidP="00CA4EF6">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45CE4441" w14:textId="20965A12"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r>
      <w:tr w:rsidR="00E43CD1" w14:paraId="1937C2E5" w14:textId="77777777" w:rsidTr="00D52B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E354637" w14:textId="77777777" w:rsidR="00E43CD1" w:rsidRPr="00F062CA" w:rsidRDefault="00E43CD1" w:rsidP="00DF2054">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1.2. valsts speciālais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7CD36359" w14:textId="77777777" w:rsidR="00E43CD1" w:rsidRPr="00441C70" w:rsidRDefault="00E43CD1" w:rsidP="00CA4EF6">
            <w:pPr>
              <w:spacing w:after="0" w:line="240" w:lineRule="auto"/>
              <w:jc w:val="center"/>
              <w:rPr>
                <w:rFonts w:ascii="Times New Roman" w:eastAsia="Arial Unicode MS" w:hAnsi="Times New Roman" w:cs="Times New Roman"/>
                <w:sz w:val="24"/>
                <w:szCs w:val="24"/>
                <w:lang w:eastAsia="lv-LV"/>
              </w:rPr>
            </w:pPr>
            <w:r w:rsidRPr="00441C70">
              <w:rPr>
                <w:rFonts w:ascii="Times New Roman" w:eastAsia="Calibri"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14:paraId="54975673" w14:textId="77777777" w:rsidR="00E43CD1" w:rsidRPr="001671B4" w:rsidRDefault="00E43CD1" w:rsidP="00CA4EF6">
            <w:pPr>
              <w:spacing w:after="0" w:line="240" w:lineRule="auto"/>
              <w:jc w:val="center"/>
              <w:rPr>
                <w:rFonts w:ascii="Times New Roman" w:eastAsia="Arial Unicode MS" w:hAnsi="Times New Roman" w:cs="Times New Roman"/>
                <w:sz w:val="24"/>
                <w:szCs w:val="24"/>
                <w:lang w:eastAsia="lv-LV"/>
              </w:rPr>
            </w:pPr>
            <w:r w:rsidRPr="001671B4">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4CDC6333" w14:textId="77777777" w:rsidR="00E43CD1" w:rsidRPr="001671B4" w:rsidRDefault="00E43CD1" w:rsidP="00CA4EF6">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3DD68B2C"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6AA5E32F" w14:textId="77777777" w:rsidR="00E43CD1" w:rsidRPr="001671B4" w:rsidRDefault="00E43CD1" w:rsidP="00CA4EF6">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790977DC"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7B482170" w14:textId="77777777" w:rsidR="00E43CD1" w:rsidRPr="001671B4" w:rsidRDefault="00E43CD1" w:rsidP="00CA4EF6">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r>
      <w:tr w:rsidR="00E43CD1" w14:paraId="49AD27A8" w14:textId="77777777" w:rsidTr="00D52B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B3C92C0" w14:textId="77777777" w:rsidR="00E43CD1" w:rsidRPr="00F062CA" w:rsidRDefault="00E43CD1" w:rsidP="00DF2054">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1.3. pašvaldību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2DD69523" w14:textId="77777777" w:rsidR="00E43CD1" w:rsidRPr="00441C70" w:rsidRDefault="00E43CD1" w:rsidP="00CA4EF6">
            <w:pPr>
              <w:spacing w:after="0" w:line="240" w:lineRule="auto"/>
              <w:jc w:val="center"/>
              <w:rPr>
                <w:rFonts w:ascii="Times New Roman" w:eastAsia="Calibri" w:hAnsi="Times New Roman" w:cs="Times New Roman"/>
                <w:sz w:val="24"/>
                <w:szCs w:val="24"/>
                <w:lang w:eastAsia="lv-LV"/>
              </w:rPr>
            </w:pPr>
            <w:r w:rsidRPr="00441C70">
              <w:rPr>
                <w:rFonts w:ascii="Times New Roman" w:eastAsia="Calibri"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14:paraId="1C241AD6" w14:textId="77777777" w:rsidR="00E43CD1" w:rsidRPr="001671B4" w:rsidRDefault="00E43CD1" w:rsidP="00CA4EF6">
            <w:pPr>
              <w:spacing w:after="0" w:line="240" w:lineRule="auto"/>
              <w:jc w:val="center"/>
              <w:rPr>
                <w:rFonts w:ascii="Times New Roman" w:eastAsia="Calibri" w:hAnsi="Times New Roman" w:cs="Times New Roman"/>
                <w:sz w:val="24"/>
                <w:szCs w:val="24"/>
                <w:lang w:eastAsia="lv-LV"/>
              </w:rPr>
            </w:pPr>
            <w:r w:rsidRPr="001671B4">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30264348"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46EFFC32"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7FAAD83C"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58368057"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3DE65DE6"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r>
      <w:tr w:rsidR="00855540" w14:paraId="28ABE058" w14:textId="77777777" w:rsidTr="00D52B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2D72F7A" w14:textId="77777777" w:rsidR="00855540" w:rsidRPr="00F062CA" w:rsidRDefault="00855540" w:rsidP="00855540">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2. Budžeta izdevumi</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64450DD2" w14:textId="1239C563" w:rsidR="00855540" w:rsidRPr="00441C70" w:rsidRDefault="00855540" w:rsidP="00855540">
            <w:pPr>
              <w:spacing w:after="0" w:line="240" w:lineRule="auto"/>
              <w:jc w:val="center"/>
              <w:rPr>
                <w:rFonts w:ascii="Times New Roman" w:eastAsia="Arial Unicode MS" w:hAnsi="Times New Roman" w:cs="Times New Roman"/>
                <w:sz w:val="24"/>
                <w:szCs w:val="24"/>
                <w:lang w:eastAsia="lv-LV"/>
              </w:rPr>
            </w:pPr>
            <w:r w:rsidRPr="00441C70">
              <w:rPr>
                <w:rFonts w:ascii="Times New Roman" w:eastAsia="Calibri"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14:paraId="48301B76" w14:textId="7C946375" w:rsidR="00855540" w:rsidRPr="001671B4" w:rsidRDefault="00855540" w:rsidP="00855540">
            <w:pPr>
              <w:spacing w:after="0" w:line="240" w:lineRule="auto"/>
              <w:jc w:val="center"/>
              <w:rPr>
                <w:rFonts w:ascii="Times New Roman" w:eastAsia="Arial Unicode MS" w:hAnsi="Times New Roman" w:cs="Times New Roman"/>
                <w:sz w:val="24"/>
                <w:szCs w:val="24"/>
                <w:lang w:eastAsia="lv-LV"/>
              </w:rPr>
            </w:pPr>
            <w:r w:rsidRPr="001671B4">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789A6677" w14:textId="39D3FFCF" w:rsidR="00855540" w:rsidRPr="00713410" w:rsidRDefault="00855540" w:rsidP="00855540">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5659D2F3" w14:textId="28B4AC78" w:rsidR="00855540" w:rsidRPr="00713410" w:rsidRDefault="00855540" w:rsidP="00855540">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4EFE8786" w14:textId="3583C3F9" w:rsidR="00855540" w:rsidRPr="00713410" w:rsidRDefault="00855540" w:rsidP="00855540">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15A1F1F4" w14:textId="33DC561B" w:rsidR="00855540" w:rsidRPr="00713410" w:rsidRDefault="00855540" w:rsidP="00855540">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00CBE20E" w14:textId="1F23C028" w:rsidR="00855540" w:rsidRPr="001671B4" w:rsidRDefault="00855540" w:rsidP="0085554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ja-JP"/>
              </w:rPr>
              <w:t>39 168</w:t>
            </w:r>
          </w:p>
        </w:tc>
      </w:tr>
      <w:tr w:rsidR="00855540" w14:paraId="633BED26"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64CA5EB8" w14:textId="77777777" w:rsidR="00855540" w:rsidRPr="00F062CA" w:rsidRDefault="00855540" w:rsidP="00855540">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2.1. valsts pamatbudžets</w:t>
            </w:r>
          </w:p>
        </w:tc>
        <w:tc>
          <w:tcPr>
            <w:tcW w:w="611" w:type="pct"/>
            <w:tcBorders>
              <w:top w:val="outset" w:sz="6" w:space="0" w:color="414142"/>
              <w:left w:val="outset" w:sz="6" w:space="0" w:color="414142"/>
              <w:bottom w:val="outset" w:sz="6" w:space="0" w:color="414142"/>
              <w:right w:val="outset" w:sz="6" w:space="0" w:color="414142"/>
            </w:tcBorders>
            <w:shd w:val="clear" w:color="auto" w:fill="FFFFFF"/>
            <w:hideMark/>
          </w:tcPr>
          <w:p w14:paraId="42A09A83" w14:textId="429265B5" w:rsidR="00855540" w:rsidRPr="00441C70" w:rsidRDefault="00855540" w:rsidP="00855540">
            <w:pPr>
              <w:spacing w:after="0" w:line="240" w:lineRule="auto"/>
              <w:jc w:val="center"/>
              <w:rPr>
                <w:rFonts w:ascii="Times New Roman" w:eastAsia="Calibri" w:hAnsi="Times New Roman" w:cs="Times New Roman"/>
                <w:sz w:val="24"/>
                <w:szCs w:val="24"/>
                <w:lang w:eastAsia="lv-LV"/>
              </w:rPr>
            </w:pPr>
            <w:r w:rsidRPr="00441C70">
              <w:rPr>
                <w:rFonts w:ascii="Times New Roman" w:eastAsia="Calibri"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265477B2" w14:textId="19587AF7" w:rsidR="00855540" w:rsidRPr="001671B4" w:rsidRDefault="00855540" w:rsidP="00855540">
            <w:pPr>
              <w:spacing w:after="0" w:line="240" w:lineRule="auto"/>
              <w:jc w:val="center"/>
              <w:rPr>
                <w:rFonts w:ascii="Times New Roman" w:eastAsia="Calibri" w:hAnsi="Times New Roman" w:cs="Times New Roman"/>
                <w:sz w:val="24"/>
                <w:szCs w:val="24"/>
                <w:lang w:eastAsia="lv-LV"/>
              </w:rPr>
            </w:pPr>
            <w:r w:rsidRPr="001671B4">
              <w:rPr>
                <w:rFonts w:ascii="Times New Roman" w:eastAsia="Calibri" w:hAnsi="Times New Roman" w:cs="Times New Roman"/>
                <w:sz w:val="24"/>
                <w:szCs w:val="24"/>
                <w:lang w:eastAsia="lv-LV"/>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hideMark/>
          </w:tcPr>
          <w:p w14:paraId="1180B4EB" w14:textId="1F759E49" w:rsidR="00855540" w:rsidRPr="001671B4" w:rsidRDefault="00855540" w:rsidP="0085554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ja-JP"/>
              </w:rPr>
              <w:t>0</w:t>
            </w:r>
          </w:p>
        </w:tc>
        <w:tc>
          <w:tcPr>
            <w:tcW w:w="612" w:type="pct"/>
            <w:tcBorders>
              <w:top w:val="outset" w:sz="6" w:space="0" w:color="414142"/>
              <w:left w:val="outset" w:sz="6" w:space="0" w:color="414142"/>
              <w:bottom w:val="outset" w:sz="6" w:space="0" w:color="414142"/>
              <w:right w:val="outset" w:sz="6" w:space="0" w:color="414142"/>
            </w:tcBorders>
            <w:shd w:val="clear" w:color="auto" w:fill="FFFFFF"/>
            <w:hideMark/>
          </w:tcPr>
          <w:p w14:paraId="11A95944" w14:textId="6244B2ED" w:rsidR="00855540" w:rsidRPr="001671B4" w:rsidRDefault="00855540" w:rsidP="00855540">
            <w:pPr>
              <w:spacing w:after="0" w:line="240" w:lineRule="auto"/>
              <w:jc w:val="center"/>
              <w:rPr>
                <w:rFonts w:ascii="Times New Roman" w:eastAsia="Times New Roman" w:hAnsi="Times New Roman" w:cs="Times New Roman"/>
                <w:b/>
                <w:sz w:val="24"/>
                <w:szCs w:val="24"/>
                <w:lang w:eastAsia="ja-JP"/>
              </w:rPr>
            </w:pPr>
            <w:r w:rsidRPr="00713410">
              <w:rPr>
                <w:rFonts w:ascii="Times New Roman" w:eastAsia="Times New Roman" w:hAnsi="Times New Roman" w:cs="Times New Roman"/>
                <w:sz w:val="24"/>
                <w:szCs w:val="24"/>
                <w:lang w:eastAsia="ja-JP"/>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hideMark/>
          </w:tcPr>
          <w:p w14:paraId="28D23A88" w14:textId="575D4EAF" w:rsidR="00855540" w:rsidRPr="001671B4" w:rsidRDefault="00855540" w:rsidP="0085554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ja-JP"/>
              </w:rPr>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241C290F" w14:textId="75F276DC" w:rsidR="00855540" w:rsidRPr="001671B4" w:rsidRDefault="00855540" w:rsidP="00855540">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c>
          <w:tcPr>
            <w:tcW w:w="765" w:type="pct"/>
            <w:tcBorders>
              <w:top w:val="outset" w:sz="6" w:space="0" w:color="414142"/>
              <w:left w:val="outset" w:sz="6" w:space="0" w:color="414142"/>
              <w:bottom w:val="outset" w:sz="6" w:space="0" w:color="414142"/>
              <w:right w:val="outset" w:sz="6" w:space="0" w:color="414142"/>
            </w:tcBorders>
            <w:shd w:val="clear" w:color="auto" w:fill="FFFFFF"/>
            <w:hideMark/>
          </w:tcPr>
          <w:p w14:paraId="675FDA05" w14:textId="398F900E" w:rsidR="00855540" w:rsidRPr="00713410" w:rsidRDefault="00855540" w:rsidP="00855540">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39 168</w:t>
            </w:r>
          </w:p>
        </w:tc>
      </w:tr>
      <w:tr w:rsidR="00E43CD1" w14:paraId="33803CF4"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0D05A3E6" w14:textId="77777777" w:rsidR="00E43CD1" w:rsidRPr="00F062CA" w:rsidRDefault="00E43CD1" w:rsidP="00DF2054">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2.2. valsts speciālais budžets</w:t>
            </w:r>
          </w:p>
        </w:tc>
        <w:tc>
          <w:tcPr>
            <w:tcW w:w="611" w:type="pct"/>
            <w:tcBorders>
              <w:top w:val="outset" w:sz="6" w:space="0" w:color="414142"/>
              <w:left w:val="outset" w:sz="6" w:space="0" w:color="414142"/>
              <w:bottom w:val="outset" w:sz="6" w:space="0" w:color="414142"/>
              <w:right w:val="outset" w:sz="6" w:space="0" w:color="414142"/>
            </w:tcBorders>
            <w:shd w:val="clear" w:color="auto" w:fill="FFFFFF"/>
            <w:hideMark/>
          </w:tcPr>
          <w:p w14:paraId="2C6D60E8" w14:textId="77777777" w:rsidR="00E43CD1" w:rsidRPr="00441C70" w:rsidRDefault="00E43CD1" w:rsidP="00CA4EF6">
            <w:pPr>
              <w:spacing w:after="0" w:line="240" w:lineRule="auto"/>
              <w:jc w:val="center"/>
              <w:rPr>
                <w:rFonts w:ascii="Times New Roman" w:eastAsia="Calibri" w:hAnsi="Times New Roman" w:cs="Times New Roman"/>
                <w:sz w:val="24"/>
                <w:szCs w:val="24"/>
                <w:lang w:eastAsia="lv-LV"/>
              </w:rPr>
            </w:pPr>
            <w:r w:rsidRPr="00441C70">
              <w:rPr>
                <w:rFonts w:ascii="Times New Roman" w:eastAsia="Calibri"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7B2B8084" w14:textId="77777777" w:rsidR="00E43CD1" w:rsidRPr="001671B4" w:rsidRDefault="00E43CD1" w:rsidP="00CA4EF6">
            <w:pPr>
              <w:spacing w:after="0" w:line="240" w:lineRule="auto"/>
              <w:jc w:val="center"/>
              <w:rPr>
                <w:rFonts w:ascii="Times New Roman" w:eastAsia="Calibri" w:hAnsi="Times New Roman" w:cs="Times New Roman"/>
                <w:sz w:val="24"/>
                <w:szCs w:val="24"/>
                <w:lang w:eastAsia="lv-LV"/>
              </w:rPr>
            </w:pPr>
            <w:r w:rsidRPr="001671B4">
              <w:rPr>
                <w:rFonts w:ascii="Times New Roman" w:eastAsia="Calibri" w:hAnsi="Times New Roman" w:cs="Times New Roman"/>
                <w:sz w:val="24"/>
                <w:szCs w:val="24"/>
                <w:lang w:eastAsia="lv-LV"/>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hideMark/>
          </w:tcPr>
          <w:p w14:paraId="4EEE38CB"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612" w:type="pct"/>
            <w:tcBorders>
              <w:top w:val="outset" w:sz="6" w:space="0" w:color="414142"/>
              <w:left w:val="outset" w:sz="6" w:space="0" w:color="414142"/>
              <w:bottom w:val="outset" w:sz="6" w:space="0" w:color="414142"/>
              <w:right w:val="outset" w:sz="6" w:space="0" w:color="414142"/>
            </w:tcBorders>
            <w:shd w:val="clear" w:color="auto" w:fill="FFFFFF"/>
            <w:hideMark/>
          </w:tcPr>
          <w:p w14:paraId="2405B2DE"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hideMark/>
          </w:tcPr>
          <w:p w14:paraId="09ABB070"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1A9C7E99"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765" w:type="pct"/>
            <w:tcBorders>
              <w:top w:val="outset" w:sz="6" w:space="0" w:color="414142"/>
              <w:left w:val="outset" w:sz="6" w:space="0" w:color="414142"/>
              <w:bottom w:val="outset" w:sz="6" w:space="0" w:color="414142"/>
              <w:right w:val="outset" w:sz="6" w:space="0" w:color="414142"/>
            </w:tcBorders>
            <w:shd w:val="clear" w:color="auto" w:fill="FFFFFF"/>
            <w:hideMark/>
          </w:tcPr>
          <w:p w14:paraId="00B1791F" w14:textId="77777777" w:rsidR="00E43CD1" w:rsidRPr="001671B4" w:rsidRDefault="00E43CD1" w:rsidP="00CA4EF6">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r>
      <w:tr w:rsidR="00E43CD1" w14:paraId="61878763"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59AF3A4D" w14:textId="77777777" w:rsidR="00E43CD1" w:rsidRPr="00F062CA" w:rsidRDefault="00E43CD1" w:rsidP="00DF2054">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2.3. pašvaldību budžets</w:t>
            </w:r>
          </w:p>
        </w:tc>
        <w:tc>
          <w:tcPr>
            <w:tcW w:w="611" w:type="pct"/>
            <w:tcBorders>
              <w:top w:val="outset" w:sz="6" w:space="0" w:color="414142"/>
              <w:left w:val="outset" w:sz="6" w:space="0" w:color="414142"/>
              <w:bottom w:val="outset" w:sz="6" w:space="0" w:color="414142"/>
              <w:right w:val="outset" w:sz="6" w:space="0" w:color="414142"/>
            </w:tcBorders>
            <w:shd w:val="clear" w:color="auto" w:fill="FFFFFF"/>
            <w:hideMark/>
          </w:tcPr>
          <w:p w14:paraId="325C8343" w14:textId="77777777" w:rsidR="00E43CD1" w:rsidRPr="00441C70" w:rsidRDefault="00E43CD1" w:rsidP="00CA4EF6">
            <w:pPr>
              <w:spacing w:after="0" w:line="240" w:lineRule="auto"/>
              <w:jc w:val="center"/>
              <w:rPr>
                <w:rFonts w:ascii="Times New Roman" w:eastAsia="Calibri" w:hAnsi="Times New Roman" w:cs="Times New Roman"/>
                <w:sz w:val="24"/>
                <w:szCs w:val="24"/>
                <w:lang w:eastAsia="lv-LV"/>
              </w:rPr>
            </w:pPr>
            <w:r w:rsidRPr="00441C70">
              <w:rPr>
                <w:rFonts w:ascii="Times New Roman" w:eastAsia="Calibri"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2224770F" w14:textId="77777777" w:rsidR="00E43CD1" w:rsidRPr="001671B4" w:rsidRDefault="00E43CD1" w:rsidP="00CA4EF6">
            <w:pPr>
              <w:spacing w:after="0" w:line="240" w:lineRule="auto"/>
              <w:jc w:val="center"/>
              <w:rPr>
                <w:rFonts w:ascii="Times New Roman" w:eastAsia="Calibri" w:hAnsi="Times New Roman" w:cs="Times New Roman"/>
                <w:sz w:val="24"/>
                <w:szCs w:val="24"/>
                <w:lang w:eastAsia="lv-LV"/>
              </w:rPr>
            </w:pPr>
            <w:r w:rsidRPr="001671B4">
              <w:rPr>
                <w:rFonts w:ascii="Times New Roman" w:eastAsia="Calibri" w:hAnsi="Times New Roman" w:cs="Times New Roman"/>
                <w:sz w:val="24"/>
                <w:szCs w:val="24"/>
                <w:lang w:eastAsia="lv-LV"/>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hideMark/>
          </w:tcPr>
          <w:p w14:paraId="6BF84C7E" w14:textId="77777777" w:rsidR="00E43CD1" w:rsidRPr="001671B4" w:rsidRDefault="00E43CD1" w:rsidP="00CA4E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2" w:type="pct"/>
            <w:tcBorders>
              <w:top w:val="outset" w:sz="6" w:space="0" w:color="414142"/>
              <w:left w:val="outset" w:sz="6" w:space="0" w:color="414142"/>
              <w:bottom w:val="outset" w:sz="6" w:space="0" w:color="414142"/>
              <w:right w:val="outset" w:sz="6" w:space="0" w:color="414142"/>
            </w:tcBorders>
            <w:shd w:val="clear" w:color="auto" w:fill="FFFFFF"/>
            <w:hideMark/>
          </w:tcPr>
          <w:p w14:paraId="2F9B7A02"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hideMark/>
          </w:tcPr>
          <w:p w14:paraId="7AA4587E" w14:textId="77777777" w:rsidR="00E43CD1" w:rsidRPr="001671B4" w:rsidRDefault="00E43CD1" w:rsidP="00CA4E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0DE3DBB4"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765" w:type="pct"/>
            <w:tcBorders>
              <w:top w:val="outset" w:sz="6" w:space="0" w:color="414142"/>
              <w:left w:val="outset" w:sz="6" w:space="0" w:color="414142"/>
              <w:bottom w:val="outset" w:sz="6" w:space="0" w:color="414142"/>
              <w:right w:val="outset" w:sz="6" w:space="0" w:color="414142"/>
            </w:tcBorders>
            <w:shd w:val="clear" w:color="auto" w:fill="FFFFFF"/>
            <w:hideMark/>
          </w:tcPr>
          <w:p w14:paraId="79703AAA" w14:textId="77777777" w:rsidR="00E43CD1" w:rsidRPr="001671B4" w:rsidRDefault="00E43CD1" w:rsidP="00CA4E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43CD1" w14:paraId="783A114B"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2761D614" w14:textId="77777777" w:rsidR="00E43CD1" w:rsidRPr="00F062CA" w:rsidRDefault="00E43CD1" w:rsidP="00DF2054">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3. Finansiālā ietekme</w:t>
            </w:r>
          </w:p>
        </w:tc>
        <w:tc>
          <w:tcPr>
            <w:tcW w:w="611" w:type="pct"/>
            <w:tcBorders>
              <w:top w:val="outset" w:sz="6" w:space="0" w:color="414142"/>
              <w:left w:val="outset" w:sz="6" w:space="0" w:color="414142"/>
              <w:bottom w:val="outset" w:sz="6" w:space="0" w:color="414142"/>
              <w:right w:val="outset" w:sz="6" w:space="0" w:color="414142"/>
            </w:tcBorders>
            <w:shd w:val="clear" w:color="auto" w:fill="FFFFFF"/>
            <w:hideMark/>
          </w:tcPr>
          <w:p w14:paraId="6F5E936E" w14:textId="3AD6D1B5" w:rsidR="00E43CD1" w:rsidRPr="00441C70" w:rsidRDefault="00E43CD1" w:rsidP="00CA4EF6">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1A4ADED2" w14:textId="0E80AC68" w:rsidR="00E43CD1" w:rsidRPr="00DF34D0" w:rsidRDefault="00E43CD1" w:rsidP="00CA4EF6">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hideMark/>
          </w:tcPr>
          <w:p w14:paraId="4552DB81"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612" w:type="pct"/>
            <w:tcBorders>
              <w:top w:val="outset" w:sz="6" w:space="0" w:color="414142"/>
              <w:left w:val="outset" w:sz="6" w:space="0" w:color="414142"/>
              <w:bottom w:val="outset" w:sz="6" w:space="0" w:color="414142"/>
              <w:right w:val="outset" w:sz="6" w:space="0" w:color="414142"/>
            </w:tcBorders>
            <w:shd w:val="clear" w:color="auto" w:fill="FFFFFF"/>
            <w:hideMark/>
          </w:tcPr>
          <w:p w14:paraId="16BBCD11" w14:textId="014EECAD"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hideMark/>
          </w:tcPr>
          <w:p w14:paraId="3DB6B98D"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25F92ECA" w14:textId="68F31D3F"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765" w:type="pct"/>
            <w:tcBorders>
              <w:top w:val="outset" w:sz="6" w:space="0" w:color="414142"/>
              <w:left w:val="outset" w:sz="6" w:space="0" w:color="414142"/>
              <w:bottom w:val="outset" w:sz="6" w:space="0" w:color="414142"/>
              <w:right w:val="outset" w:sz="6" w:space="0" w:color="414142"/>
            </w:tcBorders>
            <w:shd w:val="clear" w:color="auto" w:fill="FFFFFF"/>
            <w:hideMark/>
          </w:tcPr>
          <w:p w14:paraId="6384C9AE" w14:textId="55F4F868"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-39 168</w:t>
            </w:r>
          </w:p>
        </w:tc>
      </w:tr>
      <w:tr w:rsidR="00E43CD1" w14:paraId="47850D07"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66B65877" w14:textId="77777777" w:rsidR="00E43CD1" w:rsidRPr="00F062CA" w:rsidRDefault="00E43CD1" w:rsidP="00DF2054">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3.1. valsts pamatbudžets</w:t>
            </w:r>
          </w:p>
        </w:tc>
        <w:tc>
          <w:tcPr>
            <w:tcW w:w="611" w:type="pct"/>
            <w:tcBorders>
              <w:top w:val="outset" w:sz="6" w:space="0" w:color="414142"/>
              <w:left w:val="outset" w:sz="6" w:space="0" w:color="414142"/>
              <w:bottom w:val="outset" w:sz="6" w:space="0" w:color="414142"/>
              <w:right w:val="outset" w:sz="6" w:space="0" w:color="414142"/>
            </w:tcBorders>
            <w:shd w:val="clear" w:color="auto" w:fill="FFFFFF"/>
            <w:hideMark/>
          </w:tcPr>
          <w:p w14:paraId="7C6CAE8F" w14:textId="23597297" w:rsidR="00E43CD1" w:rsidRPr="00441C70" w:rsidRDefault="00E43CD1" w:rsidP="00CA4EF6">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7071A247" w14:textId="5E7B1808" w:rsidR="00E43CD1" w:rsidRPr="001671B4" w:rsidRDefault="00E43CD1" w:rsidP="00CA4EF6">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hideMark/>
          </w:tcPr>
          <w:p w14:paraId="526B6139" w14:textId="77777777" w:rsidR="00E43CD1" w:rsidRPr="001671B4" w:rsidRDefault="00E43CD1" w:rsidP="00CA4EF6">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c>
          <w:tcPr>
            <w:tcW w:w="612" w:type="pct"/>
            <w:tcBorders>
              <w:top w:val="outset" w:sz="6" w:space="0" w:color="414142"/>
              <w:left w:val="outset" w:sz="6" w:space="0" w:color="414142"/>
              <w:bottom w:val="outset" w:sz="6" w:space="0" w:color="414142"/>
              <w:right w:val="outset" w:sz="6" w:space="0" w:color="414142"/>
            </w:tcBorders>
            <w:shd w:val="clear" w:color="auto" w:fill="FFFFFF"/>
            <w:hideMark/>
          </w:tcPr>
          <w:p w14:paraId="7C7DA30B" w14:textId="13F4E3BE" w:rsidR="00E43CD1" w:rsidRPr="001671B4" w:rsidRDefault="00E43CD1" w:rsidP="00CA4EF6">
            <w:pPr>
              <w:spacing w:after="0" w:line="240" w:lineRule="auto"/>
              <w:jc w:val="center"/>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ja-JP"/>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hideMark/>
          </w:tcPr>
          <w:p w14:paraId="7AE4C6F1" w14:textId="77777777" w:rsidR="00E43CD1" w:rsidRPr="001671B4" w:rsidRDefault="00E43CD1" w:rsidP="00CA4EF6">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35B105C3" w14:textId="597AC56E" w:rsidR="00E43CD1" w:rsidRPr="001671B4" w:rsidRDefault="00E43CD1" w:rsidP="00CA4EF6">
            <w:pPr>
              <w:spacing w:after="0" w:line="240" w:lineRule="auto"/>
              <w:jc w:val="center"/>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ja-JP"/>
              </w:rPr>
              <w:t>0</w:t>
            </w:r>
          </w:p>
        </w:tc>
        <w:tc>
          <w:tcPr>
            <w:tcW w:w="765" w:type="pct"/>
            <w:tcBorders>
              <w:top w:val="outset" w:sz="6" w:space="0" w:color="414142"/>
              <w:left w:val="outset" w:sz="6" w:space="0" w:color="414142"/>
              <w:bottom w:val="outset" w:sz="6" w:space="0" w:color="414142"/>
              <w:right w:val="outset" w:sz="6" w:space="0" w:color="414142"/>
            </w:tcBorders>
            <w:shd w:val="clear" w:color="auto" w:fill="FFFFFF"/>
            <w:hideMark/>
          </w:tcPr>
          <w:p w14:paraId="6336C734" w14:textId="31EA99C1" w:rsidR="00E43CD1" w:rsidRPr="001671B4" w:rsidRDefault="00E43CD1" w:rsidP="00CA4EF6">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-39 168</w:t>
            </w:r>
          </w:p>
        </w:tc>
      </w:tr>
      <w:tr w:rsidR="00E43CD1" w14:paraId="19EAB7D0"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5651980A" w14:textId="77777777" w:rsidR="00E43CD1" w:rsidRPr="00F062CA" w:rsidRDefault="00E43CD1" w:rsidP="00DF2054">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3.2. speciālais budžets</w:t>
            </w:r>
          </w:p>
        </w:tc>
        <w:tc>
          <w:tcPr>
            <w:tcW w:w="611" w:type="pct"/>
            <w:tcBorders>
              <w:top w:val="outset" w:sz="6" w:space="0" w:color="414142"/>
              <w:left w:val="outset" w:sz="6" w:space="0" w:color="414142"/>
              <w:bottom w:val="outset" w:sz="6" w:space="0" w:color="414142"/>
              <w:right w:val="outset" w:sz="6" w:space="0" w:color="414142"/>
            </w:tcBorders>
            <w:shd w:val="clear" w:color="auto" w:fill="FFFFFF"/>
            <w:hideMark/>
          </w:tcPr>
          <w:p w14:paraId="134290F3" w14:textId="77777777" w:rsidR="00E43CD1" w:rsidRPr="00441C70" w:rsidRDefault="00E43CD1" w:rsidP="00CA4EF6">
            <w:pPr>
              <w:spacing w:after="0" w:line="240" w:lineRule="auto"/>
              <w:jc w:val="center"/>
              <w:rPr>
                <w:rFonts w:ascii="Times New Roman" w:eastAsia="Calibri" w:hAnsi="Times New Roman" w:cs="Times New Roman"/>
                <w:sz w:val="24"/>
                <w:szCs w:val="24"/>
                <w:lang w:eastAsia="lv-LV"/>
              </w:rPr>
            </w:pPr>
            <w:r w:rsidRPr="00441C70">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7BBF8188" w14:textId="77777777" w:rsidR="00E43CD1" w:rsidRPr="001671B4" w:rsidRDefault="00E43CD1" w:rsidP="00CA4EF6">
            <w:pPr>
              <w:spacing w:after="0" w:line="240" w:lineRule="auto"/>
              <w:jc w:val="center"/>
              <w:rPr>
                <w:rFonts w:ascii="Times New Roman" w:eastAsia="Calibri" w:hAnsi="Times New Roman" w:cs="Times New Roman"/>
                <w:sz w:val="24"/>
                <w:szCs w:val="24"/>
                <w:lang w:eastAsia="lv-LV"/>
              </w:rPr>
            </w:pPr>
            <w:r w:rsidRPr="001671B4">
              <w:rPr>
                <w:rFonts w:ascii="Times New Roman" w:eastAsia="Arial Unicode MS" w:hAnsi="Times New Roman" w:cs="Times New Roman"/>
                <w:sz w:val="24"/>
                <w:szCs w:val="24"/>
                <w:lang w:eastAsia="lv-LV"/>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hideMark/>
          </w:tcPr>
          <w:p w14:paraId="7CD934A4"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612" w:type="pct"/>
            <w:tcBorders>
              <w:top w:val="outset" w:sz="6" w:space="0" w:color="414142"/>
              <w:left w:val="outset" w:sz="6" w:space="0" w:color="414142"/>
              <w:bottom w:val="outset" w:sz="6" w:space="0" w:color="414142"/>
              <w:right w:val="outset" w:sz="6" w:space="0" w:color="414142"/>
            </w:tcBorders>
            <w:shd w:val="clear" w:color="auto" w:fill="FFFFFF"/>
            <w:hideMark/>
          </w:tcPr>
          <w:p w14:paraId="33C569B2" w14:textId="77777777" w:rsidR="00E43CD1" w:rsidRPr="001671B4" w:rsidRDefault="00E43CD1" w:rsidP="00CA4E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hideMark/>
          </w:tcPr>
          <w:p w14:paraId="37749DB8"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0FD35D56" w14:textId="77777777" w:rsidR="00E43CD1" w:rsidRPr="001671B4" w:rsidRDefault="00E43CD1" w:rsidP="00CA4E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414142"/>
              <w:left w:val="outset" w:sz="6" w:space="0" w:color="414142"/>
              <w:bottom w:val="outset" w:sz="6" w:space="0" w:color="414142"/>
              <w:right w:val="outset" w:sz="6" w:space="0" w:color="414142"/>
            </w:tcBorders>
            <w:shd w:val="clear" w:color="auto" w:fill="FFFFFF"/>
            <w:hideMark/>
          </w:tcPr>
          <w:p w14:paraId="3AB05647"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r>
      <w:tr w:rsidR="00E43CD1" w14:paraId="48601A2F"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5C9A6E1E" w14:textId="77777777" w:rsidR="00E43CD1" w:rsidRPr="00F062CA" w:rsidRDefault="00E43CD1" w:rsidP="00DF2054">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3.3. pašvaldību budžets</w:t>
            </w:r>
          </w:p>
        </w:tc>
        <w:tc>
          <w:tcPr>
            <w:tcW w:w="611" w:type="pct"/>
            <w:tcBorders>
              <w:top w:val="outset" w:sz="6" w:space="0" w:color="414142"/>
              <w:left w:val="outset" w:sz="6" w:space="0" w:color="414142"/>
              <w:bottom w:val="outset" w:sz="6" w:space="0" w:color="414142"/>
              <w:right w:val="outset" w:sz="6" w:space="0" w:color="414142"/>
            </w:tcBorders>
            <w:shd w:val="clear" w:color="auto" w:fill="FFFFFF"/>
            <w:hideMark/>
          </w:tcPr>
          <w:p w14:paraId="2B7F60A6" w14:textId="77777777" w:rsidR="00E43CD1" w:rsidRPr="00441C70" w:rsidRDefault="00E43CD1" w:rsidP="00CA4EF6">
            <w:pPr>
              <w:spacing w:after="0" w:line="240" w:lineRule="auto"/>
              <w:jc w:val="center"/>
              <w:rPr>
                <w:rFonts w:ascii="Times New Roman" w:eastAsia="Calibri" w:hAnsi="Times New Roman" w:cs="Times New Roman"/>
                <w:sz w:val="24"/>
                <w:szCs w:val="24"/>
                <w:lang w:eastAsia="lv-LV"/>
              </w:rPr>
            </w:pPr>
            <w:r w:rsidRPr="00441C70">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50AB7B6C" w14:textId="77777777" w:rsidR="00E43CD1" w:rsidRPr="001671B4" w:rsidRDefault="00E43CD1" w:rsidP="00CA4EF6">
            <w:pPr>
              <w:spacing w:after="0" w:line="240" w:lineRule="auto"/>
              <w:jc w:val="center"/>
              <w:rPr>
                <w:rFonts w:ascii="Times New Roman" w:eastAsia="Calibri" w:hAnsi="Times New Roman" w:cs="Times New Roman"/>
                <w:sz w:val="24"/>
                <w:szCs w:val="24"/>
                <w:lang w:eastAsia="lv-LV"/>
              </w:rPr>
            </w:pPr>
            <w:r w:rsidRPr="001671B4">
              <w:rPr>
                <w:rFonts w:ascii="Times New Roman" w:eastAsia="Arial Unicode MS" w:hAnsi="Times New Roman" w:cs="Times New Roman"/>
                <w:sz w:val="24"/>
                <w:szCs w:val="24"/>
                <w:lang w:eastAsia="lv-LV"/>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hideMark/>
          </w:tcPr>
          <w:p w14:paraId="5DAAC423" w14:textId="77777777" w:rsidR="00E43CD1" w:rsidRPr="001671B4" w:rsidRDefault="00E43CD1" w:rsidP="00CA4E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2" w:type="pct"/>
            <w:tcBorders>
              <w:top w:val="outset" w:sz="6" w:space="0" w:color="414142"/>
              <w:left w:val="outset" w:sz="6" w:space="0" w:color="414142"/>
              <w:bottom w:val="outset" w:sz="6" w:space="0" w:color="414142"/>
              <w:right w:val="outset" w:sz="6" w:space="0" w:color="414142"/>
            </w:tcBorders>
            <w:shd w:val="clear" w:color="auto" w:fill="FFFFFF"/>
            <w:hideMark/>
          </w:tcPr>
          <w:p w14:paraId="7B334DC0" w14:textId="77777777" w:rsidR="00E43CD1" w:rsidRPr="001671B4" w:rsidRDefault="00E43CD1" w:rsidP="00CA4E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hideMark/>
          </w:tcPr>
          <w:p w14:paraId="7A3AB32F" w14:textId="77777777" w:rsidR="00E43CD1" w:rsidRPr="001671B4" w:rsidRDefault="00E43CD1" w:rsidP="00CA4E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38F91CC4" w14:textId="77777777" w:rsidR="00E43CD1" w:rsidRPr="001671B4" w:rsidRDefault="00E43CD1" w:rsidP="00CA4E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414142"/>
              <w:left w:val="outset" w:sz="6" w:space="0" w:color="414142"/>
              <w:bottom w:val="outset" w:sz="6" w:space="0" w:color="414142"/>
              <w:right w:val="outset" w:sz="6" w:space="0" w:color="414142"/>
            </w:tcBorders>
            <w:shd w:val="clear" w:color="auto" w:fill="FFFFFF"/>
            <w:hideMark/>
          </w:tcPr>
          <w:p w14:paraId="47D16D6F" w14:textId="77777777" w:rsidR="00E43CD1" w:rsidRPr="001671B4" w:rsidRDefault="00E43CD1" w:rsidP="00CA4E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43CD1" w14:paraId="1670FDE9"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29D95544" w14:textId="77777777" w:rsidR="00E43CD1" w:rsidRPr="00F062CA" w:rsidRDefault="00E43CD1" w:rsidP="00DF2054">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611" w:type="pct"/>
            <w:tcBorders>
              <w:top w:val="outset" w:sz="6" w:space="0" w:color="414142"/>
              <w:left w:val="outset" w:sz="6" w:space="0" w:color="414142"/>
              <w:bottom w:val="outset" w:sz="6" w:space="0" w:color="414142"/>
              <w:right w:val="outset" w:sz="6" w:space="0" w:color="414142"/>
            </w:tcBorders>
            <w:shd w:val="clear" w:color="auto" w:fill="FFFFFF"/>
            <w:hideMark/>
          </w:tcPr>
          <w:p w14:paraId="11A8E387" w14:textId="156A8CE2" w:rsidR="00E43CD1" w:rsidRPr="00441C70" w:rsidRDefault="00E43CD1" w:rsidP="00CA4EF6">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172D7302" w14:textId="56D067CF" w:rsidR="00E43CD1" w:rsidRPr="00643315" w:rsidRDefault="00E43CD1" w:rsidP="00CA4EF6">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hideMark/>
          </w:tcPr>
          <w:p w14:paraId="45A1D9B6"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612" w:type="pct"/>
            <w:tcBorders>
              <w:top w:val="outset" w:sz="6" w:space="0" w:color="414142"/>
              <w:left w:val="outset" w:sz="6" w:space="0" w:color="414142"/>
              <w:bottom w:val="outset" w:sz="6" w:space="0" w:color="414142"/>
              <w:right w:val="outset" w:sz="6" w:space="0" w:color="414142"/>
            </w:tcBorders>
            <w:shd w:val="clear" w:color="auto" w:fill="FFFFFF"/>
            <w:hideMark/>
          </w:tcPr>
          <w:p w14:paraId="6D29E79E" w14:textId="5F33CBBB" w:rsidR="00E43CD1" w:rsidRPr="001671B4" w:rsidRDefault="00E43CD1" w:rsidP="00CA4EF6">
            <w:pPr>
              <w:spacing w:after="0" w:line="240" w:lineRule="auto"/>
              <w:ind w:left="-3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ja-JP"/>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FFFFF"/>
            <w:hideMark/>
          </w:tcPr>
          <w:p w14:paraId="7BA783B1"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647421B2" w14:textId="7C535BD7" w:rsidR="00E43CD1" w:rsidRPr="001671B4" w:rsidRDefault="00E43CD1" w:rsidP="00CA4EF6">
            <w:pPr>
              <w:spacing w:after="0" w:line="240" w:lineRule="auto"/>
              <w:ind w:left="-3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ja-JP"/>
              </w:rPr>
              <w:t>0</w:t>
            </w:r>
          </w:p>
        </w:tc>
        <w:tc>
          <w:tcPr>
            <w:tcW w:w="765" w:type="pct"/>
            <w:tcBorders>
              <w:top w:val="outset" w:sz="6" w:space="0" w:color="414142"/>
              <w:left w:val="outset" w:sz="6" w:space="0" w:color="414142"/>
              <w:bottom w:val="outset" w:sz="6" w:space="0" w:color="414142"/>
              <w:right w:val="outset" w:sz="6" w:space="0" w:color="414142"/>
            </w:tcBorders>
            <w:shd w:val="clear" w:color="auto" w:fill="FFFFFF"/>
            <w:hideMark/>
          </w:tcPr>
          <w:p w14:paraId="563DA85E"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r>
      <w:tr w:rsidR="00E43CD1" w14:paraId="41F8BCC5"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07C98C5E" w14:textId="77777777" w:rsidR="00E43CD1" w:rsidRPr="00F062CA" w:rsidRDefault="00E43CD1" w:rsidP="00DF2054">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5. Precizēta finansiālā ietekme</w:t>
            </w:r>
          </w:p>
        </w:tc>
        <w:tc>
          <w:tcPr>
            <w:tcW w:w="61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1AB8E1" w14:textId="77777777" w:rsidR="00E43CD1" w:rsidRPr="00441C70" w:rsidRDefault="00E43CD1" w:rsidP="00CA4EF6">
            <w:pPr>
              <w:spacing w:after="0" w:line="240" w:lineRule="auto"/>
              <w:jc w:val="center"/>
              <w:rPr>
                <w:rFonts w:ascii="Times New Roman" w:eastAsia="Arial Unicode MS" w:hAnsi="Times New Roman" w:cs="Times New Roman"/>
                <w:sz w:val="24"/>
                <w:szCs w:val="24"/>
                <w:lang w:eastAsia="lv-LV"/>
              </w:rPr>
            </w:pPr>
            <w:r w:rsidRPr="00441C70">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4E337B8F" w14:textId="77777777" w:rsidR="00E43CD1" w:rsidRPr="001671B4" w:rsidRDefault="00E43CD1" w:rsidP="00CA4EF6">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45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8180567" w14:textId="77777777" w:rsidR="00E43CD1" w:rsidRPr="001671B4" w:rsidRDefault="00E43CD1" w:rsidP="00CA4EF6">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c>
          <w:tcPr>
            <w:tcW w:w="612" w:type="pct"/>
            <w:tcBorders>
              <w:top w:val="outset" w:sz="6" w:space="0" w:color="414142"/>
              <w:left w:val="outset" w:sz="6" w:space="0" w:color="414142"/>
              <w:bottom w:val="outset" w:sz="6" w:space="0" w:color="414142"/>
              <w:right w:val="outset" w:sz="6" w:space="0" w:color="414142"/>
            </w:tcBorders>
            <w:shd w:val="clear" w:color="auto" w:fill="FFFFFF"/>
            <w:hideMark/>
          </w:tcPr>
          <w:p w14:paraId="3C93FBD6" w14:textId="77777777" w:rsidR="00E43CD1" w:rsidRPr="001671B4" w:rsidRDefault="00E43CD1" w:rsidP="00CA4E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5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4311C28" w14:textId="77777777" w:rsidR="00E43CD1" w:rsidRPr="001671B4" w:rsidRDefault="00E43CD1" w:rsidP="00CA4EF6">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3B11F516" w14:textId="77777777" w:rsidR="00E43CD1" w:rsidRPr="001671B4" w:rsidRDefault="00E43CD1" w:rsidP="00CA4E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5" w:type="pct"/>
            <w:tcBorders>
              <w:top w:val="outset" w:sz="6" w:space="0" w:color="414142"/>
              <w:left w:val="outset" w:sz="6" w:space="0" w:color="414142"/>
              <w:bottom w:val="outset" w:sz="6" w:space="0" w:color="414142"/>
              <w:right w:val="outset" w:sz="6" w:space="0" w:color="414142"/>
            </w:tcBorders>
            <w:shd w:val="clear" w:color="auto" w:fill="FFFFFF"/>
            <w:hideMark/>
          </w:tcPr>
          <w:p w14:paraId="3AF41C91" w14:textId="77777777" w:rsidR="00E43CD1" w:rsidRPr="001671B4" w:rsidRDefault="00E43CD1" w:rsidP="00CA4E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43CD1" w14:paraId="6CB468D3"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7E6EA016" w14:textId="77777777" w:rsidR="00E43CD1" w:rsidRPr="00F062CA" w:rsidRDefault="00E43CD1" w:rsidP="00DF2054">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5.1. valsts pamatbudžets</w:t>
            </w:r>
          </w:p>
        </w:tc>
        <w:tc>
          <w:tcPr>
            <w:tcW w:w="611"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750079FA" w14:textId="77777777" w:rsidR="00E43CD1" w:rsidRPr="00F062CA" w:rsidRDefault="00E43CD1" w:rsidP="00CA4EF6">
            <w:pPr>
              <w:spacing w:after="0" w:line="240" w:lineRule="auto"/>
              <w:jc w:val="center"/>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tcPr>
          <w:p w14:paraId="2E54741E" w14:textId="77777777" w:rsidR="00E43CD1" w:rsidRPr="001671B4" w:rsidRDefault="00E43CD1" w:rsidP="00CA4EF6">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458"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78F765F5" w14:textId="77777777" w:rsidR="00E43CD1" w:rsidRPr="00F062CA" w:rsidRDefault="00E43CD1" w:rsidP="00CA4EF6">
            <w:pPr>
              <w:spacing w:after="0" w:line="240" w:lineRule="auto"/>
              <w:jc w:val="center"/>
              <w:rPr>
                <w:rFonts w:ascii="Times New Roman" w:eastAsia="Times New Roman" w:hAnsi="Times New Roman" w:cs="Times New Roman"/>
                <w:sz w:val="24"/>
                <w:szCs w:val="24"/>
                <w:lang w:eastAsia="lv-LV"/>
              </w:rPr>
            </w:pPr>
          </w:p>
        </w:tc>
        <w:tc>
          <w:tcPr>
            <w:tcW w:w="612" w:type="pct"/>
            <w:tcBorders>
              <w:top w:val="outset" w:sz="6" w:space="0" w:color="414142"/>
              <w:left w:val="outset" w:sz="6" w:space="0" w:color="414142"/>
              <w:bottom w:val="outset" w:sz="6" w:space="0" w:color="414142"/>
              <w:right w:val="outset" w:sz="6" w:space="0" w:color="414142"/>
            </w:tcBorders>
            <w:shd w:val="clear" w:color="auto" w:fill="FFFFFF"/>
            <w:hideMark/>
          </w:tcPr>
          <w:p w14:paraId="460F57A6"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458"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55A247A8" w14:textId="77777777" w:rsidR="00E43CD1" w:rsidRPr="00F062CA" w:rsidRDefault="00E43CD1" w:rsidP="00CA4EF6">
            <w:pPr>
              <w:spacing w:after="0" w:line="240" w:lineRule="auto"/>
              <w:jc w:val="center"/>
              <w:rPr>
                <w:rFonts w:ascii="Times New Roman" w:eastAsia="Times New Roman" w:hAnsi="Times New Roman" w:cs="Times New Roman"/>
                <w:sz w:val="24"/>
                <w:szCs w:val="24"/>
                <w:lang w:eastAsia="lv-LV"/>
              </w:rPr>
            </w:pP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4DA3D564"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765" w:type="pct"/>
            <w:tcBorders>
              <w:top w:val="outset" w:sz="6" w:space="0" w:color="414142"/>
              <w:left w:val="outset" w:sz="6" w:space="0" w:color="414142"/>
              <w:bottom w:val="outset" w:sz="6" w:space="0" w:color="414142"/>
              <w:right w:val="outset" w:sz="6" w:space="0" w:color="414142"/>
            </w:tcBorders>
            <w:shd w:val="clear" w:color="auto" w:fill="FFFFFF"/>
            <w:hideMark/>
          </w:tcPr>
          <w:p w14:paraId="213E439C"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r>
      <w:tr w:rsidR="00E43CD1" w14:paraId="426EE028"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6026467C" w14:textId="77777777" w:rsidR="00E43CD1" w:rsidRPr="00F062CA" w:rsidRDefault="00E43CD1" w:rsidP="00DF2054">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5.2. speciālais budžets</w:t>
            </w:r>
          </w:p>
        </w:tc>
        <w:tc>
          <w:tcPr>
            <w:tcW w:w="611"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376AE92D" w14:textId="77777777" w:rsidR="00E43CD1" w:rsidRPr="00F062CA" w:rsidRDefault="00E43CD1" w:rsidP="00CA4EF6">
            <w:pPr>
              <w:spacing w:after="0" w:line="240" w:lineRule="auto"/>
              <w:jc w:val="center"/>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tcPr>
          <w:p w14:paraId="1B802CEE" w14:textId="77777777" w:rsidR="00E43CD1" w:rsidRPr="001671B4" w:rsidRDefault="00E43CD1" w:rsidP="00CA4EF6">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458"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1F48682D" w14:textId="77777777" w:rsidR="00E43CD1" w:rsidRPr="00F062CA" w:rsidRDefault="00E43CD1" w:rsidP="00CA4EF6">
            <w:pPr>
              <w:spacing w:after="0" w:line="240" w:lineRule="auto"/>
              <w:jc w:val="center"/>
              <w:rPr>
                <w:rFonts w:ascii="Times New Roman" w:eastAsia="Times New Roman" w:hAnsi="Times New Roman" w:cs="Times New Roman"/>
                <w:sz w:val="24"/>
                <w:szCs w:val="24"/>
                <w:lang w:eastAsia="lv-LV"/>
              </w:rPr>
            </w:pPr>
          </w:p>
        </w:tc>
        <w:tc>
          <w:tcPr>
            <w:tcW w:w="612" w:type="pct"/>
            <w:tcBorders>
              <w:top w:val="outset" w:sz="6" w:space="0" w:color="414142"/>
              <w:left w:val="outset" w:sz="6" w:space="0" w:color="414142"/>
              <w:bottom w:val="outset" w:sz="6" w:space="0" w:color="414142"/>
              <w:right w:val="outset" w:sz="6" w:space="0" w:color="414142"/>
            </w:tcBorders>
            <w:shd w:val="clear" w:color="auto" w:fill="FFFFFF"/>
            <w:hideMark/>
          </w:tcPr>
          <w:p w14:paraId="37D1454A" w14:textId="77777777" w:rsidR="00E43CD1" w:rsidRPr="001671B4" w:rsidRDefault="00E43CD1" w:rsidP="00CA4EF6">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c>
          <w:tcPr>
            <w:tcW w:w="458"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725BF189" w14:textId="77777777" w:rsidR="00E43CD1" w:rsidRPr="00F062CA" w:rsidRDefault="00E43CD1" w:rsidP="00CA4EF6">
            <w:pPr>
              <w:spacing w:after="0" w:line="240" w:lineRule="auto"/>
              <w:jc w:val="center"/>
              <w:rPr>
                <w:rFonts w:ascii="Times New Roman" w:eastAsia="Times New Roman" w:hAnsi="Times New Roman" w:cs="Times New Roman"/>
                <w:sz w:val="24"/>
                <w:szCs w:val="24"/>
                <w:lang w:eastAsia="lv-LV"/>
              </w:rPr>
            </w:pP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4C4E03D0" w14:textId="77777777" w:rsidR="00E43CD1" w:rsidRPr="001671B4" w:rsidRDefault="00E43CD1" w:rsidP="00CA4EF6">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c>
          <w:tcPr>
            <w:tcW w:w="765" w:type="pct"/>
            <w:tcBorders>
              <w:top w:val="outset" w:sz="6" w:space="0" w:color="414142"/>
              <w:left w:val="outset" w:sz="6" w:space="0" w:color="414142"/>
              <w:bottom w:val="outset" w:sz="6" w:space="0" w:color="414142"/>
              <w:right w:val="outset" w:sz="6" w:space="0" w:color="414142"/>
            </w:tcBorders>
            <w:shd w:val="clear" w:color="auto" w:fill="FFFFFF"/>
            <w:hideMark/>
          </w:tcPr>
          <w:p w14:paraId="67F523E4" w14:textId="77777777" w:rsidR="00E43CD1" w:rsidRPr="001671B4" w:rsidRDefault="00E43CD1" w:rsidP="00CA4EF6">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r>
      <w:tr w:rsidR="00E43CD1" w14:paraId="78587AD8"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329A41D0" w14:textId="77777777" w:rsidR="00E43CD1" w:rsidRPr="00F062CA" w:rsidRDefault="00E43CD1" w:rsidP="00DF2054">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5.3. pašvaldību budžets</w:t>
            </w:r>
          </w:p>
        </w:tc>
        <w:tc>
          <w:tcPr>
            <w:tcW w:w="611"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62DB95E3" w14:textId="77777777" w:rsidR="00E43CD1" w:rsidRPr="00F062CA" w:rsidRDefault="00E43CD1" w:rsidP="00CA4EF6">
            <w:pPr>
              <w:spacing w:after="0" w:line="240" w:lineRule="auto"/>
              <w:jc w:val="center"/>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1D1210B1" w14:textId="77777777" w:rsidR="00E43CD1" w:rsidRPr="001671B4" w:rsidRDefault="00E43CD1" w:rsidP="00CA4EF6">
            <w:pPr>
              <w:spacing w:after="0" w:line="240" w:lineRule="auto"/>
              <w:jc w:val="center"/>
              <w:rPr>
                <w:rFonts w:ascii="Times New Roman" w:eastAsia="Arial Unicode MS" w:hAnsi="Times New Roman" w:cs="Times New Roman"/>
                <w:sz w:val="24"/>
                <w:szCs w:val="24"/>
                <w:lang w:eastAsia="lv-LV"/>
              </w:rPr>
            </w:pPr>
            <w:r w:rsidRPr="001671B4">
              <w:rPr>
                <w:rFonts w:ascii="Times New Roman" w:eastAsia="Calibri" w:hAnsi="Times New Roman" w:cs="Times New Roman"/>
                <w:sz w:val="24"/>
                <w:szCs w:val="24"/>
                <w:lang w:eastAsia="lv-LV"/>
              </w:rPr>
              <w:t>0</w:t>
            </w:r>
          </w:p>
        </w:tc>
        <w:tc>
          <w:tcPr>
            <w:tcW w:w="458"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59170701" w14:textId="77777777" w:rsidR="00E43CD1" w:rsidRPr="00F062CA" w:rsidRDefault="00E43CD1" w:rsidP="00CA4EF6">
            <w:pPr>
              <w:spacing w:after="0" w:line="240" w:lineRule="auto"/>
              <w:jc w:val="center"/>
              <w:rPr>
                <w:rFonts w:ascii="Times New Roman" w:eastAsia="Times New Roman" w:hAnsi="Times New Roman" w:cs="Times New Roman"/>
                <w:sz w:val="24"/>
                <w:szCs w:val="24"/>
                <w:lang w:eastAsia="lv-LV"/>
              </w:rPr>
            </w:pPr>
          </w:p>
        </w:tc>
        <w:tc>
          <w:tcPr>
            <w:tcW w:w="612" w:type="pct"/>
            <w:tcBorders>
              <w:top w:val="outset" w:sz="6" w:space="0" w:color="414142"/>
              <w:left w:val="outset" w:sz="6" w:space="0" w:color="414142"/>
              <w:bottom w:val="outset" w:sz="6" w:space="0" w:color="414142"/>
              <w:right w:val="outset" w:sz="6" w:space="0" w:color="414142"/>
            </w:tcBorders>
            <w:shd w:val="clear" w:color="auto" w:fill="FFFFFF"/>
            <w:hideMark/>
          </w:tcPr>
          <w:p w14:paraId="63748DBF"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458"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96ED72B" w14:textId="77777777" w:rsidR="00E43CD1" w:rsidRPr="00F062CA" w:rsidRDefault="00E43CD1" w:rsidP="00CA4EF6">
            <w:pPr>
              <w:spacing w:after="0" w:line="240" w:lineRule="auto"/>
              <w:jc w:val="center"/>
              <w:rPr>
                <w:rFonts w:ascii="Times New Roman" w:eastAsia="Times New Roman" w:hAnsi="Times New Roman" w:cs="Times New Roman"/>
                <w:sz w:val="24"/>
                <w:szCs w:val="24"/>
                <w:lang w:eastAsia="lv-LV"/>
              </w:rPr>
            </w:pP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14:paraId="7C414CFB"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765" w:type="pct"/>
            <w:tcBorders>
              <w:top w:val="outset" w:sz="6" w:space="0" w:color="414142"/>
              <w:left w:val="outset" w:sz="6" w:space="0" w:color="414142"/>
              <w:bottom w:val="outset" w:sz="6" w:space="0" w:color="414142"/>
              <w:right w:val="outset" w:sz="6" w:space="0" w:color="414142"/>
            </w:tcBorders>
            <w:shd w:val="clear" w:color="auto" w:fill="FFFFFF"/>
            <w:hideMark/>
          </w:tcPr>
          <w:p w14:paraId="70333A82" w14:textId="77777777" w:rsidR="00E43CD1" w:rsidRPr="00713410" w:rsidRDefault="00E43CD1" w:rsidP="00CA4EF6">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r>
      <w:tr w:rsidR="00E43CD1" w14:paraId="74C50EED"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756DA6C7" w14:textId="77777777" w:rsidR="00E43CD1" w:rsidRPr="00F062CA" w:rsidRDefault="00E43CD1" w:rsidP="00DF2054">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14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0B3A8" w14:textId="479F833C" w:rsidR="0051489C" w:rsidRPr="00A906FA" w:rsidRDefault="00DF2054" w:rsidP="00DF2054">
            <w:pPr>
              <w:spacing w:before="10" w:after="0" w:line="240" w:lineRule="auto"/>
              <w:ind w:left="113" w:right="113"/>
              <w:jc w:val="both"/>
              <w:rPr>
                <w:rFonts w:ascii="Times New Roman" w:eastAsia="Times New Roman" w:hAnsi="Times New Roman" w:cs="Times New Roman"/>
                <w:sz w:val="26"/>
                <w:szCs w:val="26"/>
                <w:lang w:eastAsia="lv-LV"/>
              </w:rPr>
            </w:pPr>
            <w:r>
              <w:rPr>
                <w:rFonts w:ascii="Times New Roman" w:hAnsi="Times New Roman" w:cs="Times New Roman"/>
                <w:sz w:val="26"/>
                <w:szCs w:val="26"/>
              </w:rPr>
              <w:t xml:space="preserve">Administratīvo izmaksas </w:t>
            </w:r>
            <w:proofErr w:type="spellStart"/>
            <w:r w:rsidRPr="00A906FA">
              <w:rPr>
                <w:rFonts w:ascii="Times New Roman" w:eastAsia="Times New Roman" w:hAnsi="Times New Roman" w:cs="Times New Roman"/>
                <w:sz w:val="26"/>
                <w:szCs w:val="26"/>
                <w:lang w:eastAsia="lv-LV"/>
              </w:rPr>
              <w:t>C</w:t>
            </w:r>
            <w:r w:rsidRPr="00A906FA">
              <w:rPr>
                <w:rFonts w:ascii="Times New Roman" w:eastAsia="Times New Roman" w:hAnsi="Times New Roman" w:cs="Times New Roman"/>
                <w:sz w:val="26"/>
                <w:szCs w:val="26"/>
                <w:vertAlign w:val="subscript"/>
                <w:lang w:eastAsia="lv-LV"/>
              </w:rPr>
              <w:t>g</w:t>
            </w:r>
            <w:proofErr w:type="spellEnd"/>
            <w:r>
              <w:rPr>
                <w:rFonts w:ascii="Times New Roman" w:hAnsi="Times New Roman" w:cs="Times New Roman"/>
                <w:sz w:val="26"/>
                <w:szCs w:val="26"/>
              </w:rPr>
              <w:t xml:space="preserve"> gadā aprēķins veikts šīs anotācijas II sadaļas 3. punktā (</w:t>
            </w:r>
            <w:proofErr w:type="spellStart"/>
            <w:r w:rsidR="0051489C" w:rsidRPr="00A906FA">
              <w:rPr>
                <w:rFonts w:ascii="Times New Roman" w:eastAsia="Times New Roman" w:hAnsi="Times New Roman" w:cs="Times New Roman"/>
                <w:sz w:val="26"/>
                <w:szCs w:val="26"/>
                <w:lang w:eastAsia="lv-LV"/>
              </w:rPr>
              <w:t>C</w:t>
            </w:r>
            <w:r w:rsidR="0051489C" w:rsidRPr="00A906FA">
              <w:rPr>
                <w:rFonts w:ascii="Times New Roman" w:eastAsia="Times New Roman" w:hAnsi="Times New Roman" w:cs="Times New Roman"/>
                <w:sz w:val="26"/>
                <w:szCs w:val="26"/>
                <w:vertAlign w:val="subscript"/>
                <w:lang w:eastAsia="lv-LV"/>
              </w:rPr>
              <w:t>g</w:t>
            </w:r>
            <w:proofErr w:type="spellEnd"/>
            <w:r w:rsidR="0051489C" w:rsidRPr="00A906FA">
              <w:rPr>
                <w:rFonts w:ascii="Times New Roman" w:eastAsia="Times New Roman" w:hAnsi="Times New Roman" w:cs="Times New Roman"/>
                <w:sz w:val="26"/>
                <w:szCs w:val="26"/>
                <w:lang w:eastAsia="lv-LV"/>
              </w:rPr>
              <w:t xml:space="preserve"> = 39 168 EUR)</w:t>
            </w:r>
            <w:r>
              <w:rPr>
                <w:rFonts w:ascii="Times New Roman" w:eastAsia="Times New Roman" w:hAnsi="Times New Roman" w:cs="Times New Roman"/>
                <w:sz w:val="26"/>
                <w:szCs w:val="26"/>
                <w:lang w:eastAsia="lv-LV"/>
              </w:rPr>
              <w:t xml:space="preserve">. </w:t>
            </w:r>
          </w:p>
          <w:p w14:paraId="2CE5099C" w14:textId="73CB2DBE" w:rsidR="00956409" w:rsidRPr="00DF2054" w:rsidRDefault="00956409" w:rsidP="00DF2054">
            <w:pPr>
              <w:spacing w:before="10" w:after="0" w:line="240" w:lineRule="auto"/>
              <w:ind w:left="113" w:right="113"/>
              <w:jc w:val="both"/>
              <w:rPr>
                <w:rFonts w:ascii="Times New Roman" w:hAnsi="Times New Roman" w:cs="Times New Roman"/>
                <w:sz w:val="26"/>
                <w:szCs w:val="26"/>
              </w:rPr>
            </w:pPr>
            <w:r w:rsidRPr="00DF2054">
              <w:rPr>
                <w:rFonts w:ascii="Times New Roman" w:hAnsi="Times New Roman" w:cs="Times New Roman"/>
                <w:sz w:val="26"/>
                <w:szCs w:val="26"/>
              </w:rPr>
              <w:t xml:space="preserve">Detalizēts izdevumu aprēķins sniegts anotācijas pielikumā. </w:t>
            </w:r>
          </w:p>
          <w:p w14:paraId="40714C91" w14:textId="77777777" w:rsidR="000D0695" w:rsidRPr="00DF2054" w:rsidRDefault="000D0695" w:rsidP="00DF2054">
            <w:pPr>
              <w:spacing w:before="10" w:after="0" w:line="240" w:lineRule="auto"/>
              <w:ind w:left="113" w:right="113"/>
              <w:jc w:val="both"/>
              <w:rPr>
                <w:rFonts w:ascii="Times New Roman" w:hAnsi="Times New Roman" w:cs="Times New Roman"/>
                <w:sz w:val="26"/>
                <w:szCs w:val="26"/>
              </w:rPr>
            </w:pPr>
            <w:r w:rsidRPr="00DF2054">
              <w:rPr>
                <w:rFonts w:ascii="Times New Roman" w:hAnsi="Times New Roman" w:cs="Times New Roman"/>
                <w:sz w:val="26"/>
                <w:szCs w:val="26"/>
              </w:rPr>
              <w:t>2.1.1.3.1. aktivitātes projektu uzraudzībai projektu pārskata (dzīves cikla) periodā:</w:t>
            </w:r>
          </w:p>
          <w:p w14:paraId="03827159" w14:textId="1B9F71B1" w:rsidR="00956409" w:rsidRPr="00DF2054" w:rsidRDefault="00956409" w:rsidP="00DF2054">
            <w:pPr>
              <w:spacing w:before="10" w:after="0" w:line="240" w:lineRule="auto"/>
              <w:ind w:left="113" w:right="113"/>
              <w:jc w:val="both"/>
              <w:rPr>
                <w:rFonts w:ascii="Times New Roman" w:hAnsi="Times New Roman" w:cs="Times New Roman"/>
                <w:sz w:val="26"/>
                <w:szCs w:val="26"/>
              </w:rPr>
            </w:pPr>
            <w:r w:rsidRPr="00DF2054">
              <w:rPr>
                <w:rFonts w:ascii="Times New Roman" w:hAnsi="Times New Roman" w:cs="Times New Roman"/>
                <w:sz w:val="26"/>
                <w:szCs w:val="26"/>
              </w:rPr>
              <w:t xml:space="preserve">1. 2018. gadā paredzētais finansējums ir 39 168 </w:t>
            </w:r>
            <w:proofErr w:type="spellStart"/>
            <w:r w:rsidRPr="00DF2054">
              <w:rPr>
                <w:rFonts w:ascii="Times New Roman" w:hAnsi="Times New Roman" w:cs="Times New Roman"/>
                <w:sz w:val="26"/>
                <w:szCs w:val="26"/>
              </w:rPr>
              <w:t>euro</w:t>
            </w:r>
            <w:proofErr w:type="spellEnd"/>
            <w:r w:rsidRPr="00DF2054">
              <w:rPr>
                <w:rFonts w:ascii="Times New Roman" w:hAnsi="Times New Roman" w:cs="Times New Roman"/>
                <w:sz w:val="26"/>
                <w:szCs w:val="26"/>
              </w:rPr>
              <w:t xml:space="preserve">, ko plānots segt no </w:t>
            </w:r>
            <w:r w:rsidR="00D52BB5" w:rsidRPr="00DF2054">
              <w:rPr>
                <w:rFonts w:ascii="Times New Roman" w:hAnsi="Times New Roman" w:cs="Times New Roman"/>
                <w:sz w:val="26"/>
                <w:szCs w:val="26"/>
              </w:rPr>
              <w:t>Izglītības un zinātnes ministrijas tehniskās palīdzības projekta “Izglītības un zinātnes ministrijas kapacitātes stiprināšana Eiropas Savienības struktūrfondu plānošanai, ieviešanai un uzraudzībai 2014-2020.gada plānošanas periodā, 1.kārta”</w:t>
            </w:r>
            <w:r w:rsidRPr="00DF2054">
              <w:rPr>
                <w:rFonts w:ascii="Times New Roman" w:hAnsi="Times New Roman" w:cs="Times New Roman"/>
                <w:sz w:val="26"/>
                <w:szCs w:val="26"/>
              </w:rPr>
              <w:t xml:space="preserve">; </w:t>
            </w:r>
          </w:p>
          <w:p w14:paraId="2439AC30" w14:textId="66FC98E5" w:rsidR="000D0695" w:rsidRPr="00DF2054" w:rsidRDefault="00956409" w:rsidP="00DF2054">
            <w:pPr>
              <w:spacing w:before="10" w:after="0" w:line="240" w:lineRule="auto"/>
              <w:ind w:left="113" w:right="113"/>
              <w:jc w:val="both"/>
              <w:rPr>
                <w:rFonts w:ascii="Times New Roman" w:hAnsi="Times New Roman" w:cs="Times New Roman"/>
                <w:sz w:val="26"/>
                <w:szCs w:val="26"/>
              </w:rPr>
            </w:pPr>
            <w:r w:rsidRPr="00DF2054">
              <w:rPr>
                <w:rFonts w:ascii="Times New Roman" w:hAnsi="Times New Roman" w:cs="Times New Roman"/>
                <w:sz w:val="26"/>
                <w:szCs w:val="26"/>
              </w:rPr>
              <w:t>2</w:t>
            </w:r>
            <w:r w:rsidR="000D0695" w:rsidRPr="00DF2054">
              <w:rPr>
                <w:rFonts w:ascii="Times New Roman" w:hAnsi="Times New Roman" w:cs="Times New Roman"/>
                <w:sz w:val="26"/>
                <w:szCs w:val="26"/>
              </w:rPr>
              <w:t xml:space="preserve">. no 2019. gada 1. janvāra līdz 2020. gada 31. decembrim nepieciešamais finansējums ir 78 336 EUR. Jautājumu par papildu administratīvo izmaksu segšanu plānots risināt, izstrādājot Ministru kabineta noteikumus par </w:t>
            </w:r>
            <w:r w:rsidR="000D0695" w:rsidRPr="00DF2054">
              <w:rPr>
                <w:rFonts w:ascii="Times New Roman" w:hAnsi="Times New Roman" w:cs="Times New Roman"/>
                <w:i/>
                <w:sz w:val="26"/>
                <w:szCs w:val="26"/>
              </w:rPr>
              <w:t>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otro kārtu</w:t>
            </w:r>
            <w:r w:rsidR="000D0695" w:rsidRPr="00DF2054">
              <w:rPr>
                <w:rFonts w:ascii="Times New Roman" w:hAnsi="Times New Roman" w:cs="Times New Roman"/>
                <w:sz w:val="26"/>
                <w:szCs w:val="26"/>
              </w:rPr>
              <w:t>;</w:t>
            </w:r>
          </w:p>
          <w:p w14:paraId="48175DC7" w14:textId="77777777" w:rsidR="00E43CD1" w:rsidRPr="00DF2054" w:rsidRDefault="00D52BB5" w:rsidP="00DF2054">
            <w:pPr>
              <w:spacing w:before="10" w:after="0" w:line="240" w:lineRule="auto"/>
              <w:ind w:left="113" w:right="113"/>
              <w:jc w:val="both"/>
              <w:rPr>
                <w:rFonts w:ascii="Times New Roman" w:hAnsi="Times New Roman" w:cs="Times New Roman"/>
                <w:sz w:val="26"/>
                <w:szCs w:val="26"/>
              </w:rPr>
            </w:pPr>
            <w:r w:rsidRPr="00DF2054">
              <w:rPr>
                <w:rFonts w:ascii="Times New Roman" w:hAnsi="Times New Roman" w:cs="Times New Roman"/>
                <w:sz w:val="26"/>
                <w:szCs w:val="26"/>
              </w:rPr>
              <w:t>3</w:t>
            </w:r>
            <w:r w:rsidR="000D0695" w:rsidRPr="00DF2054">
              <w:rPr>
                <w:rFonts w:ascii="Times New Roman" w:hAnsi="Times New Roman" w:cs="Times New Roman"/>
                <w:sz w:val="26"/>
                <w:szCs w:val="26"/>
              </w:rPr>
              <w:t xml:space="preserve">. no 2021. gada 1. janvāra līdz 2032. gada 31. decembrim nepieciešamais finansējums ir 419 328 EUR. Jautājumu par papildu administratīvo izmaksu segšanu plānots risināt, izstrādājot Eiropas Savienības Kohēzijas politikas 2021.–2027. gadam ieviešanas nosacījumus pētniecības un inovācijas attīstībai Latvijā vai izskatot </w:t>
            </w:r>
            <w:r w:rsidR="000D0695" w:rsidRPr="00DF2054">
              <w:rPr>
                <w:rFonts w:ascii="Times New Roman" w:hAnsi="Times New Roman" w:cs="Times New Roman"/>
                <w:sz w:val="26"/>
                <w:szCs w:val="26"/>
              </w:rPr>
              <w:lastRenderedPageBreak/>
              <w:t>jautājumu par papildu finansējuma piešķiršanu Ministru kabinetā gadskārtējā valsts budžeta projekta sagatavošanas un izskatīšanas procesā kopā ar visu ministriju un centrālo valsts iestāžu iesniegtajiem prioritārajiem pasākumiem atbilstoši valsts budžeta finansiālajām iespējām.</w:t>
            </w:r>
          </w:p>
          <w:p w14:paraId="0B1AA989" w14:textId="089C0C42" w:rsidR="00301DCA" w:rsidRPr="00DF2054" w:rsidRDefault="00301DCA" w:rsidP="00DF2054">
            <w:pPr>
              <w:spacing w:before="10" w:after="0" w:line="240" w:lineRule="auto"/>
              <w:ind w:left="113" w:right="113"/>
              <w:jc w:val="both"/>
              <w:rPr>
                <w:rFonts w:ascii="Times New Roman" w:hAnsi="Times New Roman" w:cs="Times New Roman"/>
                <w:sz w:val="26"/>
                <w:szCs w:val="26"/>
              </w:rPr>
            </w:pPr>
            <w:r w:rsidRPr="00DF2054">
              <w:rPr>
                <w:rFonts w:ascii="Times New Roman" w:hAnsi="Times New Roman" w:cs="Times New Roman"/>
                <w:sz w:val="26"/>
                <w:szCs w:val="26"/>
              </w:rPr>
              <w:t>Izglītības un zinātnes ministrijai sadarbībā ar Finanšu ministriju informēt Ministru kabinetu par iespējamiem finanšu avotiem 2.1.1.3.1. aktivitātes projektu uzraudzības nodrošināšanai, informāciju iekļaujot informatīvā ziņojumā.</w:t>
            </w:r>
          </w:p>
          <w:p w14:paraId="17C17C2A" w14:textId="50BE8A45" w:rsidR="0051489C" w:rsidRPr="00D52BB5" w:rsidRDefault="00AB46D5" w:rsidP="00DF2054">
            <w:pPr>
              <w:spacing w:before="10" w:after="0" w:line="240" w:lineRule="auto"/>
              <w:ind w:left="113" w:right="113"/>
              <w:jc w:val="both"/>
              <w:rPr>
                <w:rFonts w:ascii="Times New Roman" w:eastAsia="Times New Roman" w:hAnsi="Times New Roman" w:cs="Times New Roman"/>
                <w:sz w:val="26"/>
                <w:szCs w:val="26"/>
                <w:lang w:eastAsia="lv-LV"/>
              </w:rPr>
            </w:pPr>
            <w:r w:rsidRPr="00DF2054">
              <w:rPr>
                <w:rFonts w:ascii="Times New Roman" w:hAnsi="Times New Roman" w:cs="Times New Roman"/>
                <w:sz w:val="26"/>
                <w:szCs w:val="26"/>
              </w:rPr>
              <w:t xml:space="preserve">Izglītības un zinātnes ministrijai nav </w:t>
            </w:r>
            <w:r w:rsidR="00212F98" w:rsidRPr="00DF2054">
              <w:rPr>
                <w:rFonts w:ascii="Times New Roman" w:hAnsi="Times New Roman" w:cs="Times New Roman"/>
                <w:sz w:val="26"/>
                <w:szCs w:val="26"/>
              </w:rPr>
              <w:t xml:space="preserve">pieejami finanšu līdzekļi papildu izdevumu finansēšanai, jo </w:t>
            </w:r>
            <w:r w:rsidR="004469BE" w:rsidRPr="00DF2054">
              <w:rPr>
                <w:rFonts w:ascii="Times New Roman" w:hAnsi="Times New Roman" w:cs="Times New Roman"/>
                <w:sz w:val="26"/>
                <w:szCs w:val="26"/>
              </w:rPr>
              <w:t xml:space="preserve">ministrijai </w:t>
            </w:r>
            <w:r w:rsidR="00212F98" w:rsidRPr="00DF2054">
              <w:rPr>
                <w:rFonts w:ascii="Times New Roman" w:hAnsi="Times New Roman" w:cs="Times New Roman"/>
                <w:sz w:val="26"/>
                <w:szCs w:val="26"/>
              </w:rPr>
              <w:t>nav iespēj</w:t>
            </w:r>
            <w:r w:rsidR="004469BE" w:rsidRPr="00DF2054">
              <w:rPr>
                <w:rFonts w:ascii="Times New Roman" w:hAnsi="Times New Roman" w:cs="Times New Roman"/>
                <w:sz w:val="26"/>
                <w:szCs w:val="26"/>
              </w:rPr>
              <w:t>u</w:t>
            </w:r>
            <w:r w:rsidR="00212F98" w:rsidRPr="00DF2054">
              <w:rPr>
                <w:rFonts w:ascii="Times New Roman" w:hAnsi="Times New Roman" w:cs="Times New Roman"/>
                <w:sz w:val="26"/>
                <w:szCs w:val="26"/>
              </w:rPr>
              <w:t xml:space="preserve"> veikt institucionālus pārkārtojumus, administratīvo izmaksu vai izdevumu samazināšanu </w:t>
            </w:r>
            <w:r w:rsidR="004469BE" w:rsidRPr="00DF2054">
              <w:rPr>
                <w:rFonts w:ascii="Times New Roman" w:hAnsi="Times New Roman" w:cs="Times New Roman"/>
                <w:sz w:val="26"/>
                <w:szCs w:val="26"/>
              </w:rPr>
              <w:t>ministrijas kompetencē esošām funkcijām.</w:t>
            </w:r>
            <w:r w:rsidR="00212F98">
              <w:rPr>
                <w:rFonts w:ascii="Times New Roman" w:eastAsia="Times New Roman" w:hAnsi="Times New Roman" w:cs="Times New Roman"/>
                <w:sz w:val="26"/>
                <w:szCs w:val="26"/>
                <w:lang w:eastAsia="lv-LV"/>
              </w:rPr>
              <w:t xml:space="preserve"> </w:t>
            </w:r>
          </w:p>
        </w:tc>
      </w:tr>
      <w:tr w:rsidR="00E43CD1" w14:paraId="70149C5E"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46DA98BA" w14:textId="559321E7" w:rsidR="00E43CD1" w:rsidRPr="00F062CA" w:rsidRDefault="00E43CD1" w:rsidP="00DF2054">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6.1. detalizēts ieņēmumu aprēķins</w:t>
            </w:r>
          </w:p>
        </w:tc>
        <w:tc>
          <w:tcPr>
            <w:tcW w:w="414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21F083" w14:textId="77777777" w:rsidR="00E43CD1" w:rsidRPr="00F062CA" w:rsidRDefault="00E43CD1" w:rsidP="00DF2054">
            <w:pPr>
              <w:spacing w:after="0" w:line="240" w:lineRule="auto"/>
              <w:rPr>
                <w:rFonts w:ascii="Times New Roman" w:eastAsia="Times New Roman" w:hAnsi="Times New Roman" w:cs="Times New Roman"/>
                <w:sz w:val="24"/>
                <w:szCs w:val="24"/>
                <w:lang w:eastAsia="lv-LV"/>
              </w:rPr>
            </w:pPr>
          </w:p>
        </w:tc>
      </w:tr>
      <w:tr w:rsidR="00E43CD1" w14:paraId="09446BDE"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61BFA6A0" w14:textId="77777777" w:rsidR="00E43CD1" w:rsidRPr="00F062CA" w:rsidRDefault="00E43CD1" w:rsidP="00DF2054">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6.2. detalizēts izdevumu aprēķins</w:t>
            </w:r>
          </w:p>
        </w:tc>
        <w:tc>
          <w:tcPr>
            <w:tcW w:w="414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8384C" w14:textId="77777777" w:rsidR="00E43CD1" w:rsidRPr="00F062CA" w:rsidRDefault="00E43CD1" w:rsidP="00DF2054">
            <w:pPr>
              <w:spacing w:after="0" w:line="240" w:lineRule="auto"/>
              <w:rPr>
                <w:rFonts w:ascii="Times New Roman" w:eastAsia="Times New Roman" w:hAnsi="Times New Roman" w:cs="Times New Roman"/>
                <w:sz w:val="24"/>
                <w:szCs w:val="24"/>
                <w:lang w:eastAsia="lv-LV"/>
              </w:rPr>
            </w:pPr>
          </w:p>
        </w:tc>
      </w:tr>
      <w:tr w:rsidR="00E43CD1" w14:paraId="049D1E51"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20EAD63A" w14:textId="77777777" w:rsidR="00E43CD1" w:rsidRPr="00F062CA" w:rsidRDefault="00E43CD1" w:rsidP="00DF2054">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7. Amata vietu skaita izmaiņas</w:t>
            </w:r>
          </w:p>
        </w:tc>
        <w:tc>
          <w:tcPr>
            <w:tcW w:w="414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C2939D9" w14:textId="77777777" w:rsidR="00E43CD1" w:rsidRPr="001671B4" w:rsidRDefault="00E43CD1" w:rsidP="00DF2054">
            <w:pPr>
              <w:spacing w:after="0" w:line="240" w:lineRule="auto"/>
              <w:jc w:val="both"/>
              <w:rPr>
                <w:rFonts w:ascii="Times New Roman" w:eastAsia="Times New Roman" w:hAnsi="Times New Roman" w:cs="Times New Roman"/>
                <w:sz w:val="24"/>
                <w:szCs w:val="24"/>
                <w:lang w:eastAsia="ja-JP"/>
              </w:rPr>
            </w:pPr>
            <w:r>
              <w:rPr>
                <w:rFonts w:ascii="Times New Roman" w:eastAsia="Calibri" w:hAnsi="Times New Roman" w:cs="Times New Roman"/>
                <w:iCs/>
                <w:color w:val="000000"/>
                <w:sz w:val="24"/>
                <w:szCs w:val="24"/>
                <w:lang w:eastAsia="lv-LV"/>
              </w:rPr>
              <w:t>P</w:t>
            </w:r>
            <w:r w:rsidRPr="001671B4">
              <w:rPr>
                <w:rFonts w:ascii="Times New Roman" w:eastAsia="Calibri" w:hAnsi="Times New Roman" w:cs="Times New Roman"/>
                <w:iCs/>
                <w:color w:val="000000"/>
                <w:sz w:val="24"/>
                <w:szCs w:val="24"/>
                <w:lang w:eastAsia="lv-LV"/>
              </w:rPr>
              <w:t>rojekts šo jomu neskar.</w:t>
            </w:r>
          </w:p>
        </w:tc>
      </w:tr>
      <w:tr w:rsidR="00E43CD1" w14:paraId="337F58B9" w14:textId="77777777" w:rsidTr="00855540">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1AA0ACDF" w14:textId="77777777" w:rsidR="00E43CD1" w:rsidRPr="00F062CA" w:rsidRDefault="00E43CD1" w:rsidP="00DF2054">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8. Cita informācija</w:t>
            </w:r>
          </w:p>
        </w:tc>
        <w:tc>
          <w:tcPr>
            <w:tcW w:w="414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DFBE4A5" w14:textId="24646815" w:rsidR="00E43CD1" w:rsidRPr="001671B4" w:rsidRDefault="004469BE" w:rsidP="004469BE">
            <w:pPr>
              <w:spacing w:before="40" w:after="40" w:line="240" w:lineRule="auto"/>
              <w:ind w:right="57"/>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lv-LV" w:bidi="lo-LA"/>
              </w:rPr>
              <w:t xml:space="preserve">Anotācijas pielikumā norādīts indikatīvais papildu administratīvo izmaksu </w:t>
            </w:r>
            <w:r w:rsidR="00E43CD1" w:rsidRPr="001671B4">
              <w:rPr>
                <w:rFonts w:ascii="Times New Roman" w:eastAsia="Times New Roman" w:hAnsi="Times New Roman" w:cs="Times New Roman"/>
                <w:sz w:val="24"/>
                <w:szCs w:val="24"/>
                <w:lang w:eastAsia="lv-LV" w:bidi="lo-LA"/>
              </w:rPr>
              <w:t>sadalījums pa gadiem.</w:t>
            </w:r>
            <w:r>
              <w:rPr>
                <w:rFonts w:ascii="Times New Roman" w:eastAsia="Times New Roman" w:hAnsi="Times New Roman" w:cs="Times New Roman"/>
                <w:sz w:val="24"/>
                <w:szCs w:val="24"/>
                <w:lang w:eastAsia="lv-LV" w:bidi="lo-LA"/>
              </w:rPr>
              <w:t xml:space="preserve"> </w:t>
            </w:r>
          </w:p>
        </w:tc>
      </w:tr>
    </w:tbl>
    <w:p w14:paraId="05A0AC0E" w14:textId="77777777" w:rsidR="00226F1C" w:rsidRDefault="00226F1C" w:rsidP="00800AB9">
      <w:pPr>
        <w:spacing w:after="0" w:line="240" w:lineRule="auto"/>
        <w:rPr>
          <w:rFonts w:ascii="Times New Roman" w:hAnsi="Times New Roman" w:cs="Times New Roman"/>
          <w:i/>
          <w:iCs/>
          <w:sz w:val="26"/>
          <w:szCs w:val="26"/>
        </w:rPr>
      </w:pP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9065"/>
      </w:tblGrid>
      <w:tr w:rsidR="00800AB9" w:rsidRPr="00141AAB" w14:paraId="0657C0BB" w14:textId="77777777" w:rsidTr="00D52BB5">
        <w:trPr>
          <w:tblCellSpacing w:w="0" w:type="dxa"/>
        </w:trPr>
        <w:tc>
          <w:tcPr>
            <w:tcW w:w="5000" w:type="pct"/>
            <w:vAlign w:val="center"/>
          </w:tcPr>
          <w:p w14:paraId="74A8AF3E" w14:textId="77777777" w:rsidR="00800AB9" w:rsidRPr="00141AAB" w:rsidRDefault="00800AB9" w:rsidP="00CF288E">
            <w:pPr>
              <w:spacing w:before="150" w:after="150"/>
              <w:jc w:val="center"/>
              <w:rPr>
                <w:rFonts w:ascii="Times New Roman" w:hAnsi="Times New Roman" w:cs="Times New Roman"/>
                <w:b/>
                <w:bCs/>
                <w:sz w:val="26"/>
                <w:szCs w:val="26"/>
              </w:rPr>
            </w:pPr>
            <w:r w:rsidRPr="00141AAB">
              <w:rPr>
                <w:rFonts w:ascii="Times New Roman" w:hAnsi="Times New Roman" w:cs="Times New Roman"/>
                <w:b/>
                <w:bCs/>
                <w:sz w:val="26"/>
                <w:szCs w:val="26"/>
              </w:rPr>
              <w:t>IV. Tiesību akta projekta ietekme uz spēkā esošo tiesību normu sistēmu</w:t>
            </w:r>
          </w:p>
        </w:tc>
      </w:tr>
      <w:tr w:rsidR="00800AB9" w:rsidRPr="00141AAB" w14:paraId="0AD7E23B" w14:textId="77777777" w:rsidTr="00D52BB5">
        <w:trPr>
          <w:trHeight w:val="467"/>
          <w:tblCellSpacing w:w="0" w:type="dxa"/>
        </w:trPr>
        <w:tc>
          <w:tcPr>
            <w:tcW w:w="5000" w:type="pct"/>
          </w:tcPr>
          <w:p w14:paraId="6F898C4A" w14:textId="77777777" w:rsidR="00800AB9" w:rsidRPr="00141AAB" w:rsidRDefault="00800AB9" w:rsidP="00CF288E">
            <w:pPr>
              <w:jc w:val="center"/>
              <w:rPr>
                <w:rFonts w:ascii="Times New Roman" w:hAnsi="Times New Roman" w:cs="Times New Roman"/>
                <w:sz w:val="26"/>
                <w:szCs w:val="26"/>
              </w:rPr>
            </w:pPr>
            <w:r w:rsidRPr="00141AAB">
              <w:rPr>
                <w:rFonts w:ascii="Times New Roman" w:hAnsi="Times New Roman" w:cs="Times New Roman"/>
                <w:sz w:val="26"/>
                <w:szCs w:val="26"/>
              </w:rPr>
              <w:t xml:space="preserve">Projekts nerada ietekmi uz </w:t>
            </w:r>
            <w:r>
              <w:rPr>
                <w:rFonts w:ascii="Times New Roman" w:hAnsi="Times New Roman" w:cs="Times New Roman"/>
                <w:sz w:val="26"/>
                <w:szCs w:val="26"/>
              </w:rPr>
              <w:t xml:space="preserve">spēkā esošo </w:t>
            </w:r>
            <w:r w:rsidRPr="00141AAB">
              <w:rPr>
                <w:rFonts w:ascii="Times New Roman" w:hAnsi="Times New Roman" w:cs="Times New Roman"/>
                <w:sz w:val="26"/>
                <w:szCs w:val="26"/>
              </w:rPr>
              <w:t>tiesību normu sistēmu.</w:t>
            </w:r>
          </w:p>
        </w:tc>
      </w:tr>
    </w:tbl>
    <w:p w14:paraId="3278DCBC" w14:textId="77777777" w:rsidR="006A5FBE" w:rsidRPr="00A906FA" w:rsidRDefault="006A5FBE" w:rsidP="00DA596D">
      <w:pPr>
        <w:spacing w:after="0" w:line="240" w:lineRule="auto"/>
        <w:rPr>
          <w:rFonts w:ascii="Times New Roman" w:eastAsia="Times New Roman" w:hAnsi="Times New Roman" w:cs="Times New Roman"/>
          <w:sz w:val="26"/>
          <w:szCs w:val="26"/>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28"/>
        <w:gridCol w:w="1961"/>
        <w:gridCol w:w="6372"/>
      </w:tblGrid>
      <w:tr w:rsidR="006A328C" w:rsidRPr="00A906FA" w14:paraId="7B17CBC0" w14:textId="77777777" w:rsidTr="00D52BB5">
        <w:trPr>
          <w:trHeight w:val="375"/>
        </w:trPr>
        <w:tc>
          <w:tcPr>
            <w:tcW w:w="5000" w:type="pct"/>
            <w:gridSpan w:val="3"/>
            <w:vAlign w:val="center"/>
            <w:hideMark/>
          </w:tcPr>
          <w:p w14:paraId="52D61CB2" w14:textId="77777777" w:rsidR="00C81F0E" w:rsidRPr="00A906FA" w:rsidRDefault="00C81F0E" w:rsidP="00C81F0E">
            <w:pPr>
              <w:spacing w:after="0" w:line="240" w:lineRule="auto"/>
              <w:ind w:firstLine="300"/>
              <w:jc w:val="center"/>
              <w:rPr>
                <w:rFonts w:ascii="Times New Roman" w:eastAsia="Times New Roman" w:hAnsi="Times New Roman" w:cs="Times New Roman"/>
                <w:b/>
                <w:bCs/>
                <w:sz w:val="26"/>
                <w:szCs w:val="26"/>
                <w:lang w:eastAsia="lv-LV"/>
              </w:rPr>
            </w:pPr>
            <w:r w:rsidRPr="00A906FA">
              <w:rPr>
                <w:rFonts w:ascii="Times New Roman" w:eastAsia="Times New Roman" w:hAnsi="Times New Roman" w:cs="Times New Roman"/>
                <w:b/>
                <w:bCs/>
                <w:sz w:val="26"/>
                <w:szCs w:val="26"/>
                <w:lang w:eastAsia="lv-LV"/>
              </w:rPr>
              <w:t>V. Tiesību akta projekta atbilstība Latvijas Republikas starptautiskajām saistībām</w:t>
            </w:r>
          </w:p>
        </w:tc>
      </w:tr>
      <w:tr w:rsidR="006A328C" w:rsidRPr="00A906FA" w14:paraId="1FFB561B" w14:textId="77777777" w:rsidTr="00D52BB5">
        <w:tc>
          <w:tcPr>
            <w:tcW w:w="402" w:type="pct"/>
            <w:hideMark/>
          </w:tcPr>
          <w:p w14:paraId="5AF084F3" w14:textId="77777777" w:rsidR="00C81F0E" w:rsidRPr="00A906FA" w:rsidRDefault="00C81F0E" w:rsidP="006D3F44">
            <w:pPr>
              <w:spacing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1.</w:t>
            </w:r>
          </w:p>
        </w:tc>
        <w:tc>
          <w:tcPr>
            <w:tcW w:w="1082" w:type="pct"/>
            <w:hideMark/>
          </w:tcPr>
          <w:p w14:paraId="58295663" w14:textId="77777777" w:rsidR="00C81F0E" w:rsidRPr="00A906FA" w:rsidRDefault="00C81F0E" w:rsidP="006D3F44">
            <w:pPr>
              <w:spacing w:line="240" w:lineRule="auto"/>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Saistības pret Eiropas Savienību</w:t>
            </w:r>
          </w:p>
        </w:tc>
        <w:tc>
          <w:tcPr>
            <w:tcW w:w="3516" w:type="pct"/>
            <w:hideMark/>
          </w:tcPr>
          <w:p w14:paraId="7820DE41" w14:textId="50356330" w:rsidR="007D7928" w:rsidRPr="00A906FA" w:rsidRDefault="00794111" w:rsidP="006C7C81">
            <w:pPr>
              <w:spacing w:before="10" w:after="0" w:line="240" w:lineRule="auto"/>
              <w:ind w:right="113"/>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Eiropas Komisijas paziņojum</w:t>
            </w:r>
            <w:r w:rsidR="00436D55" w:rsidRPr="00A906FA">
              <w:rPr>
                <w:rFonts w:ascii="Times New Roman" w:eastAsia="Times New Roman" w:hAnsi="Times New Roman" w:cs="Times New Roman"/>
                <w:sz w:val="26"/>
                <w:szCs w:val="26"/>
                <w:lang w:eastAsia="lv-LV"/>
              </w:rPr>
              <w:t>s</w:t>
            </w:r>
            <w:r w:rsidRPr="00A906FA">
              <w:rPr>
                <w:rFonts w:ascii="Times New Roman" w:eastAsia="Times New Roman" w:hAnsi="Times New Roman" w:cs="Times New Roman"/>
                <w:sz w:val="26"/>
                <w:szCs w:val="26"/>
                <w:lang w:eastAsia="lv-LV"/>
              </w:rPr>
              <w:t xml:space="preserve"> „Nostādnes par valsts atbalstu pētniecībai, izstrādei un inovācijai” (Eiropas Savienības Oficiālais Vēstnesis, 2014. gada 27. jūnijs, Nr. C 198/1) </w:t>
            </w:r>
            <w:r w:rsidR="006C7C81">
              <w:rPr>
                <w:rFonts w:ascii="Times New Roman" w:eastAsia="Times New Roman" w:hAnsi="Times New Roman" w:cs="Times New Roman"/>
                <w:sz w:val="26"/>
                <w:szCs w:val="26"/>
                <w:lang w:eastAsia="lv-LV"/>
              </w:rPr>
              <w:t>(Pamatnostādnes).</w:t>
            </w:r>
          </w:p>
        </w:tc>
      </w:tr>
      <w:tr w:rsidR="006A328C" w:rsidRPr="00A906FA" w14:paraId="1F5FEECE" w14:textId="77777777" w:rsidTr="00D52BB5">
        <w:tc>
          <w:tcPr>
            <w:tcW w:w="402" w:type="pct"/>
            <w:hideMark/>
          </w:tcPr>
          <w:p w14:paraId="08231245" w14:textId="77777777" w:rsidR="00C81F0E" w:rsidRPr="00A906FA" w:rsidRDefault="00C81F0E" w:rsidP="006D3F44">
            <w:pPr>
              <w:spacing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2.</w:t>
            </w:r>
          </w:p>
        </w:tc>
        <w:tc>
          <w:tcPr>
            <w:tcW w:w="1082" w:type="pct"/>
            <w:hideMark/>
          </w:tcPr>
          <w:p w14:paraId="448086FB" w14:textId="77777777" w:rsidR="00C81F0E" w:rsidRPr="00A906FA" w:rsidRDefault="00C81F0E" w:rsidP="006D3F44">
            <w:pPr>
              <w:spacing w:line="240" w:lineRule="auto"/>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Citas starptautiskās saistības</w:t>
            </w:r>
          </w:p>
        </w:tc>
        <w:tc>
          <w:tcPr>
            <w:tcW w:w="3516" w:type="pct"/>
            <w:hideMark/>
          </w:tcPr>
          <w:p w14:paraId="11C72194" w14:textId="77777777" w:rsidR="00C81F0E" w:rsidRPr="00A906FA" w:rsidRDefault="00C81F0E" w:rsidP="006D3F44">
            <w:pPr>
              <w:spacing w:line="240" w:lineRule="auto"/>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Noteikumu projekts šo jomu neskar.</w:t>
            </w:r>
          </w:p>
        </w:tc>
      </w:tr>
      <w:tr w:rsidR="00C41C73" w:rsidRPr="00A906FA" w14:paraId="3F9D9DF0" w14:textId="77777777" w:rsidTr="00D52BB5">
        <w:tc>
          <w:tcPr>
            <w:tcW w:w="402" w:type="pct"/>
            <w:hideMark/>
          </w:tcPr>
          <w:p w14:paraId="3E59059D" w14:textId="77777777" w:rsidR="00C81F0E" w:rsidRPr="00A906FA" w:rsidRDefault="00C81F0E" w:rsidP="006D3F44">
            <w:pPr>
              <w:spacing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3.</w:t>
            </w:r>
          </w:p>
        </w:tc>
        <w:tc>
          <w:tcPr>
            <w:tcW w:w="1082" w:type="pct"/>
            <w:hideMark/>
          </w:tcPr>
          <w:p w14:paraId="78393B63" w14:textId="77777777" w:rsidR="00C81F0E" w:rsidRPr="00A906FA" w:rsidRDefault="00C81F0E" w:rsidP="006D3F44">
            <w:pPr>
              <w:spacing w:line="240" w:lineRule="auto"/>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Cita informācija</w:t>
            </w:r>
          </w:p>
        </w:tc>
        <w:tc>
          <w:tcPr>
            <w:tcW w:w="3516" w:type="pct"/>
            <w:hideMark/>
          </w:tcPr>
          <w:p w14:paraId="46A83F9F" w14:textId="77777777" w:rsidR="00C81F0E" w:rsidRPr="00A906FA" w:rsidRDefault="00C81F0E" w:rsidP="006D3F44">
            <w:pPr>
              <w:spacing w:after="0" w:line="240" w:lineRule="auto"/>
              <w:rPr>
                <w:rFonts w:ascii="Times New Roman" w:hAnsi="Times New Roman" w:cs="Times New Roman"/>
                <w:sz w:val="26"/>
                <w:szCs w:val="26"/>
              </w:rPr>
            </w:pPr>
            <w:r w:rsidRPr="00A906FA">
              <w:rPr>
                <w:rFonts w:ascii="Times New Roman" w:hAnsi="Times New Roman" w:cs="Times New Roman"/>
                <w:sz w:val="26"/>
                <w:szCs w:val="26"/>
              </w:rPr>
              <w:t>Nav</w:t>
            </w:r>
          </w:p>
        </w:tc>
      </w:tr>
    </w:tbl>
    <w:p w14:paraId="1CC0DE9A" w14:textId="77777777" w:rsidR="00C81F0E" w:rsidRPr="00A906FA" w:rsidRDefault="00C81F0E">
      <w:pPr>
        <w:rPr>
          <w:rFonts w:ascii="Times New Roman" w:hAnsi="Times New Roman" w:cs="Times New Roman"/>
          <w:sz w:val="26"/>
          <w:szCs w:val="26"/>
        </w:rPr>
      </w:pPr>
    </w:p>
    <w:tbl>
      <w:tblPr>
        <w:tblW w:w="921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55"/>
        <w:gridCol w:w="2126"/>
        <w:gridCol w:w="2020"/>
        <w:gridCol w:w="2316"/>
      </w:tblGrid>
      <w:tr w:rsidR="006A328C" w:rsidRPr="00A906FA" w14:paraId="5F3722B3" w14:textId="77777777" w:rsidTr="009C5DBB">
        <w:tc>
          <w:tcPr>
            <w:tcW w:w="9217" w:type="dxa"/>
            <w:gridSpan w:val="4"/>
            <w:vAlign w:val="center"/>
            <w:hideMark/>
          </w:tcPr>
          <w:p w14:paraId="2E286854" w14:textId="77777777" w:rsidR="001F61CF" w:rsidRPr="00A906FA" w:rsidRDefault="001F61CF" w:rsidP="006D3F44">
            <w:pPr>
              <w:spacing w:line="240" w:lineRule="auto"/>
              <w:jc w:val="center"/>
              <w:rPr>
                <w:rFonts w:ascii="Times New Roman" w:eastAsia="Times New Roman" w:hAnsi="Times New Roman" w:cs="Times New Roman"/>
                <w:b/>
                <w:bCs/>
                <w:sz w:val="26"/>
                <w:szCs w:val="26"/>
                <w:lang w:eastAsia="lv-LV"/>
              </w:rPr>
            </w:pPr>
            <w:r w:rsidRPr="00A906FA">
              <w:rPr>
                <w:rFonts w:ascii="Times New Roman" w:eastAsia="Times New Roman" w:hAnsi="Times New Roman" w:cs="Times New Roman"/>
                <w:b/>
                <w:bCs/>
                <w:sz w:val="26"/>
                <w:szCs w:val="26"/>
                <w:lang w:eastAsia="lv-LV"/>
              </w:rPr>
              <w:t>1.tabula</w:t>
            </w:r>
            <w:r w:rsidRPr="00A906FA">
              <w:rPr>
                <w:rFonts w:ascii="Times New Roman" w:eastAsia="Times New Roman" w:hAnsi="Times New Roman" w:cs="Times New Roman"/>
                <w:b/>
                <w:bCs/>
                <w:sz w:val="26"/>
                <w:szCs w:val="26"/>
                <w:lang w:eastAsia="lv-LV"/>
              </w:rPr>
              <w:br/>
              <w:t>Tiesību akta projekta atbilstība ES tiesību aktiem</w:t>
            </w:r>
          </w:p>
        </w:tc>
      </w:tr>
      <w:tr w:rsidR="006A328C" w:rsidRPr="00A906FA" w14:paraId="5962CC5A" w14:textId="77777777" w:rsidTr="000E07F8">
        <w:tc>
          <w:tcPr>
            <w:tcW w:w="2755" w:type="dxa"/>
            <w:vAlign w:val="center"/>
            <w:hideMark/>
          </w:tcPr>
          <w:p w14:paraId="613B121B" w14:textId="77777777" w:rsidR="001F61CF" w:rsidRPr="00A906FA" w:rsidRDefault="001F61CF" w:rsidP="006D3F44">
            <w:pPr>
              <w:spacing w:line="240" w:lineRule="auto"/>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Attiecīgā ES tiesību akta datums, numurs un nosaukums</w:t>
            </w:r>
          </w:p>
        </w:tc>
        <w:tc>
          <w:tcPr>
            <w:tcW w:w="6462" w:type="dxa"/>
            <w:gridSpan w:val="3"/>
            <w:vAlign w:val="center"/>
            <w:hideMark/>
          </w:tcPr>
          <w:p w14:paraId="323270EC" w14:textId="0A936BC0" w:rsidR="006B25A5" w:rsidRPr="00A906FA" w:rsidRDefault="006C7C81" w:rsidP="006D3F44">
            <w:pPr>
              <w:pStyle w:val="naiskr"/>
              <w:spacing w:before="0" w:after="0"/>
              <w:jc w:val="both"/>
              <w:rPr>
                <w:sz w:val="26"/>
                <w:szCs w:val="26"/>
                <w:lang w:eastAsia="en-US"/>
              </w:rPr>
            </w:pPr>
            <w:r>
              <w:rPr>
                <w:sz w:val="26"/>
                <w:szCs w:val="26"/>
              </w:rPr>
              <w:t xml:space="preserve">Pamatnostādnes. </w:t>
            </w:r>
          </w:p>
          <w:p w14:paraId="5422E2C7" w14:textId="267CE795" w:rsidR="00172355" w:rsidRPr="00A906FA" w:rsidRDefault="00172355" w:rsidP="006D3F44">
            <w:pPr>
              <w:pStyle w:val="naiskr"/>
              <w:spacing w:before="0" w:after="0"/>
              <w:jc w:val="both"/>
              <w:rPr>
                <w:sz w:val="26"/>
                <w:szCs w:val="26"/>
                <w:lang w:eastAsia="en-US"/>
              </w:rPr>
            </w:pPr>
          </w:p>
        </w:tc>
      </w:tr>
      <w:tr w:rsidR="006A328C" w:rsidRPr="00A906FA" w14:paraId="6D920BB7" w14:textId="77777777" w:rsidTr="000E07F8">
        <w:tc>
          <w:tcPr>
            <w:tcW w:w="2755" w:type="dxa"/>
            <w:vAlign w:val="center"/>
            <w:hideMark/>
          </w:tcPr>
          <w:p w14:paraId="3E466D4A" w14:textId="77777777" w:rsidR="001F61CF" w:rsidRPr="00A906FA" w:rsidRDefault="001F61CF" w:rsidP="006D3F44">
            <w:pPr>
              <w:spacing w:line="240" w:lineRule="auto"/>
              <w:jc w:val="center"/>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A</w:t>
            </w:r>
          </w:p>
        </w:tc>
        <w:tc>
          <w:tcPr>
            <w:tcW w:w="2126" w:type="dxa"/>
            <w:vAlign w:val="center"/>
            <w:hideMark/>
          </w:tcPr>
          <w:p w14:paraId="2EDB8C7F" w14:textId="77777777" w:rsidR="001F61CF" w:rsidRPr="00A906FA" w:rsidRDefault="001F61CF" w:rsidP="006D3F44">
            <w:pPr>
              <w:spacing w:line="240" w:lineRule="auto"/>
              <w:jc w:val="center"/>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B</w:t>
            </w:r>
          </w:p>
        </w:tc>
        <w:tc>
          <w:tcPr>
            <w:tcW w:w="2020" w:type="dxa"/>
            <w:vAlign w:val="center"/>
            <w:hideMark/>
          </w:tcPr>
          <w:p w14:paraId="37A9AB18" w14:textId="77777777" w:rsidR="001F61CF" w:rsidRPr="00A906FA" w:rsidRDefault="001F61CF" w:rsidP="006D3F44">
            <w:pPr>
              <w:spacing w:line="240" w:lineRule="auto"/>
              <w:jc w:val="center"/>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C</w:t>
            </w:r>
          </w:p>
        </w:tc>
        <w:tc>
          <w:tcPr>
            <w:tcW w:w="2316" w:type="dxa"/>
            <w:vAlign w:val="center"/>
            <w:hideMark/>
          </w:tcPr>
          <w:p w14:paraId="03159216" w14:textId="77777777" w:rsidR="001F61CF" w:rsidRPr="00A906FA" w:rsidRDefault="001F61CF" w:rsidP="006D3F44">
            <w:pPr>
              <w:spacing w:line="240" w:lineRule="auto"/>
              <w:jc w:val="center"/>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D</w:t>
            </w:r>
          </w:p>
        </w:tc>
      </w:tr>
      <w:tr w:rsidR="006A328C" w:rsidRPr="00A906FA" w14:paraId="17068D14" w14:textId="77777777" w:rsidTr="000E07F8">
        <w:tc>
          <w:tcPr>
            <w:tcW w:w="2755" w:type="dxa"/>
            <w:hideMark/>
          </w:tcPr>
          <w:p w14:paraId="16D84E64" w14:textId="77777777" w:rsidR="001F61CF" w:rsidRPr="00A906FA" w:rsidRDefault="001F61CF" w:rsidP="006D3F44">
            <w:pPr>
              <w:pStyle w:val="naiskr"/>
              <w:spacing w:before="0" w:after="0"/>
              <w:jc w:val="both"/>
              <w:rPr>
                <w:sz w:val="26"/>
                <w:szCs w:val="26"/>
                <w:lang w:eastAsia="en-US"/>
              </w:rPr>
            </w:pPr>
            <w:r w:rsidRPr="00A906FA">
              <w:rPr>
                <w:sz w:val="26"/>
                <w:szCs w:val="26"/>
                <w:lang w:eastAsia="en-US"/>
              </w:rPr>
              <w:lastRenderedPageBreak/>
              <w:t xml:space="preserve">Attiecīgā ES tiesību akta panta numurs (uzskaitot katru tiesību akta </w:t>
            </w:r>
            <w:r w:rsidRPr="00A906FA">
              <w:rPr>
                <w:sz w:val="26"/>
                <w:szCs w:val="26"/>
                <w:lang w:eastAsia="en-US"/>
              </w:rPr>
              <w:br/>
              <w:t>vienību – pantu, daļu, punktu, apakšpunktu)</w:t>
            </w:r>
          </w:p>
        </w:tc>
        <w:tc>
          <w:tcPr>
            <w:tcW w:w="2126" w:type="dxa"/>
            <w:hideMark/>
          </w:tcPr>
          <w:p w14:paraId="034413E5" w14:textId="77777777" w:rsidR="001F61CF" w:rsidRPr="00A906FA" w:rsidRDefault="001F61CF" w:rsidP="006D3F44">
            <w:pPr>
              <w:pStyle w:val="naiskr"/>
              <w:spacing w:before="0" w:after="0"/>
              <w:jc w:val="both"/>
              <w:rPr>
                <w:sz w:val="26"/>
                <w:szCs w:val="26"/>
                <w:lang w:eastAsia="en-US"/>
              </w:rPr>
            </w:pPr>
            <w:r w:rsidRPr="00A906FA">
              <w:rPr>
                <w:sz w:val="26"/>
                <w:szCs w:val="26"/>
                <w:lang w:eastAsia="en-US"/>
              </w:rPr>
              <w:t>Projekta vienība, kas pārņem vai ievieš katru šīs tabulas A ailē minēto ES tiesību akta vienību</w:t>
            </w:r>
          </w:p>
        </w:tc>
        <w:tc>
          <w:tcPr>
            <w:tcW w:w="2020" w:type="dxa"/>
            <w:hideMark/>
          </w:tcPr>
          <w:p w14:paraId="65BBE931" w14:textId="77777777" w:rsidR="001F61CF" w:rsidRPr="00A906FA" w:rsidRDefault="001F61CF" w:rsidP="006D3F44">
            <w:pPr>
              <w:pStyle w:val="naiskr"/>
              <w:spacing w:before="0" w:after="0"/>
              <w:jc w:val="both"/>
              <w:rPr>
                <w:sz w:val="26"/>
                <w:szCs w:val="26"/>
                <w:lang w:eastAsia="en-US"/>
              </w:rPr>
            </w:pPr>
            <w:r w:rsidRPr="00A906FA">
              <w:rPr>
                <w:sz w:val="26"/>
                <w:szCs w:val="26"/>
                <w:lang w:eastAsia="en-US"/>
              </w:rPr>
              <w:t>Informācija par to, vai šīs tabulas A ailē minētās ES tiesību akta vienības tiek pārņemtas vai ieviestas pilnībā vai daļēji.</w:t>
            </w:r>
          </w:p>
          <w:p w14:paraId="74EDF50F" w14:textId="77777777" w:rsidR="001F61CF" w:rsidRPr="00A906FA" w:rsidRDefault="001F61CF" w:rsidP="006D3F44">
            <w:pPr>
              <w:pStyle w:val="naiskr"/>
              <w:spacing w:before="0" w:after="0"/>
              <w:jc w:val="both"/>
              <w:rPr>
                <w:sz w:val="26"/>
                <w:szCs w:val="26"/>
                <w:lang w:eastAsia="en-US"/>
              </w:rPr>
            </w:pPr>
            <w:r w:rsidRPr="00A906FA">
              <w:rPr>
                <w:sz w:val="26"/>
                <w:szCs w:val="26"/>
                <w:lang w:eastAsia="en-US"/>
              </w:rPr>
              <w:t>Ja attiecīgā ES tiesību akta vienība tiek pārņemta vai ieviesta daļēji, – sniedz attiecīgu skaidrojumu, kā arī precīzi norāda, kad un kādā veidā ES tiesību akta vienība tiks pārņemta vai ieviesta pilnībā.</w:t>
            </w:r>
          </w:p>
          <w:p w14:paraId="67DF45BF" w14:textId="77777777" w:rsidR="001F61CF" w:rsidRPr="00A906FA" w:rsidRDefault="001F61CF" w:rsidP="006D3F44">
            <w:pPr>
              <w:pStyle w:val="naiskr"/>
              <w:spacing w:before="0" w:after="0"/>
              <w:jc w:val="both"/>
              <w:rPr>
                <w:sz w:val="26"/>
                <w:szCs w:val="26"/>
                <w:lang w:eastAsia="en-US"/>
              </w:rPr>
            </w:pPr>
            <w:r w:rsidRPr="00A906FA">
              <w:rPr>
                <w:sz w:val="26"/>
                <w:szCs w:val="26"/>
                <w:lang w:eastAsia="en-US"/>
              </w:rPr>
              <w:t>Norāda institūciju, kas ir atbildīga par šo saistību izpildi pilnībā</w:t>
            </w:r>
          </w:p>
        </w:tc>
        <w:tc>
          <w:tcPr>
            <w:tcW w:w="2316" w:type="dxa"/>
            <w:hideMark/>
          </w:tcPr>
          <w:p w14:paraId="7B838F9E" w14:textId="77777777" w:rsidR="001F61CF" w:rsidRPr="00A906FA" w:rsidRDefault="001F61CF" w:rsidP="006D3F44">
            <w:pPr>
              <w:pStyle w:val="naiskr"/>
              <w:spacing w:before="0" w:after="0"/>
              <w:jc w:val="both"/>
              <w:rPr>
                <w:sz w:val="26"/>
                <w:szCs w:val="26"/>
                <w:lang w:eastAsia="en-US"/>
              </w:rPr>
            </w:pPr>
            <w:r w:rsidRPr="00A906FA">
              <w:rPr>
                <w:sz w:val="26"/>
                <w:szCs w:val="26"/>
                <w:lang w:eastAsia="en-US"/>
              </w:rPr>
              <w:t>Informācija par to, vai šīs tabulas B ailē minētās projekta vienības paredz stingrākas prasības nekā šīs tabulas A ailē minētās ES tiesību akta vienības.</w:t>
            </w:r>
          </w:p>
          <w:p w14:paraId="01299B6F" w14:textId="77777777" w:rsidR="001F61CF" w:rsidRPr="00A906FA" w:rsidRDefault="001F61CF" w:rsidP="006D3F44">
            <w:pPr>
              <w:pStyle w:val="naiskr"/>
              <w:spacing w:before="0" w:after="0"/>
              <w:jc w:val="both"/>
              <w:rPr>
                <w:sz w:val="26"/>
                <w:szCs w:val="26"/>
                <w:lang w:eastAsia="en-US"/>
              </w:rPr>
            </w:pPr>
            <w:r w:rsidRPr="00A906FA">
              <w:rPr>
                <w:sz w:val="26"/>
                <w:szCs w:val="26"/>
                <w:lang w:eastAsia="en-US"/>
              </w:rPr>
              <w:t>Ja projekts satur stingrākas prasības nekā attiecīgais ES tiesību akts, – norāda pamatojumu un samērīgumu.</w:t>
            </w:r>
          </w:p>
          <w:p w14:paraId="343CAEB1" w14:textId="77777777" w:rsidR="001F61CF" w:rsidRPr="00A906FA" w:rsidRDefault="001F61CF" w:rsidP="006D3F44">
            <w:pPr>
              <w:pStyle w:val="naiskr"/>
              <w:spacing w:before="0" w:after="0"/>
              <w:jc w:val="both"/>
              <w:rPr>
                <w:sz w:val="26"/>
                <w:szCs w:val="26"/>
                <w:lang w:eastAsia="en-US"/>
              </w:rPr>
            </w:pPr>
            <w:r w:rsidRPr="00A906FA">
              <w:rPr>
                <w:sz w:val="26"/>
                <w:szCs w:val="26"/>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6A328C" w:rsidRPr="00A906FA" w14:paraId="2D6E1CBE" w14:textId="77777777" w:rsidTr="00436D55">
        <w:tc>
          <w:tcPr>
            <w:tcW w:w="2755" w:type="dxa"/>
            <w:vAlign w:val="center"/>
          </w:tcPr>
          <w:p w14:paraId="715EEFE6" w14:textId="53AB5CBD" w:rsidR="00E84992" w:rsidRPr="00A906FA" w:rsidRDefault="00E84992" w:rsidP="006C5A75">
            <w:pPr>
              <w:spacing w:before="10" w:after="0" w:line="240" w:lineRule="auto"/>
              <w:ind w:left="113" w:right="113"/>
              <w:jc w:val="both"/>
              <w:rPr>
                <w:rFonts w:ascii="Times New Roman" w:eastAsia="Times New Roman" w:hAnsi="Times New Roman" w:cs="Times New Roman"/>
                <w:sz w:val="26"/>
                <w:szCs w:val="26"/>
                <w:lang w:eastAsia="lv-LV"/>
              </w:rPr>
            </w:pPr>
          </w:p>
        </w:tc>
        <w:tc>
          <w:tcPr>
            <w:tcW w:w="2126" w:type="dxa"/>
            <w:vAlign w:val="center"/>
          </w:tcPr>
          <w:p w14:paraId="62263284" w14:textId="63C33A95" w:rsidR="00E84992" w:rsidRPr="00A906FA" w:rsidRDefault="00E84992" w:rsidP="00D94D40">
            <w:pPr>
              <w:spacing w:before="10" w:after="0" w:line="240" w:lineRule="auto"/>
              <w:ind w:left="113" w:right="113"/>
              <w:jc w:val="both"/>
              <w:rPr>
                <w:rFonts w:ascii="Times New Roman" w:eastAsia="Times New Roman" w:hAnsi="Times New Roman" w:cs="Times New Roman"/>
                <w:sz w:val="26"/>
                <w:szCs w:val="26"/>
                <w:lang w:eastAsia="lv-LV"/>
              </w:rPr>
            </w:pPr>
          </w:p>
        </w:tc>
        <w:tc>
          <w:tcPr>
            <w:tcW w:w="2020" w:type="dxa"/>
            <w:vAlign w:val="center"/>
          </w:tcPr>
          <w:p w14:paraId="6E6CE005" w14:textId="60D1980E" w:rsidR="00E84992" w:rsidRPr="00A906FA" w:rsidRDefault="00E84992" w:rsidP="00B361F9">
            <w:pPr>
              <w:spacing w:before="10" w:after="0" w:line="240" w:lineRule="auto"/>
              <w:ind w:left="113" w:right="113"/>
              <w:jc w:val="both"/>
              <w:rPr>
                <w:rFonts w:ascii="Times New Roman" w:eastAsia="Times New Roman" w:hAnsi="Times New Roman" w:cs="Times New Roman"/>
                <w:sz w:val="26"/>
                <w:szCs w:val="26"/>
                <w:lang w:eastAsia="lv-LV"/>
              </w:rPr>
            </w:pPr>
          </w:p>
        </w:tc>
        <w:tc>
          <w:tcPr>
            <w:tcW w:w="2316" w:type="dxa"/>
            <w:vAlign w:val="center"/>
          </w:tcPr>
          <w:p w14:paraId="61DB1980" w14:textId="4EEFCE7E" w:rsidR="00E84992" w:rsidRPr="00A906FA" w:rsidRDefault="00E84992" w:rsidP="00B361F9">
            <w:pPr>
              <w:spacing w:before="10" w:after="0" w:line="240" w:lineRule="auto"/>
              <w:ind w:left="113" w:right="113"/>
              <w:jc w:val="both"/>
              <w:rPr>
                <w:rFonts w:ascii="Times New Roman" w:eastAsia="Times New Roman" w:hAnsi="Times New Roman" w:cs="Times New Roman"/>
                <w:sz w:val="26"/>
                <w:szCs w:val="26"/>
                <w:lang w:eastAsia="lv-LV"/>
              </w:rPr>
            </w:pPr>
          </w:p>
        </w:tc>
      </w:tr>
      <w:tr w:rsidR="005808C2" w:rsidRPr="00A906FA" w14:paraId="0292AF24" w14:textId="77777777" w:rsidTr="000E07F8">
        <w:tc>
          <w:tcPr>
            <w:tcW w:w="2755" w:type="dxa"/>
            <w:vAlign w:val="center"/>
          </w:tcPr>
          <w:p w14:paraId="5C866254" w14:textId="77777777" w:rsidR="005808C2" w:rsidRPr="00A906FA" w:rsidRDefault="005808C2" w:rsidP="006C5A75">
            <w:pPr>
              <w:spacing w:before="10" w:after="0" w:line="240" w:lineRule="auto"/>
              <w:ind w:left="113" w:right="113"/>
              <w:jc w:val="both"/>
              <w:rPr>
                <w:rFonts w:ascii="Times New Roman" w:eastAsia="Times New Roman" w:hAnsi="Times New Roman" w:cs="Times New Roman"/>
                <w:sz w:val="26"/>
                <w:szCs w:val="26"/>
                <w:lang w:eastAsia="lv-LV"/>
              </w:rPr>
            </w:pPr>
          </w:p>
        </w:tc>
        <w:tc>
          <w:tcPr>
            <w:tcW w:w="2126" w:type="dxa"/>
            <w:vAlign w:val="center"/>
          </w:tcPr>
          <w:p w14:paraId="2A771EF6" w14:textId="77777777" w:rsidR="005808C2" w:rsidRPr="00A906FA" w:rsidRDefault="005808C2" w:rsidP="00D94D40">
            <w:pPr>
              <w:spacing w:before="10" w:after="0" w:line="240" w:lineRule="auto"/>
              <w:ind w:left="113" w:right="113"/>
              <w:jc w:val="both"/>
              <w:rPr>
                <w:rFonts w:ascii="Times New Roman" w:eastAsia="Times New Roman" w:hAnsi="Times New Roman" w:cs="Times New Roman"/>
                <w:sz w:val="26"/>
                <w:szCs w:val="26"/>
                <w:lang w:eastAsia="lv-LV"/>
              </w:rPr>
            </w:pPr>
          </w:p>
        </w:tc>
        <w:tc>
          <w:tcPr>
            <w:tcW w:w="2020" w:type="dxa"/>
            <w:vAlign w:val="center"/>
          </w:tcPr>
          <w:p w14:paraId="36EB932B" w14:textId="77777777" w:rsidR="005808C2" w:rsidRPr="00A906FA" w:rsidRDefault="005808C2" w:rsidP="00B361F9">
            <w:pPr>
              <w:spacing w:before="10" w:after="0" w:line="240" w:lineRule="auto"/>
              <w:ind w:left="113" w:right="113"/>
              <w:jc w:val="both"/>
              <w:rPr>
                <w:rFonts w:ascii="Times New Roman" w:eastAsia="Times New Roman" w:hAnsi="Times New Roman" w:cs="Times New Roman"/>
                <w:sz w:val="26"/>
                <w:szCs w:val="26"/>
                <w:lang w:eastAsia="lv-LV"/>
              </w:rPr>
            </w:pPr>
          </w:p>
        </w:tc>
        <w:tc>
          <w:tcPr>
            <w:tcW w:w="2316" w:type="dxa"/>
            <w:vAlign w:val="center"/>
          </w:tcPr>
          <w:p w14:paraId="06799D42" w14:textId="77777777" w:rsidR="005808C2" w:rsidRPr="00A906FA" w:rsidRDefault="005808C2" w:rsidP="00B361F9">
            <w:pPr>
              <w:spacing w:before="10" w:after="0" w:line="240" w:lineRule="auto"/>
              <w:ind w:left="113" w:right="113"/>
              <w:jc w:val="both"/>
              <w:rPr>
                <w:rFonts w:ascii="Times New Roman" w:eastAsia="Times New Roman" w:hAnsi="Times New Roman" w:cs="Times New Roman"/>
                <w:sz w:val="26"/>
                <w:szCs w:val="26"/>
                <w:lang w:eastAsia="lv-LV"/>
              </w:rPr>
            </w:pPr>
          </w:p>
        </w:tc>
      </w:tr>
      <w:tr w:rsidR="000E07F8" w:rsidRPr="00A906FA" w14:paraId="316E6BE7" w14:textId="77777777" w:rsidTr="00FB5C08">
        <w:trPr>
          <w:trHeight w:val="805"/>
        </w:trPr>
        <w:tc>
          <w:tcPr>
            <w:tcW w:w="2755" w:type="dxa"/>
            <w:vAlign w:val="center"/>
            <w:hideMark/>
          </w:tcPr>
          <w:p w14:paraId="3E8A4E9A" w14:textId="77777777" w:rsidR="000E07F8" w:rsidRPr="00A906FA" w:rsidRDefault="000E07F8" w:rsidP="009C5DBB">
            <w:pPr>
              <w:spacing w:line="240" w:lineRule="auto"/>
              <w:ind w:left="174" w:right="149"/>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Kā ir izmantota ES tiesību aktā paredzētā rīcības brīvība dalībvalstij pārņemt vai ieviest noteiktas ES tiesību akta normas.</w:t>
            </w:r>
          </w:p>
        </w:tc>
        <w:tc>
          <w:tcPr>
            <w:tcW w:w="6462" w:type="dxa"/>
            <w:gridSpan w:val="3"/>
            <w:hideMark/>
          </w:tcPr>
          <w:p w14:paraId="5AF62ECE" w14:textId="49637A5D" w:rsidR="000E07F8" w:rsidRPr="00A906FA" w:rsidRDefault="00276F3D" w:rsidP="00942B9D">
            <w:pPr>
              <w:spacing w:line="240" w:lineRule="auto"/>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Noteikumu projekts šo jomu neskar.</w:t>
            </w:r>
          </w:p>
        </w:tc>
      </w:tr>
      <w:tr w:rsidR="000E07F8" w:rsidRPr="00A906FA" w14:paraId="58E52448" w14:textId="77777777" w:rsidTr="000E07F8">
        <w:trPr>
          <w:trHeight w:val="2934"/>
        </w:trPr>
        <w:tc>
          <w:tcPr>
            <w:tcW w:w="2755" w:type="dxa"/>
            <w:vAlign w:val="center"/>
            <w:hideMark/>
          </w:tcPr>
          <w:p w14:paraId="742E594D" w14:textId="77777777" w:rsidR="000E07F8" w:rsidRPr="00A906FA" w:rsidRDefault="000E07F8" w:rsidP="009C5DBB">
            <w:pPr>
              <w:spacing w:line="240" w:lineRule="auto"/>
              <w:ind w:left="174" w:right="149"/>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Saistības sniegt paziņojumu ES institūcijām un ES dalībvalstīm atbilstoši normatīvajiem aktiem, kas regulē informācijas sniegšanu par tehnisko noteikumu, valsts atbalsta piešķiršanas </w:t>
            </w:r>
            <w:r w:rsidRPr="00A906FA">
              <w:rPr>
                <w:rFonts w:ascii="Times New Roman" w:eastAsia="Times New Roman" w:hAnsi="Times New Roman" w:cs="Times New Roman"/>
                <w:sz w:val="26"/>
                <w:szCs w:val="26"/>
                <w:lang w:eastAsia="lv-LV"/>
              </w:rPr>
              <w:lastRenderedPageBreak/>
              <w:t>un finanšu noteikumu (attiecībā uz monetāro politiku) projektiem</w:t>
            </w:r>
          </w:p>
        </w:tc>
        <w:tc>
          <w:tcPr>
            <w:tcW w:w="6462" w:type="dxa"/>
            <w:gridSpan w:val="3"/>
            <w:hideMark/>
          </w:tcPr>
          <w:p w14:paraId="6E5BF579" w14:textId="085A26DE" w:rsidR="000E07F8" w:rsidRPr="00A906FA" w:rsidRDefault="00276F3D" w:rsidP="00956F7B">
            <w:pPr>
              <w:spacing w:line="240" w:lineRule="auto"/>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lastRenderedPageBreak/>
              <w:t>Noteikumu projekts šo jomu neskar.</w:t>
            </w:r>
          </w:p>
        </w:tc>
      </w:tr>
      <w:tr w:rsidR="000E07F8" w:rsidRPr="00A906FA" w14:paraId="0AEF7A3A" w14:textId="77777777" w:rsidTr="000E07F8">
        <w:tc>
          <w:tcPr>
            <w:tcW w:w="2755" w:type="dxa"/>
            <w:hideMark/>
          </w:tcPr>
          <w:p w14:paraId="69ADCBC6" w14:textId="77777777" w:rsidR="000E07F8" w:rsidRPr="00A906FA" w:rsidRDefault="000E07F8" w:rsidP="006D3F44">
            <w:pPr>
              <w:spacing w:line="240" w:lineRule="auto"/>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Cita informācija</w:t>
            </w:r>
          </w:p>
        </w:tc>
        <w:tc>
          <w:tcPr>
            <w:tcW w:w="6462" w:type="dxa"/>
            <w:gridSpan w:val="3"/>
            <w:hideMark/>
          </w:tcPr>
          <w:p w14:paraId="4B6F612B" w14:textId="7011AD1A" w:rsidR="000E07F8" w:rsidRPr="00A906FA" w:rsidRDefault="001F3B32" w:rsidP="00436D55">
            <w:pPr>
              <w:spacing w:line="240" w:lineRule="auto"/>
              <w:jc w:val="both"/>
              <w:rPr>
                <w:rFonts w:ascii="Times New Roman" w:hAnsi="Times New Roman" w:cs="Times New Roman"/>
                <w:sz w:val="26"/>
                <w:szCs w:val="26"/>
              </w:rPr>
            </w:pPr>
            <w:r w:rsidRPr="00A906FA">
              <w:rPr>
                <w:rFonts w:ascii="Times New Roman" w:eastAsia="Times New Roman" w:hAnsi="Times New Roman" w:cs="Times New Roman"/>
                <w:sz w:val="26"/>
                <w:szCs w:val="26"/>
                <w:lang w:eastAsia="lv-LV"/>
              </w:rPr>
              <w:t>Ar n</w:t>
            </w:r>
            <w:r w:rsidR="005268D5" w:rsidRPr="00A906FA">
              <w:rPr>
                <w:rFonts w:ascii="Times New Roman" w:eastAsia="Times New Roman" w:hAnsi="Times New Roman" w:cs="Times New Roman"/>
                <w:sz w:val="26"/>
                <w:szCs w:val="26"/>
                <w:lang w:eastAsia="lv-LV"/>
              </w:rPr>
              <w:t xml:space="preserve">oteikumu </w:t>
            </w:r>
            <w:r w:rsidRPr="00A906FA">
              <w:rPr>
                <w:rFonts w:ascii="Times New Roman" w:eastAsia="Times New Roman" w:hAnsi="Times New Roman" w:cs="Times New Roman"/>
                <w:sz w:val="26"/>
                <w:szCs w:val="26"/>
                <w:lang w:eastAsia="lv-LV"/>
              </w:rPr>
              <w:t xml:space="preserve">projektu tiek ieviesti Pamatnostādņu nosacījumi, tai skaitā Pamatnostādņu </w:t>
            </w:r>
            <w:r w:rsidR="00C97381" w:rsidRPr="00A906FA">
              <w:rPr>
                <w:rFonts w:ascii="Times New Roman" w:eastAsia="Times New Roman" w:hAnsi="Times New Roman" w:cs="Times New Roman"/>
                <w:sz w:val="26"/>
                <w:szCs w:val="26"/>
                <w:lang w:eastAsia="lv-LV"/>
              </w:rPr>
              <w:t xml:space="preserve">20. un </w:t>
            </w:r>
            <w:r w:rsidR="00F9634C" w:rsidRPr="00A906FA">
              <w:rPr>
                <w:rFonts w:ascii="Times New Roman" w:eastAsia="Times New Roman" w:hAnsi="Times New Roman" w:cs="Times New Roman"/>
                <w:sz w:val="26"/>
                <w:szCs w:val="26"/>
                <w:lang w:eastAsia="lv-LV"/>
              </w:rPr>
              <w:t>25. </w:t>
            </w:r>
            <w:r w:rsidR="005268D5" w:rsidRPr="00A906FA">
              <w:rPr>
                <w:rFonts w:ascii="Times New Roman" w:eastAsia="Times New Roman" w:hAnsi="Times New Roman" w:cs="Times New Roman"/>
                <w:sz w:val="26"/>
                <w:szCs w:val="26"/>
                <w:lang w:eastAsia="lv-LV"/>
              </w:rPr>
              <w:t xml:space="preserve">punktā iekļauto </w:t>
            </w:r>
            <w:r w:rsidR="005268D5" w:rsidRPr="00A906FA">
              <w:rPr>
                <w:rFonts w:ascii="Times New Roman" w:hAnsi="Times New Roman" w:cs="Times New Roman"/>
                <w:sz w:val="26"/>
                <w:szCs w:val="26"/>
              </w:rPr>
              <w:t xml:space="preserve">normu </w:t>
            </w:r>
            <w:r w:rsidRPr="00A906FA">
              <w:rPr>
                <w:rFonts w:ascii="Times New Roman" w:hAnsi="Times New Roman" w:cs="Times New Roman"/>
                <w:sz w:val="26"/>
                <w:szCs w:val="26"/>
              </w:rPr>
              <w:t>pārņemšana</w:t>
            </w:r>
            <w:r w:rsidR="005268D5" w:rsidRPr="00A906FA">
              <w:rPr>
                <w:rFonts w:ascii="Times New Roman" w:hAnsi="Times New Roman" w:cs="Times New Roman"/>
                <w:sz w:val="26"/>
                <w:szCs w:val="26"/>
              </w:rPr>
              <w:t xml:space="preserve">. </w:t>
            </w:r>
          </w:p>
        </w:tc>
      </w:tr>
    </w:tbl>
    <w:p w14:paraId="726CAB81" w14:textId="77777777" w:rsidR="00D63DD1" w:rsidRPr="00A906FA" w:rsidRDefault="00D63DD1">
      <w:pPr>
        <w:rPr>
          <w:rFonts w:ascii="Times New Roman" w:hAnsi="Times New Roman" w:cs="Times New Roman"/>
          <w:sz w:val="26"/>
          <w:szCs w:val="26"/>
        </w:rPr>
      </w:pPr>
    </w:p>
    <w:tbl>
      <w:tblPr>
        <w:tblW w:w="5025" w:type="pct"/>
        <w:tblInd w:w="-4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3356"/>
        <w:gridCol w:w="5322"/>
      </w:tblGrid>
      <w:tr w:rsidR="003767CF" w:rsidRPr="00A906FA" w14:paraId="1B50AC91" w14:textId="77777777" w:rsidTr="000C2ECF">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378C600" w14:textId="09D9D6C3" w:rsidR="003767CF" w:rsidRPr="00A906FA" w:rsidRDefault="003767CF" w:rsidP="000C2ECF">
            <w:pPr>
              <w:spacing w:after="0" w:line="240" w:lineRule="auto"/>
              <w:ind w:firstLine="300"/>
              <w:jc w:val="center"/>
              <w:rPr>
                <w:rFonts w:ascii="Times New Roman" w:eastAsia="Times New Roman" w:hAnsi="Times New Roman" w:cs="Times New Roman"/>
                <w:b/>
                <w:bCs/>
                <w:sz w:val="26"/>
                <w:szCs w:val="26"/>
                <w:lang w:eastAsia="lv-LV"/>
              </w:rPr>
            </w:pPr>
            <w:r w:rsidRPr="00A906FA">
              <w:rPr>
                <w:rFonts w:ascii="Times New Roman" w:eastAsia="Times New Roman" w:hAnsi="Times New Roman" w:cs="Times New Roman"/>
                <w:b/>
                <w:bCs/>
                <w:sz w:val="26"/>
                <w:szCs w:val="26"/>
                <w:lang w:eastAsia="lv-LV"/>
              </w:rPr>
              <w:t>VI. Sabiedrības līdzdalība un komunikācijas aktivitātes</w:t>
            </w:r>
          </w:p>
        </w:tc>
      </w:tr>
      <w:tr w:rsidR="003767CF" w:rsidRPr="00A906FA" w14:paraId="0F5CC774" w14:textId="77777777" w:rsidTr="001B7DD8">
        <w:trPr>
          <w:trHeight w:val="420"/>
        </w:trPr>
        <w:tc>
          <w:tcPr>
            <w:tcW w:w="232" w:type="pct"/>
            <w:tcBorders>
              <w:top w:val="outset" w:sz="6" w:space="0" w:color="414142"/>
              <w:left w:val="outset" w:sz="6" w:space="0" w:color="414142"/>
              <w:bottom w:val="outset" w:sz="6" w:space="0" w:color="414142"/>
              <w:right w:val="outset" w:sz="6" w:space="0" w:color="414142"/>
            </w:tcBorders>
            <w:hideMark/>
          </w:tcPr>
          <w:p w14:paraId="00F903DB" w14:textId="77777777" w:rsidR="003767CF" w:rsidRPr="00A906FA" w:rsidRDefault="003767CF" w:rsidP="003767CF">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1.</w:t>
            </w:r>
          </w:p>
        </w:tc>
        <w:tc>
          <w:tcPr>
            <w:tcW w:w="1844" w:type="pct"/>
            <w:tcBorders>
              <w:top w:val="outset" w:sz="6" w:space="0" w:color="414142"/>
              <w:left w:val="outset" w:sz="6" w:space="0" w:color="414142"/>
              <w:bottom w:val="outset" w:sz="6" w:space="0" w:color="414142"/>
              <w:right w:val="outset" w:sz="6" w:space="0" w:color="414142"/>
            </w:tcBorders>
            <w:hideMark/>
          </w:tcPr>
          <w:p w14:paraId="3CDB0C06" w14:textId="77777777" w:rsidR="003767CF" w:rsidRPr="00A906FA" w:rsidRDefault="003767CF" w:rsidP="003767CF">
            <w:pPr>
              <w:autoSpaceDE w:val="0"/>
              <w:autoSpaceDN w:val="0"/>
              <w:adjustRightInd w:val="0"/>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Plānotās sabiedrības līdzdalības</w:t>
            </w:r>
          </w:p>
          <w:p w14:paraId="6C159F7B" w14:textId="2AE7A38D" w:rsidR="003767CF" w:rsidRPr="00A906FA" w:rsidRDefault="003767CF" w:rsidP="003767CF">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un komunikācijas aktivitātes saistībā ar projektu</w:t>
            </w:r>
          </w:p>
        </w:tc>
        <w:tc>
          <w:tcPr>
            <w:tcW w:w="2924" w:type="pct"/>
            <w:tcBorders>
              <w:top w:val="outset" w:sz="6" w:space="0" w:color="414142"/>
              <w:left w:val="outset" w:sz="6" w:space="0" w:color="414142"/>
              <w:bottom w:val="outset" w:sz="6" w:space="0" w:color="414142"/>
              <w:right w:val="outset" w:sz="6" w:space="0" w:color="414142"/>
            </w:tcBorders>
          </w:tcPr>
          <w:p w14:paraId="04853086" w14:textId="77777777" w:rsidR="003767CF" w:rsidRPr="00A906FA" w:rsidRDefault="00E93686" w:rsidP="003767CF">
            <w:pPr>
              <w:spacing w:after="0" w:line="240" w:lineRule="auto"/>
              <w:jc w:val="both"/>
              <w:rPr>
                <w:rFonts w:ascii="Times New Roman" w:hAnsi="Times New Roman" w:cs="Times New Roman"/>
                <w:spacing w:val="2"/>
                <w:sz w:val="26"/>
                <w:szCs w:val="26"/>
              </w:rPr>
            </w:pPr>
            <w:r w:rsidRPr="00A906FA">
              <w:rPr>
                <w:rFonts w:ascii="Times New Roman" w:hAnsi="Times New Roman" w:cs="Times New Roman"/>
                <w:spacing w:val="2"/>
                <w:sz w:val="26"/>
                <w:szCs w:val="26"/>
              </w:rPr>
              <w:t>Izstrādātais noteikumu projekts ir ievietots tīmekļa vietnē www.izm.gov.lv (sadaļā Normatīvie akti / Normatīvo aktu projekti).</w:t>
            </w:r>
          </w:p>
          <w:p w14:paraId="149410FF" w14:textId="26BA7C91" w:rsidR="00747437" w:rsidRPr="00A906FA" w:rsidRDefault="00747437" w:rsidP="00484001">
            <w:pPr>
              <w:spacing w:after="0" w:line="240" w:lineRule="auto"/>
              <w:jc w:val="both"/>
              <w:rPr>
                <w:rFonts w:ascii="Times New Roman" w:eastAsia="Times New Roman" w:hAnsi="Times New Roman" w:cs="Times New Roman"/>
                <w:sz w:val="26"/>
                <w:szCs w:val="26"/>
                <w:lang w:eastAsia="lv-LV"/>
              </w:rPr>
            </w:pPr>
            <w:r w:rsidRPr="00A906FA">
              <w:rPr>
                <w:rFonts w:ascii="Times New Roman" w:hAnsi="Times New Roman" w:cs="Times New Roman"/>
                <w:spacing w:val="2"/>
                <w:sz w:val="26"/>
                <w:szCs w:val="26"/>
              </w:rPr>
              <w:t>Labuma guvējiem un sabiedrībai sniegta informācija par plānotajām izmaiņām, tai skaitā valsts dibinātām augstskolām un zinātniskajiem institūtiem nosūtītas vēstules par pētniecības infrastruktūras izmantošanu ierobežotas jomas darbību īstenošanai</w:t>
            </w:r>
            <w:r w:rsidR="00484001" w:rsidRPr="00A906FA">
              <w:rPr>
                <w:rFonts w:ascii="Times New Roman" w:hAnsi="Times New Roman" w:cs="Times New Roman"/>
                <w:spacing w:val="2"/>
                <w:sz w:val="26"/>
                <w:szCs w:val="26"/>
              </w:rPr>
              <w:t>, finanšu institūcijas ALTUM organizētajos pasākumos sniegta informācija par komersantu iespējām izmantot par publiskiem līdzekļiem iegādātu vai izveidotu pētniecības infrastruktūru.</w:t>
            </w:r>
            <w:r w:rsidRPr="00A906FA">
              <w:rPr>
                <w:rFonts w:ascii="Times New Roman" w:hAnsi="Times New Roman" w:cs="Times New Roman"/>
                <w:spacing w:val="2"/>
                <w:sz w:val="26"/>
                <w:szCs w:val="26"/>
              </w:rPr>
              <w:t xml:space="preserve"> </w:t>
            </w:r>
          </w:p>
        </w:tc>
      </w:tr>
      <w:tr w:rsidR="003767CF" w:rsidRPr="00A906FA" w14:paraId="562A1AAA" w14:textId="77777777" w:rsidTr="001B7DD8">
        <w:trPr>
          <w:trHeight w:val="450"/>
        </w:trPr>
        <w:tc>
          <w:tcPr>
            <w:tcW w:w="232" w:type="pct"/>
            <w:tcBorders>
              <w:top w:val="outset" w:sz="6" w:space="0" w:color="414142"/>
              <w:left w:val="outset" w:sz="6" w:space="0" w:color="414142"/>
              <w:bottom w:val="outset" w:sz="6" w:space="0" w:color="414142"/>
              <w:right w:val="outset" w:sz="6" w:space="0" w:color="414142"/>
            </w:tcBorders>
            <w:hideMark/>
          </w:tcPr>
          <w:p w14:paraId="755C652F" w14:textId="77777777" w:rsidR="003767CF" w:rsidRPr="00A906FA" w:rsidRDefault="003767CF" w:rsidP="000C2ECF">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2.</w:t>
            </w:r>
          </w:p>
        </w:tc>
        <w:tc>
          <w:tcPr>
            <w:tcW w:w="1844" w:type="pct"/>
            <w:tcBorders>
              <w:top w:val="outset" w:sz="6" w:space="0" w:color="414142"/>
              <w:left w:val="outset" w:sz="6" w:space="0" w:color="414142"/>
              <w:bottom w:val="outset" w:sz="6" w:space="0" w:color="414142"/>
              <w:right w:val="outset" w:sz="6" w:space="0" w:color="414142"/>
            </w:tcBorders>
            <w:hideMark/>
          </w:tcPr>
          <w:p w14:paraId="62C16B21" w14:textId="77777777" w:rsidR="003767CF" w:rsidRPr="00A906FA" w:rsidRDefault="003767CF" w:rsidP="003767CF">
            <w:pPr>
              <w:autoSpaceDE w:val="0"/>
              <w:autoSpaceDN w:val="0"/>
              <w:adjustRightInd w:val="0"/>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Sabiedrības līdzdalība projekta</w:t>
            </w:r>
          </w:p>
          <w:p w14:paraId="215A4A56" w14:textId="3137C308" w:rsidR="003767CF" w:rsidRPr="00A906FA" w:rsidRDefault="003767CF" w:rsidP="003767CF">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izstrādē</w:t>
            </w:r>
          </w:p>
        </w:tc>
        <w:tc>
          <w:tcPr>
            <w:tcW w:w="2924" w:type="pct"/>
            <w:tcBorders>
              <w:top w:val="outset" w:sz="6" w:space="0" w:color="414142"/>
              <w:left w:val="outset" w:sz="6" w:space="0" w:color="414142"/>
              <w:bottom w:val="outset" w:sz="6" w:space="0" w:color="414142"/>
              <w:right w:val="outset" w:sz="6" w:space="0" w:color="414142"/>
            </w:tcBorders>
          </w:tcPr>
          <w:p w14:paraId="50FB5CF6" w14:textId="58F35EE4" w:rsidR="003767CF" w:rsidRPr="00A906FA" w:rsidRDefault="00E93686" w:rsidP="000C2ECF">
            <w:pPr>
              <w:spacing w:after="0" w:line="240" w:lineRule="auto"/>
              <w:jc w:val="both"/>
              <w:rPr>
                <w:rFonts w:ascii="Times New Roman" w:eastAsia="Times New Roman" w:hAnsi="Times New Roman" w:cs="Times New Roman"/>
                <w:sz w:val="26"/>
                <w:szCs w:val="26"/>
                <w:lang w:eastAsia="lv-LV"/>
              </w:rPr>
            </w:pPr>
            <w:r w:rsidRPr="00A906FA">
              <w:rPr>
                <w:rFonts w:ascii="Times New Roman" w:hAnsi="Times New Roman" w:cs="Times New Roman"/>
                <w:bCs/>
                <w:sz w:val="26"/>
                <w:szCs w:val="26"/>
                <w:lang w:eastAsia="lv-LV"/>
              </w:rPr>
              <w:t xml:space="preserve">Sabiedrības līdzdalība MK noteikumu projekta izstrādē tika nodrošināta, ievietojot MK noteikumu projektu IZM tīmekļa vietnē </w:t>
            </w:r>
            <w:hyperlink r:id="rId11" w:history="1">
              <w:r w:rsidRPr="00A906FA">
                <w:rPr>
                  <w:rStyle w:val="Hyperlink"/>
                  <w:rFonts w:ascii="Times New Roman" w:hAnsi="Times New Roman" w:cs="Times New Roman"/>
                  <w:bCs/>
                  <w:sz w:val="26"/>
                  <w:szCs w:val="26"/>
                  <w:lang w:eastAsia="lv-LV"/>
                </w:rPr>
                <w:t>www.izm.gov.lv</w:t>
              </w:r>
            </w:hyperlink>
            <w:r w:rsidRPr="00A906FA">
              <w:rPr>
                <w:rFonts w:ascii="Times New Roman" w:hAnsi="Times New Roman" w:cs="Times New Roman"/>
                <w:bCs/>
                <w:sz w:val="26"/>
                <w:szCs w:val="26"/>
                <w:lang w:eastAsia="lv-LV"/>
              </w:rPr>
              <w:t xml:space="preserve"> un aicinot sabiedrības pārstāvjus sniegt viedokli.</w:t>
            </w:r>
          </w:p>
        </w:tc>
      </w:tr>
      <w:tr w:rsidR="003767CF" w:rsidRPr="00A906FA" w14:paraId="726577E6" w14:textId="77777777" w:rsidTr="001B7DD8">
        <w:trPr>
          <w:trHeight w:val="390"/>
        </w:trPr>
        <w:tc>
          <w:tcPr>
            <w:tcW w:w="232" w:type="pct"/>
            <w:tcBorders>
              <w:top w:val="outset" w:sz="6" w:space="0" w:color="414142"/>
              <w:left w:val="outset" w:sz="6" w:space="0" w:color="414142"/>
              <w:bottom w:val="outset" w:sz="6" w:space="0" w:color="414142"/>
              <w:right w:val="outset" w:sz="6" w:space="0" w:color="414142"/>
            </w:tcBorders>
            <w:hideMark/>
          </w:tcPr>
          <w:p w14:paraId="284DC8AC" w14:textId="77777777" w:rsidR="003767CF" w:rsidRPr="00A906FA" w:rsidRDefault="003767CF" w:rsidP="000C2ECF">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3.</w:t>
            </w:r>
          </w:p>
        </w:tc>
        <w:tc>
          <w:tcPr>
            <w:tcW w:w="1844" w:type="pct"/>
            <w:tcBorders>
              <w:top w:val="outset" w:sz="6" w:space="0" w:color="414142"/>
              <w:left w:val="outset" w:sz="6" w:space="0" w:color="414142"/>
              <w:bottom w:val="outset" w:sz="6" w:space="0" w:color="414142"/>
              <w:right w:val="outset" w:sz="6" w:space="0" w:color="414142"/>
            </w:tcBorders>
            <w:hideMark/>
          </w:tcPr>
          <w:p w14:paraId="4B182AF3" w14:textId="2FBE633C" w:rsidR="003767CF" w:rsidRPr="00A906FA" w:rsidRDefault="003767CF" w:rsidP="000C2ECF">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Sabiedrības līdzdalības rezultāti</w:t>
            </w:r>
          </w:p>
        </w:tc>
        <w:tc>
          <w:tcPr>
            <w:tcW w:w="2924" w:type="pct"/>
            <w:tcBorders>
              <w:top w:val="outset" w:sz="6" w:space="0" w:color="414142"/>
              <w:left w:val="outset" w:sz="6" w:space="0" w:color="414142"/>
              <w:bottom w:val="outset" w:sz="6" w:space="0" w:color="414142"/>
              <w:right w:val="outset" w:sz="6" w:space="0" w:color="414142"/>
            </w:tcBorders>
          </w:tcPr>
          <w:p w14:paraId="79349C84" w14:textId="4EDEFF4B" w:rsidR="003767CF" w:rsidRPr="00A906FA" w:rsidRDefault="00747437" w:rsidP="00747437">
            <w:pPr>
              <w:spacing w:after="0" w:line="240" w:lineRule="auto"/>
              <w:rPr>
                <w:rFonts w:ascii="Times New Roman" w:eastAsia="Times New Roman" w:hAnsi="Times New Roman" w:cs="Times New Roman"/>
                <w:sz w:val="26"/>
                <w:szCs w:val="26"/>
                <w:lang w:eastAsia="lv-LV"/>
              </w:rPr>
            </w:pPr>
            <w:r w:rsidRPr="00A906FA">
              <w:rPr>
                <w:rFonts w:ascii="Times New Roman" w:hAnsi="Times New Roman" w:cs="Times New Roman"/>
                <w:iCs/>
                <w:sz w:val="26"/>
                <w:szCs w:val="26"/>
              </w:rPr>
              <w:t xml:space="preserve">No Latvijas Universitāšu asociācijas saņemti </w:t>
            </w:r>
            <w:r w:rsidR="00E93686" w:rsidRPr="00A906FA">
              <w:rPr>
                <w:rFonts w:ascii="Times New Roman" w:hAnsi="Times New Roman" w:cs="Times New Roman"/>
                <w:iCs/>
                <w:sz w:val="26"/>
                <w:szCs w:val="26"/>
              </w:rPr>
              <w:t xml:space="preserve">ierosinājumi </w:t>
            </w:r>
            <w:r w:rsidRPr="00A906FA">
              <w:rPr>
                <w:rFonts w:ascii="Times New Roman" w:hAnsi="Times New Roman" w:cs="Times New Roman"/>
                <w:iCs/>
                <w:sz w:val="26"/>
                <w:szCs w:val="26"/>
              </w:rPr>
              <w:t>noteikumu projekta pilnveidei</w:t>
            </w:r>
            <w:r w:rsidR="00E93686" w:rsidRPr="00A906FA">
              <w:rPr>
                <w:rFonts w:ascii="Times New Roman" w:hAnsi="Times New Roman" w:cs="Times New Roman"/>
                <w:iCs/>
                <w:sz w:val="26"/>
                <w:szCs w:val="26"/>
              </w:rPr>
              <w:t>.</w:t>
            </w:r>
          </w:p>
        </w:tc>
      </w:tr>
      <w:tr w:rsidR="003767CF" w:rsidRPr="00A906FA" w14:paraId="5348E4C6" w14:textId="77777777" w:rsidTr="001B7DD8">
        <w:trPr>
          <w:trHeight w:val="390"/>
        </w:trPr>
        <w:tc>
          <w:tcPr>
            <w:tcW w:w="232" w:type="pct"/>
            <w:tcBorders>
              <w:top w:val="outset" w:sz="6" w:space="0" w:color="414142"/>
              <w:left w:val="outset" w:sz="6" w:space="0" w:color="414142"/>
              <w:bottom w:val="outset" w:sz="6" w:space="0" w:color="414142"/>
              <w:right w:val="outset" w:sz="6" w:space="0" w:color="414142"/>
            </w:tcBorders>
          </w:tcPr>
          <w:p w14:paraId="23FFCAF6" w14:textId="19DE2CC2" w:rsidR="003767CF" w:rsidRPr="00A906FA" w:rsidRDefault="003767CF" w:rsidP="000C2ECF">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4.</w:t>
            </w:r>
          </w:p>
        </w:tc>
        <w:tc>
          <w:tcPr>
            <w:tcW w:w="1844" w:type="pct"/>
            <w:tcBorders>
              <w:top w:val="outset" w:sz="6" w:space="0" w:color="414142"/>
              <w:left w:val="outset" w:sz="6" w:space="0" w:color="414142"/>
              <w:bottom w:val="outset" w:sz="6" w:space="0" w:color="414142"/>
              <w:right w:val="outset" w:sz="6" w:space="0" w:color="414142"/>
            </w:tcBorders>
          </w:tcPr>
          <w:p w14:paraId="271A0474" w14:textId="58EFA3A3" w:rsidR="003767CF" w:rsidRPr="00A906FA" w:rsidRDefault="003767CF" w:rsidP="000C2ECF">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Cita informācija</w:t>
            </w:r>
          </w:p>
        </w:tc>
        <w:tc>
          <w:tcPr>
            <w:tcW w:w="2924" w:type="pct"/>
            <w:tcBorders>
              <w:top w:val="outset" w:sz="6" w:space="0" w:color="414142"/>
              <w:left w:val="outset" w:sz="6" w:space="0" w:color="414142"/>
              <w:bottom w:val="outset" w:sz="6" w:space="0" w:color="414142"/>
              <w:right w:val="outset" w:sz="6" w:space="0" w:color="414142"/>
            </w:tcBorders>
          </w:tcPr>
          <w:p w14:paraId="2C299BC0" w14:textId="05B7C54C" w:rsidR="003767CF" w:rsidRPr="00A906FA" w:rsidRDefault="00E93686" w:rsidP="000C2ECF">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Nav.</w:t>
            </w:r>
          </w:p>
        </w:tc>
      </w:tr>
    </w:tbl>
    <w:p w14:paraId="0A4577BF" w14:textId="77777777" w:rsidR="00E306D9" w:rsidRPr="00A906FA" w:rsidRDefault="00E306D9" w:rsidP="00AD014F">
      <w:pPr>
        <w:spacing w:after="0" w:line="240" w:lineRule="auto"/>
        <w:rPr>
          <w:rFonts w:ascii="Times New Roman" w:hAnsi="Times New Roman" w:cs="Times New Roman"/>
          <w:sz w:val="26"/>
          <w:szCs w:val="26"/>
        </w:rPr>
      </w:pPr>
    </w:p>
    <w:tbl>
      <w:tblPr>
        <w:tblW w:w="5025" w:type="pct"/>
        <w:tblInd w:w="-4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3356"/>
        <w:gridCol w:w="5322"/>
      </w:tblGrid>
      <w:tr w:rsidR="006A328C" w:rsidRPr="00A906FA" w14:paraId="5FA24A05" w14:textId="77777777" w:rsidTr="00C81F0E">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C2A58EC" w14:textId="77777777" w:rsidR="004D15A9" w:rsidRPr="00A906FA"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A906FA">
              <w:rPr>
                <w:rFonts w:ascii="Times New Roman" w:eastAsia="Times New Roman" w:hAnsi="Times New Roman" w:cs="Times New Roman"/>
                <w:b/>
                <w:bCs/>
                <w:sz w:val="26"/>
                <w:szCs w:val="26"/>
                <w:lang w:eastAsia="lv-LV"/>
              </w:rPr>
              <w:t>VII. Tiesību akta projekta izpildes nodrošināšana un tās ietekme uz institūcijām</w:t>
            </w:r>
          </w:p>
        </w:tc>
      </w:tr>
      <w:tr w:rsidR="006A328C" w:rsidRPr="00A906FA" w14:paraId="1C9003B5" w14:textId="77777777" w:rsidTr="00C81F0E">
        <w:trPr>
          <w:trHeight w:val="420"/>
        </w:trPr>
        <w:tc>
          <w:tcPr>
            <w:tcW w:w="232" w:type="pct"/>
            <w:tcBorders>
              <w:top w:val="outset" w:sz="6" w:space="0" w:color="414142"/>
              <w:left w:val="outset" w:sz="6" w:space="0" w:color="414142"/>
              <w:bottom w:val="outset" w:sz="6" w:space="0" w:color="414142"/>
              <w:right w:val="outset" w:sz="6" w:space="0" w:color="414142"/>
            </w:tcBorders>
            <w:hideMark/>
          </w:tcPr>
          <w:p w14:paraId="6FFE9E6B" w14:textId="77777777" w:rsidR="000064B9" w:rsidRPr="00A906FA" w:rsidRDefault="000064B9" w:rsidP="00DA596D">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1.</w:t>
            </w:r>
          </w:p>
        </w:tc>
        <w:tc>
          <w:tcPr>
            <w:tcW w:w="1844" w:type="pct"/>
            <w:tcBorders>
              <w:top w:val="outset" w:sz="6" w:space="0" w:color="414142"/>
              <w:left w:val="outset" w:sz="6" w:space="0" w:color="414142"/>
              <w:bottom w:val="outset" w:sz="6" w:space="0" w:color="414142"/>
              <w:right w:val="outset" w:sz="6" w:space="0" w:color="414142"/>
            </w:tcBorders>
            <w:hideMark/>
          </w:tcPr>
          <w:p w14:paraId="161071B3" w14:textId="77777777" w:rsidR="000064B9" w:rsidRPr="00A906FA" w:rsidRDefault="000064B9" w:rsidP="00DA596D">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Projekta izpildē iesaistītās institūcijas</w:t>
            </w:r>
          </w:p>
        </w:tc>
        <w:tc>
          <w:tcPr>
            <w:tcW w:w="2924" w:type="pct"/>
            <w:tcBorders>
              <w:top w:val="outset" w:sz="6" w:space="0" w:color="414142"/>
              <w:left w:val="outset" w:sz="6" w:space="0" w:color="414142"/>
              <w:bottom w:val="outset" w:sz="6" w:space="0" w:color="414142"/>
              <w:right w:val="outset" w:sz="6" w:space="0" w:color="414142"/>
            </w:tcBorders>
            <w:hideMark/>
          </w:tcPr>
          <w:p w14:paraId="0FE69933" w14:textId="77777777" w:rsidR="000064B9" w:rsidRPr="00A906FA" w:rsidRDefault="000064B9" w:rsidP="0079097A">
            <w:pPr>
              <w:spacing w:after="0" w:line="240" w:lineRule="auto"/>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Projekta izpildi nodrošinās </w:t>
            </w:r>
            <w:r w:rsidR="00A1555D" w:rsidRPr="00A906FA">
              <w:rPr>
                <w:rFonts w:ascii="Times New Roman" w:eastAsia="Times New Roman" w:hAnsi="Times New Roman" w:cs="Times New Roman"/>
                <w:sz w:val="26"/>
                <w:szCs w:val="26"/>
                <w:lang w:eastAsia="lv-LV"/>
              </w:rPr>
              <w:t xml:space="preserve">Izglītības un </w:t>
            </w:r>
            <w:r w:rsidR="00F926D3" w:rsidRPr="00A906FA">
              <w:rPr>
                <w:rFonts w:ascii="Times New Roman" w:eastAsia="Times New Roman" w:hAnsi="Times New Roman" w:cs="Times New Roman"/>
                <w:sz w:val="26"/>
                <w:szCs w:val="26"/>
                <w:lang w:eastAsia="lv-LV"/>
              </w:rPr>
              <w:t>zinātnes ministrija</w:t>
            </w:r>
            <w:r w:rsidRPr="00A906FA">
              <w:rPr>
                <w:rFonts w:ascii="Times New Roman" w:eastAsia="Times New Roman" w:hAnsi="Times New Roman" w:cs="Times New Roman"/>
                <w:sz w:val="26"/>
                <w:szCs w:val="26"/>
                <w:lang w:eastAsia="lv-LV"/>
              </w:rPr>
              <w:t xml:space="preserve">, </w:t>
            </w:r>
            <w:r w:rsidR="0079097A" w:rsidRPr="00A906FA">
              <w:rPr>
                <w:rFonts w:ascii="Times New Roman" w:eastAsia="Times New Roman" w:hAnsi="Times New Roman" w:cs="Times New Roman"/>
                <w:sz w:val="26"/>
                <w:szCs w:val="26"/>
                <w:lang w:eastAsia="lv-LV"/>
              </w:rPr>
              <w:t>sadarbības iestāde</w:t>
            </w:r>
            <w:r w:rsidR="00340C2A" w:rsidRPr="00A906FA">
              <w:rPr>
                <w:rFonts w:ascii="Times New Roman" w:eastAsia="Times New Roman" w:hAnsi="Times New Roman" w:cs="Times New Roman"/>
                <w:sz w:val="26"/>
                <w:szCs w:val="26"/>
                <w:lang w:eastAsia="lv-LV"/>
              </w:rPr>
              <w:t xml:space="preserve"> </w:t>
            </w:r>
            <w:r w:rsidRPr="00A906FA">
              <w:rPr>
                <w:rFonts w:ascii="Times New Roman" w:eastAsia="Times New Roman" w:hAnsi="Times New Roman" w:cs="Times New Roman"/>
                <w:sz w:val="26"/>
                <w:szCs w:val="26"/>
                <w:lang w:eastAsia="lv-LV"/>
              </w:rPr>
              <w:t>un labuma guvēji.</w:t>
            </w:r>
          </w:p>
        </w:tc>
      </w:tr>
      <w:tr w:rsidR="006A328C" w:rsidRPr="00A906FA" w14:paraId="01866C39" w14:textId="77777777" w:rsidTr="00C81F0E">
        <w:trPr>
          <w:trHeight w:val="450"/>
        </w:trPr>
        <w:tc>
          <w:tcPr>
            <w:tcW w:w="232" w:type="pct"/>
            <w:tcBorders>
              <w:top w:val="outset" w:sz="6" w:space="0" w:color="414142"/>
              <w:left w:val="outset" w:sz="6" w:space="0" w:color="414142"/>
              <w:bottom w:val="outset" w:sz="6" w:space="0" w:color="414142"/>
              <w:right w:val="outset" w:sz="6" w:space="0" w:color="414142"/>
            </w:tcBorders>
            <w:hideMark/>
          </w:tcPr>
          <w:p w14:paraId="5BEB09D9" w14:textId="77777777" w:rsidR="000064B9" w:rsidRPr="00A906FA" w:rsidRDefault="000064B9" w:rsidP="00DA596D">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lastRenderedPageBreak/>
              <w:t>2.</w:t>
            </w:r>
          </w:p>
        </w:tc>
        <w:tc>
          <w:tcPr>
            <w:tcW w:w="1844" w:type="pct"/>
            <w:tcBorders>
              <w:top w:val="outset" w:sz="6" w:space="0" w:color="414142"/>
              <w:left w:val="outset" w:sz="6" w:space="0" w:color="414142"/>
              <w:bottom w:val="outset" w:sz="6" w:space="0" w:color="414142"/>
              <w:right w:val="outset" w:sz="6" w:space="0" w:color="414142"/>
            </w:tcBorders>
            <w:hideMark/>
          </w:tcPr>
          <w:p w14:paraId="62E5B487" w14:textId="77777777" w:rsidR="000064B9" w:rsidRPr="00A906FA" w:rsidRDefault="000064B9" w:rsidP="00DA596D">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Projekta izpildes ietekme uz pārvaldes funkcijām un institucionālo struktūru. </w:t>
            </w:r>
          </w:p>
          <w:p w14:paraId="214B920F" w14:textId="77777777" w:rsidR="000064B9" w:rsidRPr="00A906FA" w:rsidRDefault="000064B9" w:rsidP="00AB6B1E">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924" w:type="pct"/>
            <w:tcBorders>
              <w:top w:val="outset" w:sz="6" w:space="0" w:color="414142"/>
              <w:left w:val="outset" w:sz="6" w:space="0" w:color="414142"/>
              <w:bottom w:val="outset" w:sz="6" w:space="0" w:color="414142"/>
              <w:right w:val="outset" w:sz="6" w:space="0" w:color="414142"/>
            </w:tcBorders>
            <w:hideMark/>
          </w:tcPr>
          <w:p w14:paraId="6B2F1C51" w14:textId="77777777" w:rsidR="000064B9" w:rsidRPr="00A906FA" w:rsidRDefault="000064B9" w:rsidP="00A1555D">
            <w:pPr>
              <w:spacing w:after="0" w:line="240" w:lineRule="auto"/>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 xml:space="preserve">Projekta izpilde tiks nodrošināta </w:t>
            </w:r>
            <w:r w:rsidR="00A1555D" w:rsidRPr="00A906FA">
              <w:rPr>
                <w:rFonts w:ascii="Times New Roman" w:eastAsia="Times New Roman" w:hAnsi="Times New Roman" w:cs="Times New Roman"/>
                <w:sz w:val="26"/>
                <w:szCs w:val="26"/>
                <w:lang w:eastAsia="lv-LV"/>
              </w:rPr>
              <w:t>Izglītības un zinātnes ministrija</w:t>
            </w:r>
            <w:r w:rsidR="00F23364" w:rsidRPr="00A906FA">
              <w:rPr>
                <w:rFonts w:ascii="Times New Roman" w:eastAsia="Times New Roman" w:hAnsi="Times New Roman" w:cs="Times New Roman"/>
                <w:sz w:val="26"/>
                <w:szCs w:val="26"/>
                <w:lang w:eastAsia="lv-LV"/>
              </w:rPr>
              <w:t>s</w:t>
            </w:r>
            <w:r w:rsidR="00A1555D" w:rsidRPr="00A906FA">
              <w:rPr>
                <w:rFonts w:ascii="Times New Roman" w:eastAsia="Times New Roman" w:hAnsi="Times New Roman" w:cs="Times New Roman"/>
                <w:sz w:val="26"/>
                <w:szCs w:val="26"/>
                <w:lang w:eastAsia="lv-LV"/>
              </w:rPr>
              <w:t xml:space="preserve"> </w:t>
            </w:r>
            <w:r w:rsidRPr="00A906FA">
              <w:rPr>
                <w:rFonts w:ascii="Times New Roman" w:eastAsia="Times New Roman" w:hAnsi="Times New Roman" w:cs="Times New Roman"/>
                <w:sz w:val="26"/>
                <w:szCs w:val="26"/>
                <w:lang w:eastAsia="lv-LV"/>
              </w:rPr>
              <w:t>un sadarbības iestādes funkciju ietvaros.</w:t>
            </w:r>
          </w:p>
          <w:p w14:paraId="095E4B96" w14:textId="77777777" w:rsidR="00DC3B1C" w:rsidRPr="00A906FA" w:rsidRDefault="00DC3B1C" w:rsidP="00A1555D">
            <w:pPr>
              <w:spacing w:after="0" w:line="240" w:lineRule="auto"/>
              <w:jc w:val="both"/>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Jaunu institūciju izveide, esošu institūciju likvidācija vai reorganizācija nav paredzēta.</w:t>
            </w:r>
          </w:p>
        </w:tc>
      </w:tr>
      <w:tr w:rsidR="006A328C" w:rsidRPr="00A906FA" w14:paraId="0F5BDFA1" w14:textId="77777777" w:rsidTr="00C81F0E">
        <w:trPr>
          <w:trHeight w:val="390"/>
        </w:trPr>
        <w:tc>
          <w:tcPr>
            <w:tcW w:w="232" w:type="pct"/>
            <w:tcBorders>
              <w:top w:val="outset" w:sz="6" w:space="0" w:color="414142"/>
              <w:left w:val="outset" w:sz="6" w:space="0" w:color="414142"/>
              <w:bottom w:val="outset" w:sz="6" w:space="0" w:color="414142"/>
              <w:right w:val="outset" w:sz="6" w:space="0" w:color="414142"/>
            </w:tcBorders>
            <w:hideMark/>
          </w:tcPr>
          <w:p w14:paraId="1CF27910" w14:textId="77777777" w:rsidR="004D15A9" w:rsidRPr="00A906FA" w:rsidRDefault="004D15A9" w:rsidP="00DA596D">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3.</w:t>
            </w:r>
          </w:p>
        </w:tc>
        <w:tc>
          <w:tcPr>
            <w:tcW w:w="1844" w:type="pct"/>
            <w:tcBorders>
              <w:top w:val="outset" w:sz="6" w:space="0" w:color="414142"/>
              <w:left w:val="outset" w:sz="6" w:space="0" w:color="414142"/>
              <w:bottom w:val="outset" w:sz="6" w:space="0" w:color="414142"/>
              <w:right w:val="outset" w:sz="6" w:space="0" w:color="414142"/>
            </w:tcBorders>
            <w:hideMark/>
          </w:tcPr>
          <w:p w14:paraId="1D1B10B1" w14:textId="77777777" w:rsidR="004D15A9" w:rsidRPr="00A906FA" w:rsidRDefault="004D15A9" w:rsidP="00DA596D">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Cita informācija</w:t>
            </w:r>
          </w:p>
        </w:tc>
        <w:tc>
          <w:tcPr>
            <w:tcW w:w="2924" w:type="pct"/>
            <w:tcBorders>
              <w:top w:val="outset" w:sz="6" w:space="0" w:color="414142"/>
              <w:left w:val="outset" w:sz="6" w:space="0" w:color="414142"/>
              <w:bottom w:val="outset" w:sz="6" w:space="0" w:color="414142"/>
              <w:right w:val="outset" w:sz="6" w:space="0" w:color="414142"/>
            </w:tcBorders>
            <w:hideMark/>
          </w:tcPr>
          <w:p w14:paraId="325C05EB" w14:textId="77777777" w:rsidR="004D15A9" w:rsidRPr="00A906FA" w:rsidRDefault="004D15A9" w:rsidP="0079544E">
            <w:pPr>
              <w:spacing w:after="0" w:line="240" w:lineRule="auto"/>
              <w:rPr>
                <w:rFonts w:ascii="Times New Roman" w:eastAsia="Times New Roman" w:hAnsi="Times New Roman" w:cs="Times New Roman"/>
                <w:sz w:val="26"/>
                <w:szCs w:val="26"/>
                <w:lang w:eastAsia="lv-LV"/>
              </w:rPr>
            </w:pPr>
            <w:r w:rsidRPr="00A906FA">
              <w:rPr>
                <w:rFonts w:ascii="Times New Roman" w:eastAsia="Times New Roman" w:hAnsi="Times New Roman" w:cs="Times New Roman"/>
                <w:sz w:val="26"/>
                <w:szCs w:val="26"/>
                <w:lang w:eastAsia="lv-LV"/>
              </w:rPr>
              <w:t>Nav</w:t>
            </w:r>
          </w:p>
        </w:tc>
      </w:tr>
    </w:tbl>
    <w:p w14:paraId="529ED7C0" w14:textId="77777777" w:rsidR="00BB1F46" w:rsidRPr="00A906FA" w:rsidRDefault="00BB1F46" w:rsidP="00DA596D">
      <w:pPr>
        <w:spacing w:after="0" w:line="240" w:lineRule="auto"/>
        <w:rPr>
          <w:rFonts w:ascii="Times New Roman" w:hAnsi="Times New Roman" w:cs="Times New Roman"/>
          <w:sz w:val="26"/>
          <w:szCs w:val="26"/>
        </w:rPr>
      </w:pPr>
    </w:p>
    <w:p w14:paraId="32C7C20C" w14:textId="77777777" w:rsidR="00DC3B1C" w:rsidRDefault="00DC3B1C" w:rsidP="00344579">
      <w:pPr>
        <w:spacing w:after="0" w:line="240" w:lineRule="auto"/>
        <w:jc w:val="both"/>
        <w:rPr>
          <w:rFonts w:ascii="Times New Roman" w:hAnsi="Times New Roman" w:cs="Times New Roman"/>
          <w:sz w:val="26"/>
          <w:szCs w:val="26"/>
        </w:rPr>
      </w:pPr>
    </w:p>
    <w:p w14:paraId="2BDE3DEA" w14:textId="77777777" w:rsidR="00A906FA" w:rsidRPr="00A906FA" w:rsidRDefault="00A906FA" w:rsidP="00344579">
      <w:pPr>
        <w:spacing w:after="0" w:line="240" w:lineRule="auto"/>
        <w:jc w:val="both"/>
        <w:rPr>
          <w:rFonts w:ascii="Times New Roman" w:hAnsi="Times New Roman" w:cs="Times New Roman"/>
          <w:sz w:val="26"/>
          <w:szCs w:val="26"/>
        </w:rPr>
      </w:pPr>
    </w:p>
    <w:p w14:paraId="346C07B3" w14:textId="3E52EE43" w:rsidR="00DC3B1C" w:rsidRPr="00A906FA" w:rsidRDefault="00DC3B1C" w:rsidP="00A7405E">
      <w:pPr>
        <w:tabs>
          <w:tab w:val="left" w:pos="6946"/>
        </w:tabs>
        <w:spacing w:after="0" w:line="240" w:lineRule="auto"/>
        <w:ind w:firstLine="709"/>
        <w:jc w:val="both"/>
        <w:rPr>
          <w:rFonts w:ascii="Times New Roman" w:hAnsi="Times New Roman" w:cs="Times New Roman"/>
          <w:sz w:val="26"/>
          <w:szCs w:val="26"/>
        </w:rPr>
      </w:pPr>
      <w:r w:rsidRPr="00A906FA">
        <w:rPr>
          <w:rFonts w:ascii="Times New Roman" w:hAnsi="Times New Roman" w:cs="Times New Roman"/>
          <w:sz w:val="26"/>
          <w:szCs w:val="26"/>
        </w:rPr>
        <w:t>Izglītības un zinātnes ministr</w:t>
      </w:r>
      <w:r w:rsidR="00C57C46" w:rsidRPr="00A906FA">
        <w:rPr>
          <w:rFonts w:ascii="Times New Roman" w:hAnsi="Times New Roman" w:cs="Times New Roman"/>
          <w:sz w:val="26"/>
          <w:szCs w:val="26"/>
        </w:rPr>
        <w:t>s</w:t>
      </w:r>
      <w:r w:rsidRPr="00A906FA">
        <w:rPr>
          <w:rFonts w:ascii="Times New Roman" w:hAnsi="Times New Roman" w:cs="Times New Roman"/>
          <w:sz w:val="26"/>
          <w:szCs w:val="26"/>
        </w:rPr>
        <w:tab/>
      </w:r>
      <w:r w:rsidR="00FB5C08" w:rsidRPr="00A906FA">
        <w:rPr>
          <w:rFonts w:ascii="Times New Roman" w:hAnsi="Times New Roman" w:cs="Times New Roman"/>
          <w:sz w:val="26"/>
          <w:szCs w:val="26"/>
        </w:rPr>
        <w:tab/>
      </w:r>
      <w:r w:rsidR="00C57C46" w:rsidRPr="00A906FA">
        <w:rPr>
          <w:rFonts w:ascii="Times New Roman" w:hAnsi="Times New Roman" w:cs="Times New Roman"/>
          <w:sz w:val="26"/>
          <w:szCs w:val="26"/>
        </w:rPr>
        <w:t>K</w:t>
      </w:r>
      <w:r w:rsidR="004970DB" w:rsidRPr="00A906FA">
        <w:rPr>
          <w:rFonts w:ascii="Times New Roman" w:hAnsi="Times New Roman" w:cs="Times New Roman"/>
          <w:sz w:val="26"/>
          <w:szCs w:val="26"/>
        </w:rPr>
        <w:t xml:space="preserve">ārlis </w:t>
      </w:r>
      <w:r w:rsidR="00C57C46" w:rsidRPr="00A906FA">
        <w:rPr>
          <w:rFonts w:ascii="Times New Roman" w:hAnsi="Times New Roman" w:cs="Times New Roman"/>
          <w:sz w:val="26"/>
          <w:szCs w:val="26"/>
        </w:rPr>
        <w:t>Šadurskis</w:t>
      </w:r>
    </w:p>
    <w:p w14:paraId="2F70207D" w14:textId="77777777" w:rsidR="00DC3B1C" w:rsidRPr="00A906FA" w:rsidRDefault="00DC3B1C" w:rsidP="00344579">
      <w:pPr>
        <w:spacing w:after="0" w:line="240" w:lineRule="auto"/>
        <w:jc w:val="both"/>
        <w:rPr>
          <w:rFonts w:ascii="Times New Roman" w:hAnsi="Times New Roman" w:cs="Times New Roman"/>
          <w:sz w:val="26"/>
          <w:szCs w:val="26"/>
        </w:rPr>
      </w:pPr>
    </w:p>
    <w:p w14:paraId="7B9B39AB" w14:textId="77777777" w:rsidR="007869F3" w:rsidRPr="00A906FA" w:rsidRDefault="007869F3" w:rsidP="00344579">
      <w:pPr>
        <w:spacing w:after="0" w:line="240" w:lineRule="auto"/>
        <w:jc w:val="both"/>
        <w:rPr>
          <w:rFonts w:ascii="Times New Roman" w:hAnsi="Times New Roman" w:cs="Times New Roman"/>
          <w:sz w:val="26"/>
          <w:szCs w:val="26"/>
        </w:rPr>
      </w:pPr>
    </w:p>
    <w:p w14:paraId="260F9E46" w14:textId="77777777" w:rsidR="00E306D9" w:rsidRPr="00A906FA" w:rsidRDefault="00E306D9" w:rsidP="00344579">
      <w:pPr>
        <w:spacing w:after="0" w:line="240" w:lineRule="auto"/>
        <w:jc w:val="both"/>
        <w:rPr>
          <w:rFonts w:ascii="Times New Roman" w:hAnsi="Times New Roman" w:cs="Times New Roman"/>
          <w:sz w:val="26"/>
          <w:szCs w:val="26"/>
        </w:rPr>
      </w:pPr>
    </w:p>
    <w:p w14:paraId="0DE55FF4" w14:textId="77777777" w:rsidR="00D90C35" w:rsidRPr="00A906FA" w:rsidRDefault="00341E1E" w:rsidP="00A7405E">
      <w:pPr>
        <w:tabs>
          <w:tab w:val="left" w:pos="6946"/>
        </w:tabs>
        <w:spacing w:after="0" w:line="240" w:lineRule="auto"/>
        <w:ind w:firstLine="709"/>
        <w:jc w:val="both"/>
        <w:rPr>
          <w:rFonts w:ascii="Times New Roman" w:hAnsi="Times New Roman" w:cs="Times New Roman"/>
          <w:sz w:val="26"/>
          <w:szCs w:val="26"/>
        </w:rPr>
      </w:pPr>
      <w:r w:rsidRPr="00A906FA">
        <w:rPr>
          <w:rFonts w:ascii="Times New Roman" w:hAnsi="Times New Roman" w:cs="Times New Roman"/>
          <w:sz w:val="26"/>
          <w:szCs w:val="26"/>
        </w:rPr>
        <w:t xml:space="preserve">Vizē: </w:t>
      </w:r>
    </w:p>
    <w:p w14:paraId="0D00424C" w14:textId="4C6AF557" w:rsidR="00EC4AF2" w:rsidRPr="00A906FA" w:rsidRDefault="00341E1E" w:rsidP="00A7405E">
      <w:pPr>
        <w:tabs>
          <w:tab w:val="left" w:pos="6946"/>
        </w:tabs>
        <w:spacing w:after="0" w:line="240" w:lineRule="auto"/>
        <w:ind w:firstLine="709"/>
        <w:jc w:val="both"/>
        <w:rPr>
          <w:rFonts w:ascii="Times New Roman" w:hAnsi="Times New Roman" w:cs="Times New Roman"/>
          <w:sz w:val="26"/>
          <w:szCs w:val="26"/>
        </w:rPr>
      </w:pPr>
      <w:r w:rsidRPr="00A906FA">
        <w:rPr>
          <w:rFonts w:ascii="Times New Roman" w:hAnsi="Times New Roman" w:cs="Times New Roman"/>
          <w:sz w:val="26"/>
          <w:szCs w:val="26"/>
        </w:rPr>
        <w:t>Valsts sekretāre</w:t>
      </w:r>
      <w:r w:rsidR="007869F3" w:rsidRPr="00A906FA">
        <w:rPr>
          <w:rFonts w:ascii="Times New Roman" w:hAnsi="Times New Roman" w:cs="Times New Roman"/>
          <w:sz w:val="26"/>
          <w:szCs w:val="26"/>
        </w:rPr>
        <w:t xml:space="preserve"> </w:t>
      </w:r>
      <w:r w:rsidRPr="00A906FA">
        <w:rPr>
          <w:rFonts w:ascii="Times New Roman" w:hAnsi="Times New Roman" w:cs="Times New Roman"/>
          <w:sz w:val="26"/>
          <w:szCs w:val="26"/>
        </w:rPr>
        <w:tab/>
      </w:r>
      <w:r w:rsidR="00FB5C08" w:rsidRPr="00A906FA">
        <w:rPr>
          <w:rFonts w:ascii="Times New Roman" w:hAnsi="Times New Roman" w:cs="Times New Roman"/>
          <w:sz w:val="26"/>
          <w:szCs w:val="26"/>
        </w:rPr>
        <w:tab/>
        <w:t xml:space="preserve">     </w:t>
      </w:r>
      <w:r w:rsidR="00C57C46" w:rsidRPr="00A906FA">
        <w:rPr>
          <w:rFonts w:ascii="Times New Roman" w:hAnsi="Times New Roman" w:cs="Times New Roman"/>
          <w:sz w:val="26"/>
          <w:szCs w:val="26"/>
        </w:rPr>
        <w:t>L</w:t>
      </w:r>
      <w:r w:rsidR="004970DB" w:rsidRPr="00A906FA">
        <w:rPr>
          <w:rFonts w:ascii="Times New Roman" w:hAnsi="Times New Roman" w:cs="Times New Roman"/>
          <w:sz w:val="26"/>
          <w:szCs w:val="26"/>
        </w:rPr>
        <w:t>īga</w:t>
      </w:r>
      <w:r w:rsidR="00C57C46" w:rsidRPr="00A906FA">
        <w:rPr>
          <w:rFonts w:ascii="Times New Roman" w:hAnsi="Times New Roman" w:cs="Times New Roman"/>
          <w:sz w:val="26"/>
          <w:szCs w:val="26"/>
        </w:rPr>
        <w:t xml:space="preserve"> Lejiņa</w:t>
      </w:r>
    </w:p>
    <w:p w14:paraId="5DFC03BF" w14:textId="77777777" w:rsidR="007869F3" w:rsidRPr="006A328C" w:rsidRDefault="007869F3" w:rsidP="007869F3">
      <w:pPr>
        <w:spacing w:after="0" w:line="240" w:lineRule="auto"/>
        <w:ind w:firstLine="709"/>
        <w:jc w:val="both"/>
        <w:rPr>
          <w:rFonts w:ascii="Times New Roman" w:hAnsi="Times New Roman" w:cs="Times New Roman"/>
          <w:sz w:val="24"/>
          <w:szCs w:val="24"/>
        </w:rPr>
      </w:pPr>
    </w:p>
    <w:p w14:paraId="2828A1B0" w14:textId="77777777" w:rsidR="002F1707" w:rsidRDefault="002F1707" w:rsidP="007869F3">
      <w:pPr>
        <w:spacing w:after="0" w:line="240" w:lineRule="auto"/>
        <w:ind w:firstLine="709"/>
        <w:jc w:val="both"/>
        <w:rPr>
          <w:rFonts w:ascii="Times New Roman" w:hAnsi="Times New Roman" w:cs="Times New Roman"/>
          <w:sz w:val="24"/>
          <w:szCs w:val="24"/>
        </w:rPr>
      </w:pPr>
    </w:p>
    <w:p w14:paraId="39CF949C" w14:textId="77777777" w:rsidR="0043576B" w:rsidRDefault="0043576B" w:rsidP="007869F3">
      <w:pPr>
        <w:spacing w:after="0" w:line="240" w:lineRule="auto"/>
        <w:ind w:firstLine="709"/>
        <w:jc w:val="both"/>
        <w:rPr>
          <w:rFonts w:ascii="Times New Roman" w:hAnsi="Times New Roman" w:cs="Times New Roman"/>
          <w:sz w:val="24"/>
          <w:szCs w:val="24"/>
        </w:rPr>
      </w:pPr>
    </w:p>
    <w:p w14:paraId="499E9413" w14:textId="77777777" w:rsidR="00A906FA" w:rsidRDefault="00A906FA" w:rsidP="007869F3">
      <w:pPr>
        <w:spacing w:after="0" w:line="240" w:lineRule="auto"/>
        <w:ind w:firstLine="709"/>
        <w:jc w:val="both"/>
        <w:rPr>
          <w:rFonts w:ascii="Times New Roman" w:hAnsi="Times New Roman" w:cs="Times New Roman"/>
          <w:sz w:val="24"/>
          <w:szCs w:val="24"/>
        </w:rPr>
      </w:pPr>
    </w:p>
    <w:p w14:paraId="63A3899F" w14:textId="77777777" w:rsidR="00A906FA" w:rsidRDefault="00A906FA" w:rsidP="007869F3">
      <w:pPr>
        <w:spacing w:after="0" w:line="240" w:lineRule="auto"/>
        <w:ind w:firstLine="709"/>
        <w:jc w:val="both"/>
        <w:rPr>
          <w:rFonts w:ascii="Times New Roman" w:hAnsi="Times New Roman" w:cs="Times New Roman"/>
          <w:sz w:val="24"/>
          <w:szCs w:val="24"/>
        </w:rPr>
      </w:pPr>
    </w:p>
    <w:p w14:paraId="13E3881C" w14:textId="77777777" w:rsidR="00A906FA" w:rsidRDefault="00A906FA" w:rsidP="007869F3">
      <w:pPr>
        <w:spacing w:after="0" w:line="240" w:lineRule="auto"/>
        <w:ind w:firstLine="709"/>
        <w:jc w:val="both"/>
        <w:rPr>
          <w:rFonts w:ascii="Times New Roman" w:hAnsi="Times New Roman" w:cs="Times New Roman"/>
          <w:sz w:val="24"/>
          <w:szCs w:val="24"/>
        </w:rPr>
      </w:pPr>
    </w:p>
    <w:p w14:paraId="7B55D7C5" w14:textId="005C3B80" w:rsidR="00DC3B1C" w:rsidRPr="001A3B83" w:rsidRDefault="00A62CC4" w:rsidP="00344579">
      <w:pPr>
        <w:spacing w:after="0" w:line="240" w:lineRule="auto"/>
        <w:rPr>
          <w:rFonts w:ascii="Times New Roman" w:hAnsi="Times New Roman" w:cs="Times New Roman"/>
          <w:sz w:val="20"/>
          <w:szCs w:val="20"/>
        </w:rPr>
      </w:pPr>
      <w:r w:rsidRPr="001A3B83">
        <w:rPr>
          <w:rFonts w:ascii="Times New Roman" w:hAnsi="Times New Roman" w:cs="Times New Roman"/>
          <w:sz w:val="20"/>
          <w:szCs w:val="20"/>
        </w:rPr>
        <w:fldChar w:fldCharType="begin"/>
      </w:r>
      <w:r w:rsidR="00DC3B1C" w:rsidRPr="001A3B83">
        <w:rPr>
          <w:rFonts w:ascii="Times New Roman" w:hAnsi="Times New Roman" w:cs="Times New Roman"/>
          <w:sz w:val="20"/>
          <w:szCs w:val="20"/>
        </w:rPr>
        <w:instrText xml:space="preserve"> DATE  \@ "dd.MM.yyyy H:mm"  \* MERGEFORMAT </w:instrText>
      </w:r>
      <w:r w:rsidRPr="001A3B83">
        <w:rPr>
          <w:rFonts w:ascii="Times New Roman" w:hAnsi="Times New Roman" w:cs="Times New Roman"/>
          <w:sz w:val="20"/>
          <w:szCs w:val="20"/>
        </w:rPr>
        <w:fldChar w:fldCharType="separate"/>
      </w:r>
      <w:r w:rsidR="009F6D45">
        <w:rPr>
          <w:rFonts w:ascii="Times New Roman" w:hAnsi="Times New Roman" w:cs="Times New Roman"/>
          <w:noProof/>
          <w:sz w:val="20"/>
          <w:szCs w:val="20"/>
        </w:rPr>
        <w:t>26.02.2018 17:24</w:t>
      </w:r>
      <w:r w:rsidRPr="001A3B83">
        <w:rPr>
          <w:rFonts w:ascii="Times New Roman" w:hAnsi="Times New Roman" w:cs="Times New Roman"/>
          <w:sz w:val="20"/>
          <w:szCs w:val="20"/>
        </w:rPr>
        <w:fldChar w:fldCharType="end"/>
      </w:r>
    </w:p>
    <w:p w14:paraId="5707C112" w14:textId="6D633CBE" w:rsidR="001A3B83" w:rsidRDefault="00437F90" w:rsidP="00344579">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sidR="009F6D45">
        <w:rPr>
          <w:rFonts w:ascii="Times New Roman" w:hAnsi="Times New Roman" w:cs="Times New Roman"/>
          <w:noProof/>
          <w:sz w:val="20"/>
          <w:szCs w:val="20"/>
        </w:rPr>
        <w:t>3815</w:t>
      </w:r>
      <w:r>
        <w:rPr>
          <w:rFonts w:ascii="Times New Roman" w:hAnsi="Times New Roman" w:cs="Times New Roman"/>
          <w:sz w:val="20"/>
          <w:szCs w:val="20"/>
        </w:rPr>
        <w:fldChar w:fldCharType="end"/>
      </w:r>
    </w:p>
    <w:p w14:paraId="4AC471B2" w14:textId="6B518B6C" w:rsidR="007D4510" w:rsidRDefault="003F5E79" w:rsidP="00A53185">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I.</w:t>
      </w:r>
      <w:r w:rsidR="00C57C46" w:rsidRPr="001A3B83">
        <w:rPr>
          <w:rFonts w:ascii="Times New Roman" w:hAnsi="Times New Roman" w:cs="Times New Roman"/>
          <w:sz w:val="20"/>
          <w:szCs w:val="20"/>
        </w:rPr>
        <w:t>.</w:t>
      </w:r>
      <w:r>
        <w:rPr>
          <w:rFonts w:ascii="Times New Roman" w:hAnsi="Times New Roman" w:cs="Times New Roman"/>
          <w:sz w:val="20"/>
          <w:szCs w:val="20"/>
        </w:rPr>
        <w:t>Švirksta</w:t>
      </w:r>
      <w:proofErr w:type="spellEnd"/>
      <w:r w:rsidR="00DC3B1C" w:rsidRPr="001A3B83">
        <w:rPr>
          <w:rFonts w:ascii="Times New Roman" w:hAnsi="Times New Roman" w:cs="Times New Roman"/>
          <w:sz w:val="20"/>
          <w:szCs w:val="20"/>
        </w:rPr>
        <w:t xml:space="preserve"> 67047</w:t>
      </w:r>
      <w:r>
        <w:rPr>
          <w:rFonts w:ascii="Times New Roman" w:hAnsi="Times New Roman" w:cs="Times New Roman"/>
          <w:sz w:val="20"/>
          <w:szCs w:val="20"/>
        </w:rPr>
        <w:t>878</w:t>
      </w:r>
    </w:p>
    <w:p w14:paraId="0146F891" w14:textId="5982BD95" w:rsidR="00F926D3" w:rsidRPr="006A328C" w:rsidRDefault="00223572" w:rsidP="00A53185">
      <w:pPr>
        <w:spacing w:after="0" w:line="240" w:lineRule="auto"/>
        <w:rPr>
          <w:rFonts w:ascii="Times New Roman" w:hAnsi="Times New Roman" w:cs="Times New Roman"/>
          <w:sz w:val="20"/>
          <w:szCs w:val="20"/>
        </w:rPr>
      </w:pPr>
      <w:hyperlink r:id="rId12" w:history="1">
        <w:r w:rsidR="003F5E79" w:rsidRPr="002A1A27">
          <w:rPr>
            <w:rStyle w:val="Hyperlink"/>
            <w:rFonts w:ascii="Times New Roman" w:hAnsi="Times New Roman" w:cs="Times New Roman"/>
            <w:sz w:val="20"/>
            <w:szCs w:val="20"/>
          </w:rPr>
          <w:t>inta.svirksta@izm.gov.lv</w:t>
        </w:r>
      </w:hyperlink>
      <w:r w:rsidR="00BC2FAB" w:rsidRPr="001A3B83">
        <w:rPr>
          <w:rStyle w:val="Hyperlink"/>
          <w:rFonts w:ascii="Times New Roman" w:hAnsi="Times New Roman" w:cs="Times New Roman"/>
          <w:color w:val="auto"/>
          <w:sz w:val="20"/>
          <w:szCs w:val="20"/>
        </w:rPr>
        <w:t xml:space="preserve"> </w:t>
      </w:r>
      <w:r w:rsidR="00C57C46" w:rsidRPr="001A3B83">
        <w:rPr>
          <w:rFonts w:ascii="Times New Roman" w:hAnsi="Times New Roman" w:cs="Times New Roman"/>
          <w:sz w:val="20"/>
          <w:szCs w:val="20"/>
        </w:rPr>
        <w:t xml:space="preserve"> </w:t>
      </w:r>
    </w:p>
    <w:sectPr w:rsidR="00F926D3" w:rsidRPr="006A328C" w:rsidSect="006450A1">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26CAA" w14:textId="77777777" w:rsidR="00223572" w:rsidRDefault="00223572" w:rsidP="004D15A9">
      <w:pPr>
        <w:spacing w:after="0" w:line="240" w:lineRule="auto"/>
      </w:pPr>
      <w:r>
        <w:separator/>
      </w:r>
    </w:p>
  </w:endnote>
  <w:endnote w:type="continuationSeparator" w:id="0">
    <w:p w14:paraId="75DC03FC" w14:textId="77777777" w:rsidR="00223572" w:rsidRDefault="0022357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3EFA6" w14:textId="77777777" w:rsidR="009F6D45" w:rsidRDefault="009F6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65D1" w14:textId="131E3B6A" w:rsidR="00DF2054" w:rsidRPr="00077CDB" w:rsidRDefault="00223572" w:rsidP="00077CDB">
    <w:pPr>
      <w:spacing w:after="0" w:line="240" w:lineRule="auto"/>
      <w:jc w:val="both"/>
      <w:rPr>
        <w:rFonts w:ascii="Times New Roman" w:hAnsi="Times New Roman" w:cs="Times New Roman"/>
        <w:sz w:val="20"/>
        <w:szCs w:val="20"/>
      </w:rPr>
    </w:pPr>
    <w:r>
      <w:fldChar w:fldCharType="begin"/>
    </w:r>
    <w:r>
      <w:instrText xml:space="preserve"> FILENAME   \* MERGEFORMAT </w:instrText>
    </w:r>
    <w:r>
      <w:fldChar w:fldCharType="separate"/>
    </w:r>
    <w:r w:rsidR="009F6D45" w:rsidRPr="009F6D45">
      <w:rPr>
        <w:rFonts w:ascii="Times New Roman" w:hAnsi="Times New Roman" w:cs="Times New Roman"/>
        <w:noProof/>
        <w:color w:val="000000" w:themeColor="text1"/>
        <w:sz w:val="20"/>
        <w:szCs w:val="20"/>
      </w:rPr>
      <w:t>IZMAnot_260218_VSS-1232</w:t>
    </w:r>
    <w:r>
      <w:rPr>
        <w:rFonts w:ascii="Times New Roman" w:hAnsi="Times New Roman" w:cs="Times New Roman"/>
        <w:noProof/>
        <w:color w:val="000000" w:themeColor="text1"/>
        <w:sz w:val="20"/>
        <w:szCs w:val="20"/>
      </w:rPr>
      <w:fldChar w:fldCharType="end"/>
    </w:r>
    <w:r w:rsidR="00DF2054" w:rsidRPr="00077CDB">
      <w:rPr>
        <w:rFonts w:ascii="Times New Roman" w:hAnsi="Times New Roman" w:cs="Times New Roman"/>
        <w:color w:val="000000" w:themeColor="text1"/>
        <w:sz w:val="20"/>
        <w:szCs w:val="20"/>
      </w:rPr>
      <w:t>; Ministru kabineta noteikumu "Grozījumi Ministru kabineta 2010.gada 19.oktobra noteikumos Nr.987 "Noteikumi par darbības programmas "Uzņēmējdarbība un inovācijas" papildinājuma 2.1.1.3.1.apakšaktivitātes "Zinātnes infrastruktūras attīstība" pirmo projektu iesniegumu atlases kārtu"" projekta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9658" w14:textId="09DA1313" w:rsidR="00DF2054" w:rsidRPr="00077CDB" w:rsidRDefault="00223572" w:rsidP="00FD02A2">
    <w:pPr>
      <w:spacing w:after="0" w:line="240" w:lineRule="auto"/>
      <w:jc w:val="both"/>
      <w:rPr>
        <w:rFonts w:ascii="Times New Roman" w:hAnsi="Times New Roman" w:cs="Times New Roman"/>
        <w:sz w:val="20"/>
        <w:szCs w:val="20"/>
      </w:rPr>
    </w:pPr>
    <w:r>
      <w:fldChar w:fldCharType="begin"/>
    </w:r>
    <w:r>
      <w:instrText xml:space="preserve"> FILENAME   \* MERGEFORMAT </w:instrText>
    </w:r>
    <w:r>
      <w:fldChar w:fldCharType="separate"/>
    </w:r>
    <w:r w:rsidR="009F6D45" w:rsidRPr="009F6D45">
      <w:rPr>
        <w:rFonts w:ascii="Times New Roman" w:hAnsi="Times New Roman" w:cs="Times New Roman"/>
        <w:noProof/>
        <w:color w:val="000000" w:themeColor="text1"/>
        <w:sz w:val="20"/>
        <w:szCs w:val="20"/>
      </w:rPr>
      <w:t>IZMAnot_260218_VSS-1232</w:t>
    </w:r>
    <w:bookmarkStart w:id="9" w:name="_GoBack"/>
    <w:bookmarkEnd w:id="9"/>
    <w:r>
      <w:rPr>
        <w:rFonts w:ascii="Times New Roman" w:hAnsi="Times New Roman" w:cs="Times New Roman"/>
        <w:noProof/>
        <w:color w:val="000000" w:themeColor="text1"/>
        <w:sz w:val="20"/>
        <w:szCs w:val="20"/>
      </w:rPr>
      <w:fldChar w:fldCharType="end"/>
    </w:r>
    <w:r w:rsidR="00DF2054" w:rsidRPr="00077CDB">
      <w:rPr>
        <w:rFonts w:ascii="Times New Roman" w:hAnsi="Times New Roman" w:cs="Times New Roman"/>
        <w:color w:val="000000" w:themeColor="text1"/>
        <w:sz w:val="20"/>
        <w:szCs w:val="20"/>
      </w:rPr>
      <w:t>; Ministru kabineta noteikumu "Grozījumi Ministru kabineta 2010.gada 19.oktobra noteikumos Nr.987 "Noteikumi par darbības programmas "Uzņēmējdarbība un inovācijas" papildinājuma 2.1.1.3.1.apakšaktivitātes "Zinātnes infrastruktūras attīstība" pirmo projektu iesniegumu atlases kārtu""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DF06F" w14:textId="77777777" w:rsidR="00223572" w:rsidRDefault="00223572" w:rsidP="004D15A9">
      <w:pPr>
        <w:spacing w:after="0" w:line="240" w:lineRule="auto"/>
      </w:pPr>
      <w:r>
        <w:separator/>
      </w:r>
    </w:p>
  </w:footnote>
  <w:footnote w:type="continuationSeparator" w:id="0">
    <w:p w14:paraId="5AF2692B" w14:textId="77777777" w:rsidR="00223572" w:rsidRDefault="00223572" w:rsidP="004D15A9">
      <w:pPr>
        <w:spacing w:after="0" w:line="240" w:lineRule="auto"/>
      </w:pPr>
      <w:r>
        <w:continuationSeparator/>
      </w:r>
    </w:p>
  </w:footnote>
  <w:footnote w:id="1">
    <w:p w14:paraId="0F3FE764" w14:textId="0E46A600" w:rsidR="00DF2054" w:rsidRPr="00A65B18" w:rsidRDefault="00DF2054">
      <w:pPr>
        <w:pStyle w:val="FootnoteText"/>
      </w:pPr>
      <w:r>
        <w:rPr>
          <w:rStyle w:val="FootnoteReference"/>
        </w:rPr>
        <w:footnoteRef/>
      </w:r>
      <w:r>
        <w:t xml:space="preserve"> </w:t>
      </w:r>
      <w:proofErr w:type="spellStart"/>
      <w:r>
        <w:t>Informācijas</w:t>
      </w:r>
      <w:proofErr w:type="spellEnd"/>
      <w:r>
        <w:t xml:space="preserve"> </w:t>
      </w:r>
      <w:proofErr w:type="spellStart"/>
      <w:r>
        <w:t>avots</w:t>
      </w:r>
      <w:proofErr w:type="spellEnd"/>
      <w:r>
        <w:t xml:space="preserve">: </w:t>
      </w:r>
      <w:hyperlink r:id="rId1" w:history="1">
        <w:r w:rsidRPr="007745F8">
          <w:rPr>
            <w:rStyle w:val="Hyperlink"/>
          </w:rPr>
          <w:t>https://webgate.ec.europa.eu/fpfis/wikis/display/StateAid/Homepage</w:t>
        </w:r>
      </w:hyperlink>
      <w:r>
        <w:t xml:space="preserve"> </w:t>
      </w:r>
    </w:p>
  </w:footnote>
  <w:footnote w:id="2">
    <w:p w14:paraId="0827DD9C" w14:textId="77777777" w:rsidR="00DF2054" w:rsidRDefault="00DF2054" w:rsidP="00FB5C08">
      <w:pPr>
        <w:pStyle w:val="FootnoteText"/>
      </w:pPr>
      <w:r>
        <w:rPr>
          <w:rStyle w:val="FootnoteReference"/>
        </w:rPr>
        <w:footnoteRef/>
      </w:r>
      <w:r>
        <w:t xml:space="preserve"> </w:t>
      </w:r>
      <w:proofErr w:type="spellStart"/>
      <w:r>
        <w:t>Pieejami</w:t>
      </w:r>
      <w:proofErr w:type="spellEnd"/>
      <w:r>
        <w:t xml:space="preserve"> </w:t>
      </w:r>
      <w:proofErr w:type="spellStart"/>
      <w:r>
        <w:t>tīmekļa</w:t>
      </w:r>
      <w:proofErr w:type="spellEnd"/>
      <w:r>
        <w:t xml:space="preserve"> </w:t>
      </w:r>
      <w:proofErr w:type="spellStart"/>
      <w:r>
        <w:t>vietnē</w:t>
      </w:r>
      <w:proofErr w:type="spellEnd"/>
    </w:p>
    <w:p w14:paraId="16D45E14" w14:textId="7C6D6875" w:rsidR="00DF2054" w:rsidRDefault="00DF2054" w:rsidP="00FB5C08">
      <w:pPr>
        <w:pStyle w:val="FootnoteText"/>
      </w:pPr>
      <w:r>
        <w:t xml:space="preserve"> </w:t>
      </w:r>
      <w:r w:rsidRPr="00AF2A92">
        <w:t>http://esfondi.izm.gov.lv/projektu_iesniedzejiem/konkursi/2_1_1_3_1_apaksaktivitate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F98C" w14:textId="77777777" w:rsidR="009F6D45" w:rsidRDefault="009F6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332C" w14:textId="76DBF88F" w:rsidR="00DF2054" w:rsidRPr="004D15A9" w:rsidRDefault="00223572">
    <w:pPr>
      <w:pStyle w:val="Header"/>
      <w:jc w:val="center"/>
      <w:rPr>
        <w:rFonts w:ascii="Times New Roman" w:hAnsi="Times New Roman" w:cs="Times New Roman"/>
        <w:sz w:val="24"/>
        <w:szCs w:val="24"/>
      </w:rPr>
    </w:pPr>
    <w:sdt>
      <w:sdtPr>
        <w:id w:val="2036230928"/>
        <w:docPartObj>
          <w:docPartGallery w:val="Page Numbers (Top of Page)"/>
          <w:docPartUnique/>
        </w:docPartObj>
      </w:sdtPr>
      <w:sdtEndPr>
        <w:rPr>
          <w:rFonts w:ascii="Times New Roman" w:hAnsi="Times New Roman" w:cs="Times New Roman"/>
          <w:sz w:val="24"/>
          <w:szCs w:val="24"/>
        </w:rPr>
      </w:sdtEndPr>
      <w:sdtContent>
        <w:r w:rsidR="00DF2054" w:rsidRPr="004D15A9">
          <w:rPr>
            <w:rFonts w:ascii="Times New Roman" w:hAnsi="Times New Roman" w:cs="Times New Roman"/>
            <w:sz w:val="24"/>
            <w:szCs w:val="24"/>
          </w:rPr>
          <w:fldChar w:fldCharType="begin"/>
        </w:r>
        <w:r w:rsidR="00DF2054" w:rsidRPr="004D15A9">
          <w:rPr>
            <w:rFonts w:ascii="Times New Roman" w:hAnsi="Times New Roman" w:cs="Times New Roman"/>
            <w:sz w:val="24"/>
            <w:szCs w:val="24"/>
          </w:rPr>
          <w:instrText>PAGE   \* MERGEFORMAT</w:instrText>
        </w:r>
        <w:r w:rsidR="00DF2054" w:rsidRPr="004D15A9">
          <w:rPr>
            <w:rFonts w:ascii="Times New Roman" w:hAnsi="Times New Roman" w:cs="Times New Roman"/>
            <w:sz w:val="24"/>
            <w:szCs w:val="24"/>
          </w:rPr>
          <w:fldChar w:fldCharType="separate"/>
        </w:r>
        <w:r w:rsidR="009F6D45">
          <w:rPr>
            <w:rFonts w:ascii="Times New Roman" w:hAnsi="Times New Roman" w:cs="Times New Roman"/>
            <w:noProof/>
            <w:sz w:val="24"/>
            <w:szCs w:val="24"/>
          </w:rPr>
          <w:t>17</w:t>
        </w:r>
        <w:r w:rsidR="00DF2054" w:rsidRPr="004D15A9">
          <w:rPr>
            <w:rFonts w:ascii="Times New Roman" w:hAnsi="Times New Roman" w:cs="Times New Roman"/>
            <w:sz w:val="24"/>
            <w:szCs w:val="24"/>
          </w:rPr>
          <w:fldChar w:fldCharType="end"/>
        </w:r>
      </w:sdtContent>
    </w:sdt>
  </w:p>
  <w:p w14:paraId="0CC012AD" w14:textId="77777777" w:rsidR="00DF2054" w:rsidRDefault="00DF2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51AC5" w14:textId="77777777" w:rsidR="009F6D45" w:rsidRDefault="009F6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720B6"/>
    <w:multiLevelType w:val="hybridMultilevel"/>
    <w:tmpl w:val="1E703000"/>
    <w:lvl w:ilvl="0" w:tplc="04260001">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1" w15:restartNumberingAfterBreak="0">
    <w:nsid w:val="5D1E22F1"/>
    <w:multiLevelType w:val="hybridMultilevel"/>
    <w:tmpl w:val="3E827F62"/>
    <w:lvl w:ilvl="0" w:tplc="2550E7B8">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2" w15:restartNumberingAfterBreak="0">
    <w:nsid w:val="656F184A"/>
    <w:multiLevelType w:val="hybridMultilevel"/>
    <w:tmpl w:val="67DE4D6E"/>
    <w:lvl w:ilvl="0" w:tplc="CCECF0B8">
      <w:start w:val="1"/>
      <w:numFmt w:val="decimal"/>
      <w:lvlText w:val="%1."/>
      <w:lvlJc w:val="left"/>
      <w:pPr>
        <w:ind w:left="461" w:hanging="360"/>
      </w:pPr>
      <w:rPr>
        <w:rFonts w:hint="default"/>
        <w:i w:val="0"/>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4D95"/>
    <w:rsid w:val="00005653"/>
    <w:rsid w:val="00005A77"/>
    <w:rsid w:val="000064B9"/>
    <w:rsid w:val="000066A7"/>
    <w:rsid w:val="00007C97"/>
    <w:rsid w:val="000109F0"/>
    <w:rsid w:val="00010EDF"/>
    <w:rsid w:val="0001402D"/>
    <w:rsid w:val="00014D27"/>
    <w:rsid w:val="0001567A"/>
    <w:rsid w:val="00016DC4"/>
    <w:rsid w:val="00023F93"/>
    <w:rsid w:val="0002748E"/>
    <w:rsid w:val="00030A9E"/>
    <w:rsid w:val="0003107E"/>
    <w:rsid w:val="00031156"/>
    <w:rsid w:val="00031256"/>
    <w:rsid w:val="000324E8"/>
    <w:rsid w:val="00032583"/>
    <w:rsid w:val="00033EF7"/>
    <w:rsid w:val="000340AD"/>
    <w:rsid w:val="00034BC3"/>
    <w:rsid w:val="00036A1F"/>
    <w:rsid w:val="00041B4A"/>
    <w:rsid w:val="00041C2C"/>
    <w:rsid w:val="00046D2F"/>
    <w:rsid w:val="00053A4E"/>
    <w:rsid w:val="00053CC3"/>
    <w:rsid w:val="00053D39"/>
    <w:rsid w:val="00053D91"/>
    <w:rsid w:val="00054499"/>
    <w:rsid w:val="00055D11"/>
    <w:rsid w:val="00064841"/>
    <w:rsid w:val="000725CA"/>
    <w:rsid w:val="00075897"/>
    <w:rsid w:val="00077CDB"/>
    <w:rsid w:val="00083FD9"/>
    <w:rsid w:val="00084C4C"/>
    <w:rsid w:val="00084D70"/>
    <w:rsid w:val="00087390"/>
    <w:rsid w:val="00092254"/>
    <w:rsid w:val="0009253E"/>
    <w:rsid w:val="00094B50"/>
    <w:rsid w:val="00097548"/>
    <w:rsid w:val="000A0892"/>
    <w:rsid w:val="000A0E01"/>
    <w:rsid w:val="000A3A6B"/>
    <w:rsid w:val="000A3EB6"/>
    <w:rsid w:val="000A409D"/>
    <w:rsid w:val="000A4261"/>
    <w:rsid w:val="000A610A"/>
    <w:rsid w:val="000A6A16"/>
    <w:rsid w:val="000A6D77"/>
    <w:rsid w:val="000B02BF"/>
    <w:rsid w:val="000B1816"/>
    <w:rsid w:val="000B3BB2"/>
    <w:rsid w:val="000B3D58"/>
    <w:rsid w:val="000B4316"/>
    <w:rsid w:val="000B6CDB"/>
    <w:rsid w:val="000B7A0F"/>
    <w:rsid w:val="000C0C45"/>
    <w:rsid w:val="000C1EB7"/>
    <w:rsid w:val="000C2226"/>
    <w:rsid w:val="000C2ECF"/>
    <w:rsid w:val="000C5134"/>
    <w:rsid w:val="000C5C5C"/>
    <w:rsid w:val="000C687A"/>
    <w:rsid w:val="000C7A15"/>
    <w:rsid w:val="000D0695"/>
    <w:rsid w:val="000D0BF9"/>
    <w:rsid w:val="000D2469"/>
    <w:rsid w:val="000D4E7A"/>
    <w:rsid w:val="000D5D92"/>
    <w:rsid w:val="000D61A0"/>
    <w:rsid w:val="000D69A2"/>
    <w:rsid w:val="000D7C08"/>
    <w:rsid w:val="000D7CD4"/>
    <w:rsid w:val="000E07F8"/>
    <w:rsid w:val="000E090E"/>
    <w:rsid w:val="000E2545"/>
    <w:rsid w:val="000E2FF3"/>
    <w:rsid w:val="000E413B"/>
    <w:rsid w:val="000E5D43"/>
    <w:rsid w:val="000E6EF6"/>
    <w:rsid w:val="000E7275"/>
    <w:rsid w:val="000E78AB"/>
    <w:rsid w:val="000F185D"/>
    <w:rsid w:val="000F1E25"/>
    <w:rsid w:val="000F22EE"/>
    <w:rsid w:val="000F30EB"/>
    <w:rsid w:val="000F4A3E"/>
    <w:rsid w:val="000F6AED"/>
    <w:rsid w:val="001003C0"/>
    <w:rsid w:val="00101317"/>
    <w:rsid w:val="00101CD5"/>
    <w:rsid w:val="00106731"/>
    <w:rsid w:val="001077D4"/>
    <w:rsid w:val="001078E3"/>
    <w:rsid w:val="0011057C"/>
    <w:rsid w:val="00115218"/>
    <w:rsid w:val="00116112"/>
    <w:rsid w:val="001212DF"/>
    <w:rsid w:val="00123004"/>
    <w:rsid w:val="001240AE"/>
    <w:rsid w:val="001248D4"/>
    <w:rsid w:val="001251A7"/>
    <w:rsid w:val="001259CF"/>
    <w:rsid w:val="00125E1D"/>
    <w:rsid w:val="0013037C"/>
    <w:rsid w:val="00131CA5"/>
    <w:rsid w:val="00133626"/>
    <w:rsid w:val="001336AC"/>
    <w:rsid w:val="001343C6"/>
    <w:rsid w:val="00134762"/>
    <w:rsid w:val="001374F6"/>
    <w:rsid w:val="001409F6"/>
    <w:rsid w:val="00140DD4"/>
    <w:rsid w:val="0014113D"/>
    <w:rsid w:val="00141791"/>
    <w:rsid w:val="00142DBF"/>
    <w:rsid w:val="00144E48"/>
    <w:rsid w:val="00145E6C"/>
    <w:rsid w:val="001460DD"/>
    <w:rsid w:val="00147B80"/>
    <w:rsid w:val="00151896"/>
    <w:rsid w:val="00151E48"/>
    <w:rsid w:val="0015234D"/>
    <w:rsid w:val="0015365E"/>
    <w:rsid w:val="001539B0"/>
    <w:rsid w:val="00153A91"/>
    <w:rsid w:val="00161D50"/>
    <w:rsid w:val="00162427"/>
    <w:rsid w:val="00163135"/>
    <w:rsid w:val="00164A51"/>
    <w:rsid w:val="00165B54"/>
    <w:rsid w:val="001662FF"/>
    <w:rsid w:val="00166990"/>
    <w:rsid w:val="001672B8"/>
    <w:rsid w:val="00167E7E"/>
    <w:rsid w:val="00170F2B"/>
    <w:rsid w:val="00172355"/>
    <w:rsid w:val="00172F08"/>
    <w:rsid w:val="00174472"/>
    <w:rsid w:val="00175ED3"/>
    <w:rsid w:val="001762A6"/>
    <w:rsid w:val="00176319"/>
    <w:rsid w:val="0017642E"/>
    <w:rsid w:val="00176CD5"/>
    <w:rsid w:val="00177850"/>
    <w:rsid w:val="001832A5"/>
    <w:rsid w:val="00185978"/>
    <w:rsid w:val="0018750E"/>
    <w:rsid w:val="001902DB"/>
    <w:rsid w:val="00191E22"/>
    <w:rsid w:val="001937D1"/>
    <w:rsid w:val="00193E5B"/>
    <w:rsid w:val="001A2F62"/>
    <w:rsid w:val="001A362F"/>
    <w:rsid w:val="001A3B83"/>
    <w:rsid w:val="001A4C68"/>
    <w:rsid w:val="001A5648"/>
    <w:rsid w:val="001A731B"/>
    <w:rsid w:val="001A7655"/>
    <w:rsid w:val="001B023B"/>
    <w:rsid w:val="001B39FE"/>
    <w:rsid w:val="001B4318"/>
    <w:rsid w:val="001B4D7C"/>
    <w:rsid w:val="001B66F0"/>
    <w:rsid w:val="001B7D70"/>
    <w:rsid w:val="001B7DD8"/>
    <w:rsid w:val="001C0989"/>
    <w:rsid w:val="001C0C3F"/>
    <w:rsid w:val="001C0E7D"/>
    <w:rsid w:val="001C12F9"/>
    <w:rsid w:val="001C228E"/>
    <w:rsid w:val="001C2AD1"/>
    <w:rsid w:val="001C33DE"/>
    <w:rsid w:val="001C44E0"/>
    <w:rsid w:val="001C60A8"/>
    <w:rsid w:val="001C64C7"/>
    <w:rsid w:val="001C65DA"/>
    <w:rsid w:val="001D1998"/>
    <w:rsid w:val="001D2096"/>
    <w:rsid w:val="001D2C27"/>
    <w:rsid w:val="001D7B8F"/>
    <w:rsid w:val="001D7D54"/>
    <w:rsid w:val="001E00E4"/>
    <w:rsid w:val="001E18E5"/>
    <w:rsid w:val="001E1EA8"/>
    <w:rsid w:val="001E34BE"/>
    <w:rsid w:val="001E40A3"/>
    <w:rsid w:val="001E4C48"/>
    <w:rsid w:val="001E4C4D"/>
    <w:rsid w:val="001F16EF"/>
    <w:rsid w:val="001F1C46"/>
    <w:rsid w:val="001F3B32"/>
    <w:rsid w:val="001F4E77"/>
    <w:rsid w:val="001F611E"/>
    <w:rsid w:val="001F61CF"/>
    <w:rsid w:val="00201A25"/>
    <w:rsid w:val="00201B71"/>
    <w:rsid w:val="002020AD"/>
    <w:rsid w:val="00202A1A"/>
    <w:rsid w:val="00204CD0"/>
    <w:rsid w:val="0020675B"/>
    <w:rsid w:val="00210996"/>
    <w:rsid w:val="00212CE2"/>
    <w:rsid w:val="00212F98"/>
    <w:rsid w:val="00213243"/>
    <w:rsid w:val="002134E4"/>
    <w:rsid w:val="00213ABB"/>
    <w:rsid w:val="00214412"/>
    <w:rsid w:val="00214B7E"/>
    <w:rsid w:val="0021525C"/>
    <w:rsid w:val="00215A85"/>
    <w:rsid w:val="00216C36"/>
    <w:rsid w:val="00216FED"/>
    <w:rsid w:val="00217902"/>
    <w:rsid w:val="00220821"/>
    <w:rsid w:val="0022296E"/>
    <w:rsid w:val="00223572"/>
    <w:rsid w:val="0022382A"/>
    <w:rsid w:val="0022632F"/>
    <w:rsid w:val="00226F1C"/>
    <w:rsid w:val="002274F0"/>
    <w:rsid w:val="00230FEC"/>
    <w:rsid w:val="002315EF"/>
    <w:rsid w:val="00232354"/>
    <w:rsid w:val="002355FE"/>
    <w:rsid w:val="002359A4"/>
    <w:rsid w:val="00242BF6"/>
    <w:rsid w:val="00246A58"/>
    <w:rsid w:val="00247B45"/>
    <w:rsid w:val="00250E38"/>
    <w:rsid w:val="002543D2"/>
    <w:rsid w:val="0025448E"/>
    <w:rsid w:val="0025457A"/>
    <w:rsid w:val="002557C0"/>
    <w:rsid w:val="00261D29"/>
    <w:rsid w:val="0026369C"/>
    <w:rsid w:val="0026644D"/>
    <w:rsid w:val="00266BF0"/>
    <w:rsid w:val="00266F67"/>
    <w:rsid w:val="00270948"/>
    <w:rsid w:val="002744DF"/>
    <w:rsid w:val="00275ACE"/>
    <w:rsid w:val="002768FF"/>
    <w:rsid w:val="00276F3D"/>
    <w:rsid w:val="00276F6C"/>
    <w:rsid w:val="00277602"/>
    <w:rsid w:val="002779CC"/>
    <w:rsid w:val="00283FB1"/>
    <w:rsid w:val="00285146"/>
    <w:rsid w:val="002869C1"/>
    <w:rsid w:val="00286A90"/>
    <w:rsid w:val="00287172"/>
    <w:rsid w:val="002873A5"/>
    <w:rsid w:val="002901A2"/>
    <w:rsid w:val="0029067A"/>
    <w:rsid w:val="00290F72"/>
    <w:rsid w:val="00291CD3"/>
    <w:rsid w:val="00291E72"/>
    <w:rsid w:val="00292576"/>
    <w:rsid w:val="00293A06"/>
    <w:rsid w:val="00294385"/>
    <w:rsid w:val="0029528B"/>
    <w:rsid w:val="002958F6"/>
    <w:rsid w:val="00295E45"/>
    <w:rsid w:val="002960D6"/>
    <w:rsid w:val="00296496"/>
    <w:rsid w:val="002A1228"/>
    <w:rsid w:val="002A33D9"/>
    <w:rsid w:val="002A4584"/>
    <w:rsid w:val="002A5D03"/>
    <w:rsid w:val="002B1804"/>
    <w:rsid w:val="002B6FD1"/>
    <w:rsid w:val="002B784D"/>
    <w:rsid w:val="002C1E5F"/>
    <w:rsid w:val="002C4655"/>
    <w:rsid w:val="002C7902"/>
    <w:rsid w:val="002D007A"/>
    <w:rsid w:val="002D1F4D"/>
    <w:rsid w:val="002D39B4"/>
    <w:rsid w:val="002D5C5B"/>
    <w:rsid w:val="002D6FB5"/>
    <w:rsid w:val="002E0865"/>
    <w:rsid w:val="002E0C29"/>
    <w:rsid w:val="002E20D3"/>
    <w:rsid w:val="002E2F51"/>
    <w:rsid w:val="002E3101"/>
    <w:rsid w:val="002E32B8"/>
    <w:rsid w:val="002E5834"/>
    <w:rsid w:val="002E77AC"/>
    <w:rsid w:val="002E782B"/>
    <w:rsid w:val="002F1707"/>
    <w:rsid w:val="002F2941"/>
    <w:rsid w:val="002F4AD0"/>
    <w:rsid w:val="00301DCA"/>
    <w:rsid w:val="003032EF"/>
    <w:rsid w:val="00303F40"/>
    <w:rsid w:val="003044A1"/>
    <w:rsid w:val="00304ABD"/>
    <w:rsid w:val="00304B7F"/>
    <w:rsid w:val="003065EA"/>
    <w:rsid w:val="00306957"/>
    <w:rsid w:val="003072AE"/>
    <w:rsid w:val="00311B51"/>
    <w:rsid w:val="00311B67"/>
    <w:rsid w:val="0031345D"/>
    <w:rsid w:val="00314FF2"/>
    <w:rsid w:val="00315325"/>
    <w:rsid w:val="003173FB"/>
    <w:rsid w:val="00320299"/>
    <w:rsid w:val="003207AC"/>
    <w:rsid w:val="00320B32"/>
    <w:rsid w:val="003222E2"/>
    <w:rsid w:val="003274CD"/>
    <w:rsid w:val="00327A4F"/>
    <w:rsid w:val="00330786"/>
    <w:rsid w:val="0033549A"/>
    <w:rsid w:val="003356F7"/>
    <w:rsid w:val="00335E8C"/>
    <w:rsid w:val="00336AC7"/>
    <w:rsid w:val="00340501"/>
    <w:rsid w:val="00340C2A"/>
    <w:rsid w:val="0034183E"/>
    <w:rsid w:val="003418BD"/>
    <w:rsid w:val="00341E1E"/>
    <w:rsid w:val="0034249C"/>
    <w:rsid w:val="00344579"/>
    <w:rsid w:val="00344ADE"/>
    <w:rsid w:val="003466CA"/>
    <w:rsid w:val="00350364"/>
    <w:rsid w:val="0035262E"/>
    <w:rsid w:val="00352B81"/>
    <w:rsid w:val="0035300D"/>
    <w:rsid w:val="00353176"/>
    <w:rsid w:val="003549DB"/>
    <w:rsid w:val="00354B28"/>
    <w:rsid w:val="00354B86"/>
    <w:rsid w:val="00355722"/>
    <w:rsid w:val="003563C4"/>
    <w:rsid w:val="0036104C"/>
    <w:rsid w:val="003613C1"/>
    <w:rsid w:val="0036510E"/>
    <w:rsid w:val="0036615E"/>
    <w:rsid w:val="00367B73"/>
    <w:rsid w:val="00367CF6"/>
    <w:rsid w:val="00367E7E"/>
    <w:rsid w:val="0037027A"/>
    <w:rsid w:val="00370DED"/>
    <w:rsid w:val="00371EE6"/>
    <w:rsid w:val="00374CB5"/>
    <w:rsid w:val="003758D2"/>
    <w:rsid w:val="00375A60"/>
    <w:rsid w:val="00375CD7"/>
    <w:rsid w:val="003767CF"/>
    <w:rsid w:val="00376BE6"/>
    <w:rsid w:val="00377C40"/>
    <w:rsid w:val="00383F6D"/>
    <w:rsid w:val="003840F6"/>
    <w:rsid w:val="0038610B"/>
    <w:rsid w:val="00386996"/>
    <w:rsid w:val="003869CB"/>
    <w:rsid w:val="00387FB8"/>
    <w:rsid w:val="00390ABD"/>
    <w:rsid w:val="003922B0"/>
    <w:rsid w:val="00392F16"/>
    <w:rsid w:val="00393719"/>
    <w:rsid w:val="003A07FB"/>
    <w:rsid w:val="003A2A0B"/>
    <w:rsid w:val="003A3F3F"/>
    <w:rsid w:val="003A4302"/>
    <w:rsid w:val="003A6E2B"/>
    <w:rsid w:val="003A6FA6"/>
    <w:rsid w:val="003B1867"/>
    <w:rsid w:val="003B46AC"/>
    <w:rsid w:val="003B470E"/>
    <w:rsid w:val="003B4B69"/>
    <w:rsid w:val="003B51CA"/>
    <w:rsid w:val="003B5750"/>
    <w:rsid w:val="003B6DEC"/>
    <w:rsid w:val="003B6E7F"/>
    <w:rsid w:val="003B7117"/>
    <w:rsid w:val="003C05BF"/>
    <w:rsid w:val="003C08C7"/>
    <w:rsid w:val="003C1840"/>
    <w:rsid w:val="003C4A25"/>
    <w:rsid w:val="003C4D43"/>
    <w:rsid w:val="003C5087"/>
    <w:rsid w:val="003C510E"/>
    <w:rsid w:val="003C7AA9"/>
    <w:rsid w:val="003D27A9"/>
    <w:rsid w:val="003D592D"/>
    <w:rsid w:val="003D59F7"/>
    <w:rsid w:val="003D71EB"/>
    <w:rsid w:val="003E07C6"/>
    <w:rsid w:val="003E07DF"/>
    <w:rsid w:val="003E086F"/>
    <w:rsid w:val="003E0E5C"/>
    <w:rsid w:val="003E10C3"/>
    <w:rsid w:val="003F10FD"/>
    <w:rsid w:val="003F4D5C"/>
    <w:rsid w:val="003F5E05"/>
    <w:rsid w:val="003F5E79"/>
    <w:rsid w:val="003F6961"/>
    <w:rsid w:val="003F72EC"/>
    <w:rsid w:val="004010EC"/>
    <w:rsid w:val="00401D61"/>
    <w:rsid w:val="004047DB"/>
    <w:rsid w:val="004049E0"/>
    <w:rsid w:val="004057AA"/>
    <w:rsid w:val="0041010C"/>
    <w:rsid w:val="004107A8"/>
    <w:rsid w:val="00410DD3"/>
    <w:rsid w:val="004110F6"/>
    <w:rsid w:val="0041186A"/>
    <w:rsid w:val="00412123"/>
    <w:rsid w:val="00412313"/>
    <w:rsid w:val="00412885"/>
    <w:rsid w:val="00413B4B"/>
    <w:rsid w:val="004145CF"/>
    <w:rsid w:val="00414F90"/>
    <w:rsid w:val="0041530A"/>
    <w:rsid w:val="00420088"/>
    <w:rsid w:val="00421A13"/>
    <w:rsid w:val="004225F1"/>
    <w:rsid w:val="004226D5"/>
    <w:rsid w:val="00422BC6"/>
    <w:rsid w:val="00423EB5"/>
    <w:rsid w:val="004245A8"/>
    <w:rsid w:val="00426DC7"/>
    <w:rsid w:val="0042727B"/>
    <w:rsid w:val="00431827"/>
    <w:rsid w:val="004347F1"/>
    <w:rsid w:val="0043576B"/>
    <w:rsid w:val="00436D55"/>
    <w:rsid w:val="00437F90"/>
    <w:rsid w:val="0044118D"/>
    <w:rsid w:val="00441E15"/>
    <w:rsid w:val="004433A8"/>
    <w:rsid w:val="00443EC4"/>
    <w:rsid w:val="004469BE"/>
    <w:rsid w:val="00447914"/>
    <w:rsid w:val="0045303A"/>
    <w:rsid w:val="004548A5"/>
    <w:rsid w:val="0045586A"/>
    <w:rsid w:val="00455FC0"/>
    <w:rsid w:val="004560FD"/>
    <w:rsid w:val="00457FA9"/>
    <w:rsid w:val="00463939"/>
    <w:rsid w:val="00463B4D"/>
    <w:rsid w:val="00464814"/>
    <w:rsid w:val="004674F5"/>
    <w:rsid w:val="00470331"/>
    <w:rsid w:val="004705E0"/>
    <w:rsid w:val="004716CC"/>
    <w:rsid w:val="00471E5D"/>
    <w:rsid w:val="00474DB1"/>
    <w:rsid w:val="0047567D"/>
    <w:rsid w:val="00477B21"/>
    <w:rsid w:val="0048128C"/>
    <w:rsid w:val="00482376"/>
    <w:rsid w:val="00484001"/>
    <w:rsid w:val="0048466D"/>
    <w:rsid w:val="00485429"/>
    <w:rsid w:val="00485A94"/>
    <w:rsid w:val="00485F0D"/>
    <w:rsid w:val="004872FF"/>
    <w:rsid w:val="004922E6"/>
    <w:rsid w:val="00493606"/>
    <w:rsid w:val="00493AEB"/>
    <w:rsid w:val="004943E4"/>
    <w:rsid w:val="00496B20"/>
    <w:rsid w:val="004970DB"/>
    <w:rsid w:val="00497181"/>
    <w:rsid w:val="004A0291"/>
    <w:rsid w:val="004A19B9"/>
    <w:rsid w:val="004A2068"/>
    <w:rsid w:val="004A22AA"/>
    <w:rsid w:val="004A698F"/>
    <w:rsid w:val="004A6F39"/>
    <w:rsid w:val="004A72F6"/>
    <w:rsid w:val="004B0D2D"/>
    <w:rsid w:val="004B3489"/>
    <w:rsid w:val="004B4D29"/>
    <w:rsid w:val="004B71A2"/>
    <w:rsid w:val="004C0660"/>
    <w:rsid w:val="004C2D5F"/>
    <w:rsid w:val="004C5C46"/>
    <w:rsid w:val="004C678E"/>
    <w:rsid w:val="004D15A9"/>
    <w:rsid w:val="004D1A5D"/>
    <w:rsid w:val="004D2A50"/>
    <w:rsid w:val="004D31AA"/>
    <w:rsid w:val="004D61A6"/>
    <w:rsid w:val="004E0FF8"/>
    <w:rsid w:val="004E1C23"/>
    <w:rsid w:val="004E2004"/>
    <w:rsid w:val="004E2BE6"/>
    <w:rsid w:val="004E3A5F"/>
    <w:rsid w:val="004E45A3"/>
    <w:rsid w:val="004E6569"/>
    <w:rsid w:val="004F18F6"/>
    <w:rsid w:val="004F1CB5"/>
    <w:rsid w:val="004F2587"/>
    <w:rsid w:val="004F3E06"/>
    <w:rsid w:val="004F5BFE"/>
    <w:rsid w:val="005001F4"/>
    <w:rsid w:val="00500F43"/>
    <w:rsid w:val="005016CA"/>
    <w:rsid w:val="005026AB"/>
    <w:rsid w:val="00504360"/>
    <w:rsid w:val="0050564A"/>
    <w:rsid w:val="005056E8"/>
    <w:rsid w:val="0050578C"/>
    <w:rsid w:val="0050613D"/>
    <w:rsid w:val="0050707F"/>
    <w:rsid w:val="00507789"/>
    <w:rsid w:val="00507B73"/>
    <w:rsid w:val="00511020"/>
    <w:rsid w:val="00511033"/>
    <w:rsid w:val="00511985"/>
    <w:rsid w:val="00513445"/>
    <w:rsid w:val="0051489C"/>
    <w:rsid w:val="00515187"/>
    <w:rsid w:val="005209E9"/>
    <w:rsid w:val="005212CA"/>
    <w:rsid w:val="005213ED"/>
    <w:rsid w:val="00522226"/>
    <w:rsid w:val="005237D5"/>
    <w:rsid w:val="00524C8E"/>
    <w:rsid w:val="00525B96"/>
    <w:rsid w:val="00525E1B"/>
    <w:rsid w:val="005268D5"/>
    <w:rsid w:val="005268E9"/>
    <w:rsid w:val="0053028E"/>
    <w:rsid w:val="00530A71"/>
    <w:rsid w:val="00532CD4"/>
    <w:rsid w:val="00533730"/>
    <w:rsid w:val="0053410D"/>
    <w:rsid w:val="005341FF"/>
    <w:rsid w:val="00536AB3"/>
    <w:rsid w:val="0054452D"/>
    <w:rsid w:val="00546661"/>
    <w:rsid w:val="00546CD0"/>
    <w:rsid w:val="0055290A"/>
    <w:rsid w:val="00554EB0"/>
    <w:rsid w:val="00556CBC"/>
    <w:rsid w:val="00556EB1"/>
    <w:rsid w:val="00560E0F"/>
    <w:rsid w:val="005611F4"/>
    <w:rsid w:val="0056163F"/>
    <w:rsid w:val="005617F5"/>
    <w:rsid w:val="00564C4B"/>
    <w:rsid w:val="005650AC"/>
    <w:rsid w:val="0056643F"/>
    <w:rsid w:val="00571CFA"/>
    <w:rsid w:val="00573FD4"/>
    <w:rsid w:val="00574A62"/>
    <w:rsid w:val="00574F6A"/>
    <w:rsid w:val="005808C2"/>
    <w:rsid w:val="00581192"/>
    <w:rsid w:val="005816BD"/>
    <w:rsid w:val="00581967"/>
    <w:rsid w:val="005824CF"/>
    <w:rsid w:val="00586053"/>
    <w:rsid w:val="00586143"/>
    <w:rsid w:val="00586920"/>
    <w:rsid w:val="00590F3D"/>
    <w:rsid w:val="005910A9"/>
    <w:rsid w:val="0059341B"/>
    <w:rsid w:val="00593B37"/>
    <w:rsid w:val="00595754"/>
    <w:rsid w:val="0059595D"/>
    <w:rsid w:val="00595FC7"/>
    <w:rsid w:val="005967E7"/>
    <w:rsid w:val="00596F14"/>
    <w:rsid w:val="005976E7"/>
    <w:rsid w:val="005A0391"/>
    <w:rsid w:val="005A0A1D"/>
    <w:rsid w:val="005A1ED7"/>
    <w:rsid w:val="005A3E11"/>
    <w:rsid w:val="005A4BC6"/>
    <w:rsid w:val="005A4F11"/>
    <w:rsid w:val="005A5697"/>
    <w:rsid w:val="005A64D6"/>
    <w:rsid w:val="005B0499"/>
    <w:rsid w:val="005B0648"/>
    <w:rsid w:val="005B0D5D"/>
    <w:rsid w:val="005B3052"/>
    <w:rsid w:val="005B31AC"/>
    <w:rsid w:val="005B3F5B"/>
    <w:rsid w:val="005B44B8"/>
    <w:rsid w:val="005B6356"/>
    <w:rsid w:val="005B674C"/>
    <w:rsid w:val="005C09DF"/>
    <w:rsid w:val="005C1AEA"/>
    <w:rsid w:val="005C1E98"/>
    <w:rsid w:val="005C2992"/>
    <w:rsid w:val="005C32CA"/>
    <w:rsid w:val="005C7AC5"/>
    <w:rsid w:val="005C7B3C"/>
    <w:rsid w:val="005D4115"/>
    <w:rsid w:val="005D4E8A"/>
    <w:rsid w:val="005E0273"/>
    <w:rsid w:val="005E23A7"/>
    <w:rsid w:val="005E4A0C"/>
    <w:rsid w:val="005F053F"/>
    <w:rsid w:val="005F2C05"/>
    <w:rsid w:val="005F4B4A"/>
    <w:rsid w:val="005F5B99"/>
    <w:rsid w:val="006002AD"/>
    <w:rsid w:val="00602DBE"/>
    <w:rsid w:val="0060326C"/>
    <w:rsid w:val="00604342"/>
    <w:rsid w:val="006066F1"/>
    <w:rsid w:val="00606EF3"/>
    <w:rsid w:val="00614880"/>
    <w:rsid w:val="00614989"/>
    <w:rsid w:val="0061634B"/>
    <w:rsid w:val="006207F8"/>
    <w:rsid w:val="006213F6"/>
    <w:rsid w:val="00623554"/>
    <w:rsid w:val="00623712"/>
    <w:rsid w:val="0062589F"/>
    <w:rsid w:val="006261A2"/>
    <w:rsid w:val="00626F5C"/>
    <w:rsid w:val="00627E07"/>
    <w:rsid w:val="00630F31"/>
    <w:rsid w:val="00631AE8"/>
    <w:rsid w:val="00634B89"/>
    <w:rsid w:val="00637188"/>
    <w:rsid w:val="00641B31"/>
    <w:rsid w:val="006424B0"/>
    <w:rsid w:val="006435A2"/>
    <w:rsid w:val="00644438"/>
    <w:rsid w:val="006450A1"/>
    <w:rsid w:val="006479A6"/>
    <w:rsid w:val="006511C1"/>
    <w:rsid w:val="00654B5C"/>
    <w:rsid w:val="00655AFC"/>
    <w:rsid w:val="0065672B"/>
    <w:rsid w:val="00657200"/>
    <w:rsid w:val="00657731"/>
    <w:rsid w:val="00660111"/>
    <w:rsid w:val="00661DBE"/>
    <w:rsid w:val="00662ABA"/>
    <w:rsid w:val="00662EEC"/>
    <w:rsid w:val="00664FE3"/>
    <w:rsid w:val="00667146"/>
    <w:rsid w:val="00667178"/>
    <w:rsid w:val="006731DD"/>
    <w:rsid w:val="00675371"/>
    <w:rsid w:val="00676B31"/>
    <w:rsid w:val="00680232"/>
    <w:rsid w:val="00680E13"/>
    <w:rsid w:val="00682561"/>
    <w:rsid w:val="006839D1"/>
    <w:rsid w:val="00684AD9"/>
    <w:rsid w:val="006866A7"/>
    <w:rsid w:val="006917A5"/>
    <w:rsid w:val="0069199F"/>
    <w:rsid w:val="00691FBD"/>
    <w:rsid w:val="006933CD"/>
    <w:rsid w:val="00697EAB"/>
    <w:rsid w:val="006A328C"/>
    <w:rsid w:val="006A4B8E"/>
    <w:rsid w:val="006A5FBE"/>
    <w:rsid w:val="006A5FF5"/>
    <w:rsid w:val="006A6AC8"/>
    <w:rsid w:val="006A6E27"/>
    <w:rsid w:val="006A7957"/>
    <w:rsid w:val="006B0549"/>
    <w:rsid w:val="006B0CE4"/>
    <w:rsid w:val="006B220F"/>
    <w:rsid w:val="006B25A5"/>
    <w:rsid w:val="006B32AC"/>
    <w:rsid w:val="006B5D69"/>
    <w:rsid w:val="006B70EA"/>
    <w:rsid w:val="006B7326"/>
    <w:rsid w:val="006B7538"/>
    <w:rsid w:val="006B7A35"/>
    <w:rsid w:val="006C5A75"/>
    <w:rsid w:val="006C7C81"/>
    <w:rsid w:val="006D0079"/>
    <w:rsid w:val="006D1168"/>
    <w:rsid w:val="006D19D3"/>
    <w:rsid w:val="006D2E6D"/>
    <w:rsid w:val="006D3F44"/>
    <w:rsid w:val="006D69D3"/>
    <w:rsid w:val="006E0A59"/>
    <w:rsid w:val="006E117E"/>
    <w:rsid w:val="006E13BD"/>
    <w:rsid w:val="006E2590"/>
    <w:rsid w:val="006E31B2"/>
    <w:rsid w:val="006E3A9E"/>
    <w:rsid w:val="006E445E"/>
    <w:rsid w:val="006E718C"/>
    <w:rsid w:val="006F093C"/>
    <w:rsid w:val="006F1099"/>
    <w:rsid w:val="006F2290"/>
    <w:rsid w:val="006F5E40"/>
    <w:rsid w:val="006F6F6B"/>
    <w:rsid w:val="006F783E"/>
    <w:rsid w:val="006F7EE8"/>
    <w:rsid w:val="007006F5"/>
    <w:rsid w:val="00701A4A"/>
    <w:rsid w:val="00703E69"/>
    <w:rsid w:val="0070477A"/>
    <w:rsid w:val="0070542B"/>
    <w:rsid w:val="00705F28"/>
    <w:rsid w:val="00706254"/>
    <w:rsid w:val="00706C9B"/>
    <w:rsid w:val="007074D6"/>
    <w:rsid w:val="00707714"/>
    <w:rsid w:val="00711060"/>
    <w:rsid w:val="007112B8"/>
    <w:rsid w:val="00713D00"/>
    <w:rsid w:val="007155CC"/>
    <w:rsid w:val="00717690"/>
    <w:rsid w:val="0072004D"/>
    <w:rsid w:val="007226F4"/>
    <w:rsid w:val="00722E80"/>
    <w:rsid w:val="00723601"/>
    <w:rsid w:val="007238D1"/>
    <w:rsid w:val="00724399"/>
    <w:rsid w:val="007263CA"/>
    <w:rsid w:val="00727086"/>
    <w:rsid w:val="007276AC"/>
    <w:rsid w:val="00730CA8"/>
    <w:rsid w:val="00731E2A"/>
    <w:rsid w:val="00732580"/>
    <w:rsid w:val="00733D9A"/>
    <w:rsid w:val="00734790"/>
    <w:rsid w:val="00734AE9"/>
    <w:rsid w:val="00735783"/>
    <w:rsid w:val="007358F2"/>
    <w:rsid w:val="00740B38"/>
    <w:rsid w:val="00741717"/>
    <w:rsid w:val="00742496"/>
    <w:rsid w:val="00743CDF"/>
    <w:rsid w:val="00747437"/>
    <w:rsid w:val="00747499"/>
    <w:rsid w:val="00747BBD"/>
    <w:rsid w:val="0075134A"/>
    <w:rsid w:val="00756507"/>
    <w:rsid w:val="00756B47"/>
    <w:rsid w:val="00760588"/>
    <w:rsid w:val="00763ED6"/>
    <w:rsid w:val="00764DBD"/>
    <w:rsid w:val="00765D31"/>
    <w:rsid w:val="00766CE0"/>
    <w:rsid w:val="007705A1"/>
    <w:rsid w:val="00771277"/>
    <w:rsid w:val="00772594"/>
    <w:rsid w:val="00773CA0"/>
    <w:rsid w:val="00773F7D"/>
    <w:rsid w:val="00775F52"/>
    <w:rsid w:val="00776529"/>
    <w:rsid w:val="00777AC2"/>
    <w:rsid w:val="00780B73"/>
    <w:rsid w:val="00781EF3"/>
    <w:rsid w:val="00783543"/>
    <w:rsid w:val="00784E01"/>
    <w:rsid w:val="00785098"/>
    <w:rsid w:val="007869F3"/>
    <w:rsid w:val="00786F1A"/>
    <w:rsid w:val="00790622"/>
    <w:rsid w:val="0079097A"/>
    <w:rsid w:val="00790EEB"/>
    <w:rsid w:val="00790FCC"/>
    <w:rsid w:val="00793E9B"/>
    <w:rsid w:val="00794111"/>
    <w:rsid w:val="0079544E"/>
    <w:rsid w:val="00796E7C"/>
    <w:rsid w:val="007A2401"/>
    <w:rsid w:val="007A315A"/>
    <w:rsid w:val="007A5019"/>
    <w:rsid w:val="007A5E15"/>
    <w:rsid w:val="007A5FAD"/>
    <w:rsid w:val="007A6F5A"/>
    <w:rsid w:val="007A7196"/>
    <w:rsid w:val="007A799E"/>
    <w:rsid w:val="007B0F4E"/>
    <w:rsid w:val="007B108C"/>
    <w:rsid w:val="007B13F4"/>
    <w:rsid w:val="007B368E"/>
    <w:rsid w:val="007C4C13"/>
    <w:rsid w:val="007C52FC"/>
    <w:rsid w:val="007C5925"/>
    <w:rsid w:val="007D1814"/>
    <w:rsid w:val="007D3053"/>
    <w:rsid w:val="007D3BFB"/>
    <w:rsid w:val="007D409E"/>
    <w:rsid w:val="007D4510"/>
    <w:rsid w:val="007D5498"/>
    <w:rsid w:val="007D70C9"/>
    <w:rsid w:val="007D7928"/>
    <w:rsid w:val="007E32F5"/>
    <w:rsid w:val="007E4D97"/>
    <w:rsid w:val="007E5FA9"/>
    <w:rsid w:val="007E68D2"/>
    <w:rsid w:val="007E69D3"/>
    <w:rsid w:val="007E730B"/>
    <w:rsid w:val="007E7D9B"/>
    <w:rsid w:val="007F02F7"/>
    <w:rsid w:val="007F14E4"/>
    <w:rsid w:val="007F3658"/>
    <w:rsid w:val="007F38F5"/>
    <w:rsid w:val="007F3F18"/>
    <w:rsid w:val="007F47D0"/>
    <w:rsid w:val="007F69D9"/>
    <w:rsid w:val="007F6B07"/>
    <w:rsid w:val="008007B0"/>
    <w:rsid w:val="00800AB9"/>
    <w:rsid w:val="00801C29"/>
    <w:rsid w:val="0080246D"/>
    <w:rsid w:val="00802A42"/>
    <w:rsid w:val="0080747A"/>
    <w:rsid w:val="00810954"/>
    <w:rsid w:val="0081203F"/>
    <w:rsid w:val="00815E15"/>
    <w:rsid w:val="008169CE"/>
    <w:rsid w:val="00820320"/>
    <w:rsid w:val="008208E7"/>
    <w:rsid w:val="00821866"/>
    <w:rsid w:val="00821A8F"/>
    <w:rsid w:val="008237C4"/>
    <w:rsid w:val="0082432D"/>
    <w:rsid w:val="0082483B"/>
    <w:rsid w:val="00825AB7"/>
    <w:rsid w:val="00827303"/>
    <w:rsid w:val="00827DFE"/>
    <w:rsid w:val="008334A6"/>
    <w:rsid w:val="00835766"/>
    <w:rsid w:val="0084010C"/>
    <w:rsid w:val="00841402"/>
    <w:rsid w:val="00841787"/>
    <w:rsid w:val="008417D5"/>
    <w:rsid w:val="00843086"/>
    <w:rsid w:val="00845412"/>
    <w:rsid w:val="00845EAD"/>
    <w:rsid w:val="00850F3C"/>
    <w:rsid w:val="00851893"/>
    <w:rsid w:val="008545C9"/>
    <w:rsid w:val="00855540"/>
    <w:rsid w:val="0085589C"/>
    <w:rsid w:val="00860730"/>
    <w:rsid w:val="0086076F"/>
    <w:rsid w:val="00860A03"/>
    <w:rsid w:val="00862832"/>
    <w:rsid w:val="00864420"/>
    <w:rsid w:val="00864E9B"/>
    <w:rsid w:val="00866776"/>
    <w:rsid w:val="008703E2"/>
    <w:rsid w:val="00871F20"/>
    <w:rsid w:val="00873537"/>
    <w:rsid w:val="00874310"/>
    <w:rsid w:val="00876893"/>
    <w:rsid w:val="00877BAD"/>
    <w:rsid w:val="00877D7C"/>
    <w:rsid w:val="008821AF"/>
    <w:rsid w:val="00882C3E"/>
    <w:rsid w:val="008848FC"/>
    <w:rsid w:val="00885687"/>
    <w:rsid w:val="00887155"/>
    <w:rsid w:val="0089257B"/>
    <w:rsid w:val="00892FC8"/>
    <w:rsid w:val="00894B92"/>
    <w:rsid w:val="008954FC"/>
    <w:rsid w:val="0089563C"/>
    <w:rsid w:val="00895670"/>
    <w:rsid w:val="00895F54"/>
    <w:rsid w:val="0089662E"/>
    <w:rsid w:val="008968C2"/>
    <w:rsid w:val="008A02BB"/>
    <w:rsid w:val="008A048E"/>
    <w:rsid w:val="008A12B5"/>
    <w:rsid w:val="008A1D1B"/>
    <w:rsid w:val="008A3864"/>
    <w:rsid w:val="008A409B"/>
    <w:rsid w:val="008A7182"/>
    <w:rsid w:val="008B0D99"/>
    <w:rsid w:val="008B2FAD"/>
    <w:rsid w:val="008B33CD"/>
    <w:rsid w:val="008B3EA0"/>
    <w:rsid w:val="008B5E4A"/>
    <w:rsid w:val="008B60A3"/>
    <w:rsid w:val="008B7673"/>
    <w:rsid w:val="008C15B5"/>
    <w:rsid w:val="008C2A62"/>
    <w:rsid w:val="008C4AE1"/>
    <w:rsid w:val="008D0AB8"/>
    <w:rsid w:val="008D0ABA"/>
    <w:rsid w:val="008D0F73"/>
    <w:rsid w:val="008D1755"/>
    <w:rsid w:val="008D201B"/>
    <w:rsid w:val="008D21A1"/>
    <w:rsid w:val="008D2D38"/>
    <w:rsid w:val="008D352B"/>
    <w:rsid w:val="008D4509"/>
    <w:rsid w:val="008D521A"/>
    <w:rsid w:val="008D592E"/>
    <w:rsid w:val="008E0333"/>
    <w:rsid w:val="008E1798"/>
    <w:rsid w:val="008E2AD2"/>
    <w:rsid w:val="008E3706"/>
    <w:rsid w:val="008E59B9"/>
    <w:rsid w:val="008E6C4D"/>
    <w:rsid w:val="008F0697"/>
    <w:rsid w:val="008F10A1"/>
    <w:rsid w:val="008F1252"/>
    <w:rsid w:val="008F305F"/>
    <w:rsid w:val="008F40F5"/>
    <w:rsid w:val="008F75C5"/>
    <w:rsid w:val="008F791E"/>
    <w:rsid w:val="00900143"/>
    <w:rsid w:val="009012F2"/>
    <w:rsid w:val="00901BE6"/>
    <w:rsid w:val="00903F2D"/>
    <w:rsid w:val="009100C3"/>
    <w:rsid w:val="00910608"/>
    <w:rsid w:val="009124EF"/>
    <w:rsid w:val="0091269C"/>
    <w:rsid w:val="009127EB"/>
    <w:rsid w:val="0091397B"/>
    <w:rsid w:val="0091574F"/>
    <w:rsid w:val="00915D36"/>
    <w:rsid w:val="00916488"/>
    <w:rsid w:val="00920010"/>
    <w:rsid w:val="00920885"/>
    <w:rsid w:val="009214FD"/>
    <w:rsid w:val="009218D5"/>
    <w:rsid w:val="00924CDF"/>
    <w:rsid w:val="00924D31"/>
    <w:rsid w:val="00927CC6"/>
    <w:rsid w:val="00930EF7"/>
    <w:rsid w:val="00931225"/>
    <w:rsid w:val="00932018"/>
    <w:rsid w:val="00932D5F"/>
    <w:rsid w:val="009346F7"/>
    <w:rsid w:val="00935145"/>
    <w:rsid w:val="009356F5"/>
    <w:rsid w:val="00940D9F"/>
    <w:rsid w:val="00942B9D"/>
    <w:rsid w:val="009430F0"/>
    <w:rsid w:val="00945816"/>
    <w:rsid w:val="009474D0"/>
    <w:rsid w:val="00951F80"/>
    <w:rsid w:val="00954AF5"/>
    <w:rsid w:val="00955B6E"/>
    <w:rsid w:val="00956409"/>
    <w:rsid w:val="00956D22"/>
    <w:rsid w:val="00956F7B"/>
    <w:rsid w:val="00962E62"/>
    <w:rsid w:val="00963117"/>
    <w:rsid w:val="00970A3F"/>
    <w:rsid w:val="00971B47"/>
    <w:rsid w:val="00971FBD"/>
    <w:rsid w:val="00974A71"/>
    <w:rsid w:val="009772CE"/>
    <w:rsid w:val="00977BD5"/>
    <w:rsid w:val="00977FAF"/>
    <w:rsid w:val="00980087"/>
    <w:rsid w:val="009830D7"/>
    <w:rsid w:val="00983686"/>
    <w:rsid w:val="00984CCE"/>
    <w:rsid w:val="009851A7"/>
    <w:rsid w:val="00986BC8"/>
    <w:rsid w:val="00986C77"/>
    <w:rsid w:val="00990EB6"/>
    <w:rsid w:val="009946D6"/>
    <w:rsid w:val="009950DA"/>
    <w:rsid w:val="009951AC"/>
    <w:rsid w:val="00997EC2"/>
    <w:rsid w:val="009A18C3"/>
    <w:rsid w:val="009A2504"/>
    <w:rsid w:val="009A349E"/>
    <w:rsid w:val="009A3669"/>
    <w:rsid w:val="009A3C42"/>
    <w:rsid w:val="009A5E1E"/>
    <w:rsid w:val="009A6CCA"/>
    <w:rsid w:val="009A7152"/>
    <w:rsid w:val="009B05D8"/>
    <w:rsid w:val="009B0DB9"/>
    <w:rsid w:val="009B47E8"/>
    <w:rsid w:val="009B5C66"/>
    <w:rsid w:val="009B67D6"/>
    <w:rsid w:val="009B6A57"/>
    <w:rsid w:val="009B6D11"/>
    <w:rsid w:val="009B725F"/>
    <w:rsid w:val="009B757E"/>
    <w:rsid w:val="009C03A0"/>
    <w:rsid w:val="009C22DE"/>
    <w:rsid w:val="009C463E"/>
    <w:rsid w:val="009C5B7C"/>
    <w:rsid w:val="009C5DBB"/>
    <w:rsid w:val="009C70FA"/>
    <w:rsid w:val="009C72EA"/>
    <w:rsid w:val="009C78BC"/>
    <w:rsid w:val="009D3E72"/>
    <w:rsid w:val="009D5B7A"/>
    <w:rsid w:val="009D6792"/>
    <w:rsid w:val="009D72D5"/>
    <w:rsid w:val="009D7BFD"/>
    <w:rsid w:val="009E1E5C"/>
    <w:rsid w:val="009E401D"/>
    <w:rsid w:val="009E5696"/>
    <w:rsid w:val="009E7C17"/>
    <w:rsid w:val="009F0632"/>
    <w:rsid w:val="009F3AA3"/>
    <w:rsid w:val="009F4C97"/>
    <w:rsid w:val="009F667C"/>
    <w:rsid w:val="009F6CC9"/>
    <w:rsid w:val="009F6D45"/>
    <w:rsid w:val="009F7052"/>
    <w:rsid w:val="00A00D9E"/>
    <w:rsid w:val="00A0212C"/>
    <w:rsid w:val="00A02CE4"/>
    <w:rsid w:val="00A03AEC"/>
    <w:rsid w:val="00A056AD"/>
    <w:rsid w:val="00A0769D"/>
    <w:rsid w:val="00A07D3B"/>
    <w:rsid w:val="00A10292"/>
    <w:rsid w:val="00A11D3F"/>
    <w:rsid w:val="00A13272"/>
    <w:rsid w:val="00A1555D"/>
    <w:rsid w:val="00A16031"/>
    <w:rsid w:val="00A178C9"/>
    <w:rsid w:val="00A20C3E"/>
    <w:rsid w:val="00A223CA"/>
    <w:rsid w:val="00A23118"/>
    <w:rsid w:val="00A24871"/>
    <w:rsid w:val="00A3190D"/>
    <w:rsid w:val="00A33B4B"/>
    <w:rsid w:val="00A34108"/>
    <w:rsid w:val="00A3544F"/>
    <w:rsid w:val="00A36827"/>
    <w:rsid w:val="00A369C3"/>
    <w:rsid w:val="00A36BC5"/>
    <w:rsid w:val="00A40865"/>
    <w:rsid w:val="00A42001"/>
    <w:rsid w:val="00A42358"/>
    <w:rsid w:val="00A46B35"/>
    <w:rsid w:val="00A47C12"/>
    <w:rsid w:val="00A50E43"/>
    <w:rsid w:val="00A50EDF"/>
    <w:rsid w:val="00A522A1"/>
    <w:rsid w:val="00A53185"/>
    <w:rsid w:val="00A53A55"/>
    <w:rsid w:val="00A54679"/>
    <w:rsid w:val="00A551FA"/>
    <w:rsid w:val="00A56161"/>
    <w:rsid w:val="00A56403"/>
    <w:rsid w:val="00A56D09"/>
    <w:rsid w:val="00A57C8E"/>
    <w:rsid w:val="00A60FE8"/>
    <w:rsid w:val="00A6125D"/>
    <w:rsid w:val="00A62CC4"/>
    <w:rsid w:val="00A64BEC"/>
    <w:rsid w:val="00A65B18"/>
    <w:rsid w:val="00A66655"/>
    <w:rsid w:val="00A676ED"/>
    <w:rsid w:val="00A67EA2"/>
    <w:rsid w:val="00A70983"/>
    <w:rsid w:val="00A71366"/>
    <w:rsid w:val="00A71E70"/>
    <w:rsid w:val="00A7266B"/>
    <w:rsid w:val="00A7405E"/>
    <w:rsid w:val="00A743FF"/>
    <w:rsid w:val="00A74AAA"/>
    <w:rsid w:val="00A74E17"/>
    <w:rsid w:val="00A760E7"/>
    <w:rsid w:val="00A76638"/>
    <w:rsid w:val="00A768D5"/>
    <w:rsid w:val="00A77866"/>
    <w:rsid w:val="00A80E2E"/>
    <w:rsid w:val="00A823AD"/>
    <w:rsid w:val="00A82A82"/>
    <w:rsid w:val="00A82C81"/>
    <w:rsid w:val="00A8320E"/>
    <w:rsid w:val="00A84154"/>
    <w:rsid w:val="00A8597C"/>
    <w:rsid w:val="00A87766"/>
    <w:rsid w:val="00A906FA"/>
    <w:rsid w:val="00A90D68"/>
    <w:rsid w:val="00A90E0A"/>
    <w:rsid w:val="00A91424"/>
    <w:rsid w:val="00A917E7"/>
    <w:rsid w:val="00A92622"/>
    <w:rsid w:val="00A92B9B"/>
    <w:rsid w:val="00A9456F"/>
    <w:rsid w:val="00A9459B"/>
    <w:rsid w:val="00AA3354"/>
    <w:rsid w:val="00AA6756"/>
    <w:rsid w:val="00AA6AEE"/>
    <w:rsid w:val="00AA795D"/>
    <w:rsid w:val="00AB1DB6"/>
    <w:rsid w:val="00AB20E7"/>
    <w:rsid w:val="00AB26FE"/>
    <w:rsid w:val="00AB2BE4"/>
    <w:rsid w:val="00AB46D5"/>
    <w:rsid w:val="00AB5F69"/>
    <w:rsid w:val="00AB6B1E"/>
    <w:rsid w:val="00AB7DC7"/>
    <w:rsid w:val="00AC2613"/>
    <w:rsid w:val="00AC3F42"/>
    <w:rsid w:val="00AC431E"/>
    <w:rsid w:val="00AC454B"/>
    <w:rsid w:val="00AC704F"/>
    <w:rsid w:val="00AD00FD"/>
    <w:rsid w:val="00AD014F"/>
    <w:rsid w:val="00AD24F9"/>
    <w:rsid w:val="00AD24FB"/>
    <w:rsid w:val="00AD4AD5"/>
    <w:rsid w:val="00AD7CB6"/>
    <w:rsid w:val="00AD7CFC"/>
    <w:rsid w:val="00AD7D1D"/>
    <w:rsid w:val="00AE10B0"/>
    <w:rsid w:val="00AE1F64"/>
    <w:rsid w:val="00AE4490"/>
    <w:rsid w:val="00AE4905"/>
    <w:rsid w:val="00AE656E"/>
    <w:rsid w:val="00AF1EE0"/>
    <w:rsid w:val="00AF2827"/>
    <w:rsid w:val="00AF3115"/>
    <w:rsid w:val="00AF3225"/>
    <w:rsid w:val="00AF3A24"/>
    <w:rsid w:val="00AF5F04"/>
    <w:rsid w:val="00B005AF"/>
    <w:rsid w:val="00B0152D"/>
    <w:rsid w:val="00B063A9"/>
    <w:rsid w:val="00B06A82"/>
    <w:rsid w:val="00B07FFC"/>
    <w:rsid w:val="00B10795"/>
    <w:rsid w:val="00B13511"/>
    <w:rsid w:val="00B1572D"/>
    <w:rsid w:val="00B17945"/>
    <w:rsid w:val="00B23434"/>
    <w:rsid w:val="00B2345F"/>
    <w:rsid w:val="00B23782"/>
    <w:rsid w:val="00B2448C"/>
    <w:rsid w:val="00B24662"/>
    <w:rsid w:val="00B27930"/>
    <w:rsid w:val="00B31661"/>
    <w:rsid w:val="00B3266A"/>
    <w:rsid w:val="00B34621"/>
    <w:rsid w:val="00B34D3C"/>
    <w:rsid w:val="00B358C1"/>
    <w:rsid w:val="00B35951"/>
    <w:rsid w:val="00B361F9"/>
    <w:rsid w:val="00B37C28"/>
    <w:rsid w:val="00B400E0"/>
    <w:rsid w:val="00B40131"/>
    <w:rsid w:val="00B438EC"/>
    <w:rsid w:val="00B45427"/>
    <w:rsid w:val="00B45AE8"/>
    <w:rsid w:val="00B50796"/>
    <w:rsid w:val="00B511F5"/>
    <w:rsid w:val="00B53D4D"/>
    <w:rsid w:val="00B55260"/>
    <w:rsid w:val="00B554DA"/>
    <w:rsid w:val="00B60C37"/>
    <w:rsid w:val="00B6289A"/>
    <w:rsid w:val="00B631F0"/>
    <w:rsid w:val="00B6604D"/>
    <w:rsid w:val="00B66984"/>
    <w:rsid w:val="00B71107"/>
    <w:rsid w:val="00B71FCD"/>
    <w:rsid w:val="00B73250"/>
    <w:rsid w:val="00B73810"/>
    <w:rsid w:val="00B76B01"/>
    <w:rsid w:val="00B80681"/>
    <w:rsid w:val="00B81A5C"/>
    <w:rsid w:val="00B827D6"/>
    <w:rsid w:val="00B8449C"/>
    <w:rsid w:val="00B845D1"/>
    <w:rsid w:val="00B847F0"/>
    <w:rsid w:val="00B85DF5"/>
    <w:rsid w:val="00B905D3"/>
    <w:rsid w:val="00B907B1"/>
    <w:rsid w:val="00B91DAE"/>
    <w:rsid w:val="00B9280A"/>
    <w:rsid w:val="00B92EB5"/>
    <w:rsid w:val="00B9302E"/>
    <w:rsid w:val="00B936CD"/>
    <w:rsid w:val="00B93933"/>
    <w:rsid w:val="00B95E32"/>
    <w:rsid w:val="00BA0E76"/>
    <w:rsid w:val="00BA401C"/>
    <w:rsid w:val="00BA482A"/>
    <w:rsid w:val="00BB02FA"/>
    <w:rsid w:val="00BB10F6"/>
    <w:rsid w:val="00BB1F46"/>
    <w:rsid w:val="00BB246F"/>
    <w:rsid w:val="00BB3442"/>
    <w:rsid w:val="00BB51F7"/>
    <w:rsid w:val="00BB6D68"/>
    <w:rsid w:val="00BC0BE9"/>
    <w:rsid w:val="00BC116E"/>
    <w:rsid w:val="00BC28F3"/>
    <w:rsid w:val="00BC2FAB"/>
    <w:rsid w:val="00BC6948"/>
    <w:rsid w:val="00BC7E09"/>
    <w:rsid w:val="00BD0AB0"/>
    <w:rsid w:val="00BD1424"/>
    <w:rsid w:val="00BD2498"/>
    <w:rsid w:val="00BD29DA"/>
    <w:rsid w:val="00BD2D26"/>
    <w:rsid w:val="00BD36D3"/>
    <w:rsid w:val="00BD36F6"/>
    <w:rsid w:val="00BD5303"/>
    <w:rsid w:val="00BE0364"/>
    <w:rsid w:val="00BE16E0"/>
    <w:rsid w:val="00BE2F53"/>
    <w:rsid w:val="00BE4E72"/>
    <w:rsid w:val="00BE7E7B"/>
    <w:rsid w:val="00BF24AA"/>
    <w:rsid w:val="00BF5EE2"/>
    <w:rsid w:val="00BF6112"/>
    <w:rsid w:val="00BF6EE5"/>
    <w:rsid w:val="00C0057A"/>
    <w:rsid w:val="00C00653"/>
    <w:rsid w:val="00C027A6"/>
    <w:rsid w:val="00C02ACE"/>
    <w:rsid w:val="00C03749"/>
    <w:rsid w:val="00C03A4F"/>
    <w:rsid w:val="00C03B55"/>
    <w:rsid w:val="00C04583"/>
    <w:rsid w:val="00C05DC3"/>
    <w:rsid w:val="00C060E8"/>
    <w:rsid w:val="00C068ED"/>
    <w:rsid w:val="00C11D26"/>
    <w:rsid w:val="00C11E51"/>
    <w:rsid w:val="00C133CB"/>
    <w:rsid w:val="00C1591E"/>
    <w:rsid w:val="00C15FD0"/>
    <w:rsid w:val="00C17FBD"/>
    <w:rsid w:val="00C20281"/>
    <w:rsid w:val="00C20948"/>
    <w:rsid w:val="00C22946"/>
    <w:rsid w:val="00C23B8D"/>
    <w:rsid w:val="00C24D1E"/>
    <w:rsid w:val="00C2504E"/>
    <w:rsid w:val="00C27286"/>
    <w:rsid w:val="00C301D2"/>
    <w:rsid w:val="00C3090B"/>
    <w:rsid w:val="00C30F4A"/>
    <w:rsid w:val="00C33123"/>
    <w:rsid w:val="00C34FE2"/>
    <w:rsid w:val="00C35664"/>
    <w:rsid w:val="00C362AC"/>
    <w:rsid w:val="00C3640C"/>
    <w:rsid w:val="00C3664A"/>
    <w:rsid w:val="00C370DA"/>
    <w:rsid w:val="00C37AE8"/>
    <w:rsid w:val="00C404A8"/>
    <w:rsid w:val="00C40571"/>
    <w:rsid w:val="00C40AAD"/>
    <w:rsid w:val="00C40EAB"/>
    <w:rsid w:val="00C41C73"/>
    <w:rsid w:val="00C41CB9"/>
    <w:rsid w:val="00C43026"/>
    <w:rsid w:val="00C43647"/>
    <w:rsid w:val="00C439A7"/>
    <w:rsid w:val="00C44C31"/>
    <w:rsid w:val="00C45239"/>
    <w:rsid w:val="00C46744"/>
    <w:rsid w:val="00C47016"/>
    <w:rsid w:val="00C47528"/>
    <w:rsid w:val="00C5345E"/>
    <w:rsid w:val="00C57C46"/>
    <w:rsid w:val="00C601B7"/>
    <w:rsid w:val="00C6114F"/>
    <w:rsid w:val="00C61C16"/>
    <w:rsid w:val="00C626E5"/>
    <w:rsid w:val="00C62DC6"/>
    <w:rsid w:val="00C63D87"/>
    <w:rsid w:val="00C65EDD"/>
    <w:rsid w:val="00C6657E"/>
    <w:rsid w:val="00C70F3E"/>
    <w:rsid w:val="00C714E0"/>
    <w:rsid w:val="00C72938"/>
    <w:rsid w:val="00C73252"/>
    <w:rsid w:val="00C73E8A"/>
    <w:rsid w:val="00C7419D"/>
    <w:rsid w:val="00C76A90"/>
    <w:rsid w:val="00C819C2"/>
    <w:rsid w:val="00C81E81"/>
    <w:rsid w:val="00C81F0E"/>
    <w:rsid w:val="00C862F5"/>
    <w:rsid w:val="00C863F5"/>
    <w:rsid w:val="00C868DB"/>
    <w:rsid w:val="00C86FDE"/>
    <w:rsid w:val="00C874B4"/>
    <w:rsid w:val="00C878D0"/>
    <w:rsid w:val="00C9011C"/>
    <w:rsid w:val="00C90784"/>
    <w:rsid w:val="00C92755"/>
    <w:rsid w:val="00C95D0E"/>
    <w:rsid w:val="00C95D4A"/>
    <w:rsid w:val="00C96820"/>
    <w:rsid w:val="00C96A00"/>
    <w:rsid w:val="00C97381"/>
    <w:rsid w:val="00CA0283"/>
    <w:rsid w:val="00CA08F0"/>
    <w:rsid w:val="00CA12AA"/>
    <w:rsid w:val="00CA1FDB"/>
    <w:rsid w:val="00CA3F02"/>
    <w:rsid w:val="00CA4EF6"/>
    <w:rsid w:val="00CA5787"/>
    <w:rsid w:val="00CA7E45"/>
    <w:rsid w:val="00CB01C3"/>
    <w:rsid w:val="00CB2078"/>
    <w:rsid w:val="00CB7775"/>
    <w:rsid w:val="00CC39BE"/>
    <w:rsid w:val="00CC471B"/>
    <w:rsid w:val="00CC71AC"/>
    <w:rsid w:val="00CC7BC2"/>
    <w:rsid w:val="00CD3115"/>
    <w:rsid w:val="00CD3B4E"/>
    <w:rsid w:val="00CD5464"/>
    <w:rsid w:val="00CD5C0B"/>
    <w:rsid w:val="00CD5FE8"/>
    <w:rsid w:val="00CD6212"/>
    <w:rsid w:val="00CE0536"/>
    <w:rsid w:val="00CE0CCA"/>
    <w:rsid w:val="00CE259B"/>
    <w:rsid w:val="00CE4432"/>
    <w:rsid w:val="00CE629E"/>
    <w:rsid w:val="00CE6FBF"/>
    <w:rsid w:val="00CF0732"/>
    <w:rsid w:val="00CF288E"/>
    <w:rsid w:val="00CF29FE"/>
    <w:rsid w:val="00CF2DC1"/>
    <w:rsid w:val="00CF2FFD"/>
    <w:rsid w:val="00CF3ED5"/>
    <w:rsid w:val="00CF5B2A"/>
    <w:rsid w:val="00D01851"/>
    <w:rsid w:val="00D01CFE"/>
    <w:rsid w:val="00D06042"/>
    <w:rsid w:val="00D07783"/>
    <w:rsid w:val="00D102E7"/>
    <w:rsid w:val="00D10FAC"/>
    <w:rsid w:val="00D14925"/>
    <w:rsid w:val="00D20CFE"/>
    <w:rsid w:val="00D219B5"/>
    <w:rsid w:val="00D22627"/>
    <w:rsid w:val="00D2350D"/>
    <w:rsid w:val="00D26DCA"/>
    <w:rsid w:val="00D270AF"/>
    <w:rsid w:val="00D313D5"/>
    <w:rsid w:val="00D32974"/>
    <w:rsid w:val="00D32F23"/>
    <w:rsid w:val="00D353D8"/>
    <w:rsid w:val="00D36836"/>
    <w:rsid w:val="00D36A3D"/>
    <w:rsid w:val="00D40D3A"/>
    <w:rsid w:val="00D43439"/>
    <w:rsid w:val="00D4483F"/>
    <w:rsid w:val="00D448C8"/>
    <w:rsid w:val="00D45CD6"/>
    <w:rsid w:val="00D47267"/>
    <w:rsid w:val="00D47E15"/>
    <w:rsid w:val="00D50B3E"/>
    <w:rsid w:val="00D50CCF"/>
    <w:rsid w:val="00D517F8"/>
    <w:rsid w:val="00D52098"/>
    <w:rsid w:val="00D526DF"/>
    <w:rsid w:val="00D52841"/>
    <w:rsid w:val="00D52BB5"/>
    <w:rsid w:val="00D53025"/>
    <w:rsid w:val="00D55041"/>
    <w:rsid w:val="00D558D6"/>
    <w:rsid w:val="00D55C24"/>
    <w:rsid w:val="00D567AA"/>
    <w:rsid w:val="00D61524"/>
    <w:rsid w:val="00D62750"/>
    <w:rsid w:val="00D638A1"/>
    <w:rsid w:val="00D63DD1"/>
    <w:rsid w:val="00D64683"/>
    <w:rsid w:val="00D65E4B"/>
    <w:rsid w:val="00D66A31"/>
    <w:rsid w:val="00D67CDF"/>
    <w:rsid w:val="00D70364"/>
    <w:rsid w:val="00D70A9C"/>
    <w:rsid w:val="00D71331"/>
    <w:rsid w:val="00D726A7"/>
    <w:rsid w:val="00D728BB"/>
    <w:rsid w:val="00D743E3"/>
    <w:rsid w:val="00D74587"/>
    <w:rsid w:val="00D75FD8"/>
    <w:rsid w:val="00D77101"/>
    <w:rsid w:val="00D8300B"/>
    <w:rsid w:val="00D86C9A"/>
    <w:rsid w:val="00D90393"/>
    <w:rsid w:val="00D9093A"/>
    <w:rsid w:val="00D90C35"/>
    <w:rsid w:val="00D91D37"/>
    <w:rsid w:val="00D927F3"/>
    <w:rsid w:val="00D93B3E"/>
    <w:rsid w:val="00D94D40"/>
    <w:rsid w:val="00D95130"/>
    <w:rsid w:val="00D96F74"/>
    <w:rsid w:val="00D97947"/>
    <w:rsid w:val="00DA094D"/>
    <w:rsid w:val="00DA09DA"/>
    <w:rsid w:val="00DA1FE3"/>
    <w:rsid w:val="00DA29A3"/>
    <w:rsid w:val="00DA596D"/>
    <w:rsid w:val="00DB0D3F"/>
    <w:rsid w:val="00DB1288"/>
    <w:rsid w:val="00DB2C55"/>
    <w:rsid w:val="00DB4B59"/>
    <w:rsid w:val="00DB5195"/>
    <w:rsid w:val="00DB6C5D"/>
    <w:rsid w:val="00DB6EDE"/>
    <w:rsid w:val="00DC00AB"/>
    <w:rsid w:val="00DC1D11"/>
    <w:rsid w:val="00DC2932"/>
    <w:rsid w:val="00DC32EF"/>
    <w:rsid w:val="00DC36FC"/>
    <w:rsid w:val="00DC3B1C"/>
    <w:rsid w:val="00DC3E8C"/>
    <w:rsid w:val="00DC446A"/>
    <w:rsid w:val="00DD0D1E"/>
    <w:rsid w:val="00DD1A26"/>
    <w:rsid w:val="00DD4696"/>
    <w:rsid w:val="00DD4B41"/>
    <w:rsid w:val="00DD5DD9"/>
    <w:rsid w:val="00DD7E4D"/>
    <w:rsid w:val="00DE3C69"/>
    <w:rsid w:val="00DE47C8"/>
    <w:rsid w:val="00DE4943"/>
    <w:rsid w:val="00DE5A07"/>
    <w:rsid w:val="00DE5D49"/>
    <w:rsid w:val="00DE7141"/>
    <w:rsid w:val="00DF0F17"/>
    <w:rsid w:val="00DF12F3"/>
    <w:rsid w:val="00DF16C7"/>
    <w:rsid w:val="00DF1D64"/>
    <w:rsid w:val="00DF2054"/>
    <w:rsid w:val="00DF4352"/>
    <w:rsid w:val="00DF4DA1"/>
    <w:rsid w:val="00DF51B3"/>
    <w:rsid w:val="00DF5644"/>
    <w:rsid w:val="00DF637F"/>
    <w:rsid w:val="00DF6A3E"/>
    <w:rsid w:val="00DF6C2F"/>
    <w:rsid w:val="00DF75A5"/>
    <w:rsid w:val="00E015B1"/>
    <w:rsid w:val="00E01B7E"/>
    <w:rsid w:val="00E01F4B"/>
    <w:rsid w:val="00E05165"/>
    <w:rsid w:val="00E0560C"/>
    <w:rsid w:val="00E06277"/>
    <w:rsid w:val="00E065A3"/>
    <w:rsid w:val="00E06E44"/>
    <w:rsid w:val="00E07A73"/>
    <w:rsid w:val="00E10D5F"/>
    <w:rsid w:val="00E120E3"/>
    <w:rsid w:val="00E13120"/>
    <w:rsid w:val="00E13C6E"/>
    <w:rsid w:val="00E141AA"/>
    <w:rsid w:val="00E176F0"/>
    <w:rsid w:val="00E21D88"/>
    <w:rsid w:val="00E25220"/>
    <w:rsid w:val="00E267CB"/>
    <w:rsid w:val="00E2722A"/>
    <w:rsid w:val="00E306D9"/>
    <w:rsid w:val="00E31663"/>
    <w:rsid w:val="00E33472"/>
    <w:rsid w:val="00E337FD"/>
    <w:rsid w:val="00E35C6C"/>
    <w:rsid w:val="00E363CD"/>
    <w:rsid w:val="00E37270"/>
    <w:rsid w:val="00E37750"/>
    <w:rsid w:val="00E37B60"/>
    <w:rsid w:val="00E37E53"/>
    <w:rsid w:val="00E42D4E"/>
    <w:rsid w:val="00E43941"/>
    <w:rsid w:val="00E43ABF"/>
    <w:rsid w:val="00E43CD1"/>
    <w:rsid w:val="00E43F63"/>
    <w:rsid w:val="00E44402"/>
    <w:rsid w:val="00E476B2"/>
    <w:rsid w:val="00E47974"/>
    <w:rsid w:val="00E51C7E"/>
    <w:rsid w:val="00E51E85"/>
    <w:rsid w:val="00E53E3B"/>
    <w:rsid w:val="00E61BA3"/>
    <w:rsid w:val="00E63C57"/>
    <w:rsid w:val="00E67E6D"/>
    <w:rsid w:val="00E71FA1"/>
    <w:rsid w:val="00E72008"/>
    <w:rsid w:val="00E72A5D"/>
    <w:rsid w:val="00E772C9"/>
    <w:rsid w:val="00E8106A"/>
    <w:rsid w:val="00E81E02"/>
    <w:rsid w:val="00E835CD"/>
    <w:rsid w:val="00E84992"/>
    <w:rsid w:val="00E84A32"/>
    <w:rsid w:val="00E930CC"/>
    <w:rsid w:val="00E93686"/>
    <w:rsid w:val="00E93963"/>
    <w:rsid w:val="00E94E52"/>
    <w:rsid w:val="00E95857"/>
    <w:rsid w:val="00E97399"/>
    <w:rsid w:val="00EA015A"/>
    <w:rsid w:val="00EA0983"/>
    <w:rsid w:val="00EA1E21"/>
    <w:rsid w:val="00EA1F1D"/>
    <w:rsid w:val="00EA3220"/>
    <w:rsid w:val="00EA335B"/>
    <w:rsid w:val="00EA5827"/>
    <w:rsid w:val="00EA6AF2"/>
    <w:rsid w:val="00EA70FA"/>
    <w:rsid w:val="00EB2937"/>
    <w:rsid w:val="00EB2A5C"/>
    <w:rsid w:val="00EB2CFE"/>
    <w:rsid w:val="00EB431C"/>
    <w:rsid w:val="00EB45ED"/>
    <w:rsid w:val="00EB4B04"/>
    <w:rsid w:val="00EB5301"/>
    <w:rsid w:val="00EB57D1"/>
    <w:rsid w:val="00EB7493"/>
    <w:rsid w:val="00EC0617"/>
    <w:rsid w:val="00EC18A0"/>
    <w:rsid w:val="00EC3405"/>
    <w:rsid w:val="00EC4AF2"/>
    <w:rsid w:val="00EC6509"/>
    <w:rsid w:val="00EC7106"/>
    <w:rsid w:val="00ED09DB"/>
    <w:rsid w:val="00ED2822"/>
    <w:rsid w:val="00ED3CC8"/>
    <w:rsid w:val="00ED679A"/>
    <w:rsid w:val="00ED6EBE"/>
    <w:rsid w:val="00ED7796"/>
    <w:rsid w:val="00ED7E79"/>
    <w:rsid w:val="00EE1662"/>
    <w:rsid w:val="00EE2BFD"/>
    <w:rsid w:val="00EF15B5"/>
    <w:rsid w:val="00EF2EBD"/>
    <w:rsid w:val="00EF3063"/>
    <w:rsid w:val="00EF32EE"/>
    <w:rsid w:val="00EF3684"/>
    <w:rsid w:val="00EF4B3B"/>
    <w:rsid w:val="00EF5269"/>
    <w:rsid w:val="00EF7011"/>
    <w:rsid w:val="00EF7FEC"/>
    <w:rsid w:val="00F03C76"/>
    <w:rsid w:val="00F051D1"/>
    <w:rsid w:val="00F06051"/>
    <w:rsid w:val="00F06D9D"/>
    <w:rsid w:val="00F11147"/>
    <w:rsid w:val="00F12F9A"/>
    <w:rsid w:val="00F153E4"/>
    <w:rsid w:val="00F160E5"/>
    <w:rsid w:val="00F16C80"/>
    <w:rsid w:val="00F1788E"/>
    <w:rsid w:val="00F17B67"/>
    <w:rsid w:val="00F17FE1"/>
    <w:rsid w:val="00F204B1"/>
    <w:rsid w:val="00F216E1"/>
    <w:rsid w:val="00F21A9E"/>
    <w:rsid w:val="00F23364"/>
    <w:rsid w:val="00F23C9F"/>
    <w:rsid w:val="00F25DEA"/>
    <w:rsid w:val="00F26A0F"/>
    <w:rsid w:val="00F271DF"/>
    <w:rsid w:val="00F302CC"/>
    <w:rsid w:val="00F3291E"/>
    <w:rsid w:val="00F375EF"/>
    <w:rsid w:val="00F37C16"/>
    <w:rsid w:val="00F4237E"/>
    <w:rsid w:val="00F43804"/>
    <w:rsid w:val="00F5157A"/>
    <w:rsid w:val="00F52872"/>
    <w:rsid w:val="00F528CD"/>
    <w:rsid w:val="00F54110"/>
    <w:rsid w:val="00F572F7"/>
    <w:rsid w:val="00F57D27"/>
    <w:rsid w:val="00F57DB7"/>
    <w:rsid w:val="00F60FB1"/>
    <w:rsid w:val="00F61E2D"/>
    <w:rsid w:val="00F667B5"/>
    <w:rsid w:val="00F67916"/>
    <w:rsid w:val="00F71831"/>
    <w:rsid w:val="00F7258B"/>
    <w:rsid w:val="00F75BFE"/>
    <w:rsid w:val="00F76991"/>
    <w:rsid w:val="00F831D5"/>
    <w:rsid w:val="00F83D05"/>
    <w:rsid w:val="00F8454B"/>
    <w:rsid w:val="00F85742"/>
    <w:rsid w:val="00F8629F"/>
    <w:rsid w:val="00F8653C"/>
    <w:rsid w:val="00F87478"/>
    <w:rsid w:val="00F908AA"/>
    <w:rsid w:val="00F90ADB"/>
    <w:rsid w:val="00F90DD0"/>
    <w:rsid w:val="00F91858"/>
    <w:rsid w:val="00F91F64"/>
    <w:rsid w:val="00F923AC"/>
    <w:rsid w:val="00F926D3"/>
    <w:rsid w:val="00F926FD"/>
    <w:rsid w:val="00F939B2"/>
    <w:rsid w:val="00F940B4"/>
    <w:rsid w:val="00F9634C"/>
    <w:rsid w:val="00F96ED3"/>
    <w:rsid w:val="00F977E7"/>
    <w:rsid w:val="00F97FAF"/>
    <w:rsid w:val="00FA22EB"/>
    <w:rsid w:val="00FA38D3"/>
    <w:rsid w:val="00FA5458"/>
    <w:rsid w:val="00FA6F5D"/>
    <w:rsid w:val="00FA6F8E"/>
    <w:rsid w:val="00FB0566"/>
    <w:rsid w:val="00FB12D4"/>
    <w:rsid w:val="00FB1A01"/>
    <w:rsid w:val="00FB1DFC"/>
    <w:rsid w:val="00FB368D"/>
    <w:rsid w:val="00FB4475"/>
    <w:rsid w:val="00FB44FD"/>
    <w:rsid w:val="00FB5C08"/>
    <w:rsid w:val="00FC15E0"/>
    <w:rsid w:val="00FC41BE"/>
    <w:rsid w:val="00FD02A2"/>
    <w:rsid w:val="00FD0A96"/>
    <w:rsid w:val="00FD0BD8"/>
    <w:rsid w:val="00FD4E02"/>
    <w:rsid w:val="00FD633C"/>
    <w:rsid w:val="00FE0F0D"/>
    <w:rsid w:val="00FE2067"/>
    <w:rsid w:val="00FE2897"/>
    <w:rsid w:val="00FE3526"/>
    <w:rsid w:val="00FE4C93"/>
    <w:rsid w:val="00FE72B9"/>
    <w:rsid w:val="00FF27BE"/>
    <w:rsid w:val="00FF40B4"/>
    <w:rsid w:val="00FF43D7"/>
    <w:rsid w:val="00FF483C"/>
    <w:rsid w:val="00FF4E4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9ED28"/>
  <w15:docId w15:val="{16509306-2CFA-47B3-A4A3-378E28B6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aliases w:val="18pt Bold"/>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aliases w:val="2,Strip"/>
    <w:basedOn w:val="Normal"/>
    <w:link w:val="ListParagraphChar"/>
    <w:uiPriority w:val="34"/>
    <w:qFormat/>
    <w:rsid w:val="00A33B4B"/>
    <w:pPr>
      <w:ind w:left="720"/>
      <w:contextualSpacing/>
    </w:pPr>
  </w:style>
  <w:style w:type="paragraph" w:customStyle="1" w:styleId="naisf">
    <w:name w:val="naisf"/>
    <w:basedOn w:val="Normal"/>
    <w:rsid w:val="00A33B4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rsid w:val="00E63C57"/>
    <w:rPr>
      <w:sz w:val="16"/>
      <w:szCs w:val="16"/>
    </w:rPr>
  </w:style>
  <w:style w:type="paragraph" w:styleId="CommentText">
    <w:name w:val="annotation text"/>
    <w:basedOn w:val="Normal"/>
    <w:link w:val="CommentTextChar"/>
    <w:uiPriority w:val="99"/>
    <w:semiHidden/>
    <w:rsid w:val="00E63C57"/>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E63C57"/>
    <w:rPr>
      <w:rFonts w:ascii="Times New Roman" w:eastAsia="Times New Roman" w:hAnsi="Times New Roman" w:cs="Times New Roman"/>
      <w:sz w:val="20"/>
      <w:szCs w:val="20"/>
      <w:lang w:eastAsia="lv-LV"/>
    </w:rPr>
  </w:style>
  <w:style w:type="paragraph" w:customStyle="1" w:styleId="CM4">
    <w:name w:val="CM4"/>
    <w:basedOn w:val="Normal"/>
    <w:next w:val="Normal"/>
    <w:uiPriority w:val="99"/>
    <w:rsid w:val="000E5D43"/>
    <w:pPr>
      <w:autoSpaceDE w:val="0"/>
      <w:autoSpaceDN w:val="0"/>
      <w:adjustRightInd w:val="0"/>
      <w:spacing w:after="0" w:line="240" w:lineRule="auto"/>
    </w:pPr>
    <w:rPr>
      <w:rFonts w:ascii="Times New Roman" w:hAnsi="Times New Roman" w:cs="Times New Roman"/>
      <w:sz w:val="24"/>
      <w:szCs w:val="24"/>
    </w:rPr>
  </w:style>
  <w:style w:type="paragraph" w:customStyle="1" w:styleId="CM1">
    <w:name w:val="CM1"/>
    <w:basedOn w:val="Normal"/>
    <w:next w:val="Normal"/>
    <w:uiPriority w:val="99"/>
    <w:rsid w:val="00734790"/>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34790"/>
    <w:pPr>
      <w:autoSpaceDE w:val="0"/>
      <w:autoSpaceDN w:val="0"/>
      <w:adjustRightInd w:val="0"/>
      <w:spacing w:after="0" w:line="240" w:lineRule="auto"/>
    </w:pPr>
    <w:rPr>
      <w:rFonts w:ascii="EUAlbertina" w:hAnsi="EUAlbertina"/>
      <w:sz w:val="24"/>
      <w:szCs w:val="24"/>
    </w:rPr>
  </w:style>
  <w:style w:type="paragraph" w:customStyle="1" w:styleId="Datedadoption">
    <w:name w:val="Date d'adoption"/>
    <w:basedOn w:val="Normal"/>
    <w:next w:val="Normal"/>
    <w:rsid w:val="001B023B"/>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
    <w:next w:val="Normal"/>
    <w:rsid w:val="001B023B"/>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tv2131">
    <w:name w:val="tv2131"/>
    <w:basedOn w:val="Normal"/>
    <w:rsid w:val="001D7B8F"/>
    <w:pPr>
      <w:spacing w:after="0" w:line="360" w:lineRule="auto"/>
      <w:ind w:firstLine="240"/>
    </w:pPr>
    <w:rPr>
      <w:rFonts w:ascii="Times New Roman" w:eastAsia="Times New Roman" w:hAnsi="Times New Roman" w:cs="Times New Roman"/>
      <w:color w:val="414142"/>
      <w:sz w:val="16"/>
      <w:szCs w:val="16"/>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141791"/>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141791"/>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141791"/>
    <w:rPr>
      <w:vertAlign w:val="superscript"/>
    </w:rPr>
  </w:style>
  <w:style w:type="character" w:styleId="Hyperlink">
    <w:name w:val="Hyperlink"/>
    <w:basedOn w:val="DefaultParagraphFont"/>
    <w:uiPriority w:val="99"/>
    <w:unhideWhenUsed/>
    <w:rsid w:val="00141791"/>
    <w:rPr>
      <w:color w:val="0000FF" w:themeColor="hyperlink"/>
      <w:u w:val="single"/>
    </w:rPr>
  </w:style>
  <w:style w:type="paragraph" w:customStyle="1" w:styleId="naiskr">
    <w:name w:val="naiskr"/>
    <w:basedOn w:val="Normal"/>
    <w:rsid w:val="00C81F0E"/>
    <w:pPr>
      <w:spacing w:before="75" w:after="75"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417D5"/>
    <w:rPr>
      <w:b/>
      <w:bCs/>
    </w:rPr>
  </w:style>
  <w:style w:type="paragraph" w:styleId="CommentSubject">
    <w:name w:val="annotation subject"/>
    <w:basedOn w:val="CommentText"/>
    <w:next w:val="CommentText"/>
    <w:link w:val="CommentSubjectChar"/>
    <w:uiPriority w:val="99"/>
    <w:semiHidden/>
    <w:unhideWhenUsed/>
    <w:rsid w:val="002F4AD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F4AD0"/>
    <w:rPr>
      <w:rFonts w:ascii="Times New Roman" w:eastAsia="Times New Roman" w:hAnsi="Times New Roman" w:cs="Times New Roman"/>
      <w:b/>
      <w:bCs/>
      <w:sz w:val="20"/>
      <w:szCs w:val="20"/>
      <w:lang w:eastAsia="lv-LV"/>
    </w:rPr>
  </w:style>
  <w:style w:type="paragraph" w:styleId="Revision">
    <w:name w:val="Revision"/>
    <w:hidden/>
    <w:uiPriority w:val="99"/>
    <w:semiHidden/>
    <w:rsid w:val="002F4AD0"/>
    <w:pPr>
      <w:spacing w:after="0" w:line="240" w:lineRule="auto"/>
    </w:pPr>
  </w:style>
  <w:style w:type="character" w:customStyle="1" w:styleId="ListParagraphChar">
    <w:name w:val="List Paragraph Char"/>
    <w:aliases w:val="2 Char,Strip Char"/>
    <w:link w:val="ListParagraph"/>
    <w:uiPriority w:val="34"/>
    <w:qFormat/>
    <w:rsid w:val="00BC7E09"/>
  </w:style>
  <w:style w:type="paragraph" w:styleId="NormalWeb">
    <w:name w:val="Normal (Web)"/>
    <w:basedOn w:val="Normal"/>
    <w:uiPriority w:val="99"/>
    <w:rsid w:val="00BC7E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rsid w:val="007E730B"/>
    <w:pPr>
      <w:spacing w:after="160" w:line="240" w:lineRule="exact"/>
      <w:jc w:val="both"/>
    </w:pPr>
    <w:rPr>
      <w:vertAlign w:val="superscript"/>
    </w:rPr>
  </w:style>
  <w:style w:type="paragraph" w:customStyle="1" w:styleId="tv2132">
    <w:name w:val="tv2132"/>
    <w:basedOn w:val="Normal"/>
    <w:rsid w:val="00CC7BC2"/>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7578467">
      <w:bodyDiv w:val="1"/>
      <w:marLeft w:val="0"/>
      <w:marRight w:val="0"/>
      <w:marTop w:val="0"/>
      <w:marBottom w:val="0"/>
      <w:divBdr>
        <w:top w:val="none" w:sz="0" w:space="0" w:color="auto"/>
        <w:left w:val="none" w:sz="0" w:space="0" w:color="auto"/>
        <w:bottom w:val="none" w:sz="0" w:space="0" w:color="auto"/>
        <w:right w:val="none" w:sz="0" w:space="0" w:color="auto"/>
      </w:divBdr>
    </w:div>
    <w:div w:id="198862943">
      <w:bodyDiv w:val="1"/>
      <w:marLeft w:val="0"/>
      <w:marRight w:val="0"/>
      <w:marTop w:val="0"/>
      <w:marBottom w:val="0"/>
      <w:divBdr>
        <w:top w:val="none" w:sz="0" w:space="0" w:color="auto"/>
        <w:left w:val="none" w:sz="0" w:space="0" w:color="auto"/>
        <w:bottom w:val="none" w:sz="0" w:space="0" w:color="auto"/>
        <w:right w:val="none" w:sz="0" w:space="0" w:color="auto"/>
      </w:divBdr>
    </w:div>
    <w:div w:id="216817926">
      <w:bodyDiv w:val="1"/>
      <w:marLeft w:val="0"/>
      <w:marRight w:val="0"/>
      <w:marTop w:val="0"/>
      <w:marBottom w:val="0"/>
      <w:divBdr>
        <w:top w:val="none" w:sz="0" w:space="0" w:color="auto"/>
        <w:left w:val="none" w:sz="0" w:space="0" w:color="auto"/>
        <w:bottom w:val="none" w:sz="0" w:space="0" w:color="auto"/>
        <w:right w:val="none" w:sz="0" w:space="0" w:color="auto"/>
      </w:divBdr>
      <w:divsChild>
        <w:div w:id="1743527661">
          <w:marLeft w:val="0"/>
          <w:marRight w:val="0"/>
          <w:marTop w:val="0"/>
          <w:marBottom w:val="0"/>
          <w:divBdr>
            <w:top w:val="none" w:sz="0" w:space="0" w:color="auto"/>
            <w:left w:val="none" w:sz="0" w:space="0" w:color="auto"/>
            <w:bottom w:val="none" w:sz="0" w:space="0" w:color="auto"/>
            <w:right w:val="none" w:sz="0" w:space="0" w:color="auto"/>
          </w:divBdr>
          <w:divsChild>
            <w:div w:id="461660239">
              <w:marLeft w:val="0"/>
              <w:marRight w:val="0"/>
              <w:marTop w:val="0"/>
              <w:marBottom w:val="0"/>
              <w:divBdr>
                <w:top w:val="none" w:sz="0" w:space="0" w:color="auto"/>
                <w:left w:val="none" w:sz="0" w:space="0" w:color="auto"/>
                <w:bottom w:val="none" w:sz="0" w:space="0" w:color="auto"/>
                <w:right w:val="none" w:sz="0" w:space="0" w:color="auto"/>
              </w:divBdr>
              <w:divsChild>
                <w:div w:id="1823037617">
                  <w:marLeft w:val="0"/>
                  <w:marRight w:val="0"/>
                  <w:marTop w:val="0"/>
                  <w:marBottom w:val="0"/>
                  <w:divBdr>
                    <w:top w:val="none" w:sz="0" w:space="0" w:color="auto"/>
                    <w:left w:val="none" w:sz="0" w:space="0" w:color="auto"/>
                    <w:bottom w:val="none" w:sz="0" w:space="0" w:color="auto"/>
                    <w:right w:val="none" w:sz="0" w:space="0" w:color="auto"/>
                  </w:divBdr>
                  <w:divsChild>
                    <w:div w:id="1338191077">
                      <w:marLeft w:val="0"/>
                      <w:marRight w:val="0"/>
                      <w:marTop w:val="0"/>
                      <w:marBottom w:val="0"/>
                      <w:divBdr>
                        <w:top w:val="none" w:sz="0" w:space="0" w:color="auto"/>
                        <w:left w:val="none" w:sz="0" w:space="0" w:color="auto"/>
                        <w:bottom w:val="none" w:sz="0" w:space="0" w:color="auto"/>
                        <w:right w:val="none" w:sz="0" w:space="0" w:color="auto"/>
                      </w:divBdr>
                      <w:divsChild>
                        <w:div w:id="1698241116">
                          <w:marLeft w:val="0"/>
                          <w:marRight w:val="0"/>
                          <w:marTop w:val="0"/>
                          <w:marBottom w:val="0"/>
                          <w:divBdr>
                            <w:top w:val="none" w:sz="0" w:space="0" w:color="auto"/>
                            <w:left w:val="none" w:sz="0" w:space="0" w:color="auto"/>
                            <w:bottom w:val="none" w:sz="0" w:space="0" w:color="auto"/>
                            <w:right w:val="none" w:sz="0" w:space="0" w:color="auto"/>
                          </w:divBdr>
                          <w:divsChild>
                            <w:div w:id="19682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91160">
      <w:bodyDiv w:val="1"/>
      <w:marLeft w:val="0"/>
      <w:marRight w:val="0"/>
      <w:marTop w:val="0"/>
      <w:marBottom w:val="0"/>
      <w:divBdr>
        <w:top w:val="none" w:sz="0" w:space="0" w:color="auto"/>
        <w:left w:val="none" w:sz="0" w:space="0" w:color="auto"/>
        <w:bottom w:val="none" w:sz="0" w:space="0" w:color="auto"/>
        <w:right w:val="none" w:sz="0" w:space="0" w:color="auto"/>
      </w:divBdr>
    </w:div>
    <w:div w:id="368184697">
      <w:bodyDiv w:val="1"/>
      <w:marLeft w:val="0"/>
      <w:marRight w:val="0"/>
      <w:marTop w:val="0"/>
      <w:marBottom w:val="0"/>
      <w:divBdr>
        <w:top w:val="none" w:sz="0" w:space="0" w:color="auto"/>
        <w:left w:val="none" w:sz="0" w:space="0" w:color="auto"/>
        <w:bottom w:val="none" w:sz="0" w:space="0" w:color="auto"/>
        <w:right w:val="none" w:sz="0" w:space="0" w:color="auto"/>
      </w:divBdr>
    </w:div>
    <w:div w:id="470830660">
      <w:bodyDiv w:val="1"/>
      <w:marLeft w:val="0"/>
      <w:marRight w:val="0"/>
      <w:marTop w:val="0"/>
      <w:marBottom w:val="0"/>
      <w:divBdr>
        <w:top w:val="none" w:sz="0" w:space="0" w:color="auto"/>
        <w:left w:val="none" w:sz="0" w:space="0" w:color="auto"/>
        <w:bottom w:val="none" w:sz="0" w:space="0" w:color="auto"/>
        <w:right w:val="none" w:sz="0" w:space="0" w:color="auto"/>
      </w:divBdr>
    </w:div>
    <w:div w:id="563294069">
      <w:bodyDiv w:val="1"/>
      <w:marLeft w:val="0"/>
      <w:marRight w:val="0"/>
      <w:marTop w:val="0"/>
      <w:marBottom w:val="0"/>
      <w:divBdr>
        <w:top w:val="none" w:sz="0" w:space="0" w:color="auto"/>
        <w:left w:val="none" w:sz="0" w:space="0" w:color="auto"/>
        <w:bottom w:val="none" w:sz="0" w:space="0" w:color="auto"/>
        <w:right w:val="none" w:sz="0" w:space="0" w:color="auto"/>
      </w:divBdr>
      <w:divsChild>
        <w:div w:id="2036616428">
          <w:marLeft w:val="0"/>
          <w:marRight w:val="0"/>
          <w:marTop w:val="0"/>
          <w:marBottom w:val="0"/>
          <w:divBdr>
            <w:top w:val="none" w:sz="0" w:space="0" w:color="auto"/>
            <w:left w:val="none" w:sz="0" w:space="0" w:color="auto"/>
            <w:bottom w:val="none" w:sz="0" w:space="0" w:color="auto"/>
            <w:right w:val="none" w:sz="0" w:space="0" w:color="auto"/>
          </w:divBdr>
          <w:divsChild>
            <w:div w:id="887650559">
              <w:marLeft w:val="0"/>
              <w:marRight w:val="0"/>
              <w:marTop w:val="0"/>
              <w:marBottom w:val="0"/>
              <w:divBdr>
                <w:top w:val="none" w:sz="0" w:space="0" w:color="auto"/>
                <w:left w:val="none" w:sz="0" w:space="0" w:color="auto"/>
                <w:bottom w:val="none" w:sz="0" w:space="0" w:color="auto"/>
                <w:right w:val="none" w:sz="0" w:space="0" w:color="auto"/>
              </w:divBdr>
              <w:divsChild>
                <w:div w:id="701398960">
                  <w:marLeft w:val="0"/>
                  <w:marRight w:val="0"/>
                  <w:marTop w:val="0"/>
                  <w:marBottom w:val="0"/>
                  <w:divBdr>
                    <w:top w:val="none" w:sz="0" w:space="0" w:color="auto"/>
                    <w:left w:val="none" w:sz="0" w:space="0" w:color="auto"/>
                    <w:bottom w:val="none" w:sz="0" w:space="0" w:color="auto"/>
                    <w:right w:val="none" w:sz="0" w:space="0" w:color="auto"/>
                  </w:divBdr>
                  <w:divsChild>
                    <w:div w:id="1008561614">
                      <w:marLeft w:val="0"/>
                      <w:marRight w:val="0"/>
                      <w:marTop w:val="0"/>
                      <w:marBottom w:val="0"/>
                      <w:divBdr>
                        <w:top w:val="none" w:sz="0" w:space="0" w:color="auto"/>
                        <w:left w:val="none" w:sz="0" w:space="0" w:color="auto"/>
                        <w:bottom w:val="none" w:sz="0" w:space="0" w:color="auto"/>
                        <w:right w:val="none" w:sz="0" w:space="0" w:color="auto"/>
                      </w:divBdr>
                      <w:divsChild>
                        <w:div w:id="1742217076">
                          <w:marLeft w:val="0"/>
                          <w:marRight w:val="0"/>
                          <w:marTop w:val="0"/>
                          <w:marBottom w:val="0"/>
                          <w:divBdr>
                            <w:top w:val="none" w:sz="0" w:space="0" w:color="auto"/>
                            <w:left w:val="none" w:sz="0" w:space="0" w:color="auto"/>
                            <w:bottom w:val="none" w:sz="0" w:space="0" w:color="auto"/>
                            <w:right w:val="none" w:sz="0" w:space="0" w:color="auto"/>
                          </w:divBdr>
                          <w:divsChild>
                            <w:div w:id="10119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457436">
      <w:bodyDiv w:val="1"/>
      <w:marLeft w:val="0"/>
      <w:marRight w:val="0"/>
      <w:marTop w:val="0"/>
      <w:marBottom w:val="0"/>
      <w:divBdr>
        <w:top w:val="none" w:sz="0" w:space="0" w:color="auto"/>
        <w:left w:val="none" w:sz="0" w:space="0" w:color="auto"/>
        <w:bottom w:val="none" w:sz="0" w:space="0" w:color="auto"/>
        <w:right w:val="none" w:sz="0" w:space="0" w:color="auto"/>
      </w:divBdr>
      <w:divsChild>
        <w:div w:id="831066134">
          <w:marLeft w:val="0"/>
          <w:marRight w:val="0"/>
          <w:marTop w:val="0"/>
          <w:marBottom w:val="0"/>
          <w:divBdr>
            <w:top w:val="none" w:sz="0" w:space="0" w:color="auto"/>
            <w:left w:val="none" w:sz="0" w:space="0" w:color="auto"/>
            <w:bottom w:val="none" w:sz="0" w:space="0" w:color="auto"/>
            <w:right w:val="none" w:sz="0" w:space="0" w:color="auto"/>
          </w:divBdr>
          <w:divsChild>
            <w:div w:id="1127431977">
              <w:marLeft w:val="0"/>
              <w:marRight w:val="0"/>
              <w:marTop w:val="0"/>
              <w:marBottom w:val="0"/>
              <w:divBdr>
                <w:top w:val="none" w:sz="0" w:space="0" w:color="auto"/>
                <w:left w:val="none" w:sz="0" w:space="0" w:color="auto"/>
                <w:bottom w:val="none" w:sz="0" w:space="0" w:color="auto"/>
                <w:right w:val="none" w:sz="0" w:space="0" w:color="auto"/>
              </w:divBdr>
              <w:divsChild>
                <w:div w:id="1070158842">
                  <w:marLeft w:val="0"/>
                  <w:marRight w:val="0"/>
                  <w:marTop w:val="0"/>
                  <w:marBottom w:val="0"/>
                  <w:divBdr>
                    <w:top w:val="none" w:sz="0" w:space="0" w:color="auto"/>
                    <w:left w:val="none" w:sz="0" w:space="0" w:color="auto"/>
                    <w:bottom w:val="none" w:sz="0" w:space="0" w:color="auto"/>
                    <w:right w:val="none" w:sz="0" w:space="0" w:color="auto"/>
                  </w:divBdr>
                  <w:divsChild>
                    <w:div w:id="464158350">
                      <w:marLeft w:val="0"/>
                      <w:marRight w:val="0"/>
                      <w:marTop w:val="0"/>
                      <w:marBottom w:val="0"/>
                      <w:divBdr>
                        <w:top w:val="none" w:sz="0" w:space="0" w:color="auto"/>
                        <w:left w:val="none" w:sz="0" w:space="0" w:color="auto"/>
                        <w:bottom w:val="none" w:sz="0" w:space="0" w:color="auto"/>
                        <w:right w:val="none" w:sz="0" w:space="0" w:color="auto"/>
                      </w:divBdr>
                      <w:divsChild>
                        <w:div w:id="435754949">
                          <w:marLeft w:val="0"/>
                          <w:marRight w:val="0"/>
                          <w:marTop w:val="0"/>
                          <w:marBottom w:val="0"/>
                          <w:divBdr>
                            <w:top w:val="none" w:sz="0" w:space="0" w:color="auto"/>
                            <w:left w:val="none" w:sz="0" w:space="0" w:color="auto"/>
                            <w:bottom w:val="none" w:sz="0" w:space="0" w:color="auto"/>
                            <w:right w:val="none" w:sz="0" w:space="0" w:color="auto"/>
                          </w:divBdr>
                          <w:divsChild>
                            <w:div w:id="19138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196848">
      <w:bodyDiv w:val="1"/>
      <w:marLeft w:val="0"/>
      <w:marRight w:val="0"/>
      <w:marTop w:val="0"/>
      <w:marBottom w:val="0"/>
      <w:divBdr>
        <w:top w:val="none" w:sz="0" w:space="0" w:color="auto"/>
        <w:left w:val="none" w:sz="0" w:space="0" w:color="auto"/>
        <w:bottom w:val="none" w:sz="0" w:space="0" w:color="auto"/>
        <w:right w:val="none" w:sz="0" w:space="0" w:color="auto"/>
      </w:divBdr>
    </w:div>
    <w:div w:id="806238938">
      <w:bodyDiv w:val="1"/>
      <w:marLeft w:val="0"/>
      <w:marRight w:val="0"/>
      <w:marTop w:val="0"/>
      <w:marBottom w:val="0"/>
      <w:divBdr>
        <w:top w:val="none" w:sz="0" w:space="0" w:color="auto"/>
        <w:left w:val="none" w:sz="0" w:space="0" w:color="auto"/>
        <w:bottom w:val="none" w:sz="0" w:space="0" w:color="auto"/>
        <w:right w:val="none" w:sz="0" w:space="0" w:color="auto"/>
      </w:divBdr>
    </w:div>
    <w:div w:id="816841940">
      <w:bodyDiv w:val="1"/>
      <w:marLeft w:val="0"/>
      <w:marRight w:val="0"/>
      <w:marTop w:val="0"/>
      <w:marBottom w:val="0"/>
      <w:divBdr>
        <w:top w:val="none" w:sz="0" w:space="0" w:color="auto"/>
        <w:left w:val="none" w:sz="0" w:space="0" w:color="auto"/>
        <w:bottom w:val="none" w:sz="0" w:space="0" w:color="auto"/>
        <w:right w:val="none" w:sz="0" w:space="0" w:color="auto"/>
      </w:divBdr>
    </w:div>
    <w:div w:id="953830121">
      <w:bodyDiv w:val="1"/>
      <w:marLeft w:val="0"/>
      <w:marRight w:val="0"/>
      <w:marTop w:val="0"/>
      <w:marBottom w:val="0"/>
      <w:divBdr>
        <w:top w:val="none" w:sz="0" w:space="0" w:color="auto"/>
        <w:left w:val="none" w:sz="0" w:space="0" w:color="auto"/>
        <w:bottom w:val="none" w:sz="0" w:space="0" w:color="auto"/>
        <w:right w:val="none" w:sz="0" w:space="0" w:color="auto"/>
      </w:divBdr>
      <w:divsChild>
        <w:div w:id="1047489518">
          <w:marLeft w:val="0"/>
          <w:marRight w:val="0"/>
          <w:marTop w:val="0"/>
          <w:marBottom w:val="0"/>
          <w:divBdr>
            <w:top w:val="none" w:sz="0" w:space="0" w:color="auto"/>
            <w:left w:val="none" w:sz="0" w:space="0" w:color="auto"/>
            <w:bottom w:val="none" w:sz="0" w:space="0" w:color="auto"/>
            <w:right w:val="none" w:sz="0" w:space="0" w:color="auto"/>
          </w:divBdr>
          <w:divsChild>
            <w:div w:id="568152592">
              <w:marLeft w:val="0"/>
              <w:marRight w:val="0"/>
              <w:marTop w:val="0"/>
              <w:marBottom w:val="0"/>
              <w:divBdr>
                <w:top w:val="none" w:sz="0" w:space="0" w:color="auto"/>
                <w:left w:val="none" w:sz="0" w:space="0" w:color="auto"/>
                <w:bottom w:val="none" w:sz="0" w:space="0" w:color="auto"/>
                <w:right w:val="none" w:sz="0" w:space="0" w:color="auto"/>
              </w:divBdr>
              <w:divsChild>
                <w:div w:id="970479476">
                  <w:marLeft w:val="0"/>
                  <w:marRight w:val="0"/>
                  <w:marTop w:val="0"/>
                  <w:marBottom w:val="0"/>
                  <w:divBdr>
                    <w:top w:val="none" w:sz="0" w:space="0" w:color="auto"/>
                    <w:left w:val="none" w:sz="0" w:space="0" w:color="auto"/>
                    <w:bottom w:val="none" w:sz="0" w:space="0" w:color="auto"/>
                    <w:right w:val="none" w:sz="0" w:space="0" w:color="auto"/>
                  </w:divBdr>
                  <w:divsChild>
                    <w:div w:id="1591812780">
                      <w:marLeft w:val="0"/>
                      <w:marRight w:val="0"/>
                      <w:marTop w:val="0"/>
                      <w:marBottom w:val="0"/>
                      <w:divBdr>
                        <w:top w:val="none" w:sz="0" w:space="0" w:color="auto"/>
                        <w:left w:val="none" w:sz="0" w:space="0" w:color="auto"/>
                        <w:bottom w:val="none" w:sz="0" w:space="0" w:color="auto"/>
                        <w:right w:val="none" w:sz="0" w:space="0" w:color="auto"/>
                      </w:divBdr>
                      <w:divsChild>
                        <w:div w:id="1484807613">
                          <w:marLeft w:val="0"/>
                          <w:marRight w:val="0"/>
                          <w:marTop w:val="0"/>
                          <w:marBottom w:val="0"/>
                          <w:divBdr>
                            <w:top w:val="none" w:sz="0" w:space="0" w:color="auto"/>
                            <w:left w:val="none" w:sz="0" w:space="0" w:color="auto"/>
                            <w:bottom w:val="none" w:sz="0" w:space="0" w:color="auto"/>
                            <w:right w:val="none" w:sz="0" w:space="0" w:color="auto"/>
                          </w:divBdr>
                          <w:divsChild>
                            <w:div w:id="10369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923334">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sChild>
        <w:div w:id="385421679">
          <w:marLeft w:val="0"/>
          <w:marRight w:val="0"/>
          <w:marTop w:val="0"/>
          <w:marBottom w:val="0"/>
          <w:divBdr>
            <w:top w:val="none" w:sz="0" w:space="0" w:color="auto"/>
            <w:left w:val="none" w:sz="0" w:space="0" w:color="auto"/>
            <w:bottom w:val="none" w:sz="0" w:space="0" w:color="auto"/>
            <w:right w:val="none" w:sz="0" w:space="0" w:color="auto"/>
          </w:divBdr>
          <w:divsChild>
            <w:div w:id="1054548962">
              <w:marLeft w:val="0"/>
              <w:marRight w:val="0"/>
              <w:marTop w:val="0"/>
              <w:marBottom w:val="0"/>
              <w:divBdr>
                <w:top w:val="none" w:sz="0" w:space="0" w:color="auto"/>
                <w:left w:val="none" w:sz="0" w:space="0" w:color="auto"/>
                <w:bottom w:val="none" w:sz="0" w:space="0" w:color="auto"/>
                <w:right w:val="none" w:sz="0" w:space="0" w:color="auto"/>
              </w:divBdr>
              <w:divsChild>
                <w:div w:id="1560896110">
                  <w:marLeft w:val="0"/>
                  <w:marRight w:val="0"/>
                  <w:marTop w:val="0"/>
                  <w:marBottom w:val="0"/>
                  <w:divBdr>
                    <w:top w:val="none" w:sz="0" w:space="0" w:color="auto"/>
                    <w:left w:val="none" w:sz="0" w:space="0" w:color="auto"/>
                    <w:bottom w:val="none" w:sz="0" w:space="0" w:color="auto"/>
                    <w:right w:val="none" w:sz="0" w:space="0" w:color="auto"/>
                  </w:divBdr>
                  <w:divsChild>
                    <w:div w:id="609778569">
                      <w:marLeft w:val="0"/>
                      <w:marRight w:val="0"/>
                      <w:marTop w:val="0"/>
                      <w:marBottom w:val="0"/>
                      <w:divBdr>
                        <w:top w:val="none" w:sz="0" w:space="0" w:color="auto"/>
                        <w:left w:val="none" w:sz="0" w:space="0" w:color="auto"/>
                        <w:bottom w:val="none" w:sz="0" w:space="0" w:color="auto"/>
                        <w:right w:val="none" w:sz="0" w:space="0" w:color="auto"/>
                      </w:divBdr>
                      <w:divsChild>
                        <w:div w:id="184828260">
                          <w:marLeft w:val="0"/>
                          <w:marRight w:val="0"/>
                          <w:marTop w:val="0"/>
                          <w:marBottom w:val="0"/>
                          <w:divBdr>
                            <w:top w:val="none" w:sz="0" w:space="0" w:color="auto"/>
                            <w:left w:val="none" w:sz="0" w:space="0" w:color="auto"/>
                            <w:bottom w:val="none" w:sz="0" w:space="0" w:color="auto"/>
                            <w:right w:val="none" w:sz="0" w:space="0" w:color="auto"/>
                          </w:divBdr>
                          <w:divsChild>
                            <w:div w:id="47385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76783">
      <w:bodyDiv w:val="1"/>
      <w:marLeft w:val="0"/>
      <w:marRight w:val="0"/>
      <w:marTop w:val="0"/>
      <w:marBottom w:val="0"/>
      <w:divBdr>
        <w:top w:val="none" w:sz="0" w:space="0" w:color="auto"/>
        <w:left w:val="none" w:sz="0" w:space="0" w:color="auto"/>
        <w:bottom w:val="none" w:sz="0" w:space="0" w:color="auto"/>
        <w:right w:val="none" w:sz="0" w:space="0" w:color="auto"/>
      </w:divBdr>
    </w:div>
    <w:div w:id="1385713782">
      <w:bodyDiv w:val="1"/>
      <w:marLeft w:val="0"/>
      <w:marRight w:val="0"/>
      <w:marTop w:val="0"/>
      <w:marBottom w:val="0"/>
      <w:divBdr>
        <w:top w:val="none" w:sz="0" w:space="0" w:color="auto"/>
        <w:left w:val="none" w:sz="0" w:space="0" w:color="auto"/>
        <w:bottom w:val="none" w:sz="0" w:space="0" w:color="auto"/>
        <w:right w:val="none" w:sz="0" w:space="0" w:color="auto"/>
      </w:divBdr>
    </w:div>
    <w:div w:id="1484588734">
      <w:bodyDiv w:val="1"/>
      <w:marLeft w:val="0"/>
      <w:marRight w:val="0"/>
      <w:marTop w:val="0"/>
      <w:marBottom w:val="0"/>
      <w:divBdr>
        <w:top w:val="none" w:sz="0" w:space="0" w:color="auto"/>
        <w:left w:val="none" w:sz="0" w:space="0" w:color="auto"/>
        <w:bottom w:val="none" w:sz="0" w:space="0" w:color="auto"/>
        <w:right w:val="none" w:sz="0" w:space="0" w:color="auto"/>
      </w:divBdr>
    </w:div>
    <w:div w:id="1756702068">
      <w:bodyDiv w:val="1"/>
      <w:marLeft w:val="0"/>
      <w:marRight w:val="0"/>
      <w:marTop w:val="0"/>
      <w:marBottom w:val="0"/>
      <w:divBdr>
        <w:top w:val="none" w:sz="0" w:space="0" w:color="auto"/>
        <w:left w:val="none" w:sz="0" w:space="0" w:color="auto"/>
        <w:bottom w:val="none" w:sz="0" w:space="0" w:color="auto"/>
        <w:right w:val="none" w:sz="0" w:space="0" w:color="auto"/>
      </w:divBdr>
    </w:div>
    <w:div w:id="1877153732">
      <w:bodyDiv w:val="1"/>
      <w:marLeft w:val="0"/>
      <w:marRight w:val="0"/>
      <w:marTop w:val="0"/>
      <w:marBottom w:val="0"/>
      <w:divBdr>
        <w:top w:val="none" w:sz="0" w:space="0" w:color="auto"/>
        <w:left w:val="none" w:sz="0" w:space="0" w:color="auto"/>
        <w:bottom w:val="none" w:sz="0" w:space="0" w:color="auto"/>
        <w:right w:val="none" w:sz="0" w:space="0" w:color="auto"/>
      </w:divBdr>
    </w:div>
    <w:div w:id="1884974905">
      <w:bodyDiv w:val="1"/>
      <w:marLeft w:val="0"/>
      <w:marRight w:val="0"/>
      <w:marTop w:val="0"/>
      <w:marBottom w:val="0"/>
      <w:divBdr>
        <w:top w:val="none" w:sz="0" w:space="0" w:color="auto"/>
        <w:left w:val="none" w:sz="0" w:space="0" w:color="auto"/>
        <w:bottom w:val="none" w:sz="0" w:space="0" w:color="auto"/>
        <w:right w:val="none" w:sz="0" w:space="0" w:color="auto"/>
      </w:divBdr>
    </w:div>
    <w:div w:id="1935895335">
      <w:bodyDiv w:val="1"/>
      <w:marLeft w:val="0"/>
      <w:marRight w:val="0"/>
      <w:marTop w:val="0"/>
      <w:marBottom w:val="0"/>
      <w:divBdr>
        <w:top w:val="none" w:sz="0" w:space="0" w:color="auto"/>
        <w:left w:val="none" w:sz="0" w:space="0" w:color="auto"/>
        <w:bottom w:val="none" w:sz="0" w:space="0" w:color="auto"/>
        <w:right w:val="none" w:sz="0" w:space="0" w:color="auto"/>
      </w:divBdr>
      <w:divsChild>
        <w:div w:id="249434927">
          <w:marLeft w:val="0"/>
          <w:marRight w:val="0"/>
          <w:marTop w:val="0"/>
          <w:marBottom w:val="0"/>
          <w:divBdr>
            <w:top w:val="none" w:sz="0" w:space="0" w:color="auto"/>
            <w:left w:val="none" w:sz="0" w:space="0" w:color="auto"/>
            <w:bottom w:val="none" w:sz="0" w:space="0" w:color="auto"/>
            <w:right w:val="none" w:sz="0" w:space="0" w:color="auto"/>
          </w:divBdr>
          <w:divsChild>
            <w:div w:id="363408124">
              <w:marLeft w:val="0"/>
              <w:marRight w:val="0"/>
              <w:marTop w:val="0"/>
              <w:marBottom w:val="0"/>
              <w:divBdr>
                <w:top w:val="none" w:sz="0" w:space="0" w:color="auto"/>
                <w:left w:val="none" w:sz="0" w:space="0" w:color="auto"/>
                <w:bottom w:val="none" w:sz="0" w:space="0" w:color="auto"/>
                <w:right w:val="none" w:sz="0" w:space="0" w:color="auto"/>
              </w:divBdr>
              <w:divsChild>
                <w:div w:id="922879310">
                  <w:marLeft w:val="0"/>
                  <w:marRight w:val="0"/>
                  <w:marTop w:val="0"/>
                  <w:marBottom w:val="0"/>
                  <w:divBdr>
                    <w:top w:val="none" w:sz="0" w:space="0" w:color="auto"/>
                    <w:left w:val="none" w:sz="0" w:space="0" w:color="auto"/>
                    <w:bottom w:val="none" w:sz="0" w:space="0" w:color="auto"/>
                    <w:right w:val="none" w:sz="0" w:space="0" w:color="auto"/>
                  </w:divBdr>
                  <w:divsChild>
                    <w:div w:id="956911803">
                      <w:marLeft w:val="0"/>
                      <w:marRight w:val="0"/>
                      <w:marTop w:val="0"/>
                      <w:marBottom w:val="0"/>
                      <w:divBdr>
                        <w:top w:val="none" w:sz="0" w:space="0" w:color="auto"/>
                        <w:left w:val="none" w:sz="0" w:space="0" w:color="auto"/>
                        <w:bottom w:val="none" w:sz="0" w:space="0" w:color="auto"/>
                        <w:right w:val="none" w:sz="0" w:space="0" w:color="auto"/>
                      </w:divBdr>
                      <w:divsChild>
                        <w:div w:id="700979363">
                          <w:marLeft w:val="0"/>
                          <w:marRight w:val="0"/>
                          <w:marTop w:val="0"/>
                          <w:marBottom w:val="0"/>
                          <w:divBdr>
                            <w:top w:val="none" w:sz="0" w:space="0" w:color="auto"/>
                            <w:left w:val="none" w:sz="0" w:space="0" w:color="auto"/>
                            <w:bottom w:val="none" w:sz="0" w:space="0" w:color="auto"/>
                            <w:right w:val="none" w:sz="0" w:space="0" w:color="auto"/>
                          </w:divBdr>
                          <w:divsChild>
                            <w:div w:id="9187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287298">
      <w:bodyDiv w:val="1"/>
      <w:marLeft w:val="0"/>
      <w:marRight w:val="0"/>
      <w:marTop w:val="0"/>
      <w:marBottom w:val="0"/>
      <w:divBdr>
        <w:top w:val="none" w:sz="0" w:space="0" w:color="auto"/>
        <w:left w:val="none" w:sz="0" w:space="0" w:color="auto"/>
        <w:bottom w:val="none" w:sz="0" w:space="0" w:color="auto"/>
        <w:right w:val="none" w:sz="0" w:space="0" w:color="auto"/>
      </w:divBdr>
    </w:div>
    <w:div w:id="208923018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oj/?locale=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a.svirksta@iz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reg/2014/480/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06/1083/oj/?locale=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fpfis/wikis/display/StateAid/Homepage"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4402-D723-40E3-9396-42B83243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3891</Words>
  <Characters>27242</Characters>
  <Application>Microsoft Office Word</Application>
  <DocSecurity>0</DocSecurity>
  <Lines>1047</Lines>
  <Paragraphs>384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2010.gada 19.oktobra noteikumos Nr.987 "Noteikumi par darbības programmas "Uzņēmējdarbība un inovācijas" papildinājuma 2.1.1.3.1.apakšaktivitātes "Zinātnes infrastruktūras attīstība" pirmo projektu </vt:lpstr>
      <vt:lpstr>Ministru kabineta noteikumu „Noteikumi par pieteikuma par pagaidu aizsardzību pret vardarbību veidlapu” projekta sākotnējās ietekmes novērtējuma ziņojums (anotācija)</vt:lpstr>
    </vt:vector>
  </TitlesOfParts>
  <Company>Tieslietu ministrija</Company>
  <LinksUpToDate>false</LinksUpToDate>
  <CharactersWithSpaces>30749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19.oktobra noteikumos Nr.987 "Noteikumi par darbības programmas "Uzņēmējdarbība un inovācijas" papildinājuma 2.1.1.3.1.apakšaktivitātes "Zinātnes infrastruktūras attīstība" pirmo projektu</dc:title>
  <dc:subject>Anotācija</dc:subject>
  <dc:creator>Švirksta</dc:creator>
  <cp:keywords/>
  <dc:description/>
  <cp:lastModifiedBy>Inta Švirksta</cp:lastModifiedBy>
  <cp:revision>6</cp:revision>
  <cp:lastPrinted>2017-05-29T10:34:00Z</cp:lastPrinted>
  <dcterms:created xsi:type="dcterms:W3CDTF">2018-02-23T09:27:00Z</dcterms:created>
  <dcterms:modified xsi:type="dcterms:W3CDTF">2018-02-26T15:25:00Z</dcterms:modified>
</cp:coreProperties>
</file>