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DC1D" w14:textId="77777777" w:rsidR="00242F35" w:rsidRPr="00423BF1" w:rsidRDefault="00242F35" w:rsidP="00242F35">
      <w:pPr>
        <w:pStyle w:val="naisc"/>
        <w:spacing w:before="0" w:after="0"/>
        <w:rPr>
          <w:b/>
          <w:bCs/>
        </w:rPr>
      </w:pPr>
      <w:bookmarkStart w:id="0" w:name="OLE_LINK14"/>
      <w:bookmarkStart w:id="1" w:name="OLE_LINK13"/>
      <w:r w:rsidRPr="00423BF1">
        <w:rPr>
          <w:b/>
          <w:bCs/>
        </w:rPr>
        <w:t>Ministru kabineta noteikumu projekta</w:t>
      </w:r>
    </w:p>
    <w:bookmarkEnd w:id="0"/>
    <w:bookmarkEnd w:id="1"/>
    <w:p w14:paraId="0C7816BC" w14:textId="619CE24E" w:rsidR="00242F35" w:rsidRPr="00423BF1" w:rsidRDefault="00412BBA" w:rsidP="00242F35">
      <w:pPr>
        <w:pStyle w:val="naisc"/>
        <w:spacing w:before="0" w:after="0"/>
        <w:rPr>
          <w:b/>
          <w:bCs/>
        </w:rPr>
      </w:pPr>
      <w:r w:rsidRPr="00423BF1">
        <w:rPr>
          <w:b/>
          <w:bCs/>
        </w:rPr>
        <w:t>“Grozījums Ministru kabineta 2003. gada 29. aprīļa noteikumos Nr. 242 „Satiksmes ministrijas nolikums””</w:t>
      </w:r>
      <w:r>
        <w:rPr>
          <w:b/>
          <w:bCs/>
        </w:rPr>
        <w:t xml:space="preserve"> </w:t>
      </w:r>
      <w:r w:rsidRPr="00423BF1">
        <w:rPr>
          <w:b/>
          <w:bCs/>
        </w:rPr>
        <w:t>sākotnējās ietekmes novērtējuma ziņojums (anotācija)</w:t>
      </w:r>
    </w:p>
    <w:p w14:paraId="760CE7BC" w14:textId="77777777" w:rsidR="00B267A1" w:rsidRPr="00190E62" w:rsidRDefault="00B267A1" w:rsidP="00756A2C">
      <w:pPr>
        <w:pStyle w:val="naislab"/>
        <w:spacing w:before="0" w:after="0"/>
        <w:jc w:val="center"/>
        <w:rPr>
          <w:bCs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6601"/>
      </w:tblGrid>
      <w:tr w:rsidR="00190E62" w:rsidRPr="00190E62" w14:paraId="24F8DEDF" w14:textId="77777777" w:rsidTr="008107EC">
        <w:tc>
          <w:tcPr>
            <w:tcW w:w="9725" w:type="dxa"/>
            <w:gridSpan w:val="3"/>
            <w:vAlign w:val="center"/>
          </w:tcPr>
          <w:p w14:paraId="68231566" w14:textId="77777777" w:rsidR="00852042" w:rsidRPr="00190E62" w:rsidRDefault="00852042" w:rsidP="00756A2C">
            <w:pPr>
              <w:pStyle w:val="naisnod"/>
              <w:spacing w:before="0" w:after="0"/>
            </w:pPr>
            <w:r w:rsidRPr="00190E62">
              <w:t>I</w:t>
            </w:r>
            <w:r w:rsidR="000941C5" w:rsidRPr="00190E62">
              <w:t>.</w:t>
            </w:r>
            <w:r w:rsidRPr="00190E62">
              <w:t xml:space="preserve"> Tiesību akta </w:t>
            </w:r>
            <w:r w:rsidR="002E3FF4" w:rsidRPr="00190E62">
              <w:t xml:space="preserve">projekta </w:t>
            </w:r>
            <w:r w:rsidRPr="00190E62">
              <w:t>izstrādes nepieciešamība</w:t>
            </w:r>
          </w:p>
        </w:tc>
      </w:tr>
      <w:tr w:rsidR="00190E62" w:rsidRPr="00190E62" w14:paraId="503FFC38" w14:textId="77777777" w:rsidTr="003313C1">
        <w:trPr>
          <w:trHeight w:val="1128"/>
        </w:trPr>
        <w:tc>
          <w:tcPr>
            <w:tcW w:w="431" w:type="dxa"/>
          </w:tcPr>
          <w:p w14:paraId="7A8ACB4D" w14:textId="77777777" w:rsidR="00262E2B" w:rsidRPr="00190E62" w:rsidRDefault="00262E2B" w:rsidP="00CA700B">
            <w:pPr>
              <w:pStyle w:val="naiskr"/>
              <w:spacing w:before="0" w:after="0"/>
              <w:jc w:val="center"/>
            </w:pPr>
            <w:r w:rsidRPr="00190E62">
              <w:t>1.</w:t>
            </w:r>
          </w:p>
        </w:tc>
        <w:tc>
          <w:tcPr>
            <w:tcW w:w="2693" w:type="dxa"/>
          </w:tcPr>
          <w:p w14:paraId="39A65550" w14:textId="77777777" w:rsidR="00262E2B" w:rsidRPr="00190E62" w:rsidRDefault="002D7F54" w:rsidP="00756A2C">
            <w:pPr>
              <w:pStyle w:val="naiskr"/>
              <w:spacing w:before="0" w:after="0"/>
              <w:ind w:left="164" w:hanging="10"/>
            </w:pPr>
            <w:r w:rsidRPr="00190E62">
              <w:t>Pamatojums</w:t>
            </w:r>
          </w:p>
        </w:tc>
        <w:tc>
          <w:tcPr>
            <w:tcW w:w="6601" w:type="dxa"/>
          </w:tcPr>
          <w:p w14:paraId="350EA693" w14:textId="505F1BC1" w:rsidR="002527C6" w:rsidRPr="00DF3409" w:rsidRDefault="002527C6" w:rsidP="008C5652">
            <w:pPr>
              <w:ind w:left="133" w:right="223"/>
              <w:jc w:val="both"/>
              <w:rPr>
                <w:rFonts w:eastAsia="Calibri"/>
              </w:rPr>
            </w:pPr>
            <w:r w:rsidRPr="00DF3409">
              <w:t>Atbilstoši Ministru kabineta 2014.</w:t>
            </w:r>
            <w:r w:rsidR="008B1B6F">
              <w:t xml:space="preserve"> </w:t>
            </w:r>
            <w:r w:rsidRPr="00DF3409">
              <w:t xml:space="preserve">gada </w:t>
            </w:r>
            <w:r w:rsidRPr="00DF3409">
              <w:rPr>
                <w:rFonts w:eastAsia="Calibri"/>
              </w:rPr>
              <w:t>18.</w:t>
            </w:r>
            <w:r w:rsidR="008B1B6F">
              <w:rPr>
                <w:rFonts w:eastAsia="Calibri"/>
              </w:rPr>
              <w:t xml:space="preserve"> </w:t>
            </w:r>
            <w:r w:rsidRPr="00DF3409">
              <w:rPr>
                <w:rFonts w:eastAsia="Calibri"/>
              </w:rPr>
              <w:t>augusta rīkojumam Nr.</w:t>
            </w:r>
            <w:r w:rsidR="00662ACA">
              <w:rPr>
                <w:rFonts w:eastAsia="Calibri"/>
              </w:rPr>
              <w:t xml:space="preserve"> </w:t>
            </w:r>
            <w:r w:rsidRPr="00DF3409">
              <w:rPr>
                <w:rFonts w:eastAsia="Calibri"/>
              </w:rPr>
              <w:t>431 „Par sabiedrības ar ierobežotu atbildību "Eiropas dzelzceļa līnijas" dibināšanu” Satiksmes ministrija 2014.</w:t>
            </w:r>
            <w:r w:rsidR="008B1B6F">
              <w:rPr>
                <w:rFonts w:eastAsia="Calibri"/>
              </w:rPr>
              <w:t xml:space="preserve"> </w:t>
            </w:r>
            <w:r w:rsidRPr="00DF3409">
              <w:rPr>
                <w:rFonts w:eastAsia="Calibri"/>
              </w:rPr>
              <w:t xml:space="preserve">gada </w:t>
            </w:r>
            <w:r w:rsidRPr="000F24D3">
              <w:rPr>
                <w:rFonts w:eastAsia="Calibri"/>
              </w:rPr>
              <w:t xml:space="preserve">12. oktobrī </w:t>
            </w:r>
            <w:r w:rsidRPr="00DF3409">
              <w:rPr>
                <w:rFonts w:eastAsia="Calibri"/>
              </w:rPr>
              <w:t>nodibināja 100% valstij piederošu sabiedrību ar ie</w:t>
            </w:r>
            <w:bookmarkStart w:id="2" w:name="_GoBack"/>
            <w:bookmarkEnd w:id="2"/>
            <w:r w:rsidRPr="00DF3409">
              <w:rPr>
                <w:rFonts w:eastAsia="Calibri"/>
              </w:rPr>
              <w:t xml:space="preserve">robežotu atbildību Eiropas dzelzceļa līnijas, </w:t>
            </w:r>
            <w:r>
              <w:rPr>
                <w:rFonts w:eastAsia="Calibri"/>
              </w:rPr>
              <w:t>kļūstot par tās kapitāldaļu turētāju. Eiropas dzelzc</w:t>
            </w:r>
            <w:r w:rsidRPr="00DF3409">
              <w:rPr>
                <w:rFonts w:eastAsia="Calibri"/>
              </w:rPr>
              <w:t>eļa līni</w:t>
            </w:r>
            <w:r>
              <w:rPr>
                <w:rFonts w:eastAsia="Calibri"/>
              </w:rPr>
              <w:t>j</w:t>
            </w:r>
            <w:r w:rsidRPr="00DF3409">
              <w:rPr>
                <w:rFonts w:eastAsia="Calibri"/>
              </w:rPr>
              <w:t>u galvenie uzdevumi:</w:t>
            </w:r>
          </w:p>
          <w:p w14:paraId="0E191B3D" w14:textId="77777777" w:rsidR="002527C6" w:rsidRPr="0084290E" w:rsidRDefault="002527C6" w:rsidP="008C5652">
            <w:pPr>
              <w:ind w:left="133" w:right="223"/>
              <w:jc w:val="both"/>
              <w:rPr>
                <w:rFonts w:eastAsia="Calibri"/>
              </w:rPr>
            </w:pPr>
            <w:r w:rsidRPr="0084290E">
              <w:rPr>
                <w:rFonts w:eastAsia="Calibri"/>
              </w:rPr>
              <w:t>1</w:t>
            </w:r>
            <w:r>
              <w:rPr>
                <w:rFonts w:eastAsia="Calibri"/>
              </w:rPr>
              <w:t>)</w:t>
            </w:r>
            <w:r w:rsidRPr="0084290E">
              <w:rPr>
                <w:rFonts w:eastAsia="Calibri"/>
              </w:rPr>
              <w:t xml:space="preserve"> īsteno</w:t>
            </w:r>
            <w:r>
              <w:rPr>
                <w:rFonts w:eastAsia="Calibri"/>
              </w:rPr>
              <w:t>t</w:t>
            </w:r>
            <w:r w:rsidRPr="0084290E">
              <w:rPr>
                <w:rFonts w:eastAsia="Calibri"/>
              </w:rPr>
              <w:t xml:space="preserve"> Eiropas sliežu platuma valsts publiskās lietošanas dzelzceļa infrastruktūras būvniecības pārraudzību atbilstoši tautsaimniecības vajadzībām un tās attīstībai, stabilas satiksmes interesēm, kā arī vides aizsardzības prasībām;</w:t>
            </w:r>
          </w:p>
          <w:p w14:paraId="7436B1B9" w14:textId="77777777" w:rsidR="002527C6" w:rsidRPr="00444E7F" w:rsidRDefault="002527C6" w:rsidP="008C5652">
            <w:pPr>
              <w:ind w:left="133" w:right="223"/>
              <w:jc w:val="both"/>
              <w:rPr>
                <w:rFonts w:eastAsia="Calibri"/>
              </w:rPr>
            </w:pPr>
            <w:r w:rsidRPr="0084290E">
              <w:rPr>
                <w:rFonts w:eastAsia="Calibri"/>
              </w:rPr>
              <w:t>2</w:t>
            </w:r>
            <w:r>
              <w:rPr>
                <w:rFonts w:eastAsia="Calibri"/>
              </w:rPr>
              <w:t>)</w:t>
            </w:r>
            <w:r w:rsidRPr="0084290E">
              <w:rPr>
                <w:rFonts w:eastAsia="Calibri"/>
              </w:rPr>
              <w:t xml:space="preserve"> atbilstoši kompetencei un sadarbībā ar atbildīgo nozares ministriju īsteno</w:t>
            </w:r>
            <w:r>
              <w:rPr>
                <w:rFonts w:eastAsia="Calibri"/>
              </w:rPr>
              <w:t>t</w:t>
            </w:r>
            <w:r w:rsidRPr="0084290E">
              <w:rPr>
                <w:rFonts w:eastAsia="Calibri"/>
              </w:rPr>
              <w:t xml:space="preserve"> Latvijas interesēm atbilstošu (Igaunijas un Lietuvas līdzdalības apjomam proporcionāli līdzvērtīgu kapitāla daļu apjomā) līdzdalību Baltijas valstu Rail </w:t>
            </w:r>
            <w:proofErr w:type="spellStart"/>
            <w:r w:rsidRPr="0084290E">
              <w:rPr>
                <w:rFonts w:eastAsia="Calibri"/>
              </w:rPr>
              <w:t>Baltica</w:t>
            </w:r>
            <w:proofErr w:type="spellEnd"/>
            <w:r w:rsidRPr="0084290E">
              <w:rPr>
                <w:rFonts w:eastAsia="Calibri"/>
              </w:rPr>
              <w:t xml:space="preserve"> publiskās lietošanas dzelzceļa infrastruktūras izbūves projekta īstenošanai izveidotajā kopuzņēmumā - akciju sabiedrībā "RB Rail"</w:t>
            </w:r>
            <w:r w:rsidRPr="000F24D3">
              <w:rPr>
                <w:rFonts w:eastAsia="Calibri"/>
              </w:rPr>
              <w:t xml:space="preserve">. </w:t>
            </w:r>
          </w:p>
          <w:p w14:paraId="416D1B4D" w14:textId="0D7B1E5F" w:rsidR="00972875" w:rsidRDefault="002527C6" w:rsidP="00E2685B">
            <w:pPr>
              <w:ind w:left="133" w:right="22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Saskaņā ar</w:t>
            </w:r>
            <w:r w:rsidRPr="00DF3409">
              <w:rPr>
                <w:rFonts w:eastAsia="Calibri"/>
              </w:rPr>
              <w:t xml:space="preserve"> Ministru kabineta 2014. gada</w:t>
            </w:r>
            <w:r>
              <w:rPr>
                <w:rFonts w:eastAsia="Calibri"/>
              </w:rPr>
              <w:t xml:space="preserve"> 12.augusta</w:t>
            </w:r>
            <w:r w:rsidRPr="00DF3409">
              <w:rPr>
                <w:rFonts w:eastAsia="Calibri"/>
              </w:rPr>
              <w:t xml:space="preserve"> </w:t>
            </w:r>
            <w:proofErr w:type="spellStart"/>
            <w:r w:rsidRPr="00DF3409">
              <w:rPr>
                <w:rFonts w:eastAsia="Calibri"/>
              </w:rPr>
              <w:t>protokoll</w:t>
            </w:r>
            <w:r>
              <w:rPr>
                <w:rFonts w:eastAsia="Calibri"/>
              </w:rPr>
              <w:t>ēmumā</w:t>
            </w:r>
            <w:proofErr w:type="spellEnd"/>
            <w:r>
              <w:rPr>
                <w:rFonts w:eastAsia="Calibri"/>
              </w:rPr>
              <w:t xml:space="preserve"> noteikto</w:t>
            </w:r>
            <w:r w:rsidRPr="00DF340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(prot. Nr.43, 56.§)</w:t>
            </w:r>
            <w:r w:rsidRPr="00DF3409">
              <w:rPr>
                <w:rFonts w:eastAsia="Calibri"/>
              </w:rPr>
              <w:t xml:space="preserve"> sabiedrība ar ierobežotu atbildību </w:t>
            </w:r>
            <w:r>
              <w:rPr>
                <w:rFonts w:eastAsia="Calibri"/>
              </w:rPr>
              <w:t>„</w:t>
            </w:r>
            <w:r w:rsidRPr="00DF3409">
              <w:rPr>
                <w:rFonts w:eastAsia="Calibri"/>
              </w:rPr>
              <w:t>Eiropas dzelzceļa līnijas</w:t>
            </w:r>
            <w:r>
              <w:rPr>
                <w:rFonts w:eastAsia="Calibri"/>
              </w:rPr>
              <w:t>”</w:t>
            </w:r>
            <w:r w:rsidRPr="00DF3409">
              <w:rPr>
                <w:rFonts w:eastAsia="Calibri"/>
              </w:rPr>
              <w:t xml:space="preserve"> kļuva par dibinātāju un akcionāru Baltijas valstu kopuzņēmumā RB Rail AS</w:t>
            </w:r>
            <w:r>
              <w:rPr>
                <w:rFonts w:eastAsia="Calibri"/>
              </w:rPr>
              <w:t>,</w:t>
            </w:r>
            <w:r w:rsidRPr="00DF3409">
              <w:rPr>
                <w:rFonts w:eastAsia="Calibri"/>
              </w:rPr>
              <w:t xml:space="preserve"> ieg</w:t>
            </w:r>
            <w:r>
              <w:rPr>
                <w:rFonts w:eastAsia="Calibri"/>
              </w:rPr>
              <w:t>ūstot proporcionāli</w:t>
            </w:r>
            <w:r w:rsidRPr="00DF3409">
              <w:rPr>
                <w:rFonts w:eastAsia="Calibri"/>
              </w:rPr>
              <w:t xml:space="preserve"> vienādu </w:t>
            </w:r>
            <w:r>
              <w:rPr>
                <w:rFonts w:eastAsia="Calibri"/>
              </w:rPr>
              <w:t xml:space="preserve">akciju </w:t>
            </w:r>
            <w:r w:rsidRPr="00DF3409">
              <w:rPr>
                <w:rFonts w:eastAsia="Calibri"/>
              </w:rPr>
              <w:t>da</w:t>
            </w:r>
            <w:r>
              <w:rPr>
                <w:rFonts w:eastAsia="Calibri"/>
              </w:rPr>
              <w:t>ļu ar Lietuvas un Igaunijas akcionāru</w:t>
            </w:r>
            <w:r w:rsidRPr="00DF3409">
              <w:rPr>
                <w:rFonts w:eastAsia="Calibri"/>
              </w:rPr>
              <w:t>, jeb 33,33% akciju.</w:t>
            </w:r>
            <w:r w:rsidR="001C5FA5">
              <w:rPr>
                <w:rFonts w:eastAsia="Calibri"/>
              </w:rPr>
              <w:t xml:space="preserve"> </w:t>
            </w:r>
          </w:p>
          <w:p w14:paraId="1F8F1C5E" w14:textId="2FB4EC66" w:rsidR="00F44492" w:rsidRPr="00190E62" w:rsidRDefault="001C5FA5" w:rsidP="00B645D9">
            <w:pPr>
              <w:ind w:left="133" w:right="223"/>
              <w:jc w:val="both"/>
            </w:pPr>
            <w:r>
              <w:rPr>
                <w:rFonts w:eastAsia="Calibri"/>
              </w:rPr>
              <w:t>Konkrētie</w:t>
            </w:r>
            <w:r w:rsidR="00F44492">
              <w:rPr>
                <w:rFonts w:eastAsia="Calibri"/>
              </w:rPr>
              <w:t xml:space="preserve"> grozījumi Satiksmes ministrijas nolikumā nepieciešami, lai būtu </w:t>
            </w:r>
            <w:r w:rsidR="00B645D9">
              <w:rPr>
                <w:rFonts w:eastAsia="Calibri"/>
              </w:rPr>
              <w:t>tiesisks</w:t>
            </w:r>
            <w:r>
              <w:rPr>
                <w:rFonts w:eastAsia="Calibri"/>
              </w:rPr>
              <w:t xml:space="preserve"> pamats</w:t>
            </w:r>
            <w:r w:rsidR="00F44492">
              <w:rPr>
                <w:rFonts w:eastAsia="Calibri"/>
              </w:rPr>
              <w:t xml:space="preserve"> noslēgt deleģēšanas līgumu ar AS “RB Rail”.</w:t>
            </w:r>
          </w:p>
        </w:tc>
      </w:tr>
      <w:tr w:rsidR="00190E62" w:rsidRPr="00190E62" w14:paraId="204096D1" w14:textId="77777777" w:rsidTr="009971F0">
        <w:trPr>
          <w:trHeight w:val="275"/>
        </w:trPr>
        <w:tc>
          <w:tcPr>
            <w:tcW w:w="431" w:type="dxa"/>
          </w:tcPr>
          <w:p w14:paraId="41BBC16B" w14:textId="77777777" w:rsidR="00262E2B" w:rsidRPr="00190E62" w:rsidRDefault="00262E2B" w:rsidP="00CA700B">
            <w:pPr>
              <w:pStyle w:val="naiskr"/>
              <w:spacing w:before="0" w:after="0"/>
              <w:jc w:val="center"/>
            </w:pPr>
            <w:r w:rsidRPr="00190E62">
              <w:t>2.</w:t>
            </w:r>
          </w:p>
        </w:tc>
        <w:tc>
          <w:tcPr>
            <w:tcW w:w="2693" w:type="dxa"/>
          </w:tcPr>
          <w:p w14:paraId="5AF7EDE0" w14:textId="77777777" w:rsidR="00262E2B" w:rsidRPr="00190E62" w:rsidRDefault="00262E2B" w:rsidP="00756A2C">
            <w:pPr>
              <w:pStyle w:val="naiskr"/>
              <w:tabs>
                <w:tab w:val="left" w:pos="170"/>
              </w:tabs>
              <w:spacing w:before="0" w:after="0"/>
              <w:ind w:left="164"/>
            </w:pPr>
            <w:r w:rsidRPr="00190E62">
              <w:t>Pašreizējā situācija</w:t>
            </w:r>
            <w:r w:rsidR="001F5CD6" w:rsidRPr="00190E62">
              <w:t xml:space="preserve"> un problēmas</w:t>
            </w:r>
            <w:r w:rsidR="00F64A6D" w:rsidRPr="00190E62">
              <w:t xml:space="preserve">, </w:t>
            </w:r>
            <w:r w:rsidR="009C48AB" w:rsidRPr="00190E62">
              <w:t xml:space="preserve">kuru risināšanai tiesību akta projekts izstrādāts, </w:t>
            </w:r>
            <w:r w:rsidR="00F64A6D" w:rsidRPr="00190E62">
              <w:t>tiesiskā regulējuma mērķis un būtība</w:t>
            </w:r>
          </w:p>
        </w:tc>
        <w:tc>
          <w:tcPr>
            <w:tcW w:w="6601" w:type="dxa"/>
          </w:tcPr>
          <w:p w14:paraId="746D9991" w14:textId="09A070B9" w:rsidR="003313C1" w:rsidRDefault="003313C1" w:rsidP="008C5652">
            <w:pPr>
              <w:ind w:left="133" w:right="222"/>
              <w:jc w:val="both"/>
              <w:rPr>
                <w:color w:val="000000"/>
              </w:rPr>
            </w:pPr>
            <w:r w:rsidRPr="00EE45BC">
              <w:rPr>
                <w:color w:val="000000"/>
              </w:rPr>
              <w:t xml:space="preserve">2016. gada 30. septembrī starp RB Rail AS, Igaunijas Republikas Ekonomikas un sakaru ministriju, </w:t>
            </w:r>
            <w:r>
              <w:rPr>
                <w:color w:val="000000"/>
              </w:rPr>
              <w:t>Latvijas Republikas Satiksmes m</w:t>
            </w:r>
            <w:r w:rsidRPr="00EE45BC">
              <w:rPr>
                <w:color w:val="000000"/>
              </w:rPr>
              <w:t xml:space="preserve">inistriju un Lietuvas Republikas Transporta un komunikāciju ministriju, Igaunijas Tehnisko regulatoru, OÜ Rail </w:t>
            </w:r>
            <w:proofErr w:type="spellStart"/>
            <w:r w:rsidRPr="00EE45BC">
              <w:rPr>
                <w:color w:val="000000"/>
              </w:rPr>
              <w:t>Baltic</w:t>
            </w:r>
            <w:proofErr w:type="spellEnd"/>
            <w:r w:rsidRPr="00EE45BC">
              <w:rPr>
                <w:color w:val="000000"/>
              </w:rPr>
              <w:t xml:space="preserve"> </w:t>
            </w:r>
            <w:proofErr w:type="spellStart"/>
            <w:r w:rsidRPr="00EE45BC">
              <w:rPr>
                <w:color w:val="000000"/>
              </w:rPr>
              <w:t>Estonia</w:t>
            </w:r>
            <w:proofErr w:type="spellEnd"/>
            <w:r w:rsidRPr="00EE45BC">
              <w:rPr>
                <w:color w:val="000000"/>
              </w:rPr>
              <w:t>, SIA “</w:t>
            </w:r>
            <w:r>
              <w:rPr>
                <w:color w:val="000000"/>
              </w:rPr>
              <w:t>Eiropas dzelzceļa līnijas</w:t>
            </w:r>
            <w:r w:rsidRPr="00EE45BC">
              <w:rPr>
                <w:color w:val="000000"/>
              </w:rPr>
              <w:t>”, AB “</w:t>
            </w:r>
            <w:proofErr w:type="spellStart"/>
            <w:r w:rsidRPr="00EE45BC">
              <w:rPr>
                <w:color w:val="000000"/>
              </w:rPr>
              <w:t>Lietuvos</w:t>
            </w:r>
            <w:proofErr w:type="spellEnd"/>
            <w:r w:rsidRPr="00EE45BC">
              <w:rPr>
                <w:color w:val="000000"/>
              </w:rPr>
              <w:t xml:space="preserve"> </w:t>
            </w:r>
            <w:proofErr w:type="spellStart"/>
            <w:r w:rsidRPr="00EE45BC">
              <w:rPr>
                <w:color w:val="000000"/>
              </w:rPr>
              <w:t>Gelezinkeliai</w:t>
            </w:r>
            <w:proofErr w:type="spellEnd"/>
            <w:r w:rsidRPr="00EE45BC">
              <w:rPr>
                <w:color w:val="000000"/>
              </w:rPr>
              <w:t xml:space="preserve">” un UAB “Rail </w:t>
            </w:r>
            <w:proofErr w:type="spellStart"/>
            <w:r w:rsidRPr="00EE45BC">
              <w:rPr>
                <w:color w:val="000000"/>
              </w:rPr>
              <w:t>Baltica</w:t>
            </w:r>
            <w:proofErr w:type="spellEnd"/>
            <w:r w:rsidRPr="00EE45BC">
              <w:rPr>
                <w:color w:val="000000"/>
              </w:rPr>
              <w:t xml:space="preserve"> </w:t>
            </w:r>
            <w:proofErr w:type="spellStart"/>
            <w:r w:rsidRPr="00EE45BC">
              <w:rPr>
                <w:color w:val="000000"/>
              </w:rPr>
              <w:t>statyba</w:t>
            </w:r>
            <w:proofErr w:type="spellEnd"/>
            <w:r w:rsidRPr="00EE45BC">
              <w:rPr>
                <w:color w:val="000000"/>
              </w:rPr>
              <w:t xml:space="preserve">”” noslēgts “Nolīgums par līgumu slēgšanas shēmu Rail </w:t>
            </w:r>
            <w:proofErr w:type="spellStart"/>
            <w:r w:rsidRPr="00EE45BC">
              <w:rPr>
                <w:color w:val="000000"/>
              </w:rPr>
              <w:t>Baltica</w:t>
            </w:r>
            <w:proofErr w:type="spellEnd"/>
            <w:r w:rsidRPr="00EE45BC">
              <w:rPr>
                <w:color w:val="000000"/>
              </w:rPr>
              <w:t xml:space="preserve"> projektam</w:t>
            </w:r>
            <w:r>
              <w:rPr>
                <w:color w:val="000000"/>
              </w:rPr>
              <w:t>”</w:t>
            </w:r>
            <w:r w:rsidR="00662484">
              <w:rPr>
                <w:color w:val="000000"/>
              </w:rPr>
              <w:t xml:space="preserve"> (turpmāk Līgumu slēgšanas nolīgums)</w:t>
            </w:r>
            <w:r>
              <w:rPr>
                <w:color w:val="000000"/>
              </w:rPr>
              <w:t xml:space="preserve">, saskaņā ar kuru Latvijas Republikas Satiksmes ministrija ir apņēmusies </w:t>
            </w:r>
            <w:r w:rsidRPr="000B1571">
              <w:rPr>
                <w:color w:val="000000"/>
              </w:rPr>
              <w:t>pieņem</w:t>
            </w:r>
            <w:r>
              <w:rPr>
                <w:color w:val="000000"/>
              </w:rPr>
              <w:t>t</w:t>
            </w:r>
            <w:r w:rsidRPr="000B1571">
              <w:rPr>
                <w:color w:val="000000"/>
              </w:rPr>
              <w:t xml:space="preserve"> visus nepi</w:t>
            </w:r>
            <w:r>
              <w:rPr>
                <w:color w:val="000000"/>
              </w:rPr>
              <w:t>eciešamos lēmumus un veikt</w:t>
            </w:r>
            <w:r w:rsidRPr="000B1571">
              <w:rPr>
                <w:color w:val="000000"/>
              </w:rPr>
              <w:t xml:space="preserve"> visus savā kompetencē</w:t>
            </w:r>
            <w:r>
              <w:rPr>
                <w:color w:val="000000"/>
              </w:rPr>
              <w:t xml:space="preserve"> esošos nepieciešamos pasākumus,</w:t>
            </w:r>
            <w:r w:rsidRPr="000B1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[..],</w:t>
            </w:r>
            <w:r w:rsidRPr="000B1571">
              <w:rPr>
                <w:color w:val="000000"/>
              </w:rPr>
              <w:t xml:space="preserve"> lai īstenotu </w:t>
            </w:r>
            <w:r>
              <w:rPr>
                <w:color w:val="000000"/>
              </w:rPr>
              <w:t>No</w:t>
            </w:r>
            <w:r w:rsidRPr="000B1571">
              <w:rPr>
                <w:color w:val="000000"/>
              </w:rPr>
              <w:t xml:space="preserve">līgumā noteiktos principus, tajā skaitā, bet ne tikai, </w:t>
            </w:r>
            <w:r>
              <w:rPr>
                <w:color w:val="000000"/>
              </w:rPr>
              <w:t>[..]</w:t>
            </w:r>
            <w:r w:rsidRPr="000B1571">
              <w:rPr>
                <w:color w:val="000000"/>
              </w:rPr>
              <w:t xml:space="preserve"> izsniegt pilnvaras, pieņemt nepieciešamos lēmumus un uzsākt nepieciešamo normatīvo un administratīvo aktu pieņemšanu</w:t>
            </w:r>
            <w:r>
              <w:rPr>
                <w:color w:val="000000"/>
              </w:rPr>
              <w:t>.</w:t>
            </w:r>
          </w:p>
          <w:p w14:paraId="2BA93ECC" w14:textId="741DF78E" w:rsidR="003313C1" w:rsidRDefault="00662484" w:rsidP="008C5652">
            <w:pPr>
              <w:ind w:left="133" w:right="222"/>
              <w:jc w:val="both"/>
              <w:rPr>
                <w:color w:val="000000"/>
              </w:rPr>
            </w:pPr>
            <w:r>
              <w:rPr>
                <w:color w:val="000000"/>
              </w:rPr>
              <w:t>Saskaņā ar Līgumu slēgšanas nolīgum</w:t>
            </w:r>
            <w:r w:rsidR="00556968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="00556968">
              <w:rPr>
                <w:color w:val="000000"/>
              </w:rPr>
              <w:t xml:space="preserve">3.1.2. punkta noteikumiem AS “RB Rail” cita starpā ir uzdots organizēt Rail </w:t>
            </w:r>
            <w:proofErr w:type="spellStart"/>
            <w:r w:rsidR="00556968">
              <w:rPr>
                <w:color w:val="000000"/>
              </w:rPr>
              <w:t>Baltica</w:t>
            </w:r>
            <w:proofErr w:type="spellEnd"/>
            <w:r w:rsidR="00556968">
              <w:rPr>
                <w:color w:val="000000"/>
              </w:rPr>
              <w:t xml:space="preserve"> trases projektēšanu visās dalībvalstīs. Lai realizētu šo uzdevumu, Latvijas Republikas Satiksmes ministrijai ir nepieciešams deleģēt šī uzdevuma izpildi saskaņā ar</w:t>
            </w:r>
            <w:r w:rsidR="00D277A3">
              <w:rPr>
                <w:color w:val="000000"/>
              </w:rPr>
              <w:t xml:space="preserve"> Latvijas </w:t>
            </w:r>
            <w:r w:rsidR="00D277A3" w:rsidRPr="008C5652">
              <w:rPr>
                <w:color w:val="000000"/>
              </w:rPr>
              <w:t>Republikā spēkā esošajiem normatīvajiem aktiem,</w:t>
            </w:r>
            <w:r w:rsidR="00556968">
              <w:rPr>
                <w:color w:val="000000"/>
              </w:rPr>
              <w:t xml:space="preserve"> kas nosaka, ka a</w:t>
            </w:r>
            <w:r w:rsidR="00556968" w:rsidRPr="00423BF1">
              <w:t>tbilstoši Valsts pārvaldes iekārtas likuma 41.</w:t>
            </w:r>
            <w:r w:rsidR="00556968">
              <w:t xml:space="preserve"> </w:t>
            </w:r>
            <w:r w:rsidR="00556968" w:rsidRPr="00423BF1">
              <w:t xml:space="preserve">panta pirmajai </w:t>
            </w:r>
            <w:r w:rsidR="00556968" w:rsidRPr="00423BF1">
              <w:lastRenderedPageBreak/>
              <w:t xml:space="preserve">daļai publiska persona var deleģēt pārvaldes uzdevumus, kuru izpilde ietilpst šīs publiskās personas vai tās iestādes kompetencē. Savukārt </w:t>
            </w:r>
            <w:r w:rsidR="00556968" w:rsidRPr="00423BF1">
              <w:rPr>
                <w:lang w:eastAsia="zh-TW"/>
              </w:rPr>
              <w:t>Valsts pārvaldes iekārtas likuma 40.</w:t>
            </w:r>
            <w:r w:rsidR="00556968">
              <w:rPr>
                <w:lang w:eastAsia="zh-TW"/>
              </w:rPr>
              <w:t xml:space="preserve"> </w:t>
            </w:r>
            <w:r w:rsidR="00556968" w:rsidRPr="00423BF1">
              <w:rPr>
                <w:lang w:eastAsia="zh-TW"/>
              </w:rPr>
              <w:t>panta pirmā daļa noteic, ka publiska persona var deleģēt privātpersonai un citai publiskai personai pārvaldes uzdevumu, ja pilnvarotā persona attiecīgo uzdevumu var veikt efektīvāk.</w:t>
            </w:r>
            <w:r w:rsidR="00556968">
              <w:rPr>
                <w:lang w:eastAsia="zh-TW"/>
              </w:rPr>
              <w:t xml:space="preserve"> Konkrētajā gadījumā pienākums deleģēt valsts pārvaldes </w:t>
            </w:r>
            <w:r w:rsidR="00CE19BD">
              <w:rPr>
                <w:lang w:eastAsia="zh-TW"/>
              </w:rPr>
              <w:t xml:space="preserve">uzdevumu izriet no tiesiski noslēgtā </w:t>
            </w:r>
            <w:r w:rsidR="00CE19BD">
              <w:rPr>
                <w:color w:val="000000"/>
              </w:rPr>
              <w:t xml:space="preserve">Līgumu slēgšanas nolīguma, arī kritērijs par uzdevuma veikšanas efektivitāti tiek izpildīts, jo AS “RB Rail” ir specializēta Rail </w:t>
            </w:r>
            <w:proofErr w:type="spellStart"/>
            <w:r w:rsidR="00CE19BD">
              <w:rPr>
                <w:color w:val="000000"/>
              </w:rPr>
              <w:t>Baltica</w:t>
            </w:r>
            <w:proofErr w:type="spellEnd"/>
            <w:r w:rsidR="00CE19BD">
              <w:rPr>
                <w:color w:val="000000"/>
              </w:rPr>
              <w:t xml:space="preserve"> globālā projekta realizēšanas un centrālās koordinācijas institūcija, kurai ir nepieciešamie līdzekļi un resursi. </w:t>
            </w:r>
          </w:p>
          <w:p w14:paraId="3716AE20" w14:textId="6C5019C6" w:rsidR="00CE19BD" w:rsidRDefault="00CE19BD" w:rsidP="008C5652">
            <w:pPr>
              <w:ind w:left="133" w:right="22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Līgumu slēgšanas nolīguma 3.1.2. punktā minēto uzdevumu deleģēšana nav iespējama SIA “Eiropas dzelzceļa līnijas” ar kuru </w:t>
            </w:r>
            <w:r w:rsidR="00561770">
              <w:rPr>
                <w:color w:val="000000"/>
              </w:rPr>
              <w:t>Latvijas Republikas Satiksmes ministrija</w:t>
            </w:r>
            <w:r w:rsidR="003C79F8">
              <w:rPr>
                <w:color w:val="000000"/>
              </w:rPr>
              <w:t>i</w:t>
            </w:r>
            <w:r w:rsidR="005617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jau ir noslēgts deleģēšanas līgums </w:t>
            </w:r>
            <w:r w:rsidR="00561770">
              <w:rPr>
                <w:color w:val="000000"/>
              </w:rPr>
              <w:t xml:space="preserve">par citu globālā Rail </w:t>
            </w:r>
            <w:proofErr w:type="spellStart"/>
            <w:r w:rsidR="00561770">
              <w:rPr>
                <w:color w:val="000000"/>
              </w:rPr>
              <w:t>Baltica</w:t>
            </w:r>
            <w:proofErr w:type="spellEnd"/>
            <w:r w:rsidR="00561770">
              <w:rPr>
                <w:color w:val="000000"/>
              </w:rPr>
              <w:t xml:space="preserve"> projekta uzdevumu veikšanu, jo Līgumu slēgšanas nolīguma puses ir tieši vienojušās par veicamo uzdevumu realizācijas kārtību. Noteiktās kārtības neievērošana radītu </w:t>
            </w:r>
            <w:r w:rsidR="001F2545">
              <w:rPr>
                <w:color w:val="000000"/>
              </w:rPr>
              <w:t>uzņemto</w:t>
            </w:r>
            <w:r w:rsidR="00561770">
              <w:rPr>
                <w:color w:val="000000"/>
              </w:rPr>
              <w:t xml:space="preserve"> saistību pārkāpuma risku.</w:t>
            </w:r>
          </w:p>
          <w:p w14:paraId="173F6502" w14:textId="78C12178" w:rsidR="002436AA" w:rsidRPr="009971F0" w:rsidRDefault="00B01B9C" w:rsidP="008C5652">
            <w:pPr>
              <w:ind w:left="133" w:right="222"/>
              <w:jc w:val="both"/>
              <w:rPr>
                <w:color w:val="000000"/>
              </w:rPr>
            </w:pPr>
            <w:r w:rsidRPr="009971F0">
              <w:t xml:space="preserve">Apkopojot augstāk minēto, secināms, lai varētu veikt </w:t>
            </w:r>
            <w:r w:rsidR="008363E7" w:rsidRPr="009971F0">
              <w:t xml:space="preserve">un </w:t>
            </w:r>
            <w:r w:rsidRPr="009971F0">
              <w:t>organizēt</w:t>
            </w:r>
            <w:r w:rsidR="00E831AE">
              <w:t xml:space="preserve"> projekta</w:t>
            </w:r>
            <w:r w:rsidRPr="009971F0">
              <w:t xml:space="preserve"> Finansēšanas līgumā ietverto aktivitāšu apjomu</w:t>
            </w:r>
            <w:r w:rsidR="00F80D43" w:rsidRPr="009971F0">
              <w:t xml:space="preserve"> un realizēt </w:t>
            </w:r>
            <w:r w:rsidR="006F678F" w:rsidRPr="006F678F">
              <w:rPr>
                <w:color w:val="000000"/>
              </w:rPr>
              <w:t>Līguma slēgšanas nolīguma</w:t>
            </w:r>
            <w:r w:rsidR="006F678F">
              <w:rPr>
                <w:color w:val="000000"/>
              </w:rPr>
              <w:t xml:space="preserve"> shēmā</w:t>
            </w:r>
            <w:r w:rsidR="00F80D43" w:rsidRPr="006F678F">
              <w:rPr>
                <w:color w:val="000000"/>
              </w:rPr>
              <w:t xml:space="preserve"> Rail</w:t>
            </w:r>
            <w:r w:rsidR="006F678F">
              <w:rPr>
                <w:color w:val="000000"/>
              </w:rPr>
              <w:t xml:space="preserve"> </w:t>
            </w:r>
            <w:proofErr w:type="spellStart"/>
            <w:r w:rsidR="006F678F">
              <w:rPr>
                <w:color w:val="000000"/>
              </w:rPr>
              <w:t>Baltica</w:t>
            </w:r>
            <w:proofErr w:type="spellEnd"/>
            <w:r w:rsidR="006F678F">
              <w:rPr>
                <w:color w:val="000000"/>
              </w:rPr>
              <w:t xml:space="preserve"> projektam</w:t>
            </w:r>
            <w:r w:rsidR="00F80D43" w:rsidRPr="009971F0">
              <w:rPr>
                <w:color w:val="000000"/>
              </w:rPr>
              <w:t xml:space="preserve"> noteiktos uzdevumus, ir nepieciešams deleģēt faktisko</w:t>
            </w:r>
            <w:r w:rsidR="002436AA" w:rsidRPr="009971F0">
              <w:rPr>
                <w:color w:val="000000"/>
              </w:rPr>
              <w:t xml:space="preserve"> aktivitāšu realizēšanu AS “RB Rail”, kas ir dibināta kā triju Baltijas valstu kopuzņēmums Rail </w:t>
            </w:r>
            <w:proofErr w:type="spellStart"/>
            <w:r w:rsidR="002436AA" w:rsidRPr="009971F0">
              <w:rPr>
                <w:color w:val="000000"/>
              </w:rPr>
              <w:t>Baltica</w:t>
            </w:r>
            <w:proofErr w:type="spellEnd"/>
            <w:r w:rsidR="002436AA" w:rsidRPr="009971F0">
              <w:rPr>
                <w:color w:val="000000"/>
              </w:rPr>
              <w:t xml:space="preserve"> projekta realizēšanai un centrālai koordinēšanai</w:t>
            </w:r>
            <w:r w:rsidR="00FE310F" w:rsidRPr="009971F0">
              <w:rPr>
                <w:color w:val="000000"/>
              </w:rPr>
              <w:t>.</w:t>
            </w:r>
          </w:p>
          <w:p w14:paraId="2F771C97" w14:textId="18FE67DC" w:rsidR="00737F26" w:rsidRDefault="00B01B9C" w:rsidP="00737F26">
            <w:pPr>
              <w:pStyle w:val="naisf"/>
              <w:tabs>
                <w:tab w:val="left" w:pos="993"/>
              </w:tabs>
              <w:spacing w:before="0" w:after="0"/>
              <w:ind w:left="133" w:right="222" w:firstLine="0"/>
              <w:rPr>
                <w:lang w:eastAsia="zh-TW"/>
              </w:rPr>
            </w:pPr>
            <w:r w:rsidRPr="009971F0">
              <w:rPr>
                <w:lang w:eastAsia="zh-TW"/>
              </w:rPr>
              <w:t xml:space="preserve">Par aktivitāšu realizēšanu </w:t>
            </w:r>
            <w:r w:rsidR="00725098" w:rsidRPr="009971F0">
              <w:rPr>
                <w:lang w:eastAsia="zh-TW"/>
              </w:rPr>
              <w:t xml:space="preserve">ar </w:t>
            </w:r>
            <w:r w:rsidR="00725098" w:rsidRPr="009971F0">
              <w:rPr>
                <w:color w:val="000000"/>
              </w:rPr>
              <w:t xml:space="preserve"> AS “RB Rail” </w:t>
            </w:r>
            <w:r w:rsidRPr="009971F0">
              <w:rPr>
                <w:lang w:eastAsia="zh-TW"/>
              </w:rPr>
              <w:t>tiks slēgt</w:t>
            </w:r>
            <w:r w:rsidR="00CE19BD">
              <w:rPr>
                <w:lang w:eastAsia="zh-TW"/>
              </w:rPr>
              <w:t>s</w:t>
            </w:r>
            <w:r w:rsidRPr="009971F0">
              <w:rPr>
                <w:lang w:eastAsia="zh-TW"/>
              </w:rPr>
              <w:t xml:space="preserve"> līgum</w:t>
            </w:r>
            <w:r w:rsidR="00CE19BD">
              <w:rPr>
                <w:lang w:eastAsia="zh-TW"/>
              </w:rPr>
              <w:t>s</w:t>
            </w:r>
            <w:r w:rsidRPr="009971F0">
              <w:rPr>
                <w:lang w:eastAsia="zh-TW"/>
              </w:rPr>
              <w:t xml:space="preserve">, </w:t>
            </w:r>
            <w:r w:rsidR="00725098" w:rsidRPr="009971F0">
              <w:rPr>
                <w:lang w:eastAsia="zh-TW"/>
              </w:rPr>
              <w:t xml:space="preserve">kur </w:t>
            </w:r>
            <w:r w:rsidRPr="009971F0">
              <w:rPr>
                <w:lang w:eastAsia="zh-TW"/>
              </w:rPr>
              <w:t xml:space="preserve">precīzi tiks </w:t>
            </w:r>
            <w:r w:rsidR="00F80D43" w:rsidRPr="009971F0">
              <w:rPr>
                <w:lang w:eastAsia="zh-TW"/>
              </w:rPr>
              <w:t>noteikti</w:t>
            </w:r>
            <w:r w:rsidRPr="009971F0">
              <w:rPr>
                <w:lang w:eastAsia="zh-TW"/>
              </w:rPr>
              <w:t xml:space="preserve"> deleģēšanas noteikumi un deleģētais uzdevum</w:t>
            </w:r>
            <w:r w:rsidR="00CE19BD">
              <w:rPr>
                <w:lang w:eastAsia="zh-TW"/>
              </w:rPr>
              <w:t>s</w:t>
            </w:r>
            <w:r w:rsidR="00E747FE" w:rsidRPr="009971F0">
              <w:rPr>
                <w:lang w:eastAsia="zh-TW"/>
              </w:rPr>
              <w:t>.</w:t>
            </w:r>
            <w:r w:rsidR="00D277A3">
              <w:rPr>
                <w:lang w:eastAsia="zh-TW"/>
              </w:rPr>
              <w:t xml:space="preserve"> SIA “Eir</w:t>
            </w:r>
            <w:r w:rsidR="001F2545">
              <w:rPr>
                <w:lang w:eastAsia="zh-TW"/>
              </w:rPr>
              <w:t>opas dzelzceļa līnijas “ un AS R</w:t>
            </w:r>
            <w:r w:rsidR="00D277A3">
              <w:rPr>
                <w:lang w:eastAsia="zh-TW"/>
              </w:rPr>
              <w:t xml:space="preserve">B Rail” </w:t>
            </w:r>
            <w:r w:rsidR="00D277A3" w:rsidRPr="008C5652">
              <w:rPr>
                <w:lang w:eastAsia="zh-TW"/>
              </w:rPr>
              <w:t>u</w:t>
            </w:r>
            <w:r w:rsidR="00F86356" w:rsidRPr="008C5652">
              <w:rPr>
                <w:lang w:eastAsia="zh-TW"/>
              </w:rPr>
              <w:t>zdevumi tiks nodalīti atsevišķos deleģēšanas</w:t>
            </w:r>
            <w:r w:rsidR="007E0381">
              <w:rPr>
                <w:lang w:eastAsia="zh-TW"/>
              </w:rPr>
              <w:t xml:space="preserve"> līgumos. Jau noslēgtais līgums</w:t>
            </w:r>
            <w:r w:rsidR="00D277A3" w:rsidRPr="008C5652">
              <w:rPr>
                <w:lang w:eastAsia="zh-TW"/>
              </w:rPr>
              <w:t xml:space="preserve"> ar SIA “Eiropas dzelzceļa līnijas” </w:t>
            </w:r>
            <w:r w:rsidR="00F86356" w:rsidRPr="008C5652">
              <w:rPr>
                <w:lang w:eastAsia="zh-TW"/>
              </w:rPr>
              <w:t>netiks ietekmēts.</w:t>
            </w:r>
          </w:p>
          <w:p w14:paraId="5B77DC05" w14:textId="64963EF3" w:rsidR="003313C1" w:rsidRPr="00190E62" w:rsidRDefault="007E0381" w:rsidP="00E2685B">
            <w:pPr>
              <w:pStyle w:val="naisf"/>
              <w:tabs>
                <w:tab w:val="left" w:pos="993"/>
              </w:tabs>
              <w:spacing w:before="0" w:after="0"/>
              <w:ind w:left="133" w:right="222" w:firstLine="0"/>
            </w:pPr>
            <w:r>
              <w:t>Iepriekš noteikumu punktā</w:t>
            </w:r>
            <w:r w:rsidR="00737F26">
              <w:t xml:space="preserve"> ietvertais termiņš – 2022.gada 31.decembris tika norādīts ievērojot projekta finansēšana līgumā ietverto termiņu, taču faktiski</w:t>
            </w:r>
            <w:r w:rsidR="00455F89">
              <w:t xml:space="preserve"> </w:t>
            </w:r>
            <w:r w:rsidR="00737F26">
              <w:t>p</w:t>
            </w:r>
            <w:r w:rsidR="00561770" w:rsidRPr="00737F26">
              <w:t>rojekta izpildes termiņš saskaņā ar esošajiem realizācijas</w:t>
            </w:r>
            <w:r>
              <w:t xml:space="preserve"> laika grafikiem </w:t>
            </w:r>
            <w:r w:rsidR="001F2545">
              <w:t>ir</w:t>
            </w:r>
            <w:r w:rsidR="00737F26">
              <w:t xml:space="preserve"> 2026.gads.</w:t>
            </w:r>
          </w:p>
        </w:tc>
      </w:tr>
      <w:tr w:rsidR="00190E62" w:rsidRPr="00190E62" w14:paraId="5EEBCAFB" w14:textId="77777777" w:rsidTr="00A12D88">
        <w:trPr>
          <w:trHeight w:val="476"/>
        </w:trPr>
        <w:tc>
          <w:tcPr>
            <w:tcW w:w="431" w:type="dxa"/>
          </w:tcPr>
          <w:p w14:paraId="68E69216" w14:textId="77777777" w:rsidR="000078D2" w:rsidRPr="00190E62" w:rsidRDefault="00222A5F" w:rsidP="00CA700B">
            <w:pPr>
              <w:pStyle w:val="naiskr"/>
              <w:spacing w:before="0" w:after="0"/>
              <w:jc w:val="center"/>
            </w:pPr>
            <w:r w:rsidRPr="00190E62">
              <w:lastRenderedPageBreak/>
              <w:t>3</w:t>
            </w:r>
            <w:r w:rsidR="000078D2" w:rsidRPr="00190E62">
              <w:t>.</w:t>
            </w:r>
          </w:p>
        </w:tc>
        <w:tc>
          <w:tcPr>
            <w:tcW w:w="2693" w:type="dxa"/>
          </w:tcPr>
          <w:p w14:paraId="5C96D650" w14:textId="14102D29" w:rsidR="00417EC3" w:rsidRPr="0017279F" w:rsidRDefault="0017279F" w:rsidP="0017279F">
            <w:pPr>
              <w:pStyle w:val="naiskr"/>
              <w:spacing w:before="0" w:after="0"/>
              <w:ind w:left="164"/>
            </w:pPr>
            <w:r w:rsidRPr="0017279F">
              <w:rPr>
                <w:szCs w:val="20"/>
              </w:rPr>
              <w:t>Projekta izstrādē iesaistītās institūcijas un publiskas personas kapitālsabiedrības</w:t>
            </w:r>
          </w:p>
        </w:tc>
        <w:tc>
          <w:tcPr>
            <w:tcW w:w="6601" w:type="dxa"/>
          </w:tcPr>
          <w:p w14:paraId="21A8AC6E" w14:textId="77777777" w:rsidR="000078D2" w:rsidRPr="00190E62" w:rsidRDefault="003313C1" w:rsidP="00FE1E47">
            <w:pPr>
              <w:pStyle w:val="naiskr"/>
              <w:ind w:left="142" w:right="222"/>
              <w:jc w:val="both"/>
            </w:pPr>
            <w:r>
              <w:t>Satiksmes ministrija</w:t>
            </w:r>
          </w:p>
        </w:tc>
      </w:tr>
      <w:tr w:rsidR="00190E62" w:rsidRPr="00190E62" w14:paraId="55BBF34D" w14:textId="77777777" w:rsidTr="00A12D88">
        <w:tc>
          <w:tcPr>
            <w:tcW w:w="431" w:type="dxa"/>
          </w:tcPr>
          <w:p w14:paraId="16D6E2EA" w14:textId="77777777" w:rsidR="000078D2" w:rsidRPr="00190E62" w:rsidRDefault="00C80B56" w:rsidP="00CA700B">
            <w:pPr>
              <w:pStyle w:val="naiskr"/>
              <w:spacing w:before="0" w:after="0"/>
              <w:jc w:val="center"/>
            </w:pPr>
            <w:r w:rsidRPr="00190E62">
              <w:t>4</w:t>
            </w:r>
            <w:r w:rsidR="000078D2" w:rsidRPr="00190E62">
              <w:t>.</w:t>
            </w:r>
          </w:p>
        </w:tc>
        <w:tc>
          <w:tcPr>
            <w:tcW w:w="2693" w:type="dxa"/>
          </w:tcPr>
          <w:p w14:paraId="4CCBFBC8" w14:textId="77777777" w:rsidR="000078D2" w:rsidRDefault="000078D2" w:rsidP="00756A2C">
            <w:pPr>
              <w:pStyle w:val="naiskr"/>
              <w:spacing w:before="0" w:after="0"/>
              <w:ind w:left="164"/>
            </w:pPr>
            <w:r w:rsidRPr="00190E62">
              <w:t>Cita informācija</w:t>
            </w:r>
          </w:p>
          <w:p w14:paraId="4886FA27" w14:textId="77777777" w:rsidR="00417EC3" w:rsidRPr="00190E62" w:rsidRDefault="00417EC3" w:rsidP="00756A2C">
            <w:pPr>
              <w:pStyle w:val="naiskr"/>
              <w:spacing w:before="0" w:after="0"/>
              <w:ind w:left="164"/>
            </w:pPr>
          </w:p>
        </w:tc>
        <w:tc>
          <w:tcPr>
            <w:tcW w:w="6601" w:type="dxa"/>
          </w:tcPr>
          <w:p w14:paraId="7D37837B" w14:textId="77777777" w:rsidR="000078D2" w:rsidRPr="00190E62" w:rsidRDefault="000078D2" w:rsidP="00756A2C">
            <w:pPr>
              <w:pStyle w:val="naiskr"/>
              <w:spacing w:before="0" w:after="0"/>
              <w:ind w:left="142"/>
            </w:pPr>
            <w:r w:rsidRPr="00190E62">
              <w:t>Nav</w:t>
            </w:r>
          </w:p>
        </w:tc>
      </w:tr>
    </w:tbl>
    <w:p w14:paraId="75F70E16" w14:textId="0CF6816D" w:rsidR="00417EC3" w:rsidRPr="00190E62" w:rsidRDefault="00417EC3" w:rsidP="00756A2C">
      <w:pPr>
        <w:pStyle w:val="naiskr"/>
        <w:tabs>
          <w:tab w:val="left" w:pos="2628"/>
        </w:tabs>
        <w:spacing w:before="0" w:after="0"/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5"/>
      </w:tblGrid>
      <w:tr w:rsidR="00190E62" w:rsidRPr="00190E62" w14:paraId="528F1ECA" w14:textId="77777777" w:rsidTr="00926528">
        <w:tc>
          <w:tcPr>
            <w:tcW w:w="9725" w:type="dxa"/>
          </w:tcPr>
          <w:p w14:paraId="21E468A4" w14:textId="77777777" w:rsidR="003D0B0A" w:rsidRPr="00190E62" w:rsidRDefault="003D0B0A" w:rsidP="003D0B0A">
            <w:pPr>
              <w:pStyle w:val="naiskr"/>
              <w:spacing w:before="0" w:after="0"/>
              <w:jc w:val="center"/>
            </w:pPr>
            <w:r w:rsidRPr="00190E62">
              <w:rPr>
                <w:b/>
                <w:bCs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190E62" w:rsidRPr="00190E62" w14:paraId="3D7991E8" w14:textId="77777777" w:rsidTr="00926528">
        <w:tc>
          <w:tcPr>
            <w:tcW w:w="9725" w:type="dxa"/>
          </w:tcPr>
          <w:p w14:paraId="579D0299" w14:textId="77777777" w:rsidR="003D0B0A" w:rsidRPr="00190E62" w:rsidRDefault="003D0B0A" w:rsidP="003D0B0A">
            <w:pPr>
              <w:pStyle w:val="naiskr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190E62">
              <w:rPr>
                <w:bCs/>
                <w:sz w:val="26"/>
                <w:szCs w:val="26"/>
              </w:rPr>
              <w:t>Projekts šo jomu neskar</w:t>
            </w:r>
          </w:p>
        </w:tc>
      </w:tr>
    </w:tbl>
    <w:p w14:paraId="7BDF4174" w14:textId="77777777" w:rsidR="006D2A68" w:rsidRDefault="006D2A68" w:rsidP="00756A2C">
      <w:pPr>
        <w:pStyle w:val="naiskr"/>
        <w:tabs>
          <w:tab w:val="left" w:pos="2628"/>
        </w:tabs>
        <w:spacing w:before="0" w:after="0"/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5"/>
      </w:tblGrid>
      <w:tr w:rsidR="009971F0" w:rsidRPr="009971F0" w14:paraId="08420F66" w14:textId="77777777" w:rsidTr="004E0223">
        <w:tc>
          <w:tcPr>
            <w:tcW w:w="9725" w:type="dxa"/>
          </w:tcPr>
          <w:p w14:paraId="3EDEE69E" w14:textId="77777777" w:rsidR="00D63EB6" w:rsidRPr="009971F0" w:rsidRDefault="00D63EB6" w:rsidP="004E0223">
            <w:pPr>
              <w:pStyle w:val="naiskr"/>
              <w:spacing w:before="0" w:after="0"/>
              <w:jc w:val="center"/>
            </w:pPr>
            <w:r w:rsidRPr="009971F0">
              <w:rPr>
                <w:b/>
              </w:rPr>
              <w:t>III. Tiesību akta projekta ietekme uz valsts budžetu un pašvaldību budžetiem</w:t>
            </w:r>
          </w:p>
        </w:tc>
      </w:tr>
      <w:tr w:rsidR="009971F0" w:rsidRPr="009971F0" w14:paraId="0B73FF4D" w14:textId="77777777" w:rsidTr="004E0223">
        <w:tc>
          <w:tcPr>
            <w:tcW w:w="9725" w:type="dxa"/>
          </w:tcPr>
          <w:p w14:paraId="695560EB" w14:textId="77777777" w:rsidR="00D63EB6" w:rsidRPr="009971F0" w:rsidRDefault="00D63EB6" w:rsidP="004E0223">
            <w:pPr>
              <w:pStyle w:val="naiskr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9971F0">
              <w:rPr>
                <w:bCs/>
                <w:sz w:val="26"/>
                <w:szCs w:val="26"/>
              </w:rPr>
              <w:t>Projekts šo jomu neskar</w:t>
            </w:r>
          </w:p>
        </w:tc>
      </w:tr>
    </w:tbl>
    <w:p w14:paraId="5A9EC292" w14:textId="77777777" w:rsidR="003D0B0A" w:rsidRPr="00190E62" w:rsidRDefault="003D0B0A" w:rsidP="00756A2C">
      <w:pPr>
        <w:pStyle w:val="naiskr"/>
        <w:tabs>
          <w:tab w:val="left" w:pos="2628"/>
        </w:tabs>
        <w:spacing w:before="0" w:after="0"/>
      </w:pPr>
    </w:p>
    <w:tbl>
      <w:tblPr>
        <w:tblpPr w:leftFromText="180" w:rightFromText="180" w:vertAnchor="text" w:horzAnchor="margin" w:tblpXSpec="center" w:tblpY="149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8"/>
      </w:tblGrid>
      <w:tr w:rsidR="00190E62" w:rsidRPr="00190E62" w14:paraId="3C983BC0" w14:textId="77777777" w:rsidTr="002436AA">
        <w:tc>
          <w:tcPr>
            <w:tcW w:w="9588" w:type="dxa"/>
          </w:tcPr>
          <w:p w14:paraId="179B51A7" w14:textId="77777777" w:rsidR="003D0B0A" w:rsidRPr="00190E62" w:rsidRDefault="00190E62" w:rsidP="00C477D7">
            <w:pPr>
              <w:pStyle w:val="naiskr"/>
              <w:spacing w:before="0" w:after="0"/>
              <w:jc w:val="center"/>
            </w:pPr>
            <w:r w:rsidRPr="00190E62">
              <w:rPr>
                <w:b/>
                <w:bCs/>
                <w:szCs w:val="26"/>
              </w:rPr>
              <w:lastRenderedPageBreak/>
              <w:t>IV. Tiesību akta projekta ietekme uz spēkā esošo tiesību normu sistēmu</w:t>
            </w:r>
          </w:p>
        </w:tc>
      </w:tr>
      <w:tr w:rsidR="00190E62" w:rsidRPr="00190E62" w14:paraId="217059DC" w14:textId="77777777" w:rsidTr="002436AA">
        <w:tc>
          <w:tcPr>
            <w:tcW w:w="9588" w:type="dxa"/>
          </w:tcPr>
          <w:p w14:paraId="3739048D" w14:textId="77777777" w:rsidR="003D0B0A" w:rsidRPr="00190E62" w:rsidRDefault="003D0B0A" w:rsidP="00C477D7">
            <w:pPr>
              <w:pStyle w:val="naiskr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190E62">
              <w:rPr>
                <w:bCs/>
                <w:sz w:val="26"/>
                <w:szCs w:val="26"/>
              </w:rPr>
              <w:t>Projekts šo jomu neskar</w:t>
            </w:r>
          </w:p>
        </w:tc>
      </w:tr>
    </w:tbl>
    <w:p w14:paraId="6E340F15" w14:textId="77777777" w:rsidR="003D0B0A" w:rsidRDefault="003D0B0A" w:rsidP="00756A2C">
      <w:pPr>
        <w:pStyle w:val="naiskr"/>
        <w:tabs>
          <w:tab w:val="left" w:pos="2628"/>
        </w:tabs>
        <w:spacing w:before="0" w:after="0"/>
      </w:pPr>
    </w:p>
    <w:tbl>
      <w:tblPr>
        <w:tblpPr w:leftFromText="180" w:rightFromText="180" w:vertAnchor="text" w:horzAnchor="margin" w:tblpXSpec="center" w:tblpY="1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190E62" w:rsidRPr="00190E62" w14:paraId="78F73DAD" w14:textId="77777777" w:rsidTr="00EC7A12">
        <w:trPr>
          <w:trHeight w:val="333"/>
        </w:trPr>
        <w:tc>
          <w:tcPr>
            <w:tcW w:w="9634" w:type="dxa"/>
          </w:tcPr>
          <w:p w14:paraId="5E338161" w14:textId="77777777" w:rsidR="00190E62" w:rsidRPr="00190E62" w:rsidRDefault="00190E62" w:rsidP="00C477D7">
            <w:pPr>
              <w:pStyle w:val="naiskr"/>
              <w:spacing w:before="0" w:after="0"/>
              <w:jc w:val="center"/>
            </w:pPr>
            <w:r w:rsidRPr="00190E62">
              <w:rPr>
                <w:b/>
                <w:bCs/>
                <w:szCs w:val="26"/>
              </w:rPr>
              <w:t>V. Tiesību akta projekta atbilstība Latvijas Republikas starptautiskajām saistībām</w:t>
            </w:r>
          </w:p>
        </w:tc>
      </w:tr>
      <w:tr w:rsidR="00190E62" w:rsidRPr="00190E62" w14:paraId="4463643A" w14:textId="77777777" w:rsidTr="00EC7A12">
        <w:trPr>
          <w:trHeight w:val="369"/>
        </w:trPr>
        <w:tc>
          <w:tcPr>
            <w:tcW w:w="9634" w:type="dxa"/>
          </w:tcPr>
          <w:p w14:paraId="40061514" w14:textId="77777777" w:rsidR="00190E62" w:rsidRPr="00190E62" w:rsidRDefault="00190E62" w:rsidP="00C477D7">
            <w:pPr>
              <w:pStyle w:val="naiskr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190E62">
              <w:rPr>
                <w:bCs/>
                <w:sz w:val="26"/>
                <w:szCs w:val="26"/>
              </w:rPr>
              <w:t>Projekts šo jomu neskar</w:t>
            </w:r>
          </w:p>
        </w:tc>
      </w:tr>
    </w:tbl>
    <w:p w14:paraId="3408D53F" w14:textId="77777777" w:rsidR="006D2A68" w:rsidRPr="00190E62" w:rsidRDefault="006D2A68" w:rsidP="00756A2C">
      <w:pPr>
        <w:pStyle w:val="naiskr"/>
        <w:tabs>
          <w:tab w:val="left" w:pos="2628"/>
        </w:tabs>
        <w:spacing w:before="0" w:after="0"/>
      </w:pPr>
    </w:p>
    <w:tbl>
      <w:tblPr>
        <w:tblStyle w:val="TableGrid"/>
        <w:tblW w:w="5320" w:type="pct"/>
        <w:tblInd w:w="-289" w:type="dxa"/>
        <w:tblLook w:val="04A0" w:firstRow="1" w:lastRow="0" w:firstColumn="1" w:lastColumn="0" w:noHBand="0" w:noVBand="1"/>
      </w:tblPr>
      <w:tblGrid>
        <w:gridCol w:w="546"/>
        <w:gridCol w:w="4319"/>
        <w:gridCol w:w="4776"/>
      </w:tblGrid>
      <w:tr w:rsidR="00190E62" w:rsidRPr="00190E62" w14:paraId="08B93AEC" w14:textId="77777777" w:rsidTr="00EC7A12">
        <w:trPr>
          <w:trHeight w:val="289"/>
        </w:trPr>
        <w:tc>
          <w:tcPr>
            <w:tcW w:w="5000" w:type="pct"/>
            <w:gridSpan w:val="3"/>
            <w:hideMark/>
          </w:tcPr>
          <w:p w14:paraId="51E99300" w14:textId="77777777" w:rsidR="00AC70DC" w:rsidRPr="00190E62" w:rsidRDefault="00AC70DC" w:rsidP="00756A2C">
            <w:pPr>
              <w:jc w:val="center"/>
              <w:rPr>
                <w:b/>
                <w:bCs/>
              </w:rPr>
            </w:pPr>
            <w:r w:rsidRPr="00190E62">
              <w:rPr>
                <w:b/>
                <w:bCs/>
              </w:rPr>
              <w:t>VI. Sabiedrības līdzdalība un komunikācijas aktivitātes</w:t>
            </w:r>
          </w:p>
        </w:tc>
      </w:tr>
      <w:tr w:rsidR="00190E62" w:rsidRPr="00190E62" w14:paraId="6B664926" w14:textId="77777777" w:rsidTr="00EC7A12">
        <w:trPr>
          <w:trHeight w:val="540"/>
        </w:trPr>
        <w:tc>
          <w:tcPr>
            <w:tcW w:w="283" w:type="pct"/>
            <w:hideMark/>
          </w:tcPr>
          <w:p w14:paraId="451633FE" w14:textId="77777777" w:rsidR="00AC70DC" w:rsidRPr="00190E62" w:rsidRDefault="00AC70DC" w:rsidP="00CA700B">
            <w:pPr>
              <w:jc w:val="center"/>
            </w:pPr>
            <w:r w:rsidRPr="00190E62">
              <w:t>1.</w:t>
            </w:r>
          </w:p>
        </w:tc>
        <w:tc>
          <w:tcPr>
            <w:tcW w:w="2240" w:type="pct"/>
            <w:hideMark/>
          </w:tcPr>
          <w:p w14:paraId="7FD58351" w14:textId="77777777" w:rsidR="00AC70DC" w:rsidRPr="00190E62" w:rsidRDefault="00AC70DC" w:rsidP="00756A2C">
            <w:pPr>
              <w:ind w:left="21"/>
            </w:pPr>
            <w:r w:rsidRPr="00190E62">
              <w:t>Plānotās sabiedrības līdzdalības un komunikācijas aktivitātes saistībā ar projektu</w:t>
            </w:r>
          </w:p>
        </w:tc>
        <w:tc>
          <w:tcPr>
            <w:tcW w:w="2478" w:type="pct"/>
            <w:hideMark/>
          </w:tcPr>
          <w:p w14:paraId="3D1BB7C8" w14:textId="77777777" w:rsidR="00AC70DC" w:rsidRPr="00190E62" w:rsidRDefault="004E0FED" w:rsidP="00756A2C">
            <w:r w:rsidRPr="00190E62">
              <w:t>Īpašas sabiedrības līdzdalības un komunikācijas aktivitātes nav plānotas</w:t>
            </w:r>
          </w:p>
        </w:tc>
      </w:tr>
      <w:tr w:rsidR="00190E62" w:rsidRPr="00190E62" w14:paraId="4EF6E0FB" w14:textId="77777777" w:rsidTr="00EC7A12">
        <w:trPr>
          <w:trHeight w:val="330"/>
        </w:trPr>
        <w:tc>
          <w:tcPr>
            <w:tcW w:w="283" w:type="pct"/>
            <w:hideMark/>
          </w:tcPr>
          <w:p w14:paraId="4E111A4F" w14:textId="77777777" w:rsidR="00AC70DC" w:rsidRPr="00190E62" w:rsidRDefault="00AC70DC" w:rsidP="00CA700B">
            <w:pPr>
              <w:jc w:val="center"/>
            </w:pPr>
            <w:r w:rsidRPr="00190E62">
              <w:t>2.</w:t>
            </w:r>
          </w:p>
        </w:tc>
        <w:tc>
          <w:tcPr>
            <w:tcW w:w="2240" w:type="pct"/>
            <w:hideMark/>
          </w:tcPr>
          <w:p w14:paraId="012B2AEF" w14:textId="77777777" w:rsidR="00AC70DC" w:rsidRPr="00190E62" w:rsidRDefault="00AC70DC" w:rsidP="00756A2C">
            <w:r w:rsidRPr="00190E62">
              <w:t>Sabiedrības līdzdalība projekta izstrādē</w:t>
            </w:r>
          </w:p>
        </w:tc>
        <w:tc>
          <w:tcPr>
            <w:tcW w:w="2478" w:type="pct"/>
          </w:tcPr>
          <w:p w14:paraId="701ACB51" w14:textId="77777777" w:rsidR="00AC70DC" w:rsidRPr="00190E62" w:rsidRDefault="00756A2C" w:rsidP="00756A2C">
            <w:r w:rsidRPr="00190E62">
              <w:t>Nav</w:t>
            </w:r>
            <w:r w:rsidR="00CC4527" w:rsidRPr="00190E62">
              <w:t xml:space="preserve"> </w:t>
            </w:r>
          </w:p>
        </w:tc>
      </w:tr>
      <w:tr w:rsidR="00190E62" w:rsidRPr="00190E62" w14:paraId="1719E832" w14:textId="77777777" w:rsidTr="00EC7A12">
        <w:trPr>
          <w:trHeight w:val="239"/>
        </w:trPr>
        <w:tc>
          <w:tcPr>
            <w:tcW w:w="283" w:type="pct"/>
            <w:hideMark/>
          </w:tcPr>
          <w:p w14:paraId="7021DA9E" w14:textId="77777777" w:rsidR="00AC70DC" w:rsidRPr="00190E62" w:rsidRDefault="00AC70DC" w:rsidP="00CA700B">
            <w:pPr>
              <w:jc w:val="center"/>
            </w:pPr>
            <w:r w:rsidRPr="00190E62">
              <w:t>3.</w:t>
            </w:r>
          </w:p>
        </w:tc>
        <w:tc>
          <w:tcPr>
            <w:tcW w:w="2240" w:type="pct"/>
            <w:hideMark/>
          </w:tcPr>
          <w:p w14:paraId="5DCCCCA4" w14:textId="77777777" w:rsidR="00AC70DC" w:rsidRPr="00190E62" w:rsidRDefault="00AC70DC" w:rsidP="00756A2C">
            <w:r w:rsidRPr="00190E62">
              <w:t>Sabiedrības līdzdalības rezultāti</w:t>
            </w:r>
          </w:p>
        </w:tc>
        <w:tc>
          <w:tcPr>
            <w:tcW w:w="2478" w:type="pct"/>
            <w:hideMark/>
          </w:tcPr>
          <w:p w14:paraId="14D3A97D" w14:textId="77777777" w:rsidR="00AC70DC" w:rsidRPr="00190E62" w:rsidRDefault="00CC4527" w:rsidP="00756A2C">
            <w:r w:rsidRPr="00190E62">
              <w:t>Nav</w:t>
            </w:r>
          </w:p>
        </w:tc>
      </w:tr>
      <w:tr w:rsidR="00190E62" w:rsidRPr="00190E62" w14:paraId="1ACE9D06" w14:textId="77777777" w:rsidTr="00EC7A12">
        <w:trPr>
          <w:trHeight w:val="229"/>
        </w:trPr>
        <w:tc>
          <w:tcPr>
            <w:tcW w:w="283" w:type="pct"/>
            <w:hideMark/>
          </w:tcPr>
          <w:p w14:paraId="57ED7A17" w14:textId="77777777" w:rsidR="00AC70DC" w:rsidRPr="00190E62" w:rsidRDefault="00AC70DC" w:rsidP="00CA700B">
            <w:pPr>
              <w:jc w:val="center"/>
            </w:pPr>
            <w:r w:rsidRPr="00190E62">
              <w:t>4.</w:t>
            </w:r>
          </w:p>
        </w:tc>
        <w:tc>
          <w:tcPr>
            <w:tcW w:w="2240" w:type="pct"/>
            <w:hideMark/>
          </w:tcPr>
          <w:p w14:paraId="4C719979" w14:textId="77777777" w:rsidR="00AC70DC" w:rsidRPr="00190E62" w:rsidRDefault="00AC70DC" w:rsidP="00756A2C">
            <w:r w:rsidRPr="00190E62">
              <w:t>Cita informācija</w:t>
            </w:r>
          </w:p>
        </w:tc>
        <w:tc>
          <w:tcPr>
            <w:tcW w:w="2478" w:type="pct"/>
            <w:hideMark/>
          </w:tcPr>
          <w:p w14:paraId="3D199DFC" w14:textId="77777777" w:rsidR="00AC70DC" w:rsidRPr="00190E62" w:rsidRDefault="00AC70DC" w:rsidP="00756A2C">
            <w:r w:rsidRPr="00190E62">
              <w:t>Nav</w:t>
            </w:r>
          </w:p>
        </w:tc>
      </w:tr>
    </w:tbl>
    <w:p w14:paraId="036AA5CE" w14:textId="77777777" w:rsidR="00AC70DC" w:rsidRPr="00190E62" w:rsidRDefault="00AC70DC" w:rsidP="00756A2C">
      <w:pPr>
        <w:pStyle w:val="naiskr"/>
        <w:tabs>
          <w:tab w:val="left" w:pos="2628"/>
        </w:tabs>
        <w:spacing w:before="0" w:after="0"/>
        <w:rPr>
          <w:i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820"/>
      </w:tblGrid>
      <w:tr w:rsidR="00190E62" w:rsidRPr="00190E62" w14:paraId="7989AA2F" w14:textId="77777777" w:rsidTr="00756A2C">
        <w:trPr>
          <w:trHeight w:val="275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14:paraId="2D679346" w14:textId="77777777" w:rsidR="0023436E" w:rsidRPr="00190E62" w:rsidRDefault="0023436E" w:rsidP="00756A2C">
            <w:pPr>
              <w:pStyle w:val="naisnod"/>
              <w:spacing w:before="0" w:after="0"/>
            </w:pPr>
            <w:r w:rsidRPr="00190E62">
              <w:t>VII</w:t>
            </w:r>
            <w:r w:rsidR="000941C5" w:rsidRPr="00190E62">
              <w:t>.</w:t>
            </w:r>
            <w:r w:rsidRPr="00190E62">
              <w:t xml:space="preserve"> Tiesību akta projekta izpildes nodrošināšana un tās ietekme uz institūcijām</w:t>
            </w:r>
          </w:p>
        </w:tc>
      </w:tr>
      <w:tr w:rsidR="00190E62" w:rsidRPr="00190E62" w14:paraId="14A1C4EC" w14:textId="77777777" w:rsidTr="00756A2C">
        <w:trPr>
          <w:trHeight w:val="434"/>
        </w:trPr>
        <w:tc>
          <w:tcPr>
            <w:tcW w:w="426" w:type="dxa"/>
          </w:tcPr>
          <w:p w14:paraId="3152D166" w14:textId="77777777" w:rsidR="000078D2" w:rsidRPr="00190E62" w:rsidRDefault="000078D2" w:rsidP="00CA700B">
            <w:pPr>
              <w:pStyle w:val="naisnod"/>
              <w:spacing w:before="0" w:after="0"/>
              <w:rPr>
                <w:b w:val="0"/>
              </w:rPr>
            </w:pPr>
            <w:r w:rsidRPr="00190E62">
              <w:rPr>
                <w:b w:val="0"/>
              </w:rPr>
              <w:t>1.</w:t>
            </w:r>
          </w:p>
        </w:tc>
        <w:tc>
          <w:tcPr>
            <w:tcW w:w="4394" w:type="dxa"/>
          </w:tcPr>
          <w:p w14:paraId="51380780" w14:textId="77777777" w:rsidR="000078D2" w:rsidRPr="00190E62" w:rsidRDefault="00A94DC2" w:rsidP="00756A2C">
            <w:pPr>
              <w:pStyle w:val="naisf"/>
              <w:spacing w:before="0" w:after="0"/>
              <w:ind w:left="114" w:firstLine="0"/>
            </w:pPr>
            <w:r w:rsidRPr="00190E62">
              <w:t>Projekta izpildē iesaistītās institūcijas</w:t>
            </w:r>
          </w:p>
        </w:tc>
        <w:tc>
          <w:tcPr>
            <w:tcW w:w="4820" w:type="dxa"/>
          </w:tcPr>
          <w:p w14:paraId="6D84A458" w14:textId="77777777" w:rsidR="000078D2" w:rsidRPr="00190E62" w:rsidRDefault="007B00EC" w:rsidP="003A212A">
            <w:pPr>
              <w:pStyle w:val="naiskr"/>
              <w:spacing w:before="0" w:after="0"/>
              <w:ind w:left="114"/>
              <w:jc w:val="both"/>
            </w:pPr>
            <w:r w:rsidRPr="00190E62">
              <w:t>N</w:t>
            </w:r>
            <w:r w:rsidR="000078D2" w:rsidRPr="00190E62">
              <w:t xml:space="preserve">oteikumu projekta izpildi nodrošinās </w:t>
            </w:r>
            <w:r w:rsidR="003A212A" w:rsidRPr="00190E62">
              <w:t>Satiksmes ministrija</w:t>
            </w:r>
            <w:r w:rsidR="000078D2" w:rsidRPr="00190E62">
              <w:t xml:space="preserve"> </w:t>
            </w:r>
          </w:p>
        </w:tc>
      </w:tr>
      <w:tr w:rsidR="00190E62" w:rsidRPr="00190E62" w14:paraId="0F67E497" w14:textId="77777777" w:rsidTr="00756A2C">
        <w:trPr>
          <w:trHeight w:val="471"/>
        </w:trPr>
        <w:tc>
          <w:tcPr>
            <w:tcW w:w="426" w:type="dxa"/>
          </w:tcPr>
          <w:p w14:paraId="1D0C5C71" w14:textId="77777777" w:rsidR="000078D2" w:rsidRPr="00190E62" w:rsidRDefault="000078D2" w:rsidP="00CA700B">
            <w:pPr>
              <w:pStyle w:val="naisnod"/>
              <w:spacing w:before="0" w:after="0"/>
              <w:rPr>
                <w:b w:val="0"/>
              </w:rPr>
            </w:pPr>
            <w:r w:rsidRPr="00190E62">
              <w:rPr>
                <w:b w:val="0"/>
              </w:rPr>
              <w:t>2.</w:t>
            </w:r>
          </w:p>
        </w:tc>
        <w:tc>
          <w:tcPr>
            <w:tcW w:w="4394" w:type="dxa"/>
          </w:tcPr>
          <w:p w14:paraId="7E431232" w14:textId="77777777" w:rsidR="000078D2" w:rsidRPr="00190E62" w:rsidRDefault="00A94DC2" w:rsidP="00756A2C">
            <w:pPr>
              <w:ind w:left="114"/>
              <w:jc w:val="both"/>
            </w:pPr>
            <w:r w:rsidRPr="00190E62">
              <w:t>Projekta izpildes ietekme uz pārvaldes funkcijām un institucionālo struktūru. Jaunu institūciju izveide, esoš</w:t>
            </w:r>
            <w:r w:rsidR="00756A2C" w:rsidRPr="00190E62">
              <w:t>o</w:t>
            </w:r>
            <w:r w:rsidRPr="00190E62">
              <w:t xml:space="preserve"> institūciju likvidācija vai reorganizācija, to ietekme uz institūcijas cilvēkresursiem</w:t>
            </w:r>
            <w:r w:rsidR="00D57A58">
              <w:t>.</w:t>
            </w:r>
          </w:p>
        </w:tc>
        <w:tc>
          <w:tcPr>
            <w:tcW w:w="4820" w:type="dxa"/>
          </w:tcPr>
          <w:p w14:paraId="6E1DFC60" w14:textId="77777777" w:rsidR="000078D2" w:rsidRPr="00190E62" w:rsidRDefault="0072423E" w:rsidP="009C6735">
            <w:pPr>
              <w:ind w:left="114" w:right="114"/>
              <w:jc w:val="both"/>
            </w:pPr>
            <w:r w:rsidRPr="00190E62">
              <w:t xml:space="preserve">Noteikumu projekts nemaina </w:t>
            </w:r>
            <w:r w:rsidR="009C6735" w:rsidRPr="00190E62">
              <w:t>Satiksmes ministrijas</w:t>
            </w:r>
            <w:r w:rsidR="00796E62" w:rsidRPr="00190E62">
              <w:t xml:space="preserve"> </w:t>
            </w:r>
            <w:r w:rsidRPr="00190E62">
              <w:t>kompetenci un funkcijas, kā arī neparedz jaunu institūciju izveidi, esošo institūciju likvidāciju vai reorganizāciju</w:t>
            </w:r>
            <w:r w:rsidR="00D57A58">
              <w:t>.</w:t>
            </w:r>
          </w:p>
        </w:tc>
      </w:tr>
      <w:tr w:rsidR="00190E62" w:rsidRPr="00190E62" w14:paraId="35361292" w14:textId="77777777" w:rsidTr="00B267A1">
        <w:trPr>
          <w:trHeight w:val="215"/>
        </w:trPr>
        <w:tc>
          <w:tcPr>
            <w:tcW w:w="426" w:type="dxa"/>
          </w:tcPr>
          <w:p w14:paraId="1FB9361F" w14:textId="77777777" w:rsidR="000078D2" w:rsidRPr="00190E62" w:rsidRDefault="000078D2" w:rsidP="00CA700B">
            <w:pPr>
              <w:pStyle w:val="naisnod"/>
              <w:spacing w:before="0" w:after="0"/>
              <w:rPr>
                <w:b w:val="0"/>
              </w:rPr>
            </w:pPr>
            <w:r w:rsidRPr="00190E62">
              <w:rPr>
                <w:b w:val="0"/>
              </w:rPr>
              <w:t>3.</w:t>
            </w:r>
          </w:p>
        </w:tc>
        <w:tc>
          <w:tcPr>
            <w:tcW w:w="4394" w:type="dxa"/>
          </w:tcPr>
          <w:p w14:paraId="1F5DFEC2" w14:textId="77777777" w:rsidR="000078D2" w:rsidRPr="00190E62" w:rsidRDefault="00A94DC2" w:rsidP="00756A2C">
            <w:pPr>
              <w:pStyle w:val="naisf"/>
              <w:spacing w:before="0" w:after="0"/>
              <w:ind w:left="114" w:firstLine="0"/>
              <w:jc w:val="left"/>
            </w:pPr>
            <w:r w:rsidRPr="00190E62">
              <w:t>Cita informācija</w:t>
            </w:r>
          </w:p>
        </w:tc>
        <w:tc>
          <w:tcPr>
            <w:tcW w:w="4820" w:type="dxa"/>
          </w:tcPr>
          <w:p w14:paraId="7403147E" w14:textId="77777777" w:rsidR="000078D2" w:rsidRPr="00190E62" w:rsidRDefault="00A94DC2" w:rsidP="00756A2C">
            <w:pPr>
              <w:pStyle w:val="naiskr"/>
              <w:spacing w:before="0" w:after="0"/>
              <w:ind w:left="114"/>
              <w:jc w:val="both"/>
            </w:pPr>
            <w:r w:rsidRPr="00190E62">
              <w:t>Nav</w:t>
            </w:r>
          </w:p>
        </w:tc>
      </w:tr>
    </w:tbl>
    <w:p w14:paraId="76733AFC" w14:textId="77777777" w:rsidR="00D61195" w:rsidRPr="00190E62" w:rsidRDefault="00D61195" w:rsidP="00D61195">
      <w:pPr>
        <w:spacing w:after="120"/>
      </w:pPr>
    </w:p>
    <w:p w14:paraId="7D1968FC" w14:textId="77777777" w:rsidR="00900477" w:rsidRDefault="00900477" w:rsidP="00D61195">
      <w:pPr>
        <w:spacing w:after="120"/>
      </w:pPr>
    </w:p>
    <w:p w14:paraId="3DAACE7B" w14:textId="091C6313" w:rsidR="00D61195" w:rsidRPr="00190E62" w:rsidRDefault="00A71A23" w:rsidP="00D61195">
      <w:pPr>
        <w:spacing w:after="120"/>
      </w:pPr>
      <w:r>
        <w:t>Satiksmes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195" w:rsidRPr="00190E62">
        <w:t>U.</w:t>
      </w:r>
      <w:r w:rsidR="000B6037">
        <w:t xml:space="preserve"> </w:t>
      </w:r>
      <w:r w:rsidR="00D61195" w:rsidRPr="00190E62">
        <w:t>Augulis</w:t>
      </w:r>
    </w:p>
    <w:p w14:paraId="5CC0251D" w14:textId="050A1166" w:rsidR="00D61195" w:rsidRDefault="00D61195" w:rsidP="00D61195">
      <w:pPr>
        <w:spacing w:after="120"/>
        <w:rPr>
          <w:bCs/>
          <w:sz w:val="20"/>
          <w:szCs w:val="20"/>
        </w:rPr>
      </w:pPr>
    </w:p>
    <w:p w14:paraId="6E4A240F" w14:textId="77777777" w:rsidR="00900477" w:rsidRPr="009971F0" w:rsidRDefault="00900477" w:rsidP="00D61195">
      <w:pPr>
        <w:spacing w:after="120"/>
        <w:rPr>
          <w:bCs/>
          <w:sz w:val="20"/>
          <w:szCs w:val="20"/>
        </w:rPr>
      </w:pPr>
    </w:p>
    <w:p w14:paraId="7C318B4D" w14:textId="295D8AB6" w:rsidR="00183643" w:rsidRDefault="00381369" w:rsidP="00183643">
      <w:pPr>
        <w:pStyle w:val="NoSpacing"/>
        <w:rPr>
          <w:sz w:val="24"/>
          <w:szCs w:val="24"/>
        </w:rPr>
      </w:pPr>
      <w:r w:rsidRPr="00A71A23">
        <w:rPr>
          <w:bCs/>
          <w:sz w:val="24"/>
        </w:rPr>
        <w:t>Vīza:</w:t>
      </w:r>
      <w:r>
        <w:rPr>
          <w:bCs/>
        </w:rPr>
        <w:t xml:space="preserve"> </w:t>
      </w:r>
      <w:r w:rsidR="00A71A23">
        <w:rPr>
          <w:sz w:val="24"/>
          <w:szCs w:val="24"/>
        </w:rPr>
        <w:t>Valsts sekretārs</w:t>
      </w:r>
      <w:r w:rsidR="00A71A23">
        <w:rPr>
          <w:sz w:val="24"/>
          <w:szCs w:val="24"/>
        </w:rPr>
        <w:tab/>
      </w:r>
      <w:r w:rsidR="00A71A23">
        <w:rPr>
          <w:sz w:val="24"/>
          <w:szCs w:val="24"/>
        </w:rPr>
        <w:tab/>
      </w:r>
      <w:r w:rsidR="00A71A23">
        <w:rPr>
          <w:sz w:val="24"/>
          <w:szCs w:val="24"/>
        </w:rPr>
        <w:tab/>
      </w:r>
      <w:r w:rsidR="00A71A23">
        <w:rPr>
          <w:sz w:val="24"/>
          <w:szCs w:val="24"/>
        </w:rPr>
        <w:tab/>
      </w:r>
      <w:r w:rsidR="00A71A23">
        <w:rPr>
          <w:sz w:val="24"/>
          <w:szCs w:val="24"/>
        </w:rPr>
        <w:tab/>
      </w:r>
      <w:r w:rsidR="00A71A23">
        <w:rPr>
          <w:sz w:val="24"/>
          <w:szCs w:val="24"/>
        </w:rPr>
        <w:tab/>
      </w:r>
      <w:r w:rsidR="00A71A23">
        <w:rPr>
          <w:sz w:val="24"/>
          <w:szCs w:val="24"/>
        </w:rPr>
        <w:tab/>
      </w:r>
      <w:r w:rsidR="00A71A23">
        <w:rPr>
          <w:sz w:val="24"/>
          <w:szCs w:val="24"/>
        </w:rPr>
        <w:tab/>
      </w:r>
      <w:r w:rsidR="00A71A23">
        <w:rPr>
          <w:sz w:val="24"/>
          <w:szCs w:val="24"/>
        </w:rPr>
        <w:tab/>
      </w:r>
      <w:r w:rsidR="00E92C39">
        <w:rPr>
          <w:sz w:val="24"/>
          <w:szCs w:val="24"/>
        </w:rPr>
        <w:t>K.Ozoliņš</w:t>
      </w:r>
    </w:p>
    <w:p w14:paraId="402EBA67" w14:textId="340AEB78" w:rsidR="009971F0" w:rsidRDefault="009971F0" w:rsidP="002436AA">
      <w:pPr>
        <w:tabs>
          <w:tab w:val="left" w:pos="720"/>
          <w:tab w:val="center" w:pos="4320"/>
          <w:tab w:val="left" w:pos="4758"/>
          <w:tab w:val="right" w:pos="8640"/>
        </w:tabs>
        <w:jc w:val="both"/>
      </w:pPr>
    </w:p>
    <w:p w14:paraId="21F8314A" w14:textId="77777777" w:rsidR="00900477" w:rsidRDefault="00900477" w:rsidP="002436AA">
      <w:pPr>
        <w:tabs>
          <w:tab w:val="left" w:pos="720"/>
          <w:tab w:val="center" w:pos="4320"/>
          <w:tab w:val="left" w:pos="4758"/>
          <w:tab w:val="right" w:pos="8640"/>
        </w:tabs>
        <w:jc w:val="both"/>
      </w:pPr>
    </w:p>
    <w:p w14:paraId="71A7EE27" w14:textId="77777777" w:rsidR="00A71A23" w:rsidRDefault="00A71A23" w:rsidP="003D6262">
      <w:pPr>
        <w:pStyle w:val="NoSpacing"/>
        <w:rPr>
          <w:sz w:val="20"/>
          <w:szCs w:val="20"/>
        </w:rPr>
      </w:pPr>
    </w:p>
    <w:p w14:paraId="107F2C92" w14:textId="761DD601" w:rsidR="003D6262" w:rsidRPr="009971F0" w:rsidRDefault="003D6262" w:rsidP="003D6262">
      <w:pPr>
        <w:pStyle w:val="NoSpacing"/>
        <w:rPr>
          <w:sz w:val="20"/>
          <w:szCs w:val="20"/>
        </w:rPr>
      </w:pPr>
      <w:r w:rsidRPr="009971F0">
        <w:rPr>
          <w:sz w:val="20"/>
          <w:szCs w:val="20"/>
        </w:rPr>
        <w:t>Kreituse, 67028373</w:t>
      </w:r>
    </w:p>
    <w:p w14:paraId="79DD9ED3" w14:textId="77777777" w:rsidR="003D6262" w:rsidRPr="009971F0" w:rsidRDefault="003D6262" w:rsidP="003D6262">
      <w:pPr>
        <w:pStyle w:val="NoSpacing"/>
        <w:rPr>
          <w:sz w:val="20"/>
          <w:szCs w:val="20"/>
        </w:rPr>
      </w:pPr>
      <w:r w:rsidRPr="009971F0">
        <w:rPr>
          <w:sz w:val="20"/>
          <w:szCs w:val="20"/>
        </w:rPr>
        <w:t>Liva.Kreituse@sam.gov.lv</w:t>
      </w:r>
    </w:p>
    <w:sectPr w:rsidR="003D6262" w:rsidRPr="009971F0" w:rsidSect="003D58A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D431" w14:textId="77777777" w:rsidR="00883BF8" w:rsidRDefault="00883BF8">
      <w:r>
        <w:separator/>
      </w:r>
    </w:p>
  </w:endnote>
  <w:endnote w:type="continuationSeparator" w:id="0">
    <w:p w14:paraId="1856DE1F" w14:textId="77777777" w:rsidR="00883BF8" w:rsidRDefault="0088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01F2" w14:textId="5203129F" w:rsidR="007B106D" w:rsidRPr="0080070E" w:rsidRDefault="0080070E" w:rsidP="0080070E">
    <w:pPr>
      <w:pStyle w:val="Footer"/>
      <w:tabs>
        <w:tab w:val="clear" w:pos="8306"/>
        <w:tab w:val="left" w:pos="7552"/>
      </w:tabs>
      <w:jc w:val="both"/>
    </w:pPr>
    <w:r>
      <w:rPr>
        <w:rFonts w:cs="Arial"/>
        <w:kern w:val="32"/>
        <w:sz w:val="20"/>
        <w:szCs w:val="20"/>
        <w:lang w:eastAsia="en-US"/>
      </w:rPr>
      <w:fldChar w:fldCharType="begin"/>
    </w:r>
    <w:r>
      <w:rPr>
        <w:rFonts w:cs="Arial"/>
        <w:kern w:val="32"/>
        <w:sz w:val="20"/>
        <w:szCs w:val="20"/>
        <w:lang w:eastAsia="en-US"/>
      </w:rPr>
      <w:instrText xml:space="preserve"> FILENAME   \* MERGEFORMAT </w:instrText>
    </w:r>
    <w:r>
      <w:rPr>
        <w:rFonts w:cs="Arial"/>
        <w:kern w:val="32"/>
        <w:sz w:val="20"/>
        <w:szCs w:val="20"/>
        <w:lang w:eastAsia="en-US"/>
      </w:rPr>
      <w:fldChar w:fldCharType="separate"/>
    </w:r>
    <w:r>
      <w:rPr>
        <w:rFonts w:cs="Arial"/>
        <w:noProof/>
        <w:kern w:val="32"/>
        <w:sz w:val="20"/>
        <w:szCs w:val="20"/>
        <w:lang w:eastAsia="en-US"/>
      </w:rPr>
      <w:t>SM</w:t>
    </w:r>
    <w:r w:rsidR="001F264C">
      <w:rPr>
        <w:rFonts w:cs="Arial"/>
        <w:noProof/>
        <w:kern w:val="32"/>
        <w:sz w:val="20"/>
        <w:szCs w:val="20"/>
        <w:lang w:eastAsia="en-US"/>
      </w:rPr>
      <w:t>a</w:t>
    </w:r>
    <w:r w:rsidR="00412BBA">
      <w:rPr>
        <w:rFonts w:cs="Arial"/>
        <w:noProof/>
        <w:kern w:val="32"/>
        <w:sz w:val="20"/>
        <w:szCs w:val="20"/>
        <w:lang w:eastAsia="en-US"/>
      </w:rPr>
      <w:t>not_22</w:t>
    </w:r>
    <w:r>
      <w:rPr>
        <w:rFonts w:cs="Arial"/>
        <w:noProof/>
        <w:kern w:val="32"/>
        <w:sz w:val="20"/>
        <w:szCs w:val="20"/>
        <w:lang w:eastAsia="en-US"/>
      </w:rPr>
      <w:t>0118_SMnolik.</w:t>
    </w:r>
    <w:r>
      <w:rPr>
        <w:rFonts w:cs="Arial"/>
        <w:kern w:val="32"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5D6F" w14:textId="1E21F3EC" w:rsidR="00FE6DBE" w:rsidRPr="0080070E" w:rsidRDefault="00FD3FA2" w:rsidP="003D58A6">
    <w:pPr>
      <w:pStyle w:val="Footer"/>
      <w:tabs>
        <w:tab w:val="clear" w:pos="8306"/>
        <w:tab w:val="left" w:pos="7552"/>
      </w:tabs>
      <w:jc w:val="both"/>
      <w:rPr>
        <w:rFonts w:cs="Arial"/>
        <w:noProof/>
        <w:kern w:val="32"/>
        <w:sz w:val="20"/>
        <w:szCs w:val="20"/>
        <w:lang w:eastAsia="en-US"/>
      </w:rPr>
    </w:pPr>
    <w:r>
      <w:rPr>
        <w:rFonts w:cs="Arial"/>
        <w:kern w:val="32"/>
        <w:sz w:val="20"/>
        <w:szCs w:val="20"/>
        <w:lang w:eastAsia="en-US"/>
      </w:rPr>
      <w:fldChar w:fldCharType="begin"/>
    </w:r>
    <w:r>
      <w:rPr>
        <w:rFonts w:cs="Arial"/>
        <w:kern w:val="32"/>
        <w:sz w:val="20"/>
        <w:szCs w:val="20"/>
        <w:lang w:eastAsia="en-US"/>
      </w:rPr>
      <w:instrText xml:space="preserve"> FILENAME   \* MERGEFORMAT </w:instrText>
    </w:r>
    <w:r>
      <w:rPr>
        <w:rFonts w:cs="Arial"/>
        <w:kern w:val="32"/>
        <w:sz w:val="20"/>
        <w:szCs w:val="20"/>
        <w:lang w:eastAsia="en-US"/>
      </w:rPr>
      <w:fldChar w:fldCharType="separate"/>
    </w:r>
    <w:r w:rsidR="0080070E">
      <w:rPr>
        <w:rFonts w:cs="Arial"/>
        <w:noProof/>
        <w:kern w:val="32"/>
        <w:sz w:val="20"/>
        <w:szCs w:val="20"/>
        <w:lang w:eastAsia="en-US"/>
      </w:rPr>
      <w:t>SM</w:t>
    </w:r>
    <w:r w:rsidR="001F264C">
      <w:rPr>
        <w:rFonts w:cs="Arial"/>
        <w:noProof/>
        <w:kern w:val="32"/>
        <w:sz w:val="20"/>
        <w:szCs w:val="20"/>
        <w:lang w:eastAsia="en-US"/>
      </w:rPr>
      <w:t>a</w:t>
    </w:r>
    <w:r w:rsidR="00A70765">
      <w:rPr>
        <w:rFonts w:cs="Arial"/>
        <w:noProof/>
        <w:kern w:val="32"/>
        <w:sz w:val="20"/>
        <w:szCs w:val="20"/>
        <w:lang w:eastAsia="en-US"/>
      </w:rPr>
      <w:t>not_22</w:t>
    </w:r>
    <w:r w:rsidR="0080070E">
      <w:rPr>
        <w:rFonts w:cs="Arial"/>
        <w:noProof/>
        <w:kern w:val="32"/>
        <w:sz w:val="20"/>
        <w:szCs w:val="20"/>
        <w:lang w:eastAsia="en-US"/>
      </w:rPr>
      <w:t>01</w:t>
    </w:r>
    <w:r w:rsidR="008C5652">
      <w:rPr>
        <w:rFonts w:cs="Arial"/>
        <w:noProof/>
        <w:kern w:val="32"/>
        <w:sz w:val="20"/>
        <w:szCs w:val="20"/>
        <w:lang w:eastAsia="en-US"/>
      </w:rPr>
      <w:t>1</w:t>
    </w:r>
    <w:r w:rsidR="0080070E">
      <w:rPr>
        <w:rFonts w:cs="Arial"/>
        <w:noProof/>
        <w:kern w:val="32"/>
        <w:sz w:val="20"/>
        <w:szCs w:val="20"/>
        <w:lang w:eastAsia="en-US"/>
      </w:rPr>
      <w:t>8</w:t>
    </w:r>
    <w:r w:rsidR="008C5652">
      <w:rPr>
        <w:rFonts w:cs="Arial"/>
        <w:noProof/>
        <w:kern w:val="32"/>
        <w:sz w:val="20"/>
        <w:szCs w:val="20"/>
        <w:lang w:eastAsia="en-US"/>
      </w:rPr>
      <w:t>_SMnolik.</w:t>
    </w:r>
    <w:r>
      <w:rPr>
        <w:rFonts w:cs="Arial"/>
        <w:kern w:val="32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5172" w14:textId="77777777" w:rsidR="00883BF8" w:rsidRDefault="00883BF8">
      <w:r>
        <w:separator/>
      </w:r>
    </w:p>
  </w:footnote>
  <w:footnote w:type="continuationSeparator" w:id="0">
    <w:p w14:paraId="67635059" w14:textId="77777777" w:rsidR="00883BF8" w:rsidRDefault="0088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E360" w14:textId="77777777" w:rsidR="00FE6DBE" w:rsidRDefault="00FE6DB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5BAC2" w14:textId="77777777" w:rsidR="00FE6DBE" w:rsidRDefault="00FE6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23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138426" w14:textId="51FA98EA" w:rsidR="007B106D" w:rsidRDefault="007B10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1931F" w14:textId="77777777" w:rsidR="00FE6DBE" w:rsidRDefault="00FE6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F6C"/>
    <w:multiLevelType w:val="hybridMultilevel"/>
    <w:tmpl w:val="3F68F644"/>
    <w:lvl w:ilvl="0" w:tplc="85BA9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CD6E4E"/>
    <w:multiLevelType w:val="multilevel"/>
    <w:tmpl w:val="8A369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101F58"/>
    <w:multiLevelType w:val="multilevel"/>
    <w:tmpl w:val="E6A271D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>
      <w:start w:val="1"/>
      <w:numFmt w:val="decimal"/>
      <w:isLgl/>
      <w:lvlText w:val="%2.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75"/>
        </w:tabs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5"/>
        </w:tabs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5"/>
        </w:tabs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35"/>
        </w:tabs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95"/>
        </w:tabs>
        <w:ind w:left="1995" w:hanging="1800"/>
      </w:pPr>
      <w:rPr>
        <w:rFonts w:hint="default"/>
      </w:r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A755D2"/>
    <w:multiLevelType w:val="hybridMultilevel"/>
    <w:tmpl w:val="0FBAAD58"/>
    <w:lvl w:ilvl="0" w:tplc="5F92E140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C414D2B"/>
    <w:multiLevelType w:val="hybridMultilevel"/>
    <w:tmpl w:val="1E0AC2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22309"/>
    <w:multiLevelType w:val="hybridMultilevel"/>
    <w:tmpl w:val="993E681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A611F4"/>
    <w:multiLevelType w:val="multilevel"/>
    <w:tmpl w:val="65A24F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7DA27D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8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3"/>
  </w:num>
  <w:num w:numId="17">
    <w:abstractNumId w:val="20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1E4C"/>
    <w:rsid w:val="00002230"/>
    <w:rsid w:val="0000546B"/>
    <w:rsid w:val="000078D2"/>
    <w:rsid w:val="00011D24"/>
    <w:rsid w:val="00012399"/>
    <w:rsid w:val="00013FF4"/>
    <w:rsid w:val="00017A49"/>
    <w:rsid w:val="00020FE1"/>
    <w:rsid w:val="00022E13"/>
    <w:rsid w:val="00032388"/>
    <w:rsid w:val="00035CE2"/>
    <w:rsid w:val="00035F95"/>
    <w:rsid w:val="00037453"/>
    <w:rsid w:val="0005073B"/>
    <w:rsid w:val="000519C8"/>
    <w:rsid w:val="0005553B"/>
    <w:rsid w:val="000565E3"/>
    <w:rsid w:val="0005703F"/>
    <w:rsid w:val="00057FCA"/>
    <w:rsid w:val="000604D2"/>
    <w:rsid w:val="00060E94"/>
    <w:rsid w:val="000660CC"/>
    <w:rsid w:val="0008465B"/>
    <w:rsid w:val="00086702"/>
    <w:rsid w:val="0008754D"/>
    <w:rsid w:val="0009005E"/>
    <w:rsid w:val="00092782"/>
    <w:rsid w:val="000941C5"/>
    <w:rsid w:val="00095EEA"/>
    <w:rsid w:val="000A4208"/>
    <w:rsid w:val="000A4DF4"/>
    <w:rsid w:val="000A6451"/>
    <w:rsid w:val="000B064E"/>
    <w:rsid w:val="000B6037"/>
    <w:rsid w:val="000B6528"/>
    <w:rsid w:val="000B69CF"/>
    <w:rsid w:val="000B6A27"/>
    <w:rsid w:val="000C4DFE"/>
    <w:rsid w:val="000C790C"/>
    <w:rsid w:val="000D07C8"/>
    <w:rsid w:val="000D1FC8"/>
    <w:rsid w:val="000D3476"/>
    <w:rsid w:val="000D4042"/>
    <w:rsid w:val="000E0856"/>
    <w:rsid w:val="000E325E"/>
    <w:rsid w:val="000E4BC0"/>
    <w:rsid w:val="000E69EE"/>
    <w:rsid w:val="000F061D"/>
    <w:rsid w:val="000F31BE"/>
    <w:rsid w:val="000F4794"/>
    <w:rsid w:val="000F662E"/>
    <w:rsid w:val="000F7457"/>
    <w:rsid w:val="001022BC"/>
    <w:rsid w:val="0010619D"/>
    <w:rsid w:val="00112EC1"/>
    <w:rsid w:val="00116A4A"/>
    <w:rsid w:val="00116C90"/>
    <w:rsid w:val="00124F12"/>
    <w:rsid w:val="001307EE"/>
    <w:rsid w:val="001323CF"/>
    <w:rsid w:val="00136DCF"/>
    <w:rsid w:val="00144E3A"/>
    <w:rsid w:val="0015060C"/>
    <w:rsid w:val="0016018A"/>
    <w:rsid w:val="00161F0E"/>
    <w:rsid w:val="00170E2A"/>
    <w:rsid w:val="0017279F"/>
    <w:rsid w:val="00172BDD"/>
    <w:rsid w:val="00175542"/>
    <w:rsid w:val="0017624A"/>
    <w:rsid w:val="0017694F"/>
    <w:rsid w:val="00176E82"/>
    <w:rsid w:val="00177394"/>
    <w:rsid w:val="001802E4"/>
    <w:rsid w:val="00182C18"/>
    <w:rsid w:val="00183643"/>
    <w:rsid w:val="00183CC2"/>
    <w:rsid w:val="00184705"/>
    <w:rsid w:val="00187462"/>
    <w:rsid w:val="001900E4"/>
    <w:rsid w:val="00190E62"/>
    <w:rsid w:val="00190F88"/>
    <w:rsid w:val="00194808"/>
    <w:rsid w:val="0019489E"/>
    <w:rsid w:val="00196BD3"/>
    <w:rsid w:val="001A3AB3"/>
    <w:rsid w:val="001A4066"/>
    <w:rsid w:val="001A4B81"/>
    <w:rsid w:val="001A55DE"/>
    <w:rsid w:val="001A6AE4"/>
    <w:rsid w:val="001A7397"/>
    <w:rsid w:val="001B01FD"/>
    <w:rsid w:val="001B3C32"/>
    <w:rsid w:val="001B4A71"/>
    <w:rsid w:val="001C0991"/>
    <w:rsid w:val="001C119D"/>
    <w:rsid w:val="001C5FA5"/>
    <w:rsid w:val="001D5B54"/>
    <w:rsid w:val="001E1DBF"/>
    <w:rsid w:val="001E4639"/>
    <w:rsid w:val="001E4A7D"/>
    <w:rsid w:val="001F2545"/>
    <w:rsid w:val="001F264C"/>
    <w:rsid w:val="001F4209"/>
    <w:rsid w:val="001F43A8"/>
    <w:rsid w:val="001F5CD6"/>
    <w:rsid w:val="001F761F"/>
    <w:rsid w:val="0021263D"/>
    <w:rsid w:val="00213F0C"/>
    <w:rsid w:val="00214094"/>
    <w:rsid w:val="0021592D"/>
    <w:rsid w:val="0021751F"/>
    <w:rsid w:val="00222A5F"/>
    <w:rsid w:val="00222D76"/>
    <w:rsid w:val="0022318A"/>
    <w:rsid w:val="00223EB1"/>
    <w:rsid w:val="002248A2"/>
    <w:rsid w:val="002300B8"/>
    <w:rsid w:val="00231344"/>
    <w:rsid w:val="002314EA"/>
    <w:rsid w:val="0023436E"/>
    <w:rsid w:val="002347C0"/>
    <w:rsid w:val="002350E0"/>
    <w:rsid w:val="00241A6C"/>
    <w:rsid w:val="00242D2B"/>
    <w:rsid w:val="00242F35"/>
    <w:rsid w:val="002436AA"/>
    <w:rsid w:val="002437B1"/>
    <w:rsid w:val="00250323"/>
    <w:rsid w:val="002527C6"/>
    <w:rsid w:val="00252893"/>
    <w:rsid w:val="00262E2B"/>
    <w:rsid w:val="00266861"/>
    <w:rsid w:val="00270429"/>
    <w:rsid w:val="002723E9"/>
    <w:rsid w:val="00273B65"/>
    <w:rsid w:val="00277929"/>
    <w:rsid w:val="00277DA2"/>
    <w:rsid w:val="00281D57"/>
    <w:rsid w:val="00283B82"/>
    <w:rsid w:val="002846E9"/>
    <w:rsid w:val="00284C34"/>
    <w:rsid w:val="00287CB6"/>
    <w:rsid w:val="0029066C"/>
    <w:rsid w:val="002929C2"/>
    <w:rsid w:val="00294C71"/>
    <w:rsid w:val="002A4DF7"/>
    <w:rsid w:val="002B3E86"/>
    <w:rsid w:val="002B50DB"/>
    <w:rsid w:val="002C12AB"/>
    <w:rsid w:val="002C17DA"/>
    <w:rsid w:val="002C3604"/>
    <w:rsid w:val="002C7CAC"/>
    <w:rsid w:val="002D1539"/>
    <w:rsid w:val="002D167F"/>
    <w:rsid w:val="002D19EA"/>
    <w:rsid w:val="002D3306"/>
    <w:rsid w:val="002D41BE"/>
    <w:rsid w:val="002D48AA"/>
    <w:rsid w:val="002D6A48"/>
    <w:rsid w:val="002D7130"/>
    <w:rsid w:val="002D7861"/>
    <w:rsid w:val="002D7BAA"/>
    <w:rsid w:val="002D7F54"/>
    <w:rsid w:val="002E268C"/>
    <w:rsid w:val="002E3FF4"/>
    <w:rsid w:val="002E5991"/>
    <w:rsid w:val="002F78C8"/>
    <w:rsid w:val="002F7D53"/>
    <w:rsid w:val="00301CF3"/>
    <w:rsid w:val="00302A79"/>
    <w:rsid w:val="00303DC9"/>
    <w:rsid w:val="003101F6"/>
    <w:rsid w:val="00314BB0"/>
    <w:rsid w:val="00315700"/>
    <w:rsid w:val="00317270"/>
    <w:rsid w:val="0032430B"/>
    <w:rsid w:val="0032715C"/>
    <w:rsid w:val="003313C1"/>
    <w:rsid w:val="0033618D"/>
    <w:rsid w:val="00337CA5"/>
    <w:rsid w:val="00340AD2"/>
    <w:rsid w:val="00341B89"/>
    <w:rsid w:val="00351C6E"/>
    <w:rsid w:val="00352CE0"/>
    <w:rsid w:val="0035720E"/>
    <w:rsid w:val="00361F85"/>
    <w:rsid w:val="00362478"/>
    <w:rsid w:val="00362F1D"/>
    <w:rsid w:val="0037214C"/>
    <w:rsid w:val="00375B25"/>
    <w:rsid w:val="0038132C"/>
    <w:rsid w:val="00381369"/>
    <w:rsid w:val="0038532A"/>
    <w:rsid w:val="00390D60"/>
    <w:rsid w:val="00394871"/>
    <w:rsid w:val="00396542"/>
    <w:rsid w:val="0039685B"/>
    <w:rsid w:val="003A212A"/>
    <w:rsid w:val="003A31A6"/>
    <w:rsid w:val="003A7F0C"/>
    <w:rsid w:val="003A7F79"/>
    <w:rsid w:val="003B4D40"/>
    <w:rsid w:val="003B6404"/>
    <w:rsid w:val="003B6839"/>
    <w:rsid w:val="003C18B4"/>
    <w:rsid w:val="003C2606"/>
    <w:rsid w:val="003C449B"/>
    <w:rsid w:val="003C6392"/>
    <w:rsid w:val="003C69B5"/>
    <w:rsid w:val="003C79F8"/>
    <w:rsid w:val="003D0B0A"/>
    <w:rsid w:val="003D21FF"/>
    <w:rsid w:val="003D58A6"/>
    <w:rsid w:val="003D5D3B"/>
    <w:rsid w:val="003D6262"/>
    <w:rsid w:val="003D6836"/>
    <w:rsid w:val="003E0C01"/>
    <w:rsid w:val="003E3097"/>
    <w:rsid w:val="003F0112"/>
    <w:rsid w:val="003F071A"/>
    <w:rsid w:val="003F12EC"/>
    <w:rsid w:val="003F160B"/>
    <w:rsid w:val="00400032"/>
    <w:rsid w:val="00400B5B"/>
    <w:rsid w:val="00405A00"/>
    <w:rsid w:val="004068D0"/>
    <w:rsid w:val="00412BBA"/>
    <w:rsid w:val="00413694"/>
    <w:rsid w:val="0041522D"/>
    <w:rsid w:val="004154BF"/>
    <w:rsid w:val="00417EC3"/>
    <w:rsid w:val="00420870"/>
    <w:rsid w:val="00426206"/>
    <w:rsid w:val="00430646"/>
    <w:rsid w:val="00432D0C"/>
    <w:rsid w:val="00436BA5"/>
    <w:rsid w:val="0043791B"/>
    <w:rsid w:val="0044129E"/>
    <w:rsid w:val="00441483"/>
    <w:rsid w:val="00441BCB"/>
    <w:rsid w:val="00445669"/>
    <w:rsid w:val="0045176A"/>
    <w:rsid w:val="00455F89"/>
    <w:rsid w:val="00456332"/>
    <w:rsid w:val="00461826"/>
    <w:rsid w:val="00474017"/>
    <w:rsid w:val="00474556"/>
    <w:rsid w:val="00477814"/>
    <w:rsid w:val="004800F9"/>
    <w:rsid w:val="0049134A"/>
    <w:rsid w:val="004923EC"/>
    <w:rsid w:val="004A09C6"/>
    <w:rsid w:val="004A324A"/>
    <w:rsid w:val="004A4EC1"/>
    <w:rsid w:val="004A58CB"/>
    <w:rsid w:val="004A5C1C"/>
    <w:rsid w:val="004B1795"/>
    <w:rsid w:val="004B1957"/>
    <w:rsid w:val="004B3C3D"/>
    <w:rsid w:val="004B42A0"/>
    <w:rsid w:val="004B56DD"/>
    <w:rsid w:val="004C020F"/>
    <w:rsid w:val="004C1AFD"/>
    <w:rsid w:val="004C2E21"/>
    <w:rsid w:val="004C558B"/>
    <w:rsid w:val="004D6DC6"/>
    <w:rsid w:val="004D6E59"/>
    <w:rsid w:val="004E03E8"/>
    <w:rsid w:val="004E0FED"/>
    <w:rsid w:val="004E3B50"/>
    <w:rsid w:val="004E3F33"/>
    <w:rsid w:val="004E5EDA"/>
    <w:rsid w:val="004F191E"/>
    <w:rsid w:val="004F1F88"/>
    <w:rsid w:val="004F5F1B"/>
    <w:rsid w:val="004F5FD9"/>
    <w:rsid w:val="004F67D8"/>
    <w:rsid w:val="00502374"/>
    <w:rsid w:val="0050322A"/>
    <w:rsid w:val="005060A1"/>
    <w:rsid w:val="00512853"/>
    <w:rsid w:val="00512A1B"/>
    <w:rsid w:val="00516072"/>
    <w:rsid w:val="00516C1C"/>
    <w:rsid w:val="005264D8"/>
    <w:rsid w:val="005332EC"/>
    <w:rsid w:val="00534418"/>
    <w:rsid w:val="00534EC1"/>
    <w:rsid w:val="005353AB"/>
    <w:rsid w:val="00540F3D"/>
    <w:rsid w:val="00544304"/>
    <w:rsid w:val="00545819"/>
    <w:rsid w:val="00545AB5"/>
    <w:rsid w:val="00552CB3"/>
    <w:rsid w:val="005560BC"/>
    <w:rsid w:val="00556839"/>
    <w:rsid w:val="00556968"/>
    <w:rsid w:val="005573A4"/>
    <w:rsid w:val="005573BE"/>
    <w:rsid w:val="00561770"/>
    <w:rsid w:val="00561B5B"/>
    <w:rsid w:val="005717EA"/>
    <w:rsid w:val="00572700"/>
    <w:rsid w:val="005776EF"/>
    <w:rsid w:val="00577ED4"/>
    <w:rsid w:val="00580468"/>
    <w:rsid w:val="00582231"/>
    <w:rsid w:val="0058603B"/>
    <w:rsid w:val="00591258"/>
    <w:rsid w:val="00591655"/>
    <w:rsid w:val="0059431B"/>
    <w:rsid w:val="005979E8"/>
    <w:rsid w:val="005A0560"/>
    <w:rsid w:val="005A1093"/>
    <w:rsid w:val="005A39CC"/>
    <w:rsid w:val="005A44C4"/>
    <w:rsid w:val="005B09AD"/>
    <w:rsid w:val="005B4730"/>
    <w:rsid w:val="005C4932"/>
    <w:rsid w:val="005C55D5"/>
    <w:rsid w:val="005C7BCE"/>
    <w:rsid w:val="005D721F"/>
    <w:rsid w:val="005E05D7"/>
    <w:rsid w:val="005E1658"/>
    <w:rsid w:val="005E41E7"/>
    <w:rsid w:val="005E450F"/>
    <w:rsid w:val="005F7E60"/>
    <w:rsid w:val="00602C17"/>
    <w:rsid w:val="0060408E"/>
    <w:rsid w:val="006160CA"/>
    <w:rsid w:val="0062205F"/>
    <w:rsid w:val="006223E0"/>
    <w:rsid w:val="0062298A"/>
    <w:rsid w:val="00622B25"/>
    <w:rsid w:val="00626514"/>
    <w:rsid w:val="00626589"/>
    <w:rsid w:val="0063047D"/>
    <w:rsid w:val="006339A0"/>
    <w:rsid w:val="00640EF4"/>
    <w:rsid w:val="006413A8"/>
    <w:rsid w:val="00642E56"/>
    <w:rsid w:val="00643033"/>
    <w:rsid w:val="0064478C"/>
    <w:rsid w:val="00651E00"/>
    <w:rsid w:val="006567E9"/>
    <w:rsid w:val="00662484"/>
    <w:rsid w:val="00662ACA"/>
    <w:rsid w:val="006641C8"/>
    <w:rsid w:val="00666AF6"/>
    <w:rsid w:val="0066714E"/>
    <w:rsid w:val="00667285"/>
    <w:rsid w:val="00670D90"/>
    <w:rsid w:val="00671488"/>
    <w:rsid w:val="00672ECD"/>
    <w:rsid w:val="006733CE"/>
    <w:rsid w:val="00674572"/>
    <w:rsid w:val="00677696"/>
    <w:rsid w:val="006863DF"/>
    <w:rsid w:val="00687763"/>
    <w:rsid w:val="0069216B"/>
    <w:rsid w:val="00692B0D"/>
    <w:rsid w:val="00692EA2"/>
    <w:rsid w:val="00693E0E"/>
    <w:rsid w:val="00693FAA"/>
    <w:rsid w:val="00696F4B"/>
    <w:rsid w:val="006A1AE3"/>
    <w:rsid w:val="006A1BBF"/>
    <w:rsid w:val="006B5CC0"/>
    <w:rsid w:val="006C30E1"/>
    <w:rsid w:val="006C38A5"/>
    <w:rsid w:val="006C4607"/>
    <w:rsid w:val="006D2A68"/>
    <w:rsid w:val="006D412A"/>
    <w:rsid w:val="006D48F1"/>
    <w:rsid w:val="006F108D"/>
    <w:rsid w:val="006F11AF"/>
    <w:rsid w:val="006F3477"/>
    <w:rsid w:val="006F45BE"/>
    <w:rsid w:val="006F678F"/>
    <w:rsid w:val="007004FC"/>
    <w:rsid w:val="007042AA"/>
    <w:rsid w:val="00706670"/>
    <w:rsid w:val="00711F59"/>
    <w:rsid w:val="0071473A"/>
    <w:rsid w:val="00716348"/>
    <w:rsid w:val="007172D3"/>
    <w:rsid w:val="0072417C"/>
    <w:rsid w:val="0072423E"/>
    <w:rsid w:val="00725098"/>
    <w:rsid w:val="00734450"/>
    <w:rsid w:val="00734BF7"/>
    <w:rsid w:val="007357F0"/>
    <w:rsid w:val="00737BE1"/>
    <w:rsid w:val="00737F26"/>
    <w:rsid w:val="00745F67"/>
    <w:rsid w:val="0075039E"/>
    <w:rsid w:val="007508E7"/>
    <w:rsid w:val="00752B04"/>
    <w:rsid w:val="00752D9D"/>
    <w:rsid w:val="00754784"/>
    <w:rsid w:val="00756A2C"/>
    <w:rsid w:val="00757C6E"/>
    <w:rsid w:val="00761E77"/>
    <w:rsid w:val="00762BDA"/>
    <w:rsid w:val="007641B7"/>
    <w:rsid w:val="007655B0"/>
    <w:rsid w:val="007712DD"/>
    <w:rsid w:val="00771639"/>
    <w:rsid w:val="007717D5"/>
    <w:rsid w:val="007752C5"/>
    <w:rsid w:val="007805FD"/>
    <w:rsid w:val="0078406F"/>
    <w:rsid w:val="00784422"/>
    <w:rsid w:val="007929BE"/>
    <w:rsid w:val="00796E62"/>
    <w:rsid w:val="00797F6F"/>
    <w:rsid w:val="007A1C2A"/>
    <w:rsid w:val="007A3F6E"/>
    <w:rsid w:val="007B00EC"/>
    <w:rsid w:val="007B106D"/>
    <w:rsid w:val="007B1C15"/>
    <w:rsid w:val="007B2E8B"/>
    <w:rsid w:val="007B3B24"/>
    <w:rsid w:val="007B3B54"/>
    <w:rsid w:val="007B3FA0"/>
    <w:rsid w:val="007B593D"/>
    <w:rsid w:val="007B659E"/>
    <w:rsid w:val="007C0F2C"/>
    <w:rsid w:val="007C240A"/>
    <w:rsid w:val="007C2BCC"/>
    <w:rsid w:val="007C4C2D"/>
    <w:rsid w:val="007C4EF0"/>
    <w:rsid w:val="007C777B"/>
    <w:rsid w:val="007D099D"/>
    <w:rsid w:val="007D0DE8"/>
    <w:rsid w:val="007E0381"/>
    <w:rsid w:val="007E14C0"/>
    <w:rsid w:val="007E171E"/>
    <w:rsid w:val="007E1EEF"/>
    <w:rsid w:val="007E2664"/>
    <w:rsid w:val="007E3ABF"/>
    <w:rsid w:val="007E5BFA"/>
    <w:rsid w:val="007E6689"/>
    <w:rsid w:val="007E731C"/>
    <w:rsid w:val="007F0A03"/>
    <w:rsid w:val="007F0E8C"/>
    <w:rsid w:val="007F27CA"/>
    <w:rsid w:val="007F2D82"/>
    <w:rsid w:val="007F77F7"/>
    <w:rsid w:val="0080070E"/>
    <w:rsid w:val="00810040"/>
    <w:rsid w:val="008107EC"/>
    <w:rsid w:val="00811B49"/>
    <w:rsid w:val="008126F6"/>
    <w:rsid w:val="00817EEE"/>
    <w:rsid w:val="0082023A"/>
    <w:rsid w:val="00821A7A"/>
    <w:rsid w:val="008253F8"/>
    <w:rsid w:val="00825CED"/>
    <w:rsid w:val="00826A4F"/>
    <w:rsid w:val="008325E4"/>
    <w:rsid w:val="00832A2B"/>
    <w:rsid w:val="00835F03"/>
    <w:rsid w:val="008363E7"/>
    <w:rsid w:val="00836915"/>
    <w:rsid w:val="00841820"/>
    <w:rsid w:val="00845811"/>
    <w:rsid w:val="00845A85"/>
    <w:rsid w:val="00846994"/>
    <w:rsid w:val="008501F2"/>
    <w:rsid w:val="00850451"/>
    <w:rsid w:val="00852042"/>
    <w:rsid w:val="008534C9"/>
    <w:rsid w:val="0085599D"/>
    <w:rsid w:val="00856B1E"/>
    <w:rsid w:val="00862928"/>
    <w:rsid w:val="00871DF4"/>
    <w:rsid w:val="0087510C"/>
    <w:rsid w:val="00880611"/>
    <w:rsid w:val="00882A68"/>
    <w:rsid w:val="00883BF8"/>
    <w:rsid w:val="0089529B"/>
    <w:rsid w:val="00895732"/>
    <w:rsid w:val="008968D2"/>
    <w:rsid w:val="0089738E"/>
    <w:rsid w:val="008A1906"/>
    <w:rsid w:val="008B07DC"/>
    <w:rsid w:val="008B1B6F"/>
    <w:rsid w:val="008B2EBB"/>
    <w:rsid w:val="008B3A92"/>
    <w:rsid w:val="008B5FDB"/>
    <w:rsid w:val="008C2C87"/>
    <w:rsid w:val="008C48B9"/>
    <w:rsid w:val="008C50F4"/>
    <w:rsid w:val="008C5649"/>
    <w:rsid w:val="008C5652"/>
    <w:rsid w:val="008C7D90"/>
    <w:rsid w:val="008D50AF"/>
    <w:rsid w:val="008E1744"/>
    <w:rsid w:val="008E44A2"/>
    <w:rsid w:val="008E5732"/>
    <w:rsid w:val="008E697D"/>
    <w:rsid w:val="008F2F80"/>
    <w:rsid w:val="008F75CB"/>
    <w:rsid w:val="00900477"/>
    <w:rsid w:val="00903263"/>
    <w:rsid w:val="00906A21"/>
    <w:rsid w:val="009079C3"/>
    <w:rsid w:val="00910462"/>
    <w:rsid w:val="00910912"/>
    <w:rsid w:val="00915AB1"/>
    <w:rsid w:val="00917532"/>
    <w:rsid w:val="009235BA"/>
    <w:rsid w:val="00924023"/>
    <w:rsid w:val="00924406"/>
    <w:rsid w:val="00924CE2"/>
    <w:rsid w:val="00925B9F"/>
    <w:rsid w:val="00931AED"/>
    <w:rsid w:val="00931B74"/>
    <w:rsid w:val="009341CF"/>
    <w:rsid w:val="009355F5"/>
    <w:rsid w:val="00937B55"/>
    <w:rsid w:val="009405A1"/>
    <w:rsid w:val="009476A3"/>
    <w:rsid w:val="0094787D"/>
    <w:rsid w:val="0095334F"/>
    <w:rsid w:val="00965897"/>
    <w:rsid w:val="00965923"/>
    <w:rsid w:val="0096765C"/>
    <w:rsid w:val="009727E4"/>
    <w:rsid w:val="00972875"/>
    <w:rsid w:val="00975279"/>
    <w:rsid w:val="00983969"/>
    <w:rsid w:val="009934C5"/>
    <w:rsid w:val="009947F3"/>
    <w:rsid w:val="00994C0F"/>
    <w:rsid w:val="0099673D"/>
    <w:rsid w:val="009971F0"/>
    <w:rsid w:val="009978A8"/>
    <w:rsid w:val="009A3C00"/>
    <w:rsid w:val="009A603D"/>
    <w:rsid w:val="009B22D7"/>
    <w:rsid w:val="009B3087"/>
    <w:rsid w:val="009B5D9B"/>
    <w:rsid w:val="009B72ED"/>
    <w:rsid w:val="009B73D6"/>
    <w:rsid w:val="009C0A69"/>
    <w:rsid w:val="009C48AB"/>
    <w:rsid w:val="009C5561"/>
    <w:rsid w:val="009C66B5"/>
    <w:rsid w:val="009C6735"/>
    <w:rsid w:val="009C6DEB"/>
    <w:rsid w:val="009C7123"/>
    <w:rsid w:val="009D6504"/>
    <w:rsid w:val="009D759C"/>
    <w:rsid w:val="009E12D7"/>
    <w:rsid w:val="009E4080"/>
    <w:rsid w:val="009E4B36"/>
    <w:rsid w:val="009E5D99"/>
    <w:rsid w:val="009E661A"/>
    <w:rsid w:val="009F1DB1"/>
    <w:rsid w:val="009F297F"/>
    <w:rsid w:val="00A03881"/>
    <w:rsid w:val="00A06781"/>
    <w:rsid w:val="00A074C3"/>
    <w:rsid w:val="00A0793F"/>
    <w:rsid w:val="00A07AEB"/>
    <w:rsid w:val="00A07D54"/>
    <w:rsid w:val="00A10432"/>
    <w:rsid w:val="00A1085B"/>
    <w:rsid w:val="00A12B8C"/>
    <w:rsid w:val="00A12D88"/>
    <w:rsid w:val="00A1509C"/>
    <w:rsid w:val="00A15D9E"/>
    <w:rsid w:val="00A20CBC"/>
    <w:rsid w:val="00A249B9"/>
    <w:rsid w:val="00A25F94"/>
    <w:rsid w:val="00A27660"/>
    <w:rsid w:val="00A3042F"/>
    <w:rsid w:val="00A326C6"/>
    <w:rsid w:val="00A33BEE"/>
    <w:rsid w:val="00A34260"/>
    <w:rsid w:val="00A41FC1"/>
    <w:rsid w:val="00A47952"/>
    <w:rsid w:val="00A533E9"/>
    <w:rsid w:val="00A70765"/>
    <w:rsid w:val="00A70CFD"/>
    <w:rsid w:val="00A716C1"/>
    <w:rsid w:val="00A71A23"/>
    <w:rsid w:val="00A72A0B"/>
    <w:rsid w:val="00A744B2"/>
    <w:rsid w:val="00A81E42"/>
    <w:rsid w:val="00A83BA5"/>
    <w:rsid w:val="00A864FE"/>
    <w:rsid w:val="00A86518"/>
    <w:rsid w:val="00A86F41"/>
    <w:rsid w:val="00A87D04"/>
    <w:rsid w:val="00A91E79"/>
    <w:rsid w:val="00A92720"/>
    <w:rsid w:val="00A94521"/>
    <w:rsid w:val="00A94DC2"/>
    <w:rsid w:val="00A950C5"/>
    <w:rsid w:val="00A97069"/>
    <w:rsid w:val="00A97E9B"/>
    <w:rsid w:val="00AA1D25"/>
    <w:rsid w:val="00AA7061"/>
    <w:rsid w:val="00AB17B7"/>
    <w:rsid w:val="00AB2B1A"/>
    <w:rsid w:val="00AB326E"/>
    <w:rsid w:val="00AB397F"/>
    <w:rsid w:val="00AB5832"/>
    <w:rsid w:val="00AB62C7"/>
    <w:rsid w:val="00AB7A4C"/>
    <w:rsid w:val="00AC315F"/>
    <w:rsid w:val="00AC38F7"/>
    <w:rsid w:val="00AC51F2"/>
    <w:rsid w:val="00AC70DC"/>
    <w:rsid w:val="00AD3269"/>
    <w:rsid w:val="00AD3C25"/>
    <w:rsid w:val="00AE2012"/>
    <w:rsid w:val="00AE2673"/>
    <w:rsid w:val="00AE5066"/>
    <w:rsid w:val="00AE5E24"/>
    <w:rsid w:val="00AE61B7"/>
    <w:rsid w:val="00AE6CBA"/>
    <w:rsid w:val="00AE733F"/>
    <w:rsid w:val="00AE79AD"/>
    <w:rsid w:val="00AF1E4C"/>
    <w:rsid w:val="00AF35E4"/>
    <w:rsid w:val="00AF5CDE"/>
    <w:rsid w:val="00B00291"/>
    <w:rsid w:val="00B01B9C"/>
    <w:rsid w:val="00B068FC"/>
    <w:rsid w:val="00B06A8A"/>
    <w:rsid w:val="00B11A57"/>
    <w:rsid w:val="00B211C3"/>
    <w:rsid w:val="00B226BD"/>
    <w:rsid w:val="00B241F0"/>
    <w:rsid w:val="00B25597"/>
    <w:rsid w:val="00B267A1"/>
    <w:rsid w:val="00B267B9"/>
    <w:rsid w:val="00B322E2"/>
    <w:rsid w:val="00B32993"/>
    <w:rsid w:val="00B32F99"/>
    <w:rsid w:val="00B33E09"/>
    <w:rsid w:val="00B344E0"/>
    <w:rsid w:val="00B350F5"/>
    <w:rsid w:val="00B41968"/>
    <w:rsid w:val="00B41CBC"/>
    <w:rsid w:val="00B50708"/>
    <w:rsid w:val="00B50C68"/>
    <w:rsid w:val="00B51293"/>
    <w:rsid w:val="00B52B1E"/>
    <w:rsid w:val="00B5371A"/>
    <w:rsid w:val="00B55481"/>
    <w:rsid w:val="00B55824"/>
    <w:rsid w:val="00B5615A"/>
    <w:rsid w:val="00B56C32"/>
    <w:rsid w:val="00B57ACF"/>
    <w:rsid w:val="00B645D9"/>
    <w:rsid w:val="00B64BB1"/>
    <w:rsid w:val="00B73166"/>
    <w:rsid w:val="00B76363"/>
    <w:rsid w:val="00B76EE0"/>
    <w:rsid w:val="00B81619"/>
    <w:rsid w:val="00B818E2"/>
    <w:rsid w:val="00B8426C"/>
    <w:rsid w:val="00B91B8D"/>
    <w:rsid w:val="00B92541"/>
    <w:rsid w:val="00B92866"/>
    <w:rsid w:val="00B93A23"/>
    <w:rsid w:val="00B94CBD"/>
    <w:rsid w:val="00B94E90"/>
    <w:rsid w:val="00B96DE8"/>
    <w:rsid w:val="00BA2F29"/>
    <w:rsid w:val="00BA2FDF"/>
    <w:rsid w:val="00BA438C"/>
    <w:rsid w:val="00BB0A82"/>
    <w:rsid w:val="00BB11C6"/>
    <w:rsid w:val="00BB7793"/>
    <w:rsid w:val="00BB7C94"/>
    <w:rsid w:val="00BC0467"/>
    <w:rsid w:val="00BC0A9D"/>
    <w:rsid w:val="00BD1043"/>
    <w:rsid w:val="00BD28EA"/>
    <w:rsid w:val="00BD633E"/>
    <w:rsid w:val="00BF067D"/>
    <w:rsid w:val="00BF0C13"/>
    <w:rsid w:val="00BF40ED"/>
    <w:rsid w:val="00BF5BC2"/>
    <w:rsid w:val="00C0429C"/>
    <w:rsid w:val="00C05312"/>
    <w:rsid w:val="00C1133D"/>
    <w:rsid w:val="00C11C88"/>
    <w:rsid w:val="00C15814"/>
    <w:rsid w:val="00C1769E"/>
    <w:rsid w:val="00C20233"/>
    <w:rsid w:val="00C22750"/>
    <w:rsid w:val="00C22AA3"/>
    <w:rsid w:val="00C23DB6"/>
    <w:rsid w:val="00C27A08"/>
    <w:rsid w:val="00C27CC4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46405"/>
    <w:rsid w:val="00C5384F"/>
    <w:rsid w:val="00C53C04"/>
    <w:rsid w:val="00C540F4"/>
    <w:rsid w:val="00C56964"/>
    <w:rsid w:val="00C606EE"/>
    <w:rsid w:val="00C62BB4"/>
    <w:rsid w:val="00C63CF9"/>
    <w:rsid w:val="00C63D84"/>
    <w:rsid w:val="00C643FA"/>
    <w:rsid w:val="00C656D5"/>
    <w:rsid w:val="00C659DB"/>
    <w:rsid w:val="00C65E02"/>
    <w:rsid w:val="00C67103"/>
    <w:rsid w:val="00C71BB9"/>
    <w:rsid w:val="00C80B56"/>
    <w:rsid w:val="00C84E03"/>
    <w:rsid w:val="00C94C28"/>
    <w:rsid w:val="00C9673C"/>
    <w:rsid w:val="00CA0B96"/>
    <w:rsid w:val="00CA2CE9"/>
    <w:rsid w:val="00CA2D78"/>
    <w:rsid w:val="00CA4DB4"/>
    <w:rsid w:val="00CA700B"/>
    <w:rsid w:val="00CB0247"/>
    <w:rsid w:val="00CB3440"/>
    <w:rsid w:val="00CB363D"/>
    <w:rsid w:val="00CB495E"/>
    <w:rsid w:val="00CC1692"/>
    <w:rsid w:val="00CC3471"/>
    <w:rsid w:val="00CC3735"/>
    <w:rsid w:val="00CC4527"/>
    <w:rsid w:val="00CD138B"/>
    <w:rsid w:val="00CD3E31"/>
    <w:rsid w:val="00CD74A3"/>
    <w:rsid w:val="00CE0527"/>
    <w:rsid w:val="00CE19BD"/>
    <w:rsid w:val="00CE5B23"/>
    <w:rsid w:val="00CE6141"/>
    <w:rsid w:val="00CE6322"/>
    <w:rsid w:val="00CE7B52"/>
    <w:rsid w:val="00CF70AD"/>
    <w:rsid w:val="00CF70DD"/>
    <w:rsid w:val="00CF7729"/>
    <w:rsid w:val="00D00059"/>
    <w:rsid w:val="00D107FA"/>
    <w:rsid w:val="00D111D6"/>
    <w:rsid w:val="00D115D1"/>
    <w:rsid w:val="00D12275"/>
    <w:rsid w:val="00D12766"/>
    <w:rsid w:val="00D13F0A"/>
    <w:rsid w:val="00D15004"/>
    <w:rsid w:val="00D209D7"/>
    <w:rsid w:val="00D20FF4"/>
    <w:rsid w:val="00D2331E"/>
    <w:rsid w:val="00D24D2C"/>
    <w:rsid w:val="00D25A1B"/>
    <w:rsid w:val="00D277A3"/>
    <w:rsid w:val="00D35881"/>
    <w:rsid w:val="00D43093"/>
    <w:rsid w:val="00D528A4"/>
    <w:rsid w:val="00D57A58"/>
    <w:rsid w:val="00D61195"/>
    <w:rsid w:val="00D63EB6"/>
    <w:rsid w:val="00D810A6"/>
    <w:rsid w:val="00D85FFA"/>
    <w:rsid w:val="00D87DEC"/>
    <w:rsid w:val="00D9626B"/>
    <w:rsid w:val="00DA4A39"/>
    <w:rsid w:val="00DA550B"/>
    <w:rsid w:val="00DA7C55"/>
    <w:rsid w:val="00DA7DA5"/>
    <w:rsid w:val="00DB073B"/>
    <w:rsid w:val="00DB6B7E"/>
    <w:rsid w:val="00DB78F0"/>
    <w:rsid w:val="00DC0CEA"/>
    <w:rsid w:val="00DC1076"/>
    <w:rsid w:val="00DC2E43"/>
    <w:rsid w:val="00DC3474"/>
    <w:rsid w:val="00DC3EA3"/>
    <w:rsid w:val="00DD095C"/>
    <w:rsid w:val="00DD1020"/>
    <w:rsid w:val="00DD1330"/>
    <w:rsid w:val="00DD25C6"/>
    <w:rsid w:val="00DD58B8"/>
    <w:rsid w:val="00DD6391"/>
    <w:rsid w:val="00DD64A3"/>
    <w:rsid w:val="00DE0B83"/>
    <w:rsid w:val="00DE1A81"/>
    <w:rsid w:val="00DE1C13"/>
    <w:rsid w:val="00DE4E10"/>
    <w:rsid w:val="00DE7F16"/>
    <w:rsid w:val="00DF5E98"/>
    <w:rsid w:val="00E02ABF"/>
    <w:rsid w:val="00E04DE9"/>
    <w:rsid w:val="00E05F16"/>
    <w:rsid w:val="00E100B4"/>
    <w:rsid w:val="00E1422F"/>
    <w:rsid w:val="00E14995"/>
    <w:rsid w:val="00E14E8D"/>
    <w:rsid w:val="00E160D1"/>
    <w:rsid w:val="00E17219"/>
    <w:rsid w:val="00E179CD"/>
    <w:rsid w:val="00E23E8D"/>
    <w:rsid w:val="00E25953"/>
    <w:rsid w:val="00E2685B"/>
    <w:rsid w:val="00E328FC"/>
    <w:rsid w:val="00E35D1D"/>
    <w:rsid w:val="00E37F98"/>
    <w:rsid w:val="00E44555"/>
    <w:rsid w:val="00E46559"/>
    <w:rsid w:val="00E5236E"/>
    <w:rsid w:val="00E54C13"/>
    <w:rsid w:val="00E5593D"/>
    <w:rsid w:val="00E5789D"/>
    <w:rsid w:val="00E6670C"/>
    <w:rsid w:val="00E733FC"/>
    <w:rsid w:val="00E747FE"/>
    <w:rsid w:val="00E776E8"/>
    <w:rsid w:val="00E83148"/>
    <w:rsid w:val="00E831AE"/>
    <w:rsid w:val="00E86264"/>
    <w:rsid w:val="00E92C1F"/>
    <w:rsid w:val="00E92C39"/>
    <w:rsid w:val="00E95D4B"/>
    <w:rsid w:val="00EA3978"/>
    <w:rsid w:val="00EB199F"/>
    <w:rsid w:val="00EB2ACB"/>
    <w:rsid w:val="00EC0A84"/>
    <w:rsid w:val="00EC23F7"/>
    <w:rsid w:val="00EC345E"/>
    <w:rsid w:val="00EC4BD8"/>
    <w:rsid w:val="00EC63EB"/>
    <w:rsid w:val="00EC6B96"/>
    <w:rsid w:val="00EC700C"/>
    <w:rsid w:val="00EC7A12"/>
    <w:rsid w:val="00ED412F"/>
    <w:rsid w:val="00ED5782"/>
    <w:rsid w:val="00EE0FC5"/>
    <w:rsid w:val="00EE65B8"/>
    <w:rsid w:val="00EF36B2"/>
    <w:rsid w:val="00EF491C"/>
    <w:rsid w:val="00EF62DE"/>
    <w:rsid w:val="00EF6B32"/>
    <w:rsid w:val="00F032C9"/>
    <w:rsid w:val="00F03CDE"/>
    <w:rsid w:val="00F1013B"/>
    <w:rsid w:val="00F1246B"/>
    <w:rsid w:val="00F201EC"/>
    <w:rsid w:val="00F208A9"/>
    <w:rsid w:val="00F22AF6"/>
    <w:rsid w:val="00F2579C"/>
    <w:rsid w:val="00F25A7A"/>
    <w:rsid w:val="00F27A77"/>
    <w:rsid w:val="00F3082B"/>
    <w:rsid w:val="00F32E08"/>
    <w:rsid w:val="00F3559F"/>
    <w:rsid w:val="00F369E4"/>
    <w:rsid w:val="00F41D75"/>
    <w:rsid w:val="00F42BCC"/>
    <w:rsid w:val="00F44492"/>
    <w:rsid w:val="00F46B0B"/>
    <w:rsid w:val="00F5139D"/>
    <w:rsid w:val="00F5230F"/>
    <w:rsid w:val="00F62F63"/>
    <w:rsid w:val="00F63DAC"/>
    <w:rsid w:val="00F64A6D"/>
    <w:rsid w:val="00F64EC5"/>
    <w:rsid w:val="00F6635C"/>
    <w:rsid w:val="00F70585"/>
    <w:rsid w:val="00F73BEB"/>
    <w:rsid w:val="00F7454F"/>
    <w:rsid w:val="00F75EFB"/>
    <w:rsid w:val="00F77988"/>
    <w:rsid w:val="00F77F48"/>
    <w:rsid w:val="00F80D43"/>
    <w:rsid w:val="00F86356"/>
    <w:rsid w:val="00F9014D"/>
    <w:rsid w:val="00F91B70"/>
    <w:rsid w:val="00F92FC4"/>
    <w:rsid w:val="00FA020D"/>
    <w:rsid w:val="00FA3679"/>
    <w:rsid w:val="00FA5F83"/>
    <w:rsid w:val="00FB30F1"/>
    <w:rsid w:val="00FB53E7"/>
    <w:rsid w:val="00FB65F1"/>
    <w:rsid w:val="00FC2A5C"/>
    <w:rsid w:val="00FC773E"/>
    <w:rsid w:val="00FD2453"/>
    <w:rsid w:val="00FD2A8A"/>
    <w:rsid w:val="00FD3FA2"/>
    <w:rsid w:val="00FD5300"/>
    <w:rsid w:val="00FD5339"/>
    <w:rsid w:val="00FD663B"/>
    <w:rsid w:val="00FE1E47"/>
    <w:rsid w:val="00FE310F"/>
    <w:rsid w:val="00FE4571"/>
    <w:rsid w:val="00FE6DBE"/>
    <w:rsid w:val="00FE7E18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DCCDCD"/>
  <w15:docId w15:val="{884EBCC5-DCBF-4A2A-B5FB-0D216E57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EE0FC5"/>
    <w:rPr>
      <w:sz w:val="24"/>
      <w:szCs w:val="24"/>
    </w:rPr>
  </w:style>
  <w:style w:type="character" w:customStyle="1" w:styleId="highlight">
    <w:name w:val="highlight"/>
    <w:rsid w:val="001B3C32"/>
  </w:style>
  <w:style w:type="paragraph" w:styleId="NormalWeb">
    <w:name w:val="Normal (Web)"/>
    <w:basedOn w:val="Normal"/>
    <w:uiPriority w:val="99"/>
    <w:unhideWhenUsed/>
    <w:rsid w:val="00972875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62205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Bullet">
    <w:name w:val="List Bullet"/>
    <w:basedOn w:val="Normal"/>
    <w:autoRedefine/>
    <w:rsid w:val="00C540F4"/>
    <w:pPr>
      <w:tabs>
        <w:tab w:val="num" w:pos="360"/>
      </w:tabs>
      <w:spacing w:before="120" w:after="120"/>
      <w:ind w:left="360" w:hanging="360"/>
      <w:jc w:val="both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737BE1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4E0FED"/>
    <w:pPr>
      <w:keepNext/>
      <w:spacing w:before="600"/>
      <w:ind w:firstLine="720"/>
    </w:pPr>
    <w:rPr>
      <w:sz w:val="26"/>
      <w:szCs w:val="26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FED"/>
    <w:rPr>
      <w:sz w:val="26"/>
      <w:szCs w:val="26"/>
      <w:lang w:eastAsia="en-US"/>
    </w:rPr>
  </w:style>
  <w:style w:type="paragraph" w:styleId="NoSpacing">
    <w:name w:val="No Spacing"/>
    <w:uiPriority w:val="1"/>
    <w:qFormat/>
    <w:rsid w:val="003D6262"/>
    <w:rPr>
      <w:rFonts w:eastAsiaTheme="minorHAnsi" w:cstheme="minorBidi"/>
      <w:sz w:val="28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37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D3D1-776D-4730-BD86-8DC658BB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4321</Words>
  <Characters>2463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Ilgtspējīgas attīstības konsultatīvās koordinācijas padomes Rail Baltica projekta sniegto papildus iespēju realizēšanai Rīgā nolikums</vt:lpstr>
    </vt:vector>
  </TitlesOfParts>
  <Company>Satiksmes ministrija</Company>
  <LinksUpToDate>false</LinksUpToDate>
  <CharactersWithSpaces>6771</CharactersWithSpaces>
  <SharedDoc>false</SharedDoc>
  <HLinks>
    <vt:vector size="6" baseType="variant"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mailto:Inita.Ruka@mil.lv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2003. gada 29. aprīļa noteikumos Nr. 242 „Satiksmes ministrijas nolikums”” sākotnējās ietekmes novērtējuma ziņojums (anotācija)</dc:title>
  <dc:subject>Anotācija</dc:subject>
  <dc:creator/>
  <dc:description/>
  <cp:lastModifiedBy>Līva Kreituse</cp:lastModifiedBy>
  <cp:revision>33</cp:revision>
  <cp:lastPrinted>2018-01-12T10:04:00Z</cp:lastPrinted>
  <dcterms:created xsi:type="dcterms:W3CDTF">2018-01-11T10:38:00Z</dcterms:created>
  <dcterms:modified xsi:type="dcterms:W3CDTF">2018-02-01T06:50:00Z</dcterms:modified>
</cp:coreProperties>
</file>