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F1990" w:rsidRPr="00674730" w:rsidP="00631723" w14:paraId="272E75B4" w14:textId="13B81662">
      <w:pPr>
        <w:spacing w:line="276" w:lineRule="auto"/>
        <w:jc w:val="center"/>
        <w:rPr>
          <w:rStyle w:val="FontStyle60"/>
          <w:rFonts w:eastAsiaTheme="minorEastAsia"/>
          <w:b/>
          <w:sz w:val="24"/>
          <w:szCs w:val="24"/>
          <w:lang w:eastAsia="lv-LV" w:bidi="lo-LA"/>
        </w:rPr>
      </w:pPr>
      <w:r w:rsidRPr="00674730">
        <w:rPr>
          <w:rStyle w:val="FontStyle60"/>
          <w:rFonts w:eastAsiaTheme="minorEastAsia"/>
          <w:b/>
          <w:sz w:val="24"/>
          <w:szCs w:val="24"/>
          <w:lang w:eastAsia="lv-LV" w:bidi="lo-LA"/>
        </w:rPr>
        <w:t xml:space="preserve">Informatīvais </w:t>
      </w:r>
      <w:r w:rsidRPr="00674730" w:rsidR="00AC27C3">
        <w:rPr>
          <w:rStyle w:val="FontStyle60"/>
          <w:rFonts w:eastAsiaTheme="minorEastAsia"/>
          <w:b/>
          <w:sz w:val="24"/>
          <w:szCs w:val="24"/>
          <w:lang w:eastAsia="lv-LV" w:bidi="lo-LA"/>
        </w:rPr>
        <w:t xml:space="preserve">ziņojums </w:t>
      </w:r>
      <w:r w:rsidRPr="00674730" w:rsidR="003018C3">
        <w:rPr>
          <w:rStyle w:val="FontStyle60"/>
          <w:rFonts w:eastAsiaTheme="minorEastAsia"/>
          <w:b/>
          <w:sz w:val="24"/>
          <w:szCs w:val="24"/>
          <w:lang w:eastAsia="lv-LV" w:bidi="lo-LA"/>
        </w:rPr>
        <w:t xml:space="preserve">“Par </w:t>
      </w:r>
      <w:r w:rsidRPr="00674730" w:rsidR="00B35055">
        <w:rPr>
          <w:rStyle w:val="FontStyle60"/>
          <w:rFonts w:eastAsiaTheme="minorEastAsia"/>
          <w:b/>
          <w:sz w:val="24"/>
          <w:szCs w:val="24"/>
          <w:lang w:eastAsia="lv-LV" w:bidi="lo-LA"/>
        </w:rPr>
        <w:t>A</w:t>
      </w:r>
      <w:r w:rsidRPr="00674730" w:rsidR="003018C3">
        <w:rPr>
          <w:rStyle w:val="FontStyle60"/>
          <w:rFonts w:eastAsiaTheme="minorEastAsia"/>
          <w:b/>
          <w:sz w:val="24"/>
          <w:szCs w:val="24"/>
          <w:lang w:eastAsia="lv-LV" w:bidi="lo-LA"/>
        </w:rPr>
        <w:t xml:space="preserve">tvieglojumu uzskaites koplietošanas risinājuma ieviešanu valsts un pašvaldību </w:t>
      </w:r>
      <w:r w:rsidRPr="00674730" w:rsidR="00D327CE">
        <w:rPr>
          <w:rStyle w:val="FontStyle60"/>
          <w:rFonts w:eastAsiaTheme="minorEastAsia"/>
          <w:b/>
          <w:sz w:val="24"/>
          <w:szCs w:val="24"/>
          <w:lang w:eastAsia="lv-LV" w:bidi="lo-LA"/>
        </w:rPr>
        <w:t>atvieglojumu</w:t>
      </w:r>
      <w:r w:rsidRPr="00674730" w:rsidR="00F838CA">
        <w:rPr>
          <w:rStyle w:val="FontStyle60"/>
          <w:rFonts w:eastAsiaTheme="minorEastAsia"/>
          <w:b/>
          <w:sz w:val="24"/>
          <w:szCs w:val="24"/>
          <w:lang w:eastAsia="lv-LV" w:bidi="lo-LA"/>
        </w:rPr>
        <w:t xml:space="preserve"> </w:t>
      </w:r>
      <w:r w:rsidRPr="00674730" w:rsidR="003018C3">
        <w:rPr>
          <w:rStyle w:val="FontStyle60"/>
          <w:rFonts w:eastAsiaTheme="minorEastAsia"/>
          <w:b/>
          <w:sz w:val="24"/>
          <w:szCs w:val="24"/>
          <w:lang w:eastAsia="lv-LV" w:bidi="lo-LA"/>
        </w:rPr>
        <w:t>administrēšanai“</w:t>
      </w:r>
      <w:bookmarkStart w:id="0" w:name="_GoBack"/>
      <w:bookmarkEnd w:id="0"/>
    </w:p>
    <w:p w:rsidR="00F609F6" w:rsidRPr="00674730" w:rsidP="00631723" w14:paraId="593CD819" w14:textId="77777777">
      <w:pPr>
        <w:spacing w:line="276" w:lineRule="auto"/>
        <w:jc w:val="center"/>
        <w:rPr>
          <w:rStyle w:val="FontStyle60"/>
          <w:rFonts w:eastAsiaTheme="minorEastAsia"/>
          <w:b/>
          <w:sz w:val="16"/>
          <w:szCs w:val="24"/>
          <w:lang w:eastAsia="lv-LV" w:bidi="lo-LA"/>
        </w:rPr>
      </w:pPr>
    </w:p>
    <w:p w:rsidR="00F609F6" w:rsidRPr="00674730" w:rsidP="00F609F6" w14:paraId="05E9F0C8" w14:textId="77944054">
      <w:pPr>
        <w:spacing w:after="0" w:line="276" w:lineRule="auto"/>
        <w:ind w:firstLine="720"/>
        <w:jc w:val="both"/>
        <w:rPr>
          <w:rFonts w:ascii="Times New Roman" w:eastAsia="Times New Roman" w:hAnsi="Times New Roman" w:cs="Times New Roman"/>
          <w:sz w:val="24"/>
          <w:szCs w:val="24"/>
          <w:lang w:eastAsia="lv-LV"/>
        </w:rPr>
      </w:pPr>
      <w:r w:rsidRPr="00674730">
        <w:rPr>
          <w:rFonts w:ascii="Times New Roman" w:eastAsia="Times New Roman" w:hAnsi="Times New Roman" w:cs="Times New Roman"/>
          <w:sz w:val="24"/>
          <w:szCs w:val="24"/>
          <w:lang w:eastAsia="lv-LV"/>
        </w:rPr>
        <w:t>Informatīvais</w:t>
      </w:r>
      <w:r w:rsidRPr="00674730" w:rsidR="003C3464">
        <w:rPr>
          <w:rFonts w:ascii="Times New Roman" w:eastAsia="Times New Roman" w:hAnsi="Times New Roman" w:cs="Times New Roman"/>
          <w:sz w:val="24"/>
          <w:szCs w:val="24"/>
          <w:lang w:eastAsia="lv-LV"/>
        </w:rPr>
        <w:t xml:space="preserve"> ziņojums izstrādāts, pamatojoties </w:t>
      </w:r>
      <w:r w:rsidRPr="00674730" w:rsidR="002F537F">
        <w:rPr>
          <w:rFonts w:ascii="Times New Roman" w:eastAsia="Times New Roman" w:hAnsi="Times New Roman" w:cs="Times New Roman"/>
          <w:sz w:val="24"/>
          <w:szCs w:val="24"/>
          <w:lang w:eastAsia="lv-LV"/>
        </w:rPr>
        <w:t>uz Ministru kabineta 2017.gada 4</w:t>
      </w:r>
      <w:r w:rsidRPr="00674730" w:rsidR="003C3464">
        <w:rPr>
          <w:rFonts w:ascii="Times New Roman" w:eastAsia="Times New Roman" w:hAnsi="Times New Roman" w:cs="Times New Roman"/>
          <w:sz w:val="24"/>
          <w:szCs w:val="24"/>
          <w:lang w:eastAsia="lv-LV"/>
        </w:rPr>
        <w:t>.aprīļa sēdē (protokols N</w:t>
      </w:r>
      <w:r w:rsidRPr="00674730" w:rsidR="00471CF3">
        <w:rPr>
          <w:rFonts w:ascii="Times New Roman" w:eastAsia="Times New Roman" w:hAnsi="Times New Roman" w:cs="Times New Roman"/>
          <w:sz w:val="24"/>
          <w:szCs w:val="24"/>
          <w:lang w:eastAsia="lv-LV"/>
        </w:rPr>
        <w:t>r.</w:t>
      </w:r>
      <w:r w:rsidRPr="00674730" w:rsidR="002F537F">
        <w:rPr>
          <w:rFonts w:ascii="Times New Roman" w:eastAsia="Times New Roman" w:hAnsi="Times New Roman" w:cs="Times New Roman"/>
          <w:sz w:val="24"/>
          <w:szCs w:val="24"/>
          <w:lang w:eastAsia="lv-LV"/>
        </w:rPr>
        <w:t>18</w:t>
      </w:r>
      <w:r w:rsidRPr="00674730" w:rsidR="003C3464">
        <w:rPr>
          <w:rFonts w:ascii="Times New Roman" w:eastAsia="Times New Roman" w:hAnsi="Times New Roman" w:cs="Times New Roman"/>
          <w:sz w:val="24"/>
          <w:szCs w:val="24"/>
          <w:lang w:eastAsia="lv-LV"/>
        </w:rPr>
        <w:t xml:space="preserve">, </w:t>
      </w:r>
      <w:r w:rsidRPr="00674730" w:rsidR="002F537F">
        <w:rPr>
          <w:rFonts w:ascii="Times New Roman" w:eastAsia="Times New Roman" w:hAnsi="Times New Roman" w:cs="Times New Roman"/>
          <w:sz w:val="24"/>
          <w:szCs w:val="24"/>
          <w:lang w:eastAsia="lv-LV"/>
        </w:rPr>
        <w:t>43</w:t>
      </w:r>
      <w:r w:rsidRPr="00674730" w:rsidR="003C3464">
        <w:rPr>
          <w:rFonts w:ascii="Times New Roman" w:eastAsia="Times New Roman" w:hAnsi="Times New Roman" w:cs="Times New Roman"/>
          <w:sz w:val="24"/>
          <w:szCs w:val="24"/>
          <w:lang w:eastAsia="lv-LV"/>
        </w:rPr>
        <w:t xml:space="preserve">.§) nolemto </w:t>
      </w:r>
      <w:r w:rsidRPr="00674730" w:rsidR="002F537F">
        <w:rPr>
          <w:rFonts w:ascii="Times New Roman" w:eastAsia="Times New Roman" w:hAnsi="Times New Roman" w:cs="Times New Roman"/>
          <w:sz w:val="24"/>
          <w:szCs w:val="24"/>
          <w:lang w:eastAsia="lv-LV"/>
        </w:rPr>
        <w:t xml:space="preserve">jautājumā - </w:t>
      </w:r>
      <w:r w:rsidRPr="00674730" w:rsidR="00794745">
        <w:rPr>
          <w:rFonts w:ascii="Times New Roman" w:eastAsia="Times New Roman" w:hAnsi="Times New Roman" w:cs="Times New Roman"/>
          <w:sz w:val="24"/>
          <w:szCs w:val="24"/>
          <w:lang w:eastAsia="lv-LV"/>
        </w:rPr>
        <w:t>“</w:t>
      </w:r>
      <w:r w:rsidRPr="00674730" w:rsidR="000405B7">
        <w:rPr>
          <w:rFonts w:ascii="Times New Roman" w:eastAsia="Times New Roman" w:hAnsi="Times New Roman" w:cs="Times New Roman"/>
          <w:sz w:val="24"/>
          <w:szCs w:val="24"/>
          <w:lang w:eastAsia="lv-LV"/>
        </w:rPr>
        <w:t>Informatīvais ziņojums “</w:t>
      </w:r>
      <w:r w:rsidRPr="00674730" w:rsidR="003C3464">
        <w:rPr>
          <w:rFonts w:ascii="Times New Roman" w:eastAsia="Times New Roman" w:hAnsi="Times New Roman" w:cs="Times New Roman"/>
          <w:sz w:val="24"/>
          <w:szCs w:val="24"/>
          <w:lang w:eastAsia="lv-LV"/>
        </w:rPr>
        <w:t>Par Ministru kabineta 2015.</w:t>
      </w:r>
      <w:r w:rsidRPr="00674730" w:rsidR="00794745">
        <w:rPr>
          <w:rFonts w:ascii="Times New Roman" w:eastAsia="Times New Roman" w:hAnsi="Times New Roman" w:cs="Times New Roman"/>
          <w:sz w:val="24"/>
          <w:szCs w:val="24"/>
          <w:lang w:eastAsia="lv-LV"/>
        </w:rPr>
        <w:t>gada 31.marta noteikumu Nr.153 “</w:t>
      </w:r>
      <w:r w:rsidRPr="00674730" w:rsidR="003C3464">
        <w:rPr>
          <w:rFonts w:ascii="Times New Roman" w:eastAsia="Times New Roman" w:hAnsi="Times New Roman" w:cs="Times New Roman"/>
          <w:sz w:val="24"/>
          <w:szCs w:val="24"/>
          <w:lang w:eastAsia="lv-LV"/>
        </w:rPr>
        <w:t>Noteikumi par pasažieru kategorijām, kuras ir tiesīgas izmantot braukšanas maksas atvieglojumus maršru</w:t>
      </w:r>
      <w:r w:rsidRPr="00674730" w:rsidR="000405B7">
        <w:rPr>
          <w:rFonts w:ascii="Times New Roman" w:eastAsia="Times New Roman" w:hAnsi="Times New Roman" w:cs="Times New Roman"/>
          <w:sz w:val="24"/>
          <w:szCs w:val="24"/>
          <w:lang w:eastAsia="lv-LV"/>
        </w:rPr>
        <w:t>tu tīkla maršrutos”</w:t>
      </w:r>
      <w:r w:rsidRPr="00674730" w:rsidR="00794745">
        <w:rPr>
          <w:rFonts w:ascii="Times New Roman" w:eastAsia="Times New Roman" w:hAnsi="Times New Roman" w:cs="Times New Roman"/>
          <w:sz w:val="24"/>
          <w:szCs w:val="24"/>
          <w:lang w:eastAsia="lv-LV"/>
        </w:rPr>
        <w:t xml:space="preserve"> ieviešanu””</w:t>
      </w:r>
      <w:r w:rsidRPr="00674730" w:rsidR="003C3464">
        <w:rPr>
          <w:rFonts w:ascii="Times New Roman" w:eastAsia="Times New Roman" w:hAnsi="Times New Roman" w:cs="Times New Roman"/>
          <w:sz w:val="24"/>
          <w:szCs w:val="24"/>
          <w:lang w:eastAsia="lv-LV"/>
        </w:rPr>
        <w:t>, kur Vides aizsardzības un reģionālās attīstības ministrijai (Valsts reģionālās attīstības aģentūrai) tika dots uzdevums- vērtējot vienotas sistēmas par valsts un pašvaldību noteikto atvieglojumu un pakalpojumu uzskaiti izveides iespējas</w:t>
      </w:r>
      <w:r w:rsidRPr="00674730" w:rsidR="00476F7D">
        <w:rPr>
          <w:rFonts w:ascii="Times New Roman" w:eastAsia="Times New Roman" w:hAnsi="Times New Roman" w:cs="Times New Roman"/>
          <w:sz w:val="24"/>
          <w:szCs w:val="24"/>
          <w:lang w:eastAsia="lv-LV"/>
        </w:rPr>
        <w:t>,</w:t>
      </w:r>
      <w:r w:rsidRPr="00674730" w:rsidR="00246989">
        <w:rPr>
          <w:rFonts w:ascii="Times New Roman" w:eastAsia="Times New Roman" w:hAnsi="Times New Roman" w:cs="Times New Roman"/>
          <w:sz w:val="24"/>
          <w:szCs w:val="24"/>
          <w:lang w:eastAsia="lv-LV"/>
        </w:rPr>
        <w:t xml:space="preserve"> </w:t>
      </w:r>
      <w:r w:rsidRPr="00674730" w:rsidR="003C3464">
        <w:rPr>
          <w:rFonts w:ascii="Times New Roman" w:eastAsia="Times New Roman" w:hAnsi="Times New Roman" w:cs="Times New Roman"/>
          <w:sz w:val="24"/>
          <w:szCs w:val="24"/>
          <w:lang w:eastAsia="lv-LV"/>
        </w:rPr>
        <w:t>izvērtēt iespējamus risinājumus</w:t>
      </w:r>
      <w:r w:rsidRPr="00674730" w:rsidR="00794745">
        <w:rPr>
          <w:rFonts w:ascii="Times New Roman" w:eastAsia="Times New Roman" w:hAnsi="Times New Roman" w:cs="Times New Roman"/>
          <w:sz w:val="24"/>
          <w:szCs w:val="24"/>
          <w:lang w:eastAsia="lv-LV"/>
        </w:rPr>
        <w:t xml:space="preserve"> sistēmas integrācijai ar VSIA “Autotransporta direkcija”</w:t>
      </w:r>
      <w:r w:rsidRPr="00674730" w:rsidR="003C3464">
        <w:rPr>
          <w:rFonts w:ascii="Times New Roman" w:eastAsia="Times New Roman" w:hAnsi="Times New Roman" w:cs="Times New Roman"/>
          <w:sz w:val="24"/>
          <w:szCs w:val="24"/>
          <w:lang w:eastAsia="lv-LV"/>
        </w:rPr>
        <w:t xml:space="preserve"> izveidoto braukšanas maksas atvieglojumu saņēmēju uzskaites valsts informācijas sistēmu un iesniegt izskatīšanai Ministru kabinetā a</w:t>
      </w:r>
      <w:r w:rsidRPr="00674730" w:rsidR="00471CF3">
        <w:rPr>
          <w:rFonts w:ascii="Times New Roman" w:eastAsia="Times New Roman" w:hAnsi="Times New Roman" w:cs="Times New Roman"/>
          <w:sz w:val="24"/>
          <w:szCs w:val="24"/>
          <w:lang w:eastAsia="lv-LV"/>
        </w:rPr>
        <w:t>ttiec</w:t>
      </w:r>
      <w:r w:rsidRPr="00674730" w:rsidR="00794745">
        <w:rPr>
          <w:rFonts w:ascii="Times New Roman" w:eastAsia="Times New Roman" w:hAnsi="Times New Roman" w:cs="Times New Roman"/>
          <w:sz w:val="24"/>
          <w:szCs w:val="24"/>
          <w:lang w:eastAsia="lv-LV"/>
        </w:rPr>
        <w:t>īgu informatīvo ziņojumu.”</w:t>
      </w:r>
      <w:r w:rsidRPr="00674730" w:rsidR="009A3377">
        <w:rPr>
          <w:rFonts w:ascii="Times New Roman" w:eastAsia="Times New Roman" w:hAnsi="Times New Roman" w:cs="Times New Roman"/>
          <w:sz w:val="24"/>
          <w:szCs w:val="24"/>
          <w:lang w:eastAsia="lv-LV"/>
        </w:rPr>
        <w:t xml:space="preserve"> </w:t>
      </w:r>
    </w:p>
    <w:p w:rsidR="00F609F6" w:rsidRPr="00674730" w:rsidP="00F609F6" w14:paraId="568103F6" w14:textId="7AC6D024">
      <w:pPr>
        <w:pStyle w:val="Heading1"/>
        <w:spacing w:before="0"/>
        <w:jc w:val="right"/>
        <w:rPr>
          <w:rFonts w:ascii="Times New Roman" w:hAnsi="Times New Roman" w:cs="Times New Roman"/>
          <w:color w:val="auto"/>
          <w:sz w:val="24"/>
        </w:rPr>
      </w:pPr>
      <w:r w:rsidRPr="00674730">
        <w:rPr>
          <w:rFonts w:ascii="Times New Roman" w:hAnsi="Times New Roman" w:cs="Times New Roman"/>
          <w:color w:val="auto"/>
          <w:sz w:val="24"/>
        </w:rPr>
        <w:t xml:space="preserve">1.tabula </w:t>
      </w:r>
    </w:p>
    <w:p w:rsidR="00F609F6" w:rsidRPr="00674730" w:rsidP="00F609F6" w14:paraId="2E81DFE4" w14:textId="77777777">
      <w:pPr>
        <w:pStyle w:val="Heading1"/>
        <w:spacing w:before="0"/>
        <w:jc w:val="center"/>
        <w:rPr>
          <w:rFonts w:ascii="Times New Roman" w:hAnsi="Times New Roman" w:cs="Times New Roman"/>
          <w:color w:val="auto"/>
          <w:sz w:val="24"/>
        </w:rPr>
      </w:pPr>
      <w:r w:rsidRPr="00674730">
        <w:rPr>
          <w:rFonts w:ascii="Times New Roman" w:hAnsi="Times New Roman" w:cs="Times New Roman"/>
          <w:color w:val="auto"/>
          <w:sz w:val="24"/>
        </w:rPr>
        <w:t>Ziņojumā lietotie saīsinājumi un termini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796"/>
      </w:tblGrid>
      <w:tr w14:paraId="23D89A7D" w14:textId="77777777" w:rsidTr="00D83379">
        <w:tblPrEx>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838" w:type="dxa"/>
            <w:shd w:val="clear" w:color="auto" w:fill="F2F2F2" w:themeFill="background1" w:themeFillShade="F2"/>
            <w:vAlign w:val="center"/>
          </w:tcPr>
          <w:p w:rsidR="00F609F6" w:rsidRPr="00674730" w:rsidP="000405B7" w14:paraId="4776FA68" w14:textId="77777777">
            <w:pPr>
              <w:spacing w:before="40" w:after="40" w:line="240" w:lineRule="auto"/>
              <w:contextualSpacing/>
              <w:jc w:val="center"/>
              <w:rPr>
                <w:rFonts w:ascii="Times New Roman" w:eastAsia="Calibri" w:hAnsi="Times New Roman" w:cs="Times New Roman"/>
                <w:b/>
                <w:sz w:val="24"/>
                <w:szCs w:val="24"/>
              </w:rPr>
            </w:pPr>
            <w:r w:rsidRPr="00674730">
              <w:rPr>
                <w:rFonts w:ascii="Times New Roman" w:eastAsia="Calibri" w:hAnsi="Times New Roman" w:cs="Times New Roman"/>
                <w:b/>
                <w:sz w:val="24"/>
                <w:szCs w:val="24"/>
              </w:rPr>
              <w:t>Saīsinājums vai apzīmējums</w:t>
            </w:r>
          </w:p>
        </w:tc>
        <w:tc>
          <w:tcPr>
            <w:tcW w:w="7796" w:type="dxa"/>
            <w:shd w:val="clear" w:color="auto" w:fill="F2F2F2" w:themeFill="background1" w:themeFillShade="F2"/>
            <w:vAlign w:val="center"/>
          </w:tcPr>
          <w:p w:rsidR="00F609F6" w:rsidRPr="00674730" w:rsidP="000405B7" w14:paraId="3A7133AF" w14:textId="77777777">
            <w:pPr>
              <w:spacing w:before="40" w:after="40" w:line="240" w:lineRule="auto"/>
              <w:contextualSpacing/>
              <w:jc w:val="center"/>
              <w:rPr>
                <w:rFonts w:ascii="Times New Roman" w:eastAsia="Calibri" w:hAnsi="Times New Roman" w:cs="Times New Roman"/>
                <w:b/>
                <w:sz w:val="24"/>
                <w:szCs w:val="24"/>
              </w:rPr>
            </w:pPr>
            <w:r w:rsidRPr="00674730">
              <w:rPr>
                <w:rFonts w:ascii="Times New Roman" w:eastAsia="Calibri" w:hAnsi="Times New Roman" w:cs="Times New Roman"/>
                <w:b/>
                <w:sz w:val="24"/>
                <w:szCs w:val="24"/>
              </w:rPr>
              <w:t>Skaidrojums</w:t>
            </w:r>
          </w:p>
        </w:tc>
      </w:tr>
      <w:tr w14:paraId="02B55FE1" w14:textId="77777777" w:rsidTr="00D83379">
        <w:tblPrEx>
          <w:tblW w:w="9634" w:type="dxa"/>
          <w:jc w:val="center"/>
          <w:tblLook w:val="04A0"/>
        </w:tblPrEx>
        <w:trPr>
          <w:jc w:val="center"/>
        </w:trPr>
        <w:tc>
          <w:tcPr>
            <w:tcW w:w="1838" w:type="dxa"/>
            <w:shd w:val="clear" w:color="auto" w:fill="auto"/>
          </w:tcPr>
          <w:p w:rsidR="00F609F6" w:rsidRPr="00674730" w:rsidP="000405B7" w14:paraId="47AB860D"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Atvieglojums</w:t>
            </w:r>
          </w:p>
        </w:tc>
        <w:tc>
          <w:tcPr>
            <w:tcW w:w="7796" w:type="dxa"/>
            <w:shd w:val="clear" w:color="auto" w:fill="auto"/>
          </w:tcPr>
          <w:p w:rsidR="00F609F6" w:rsidRPr="00674730" w:rsidP="002F537F" w14:paraId="1A4275FE"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Dotācijas, kompensācijas, atlaides vai citi maksājumi, kas tiek saņemti saskaņā ar normatīvajos aktos noteikto. </w:t>
            </w:r>
          </w:p>
        </w:tc>
      </w:tr>
      <w:tr w14:paraId="559713C0" w14:textId="77777777" w:rsidTr="00D83379">
        <w:tblPrEx>
          <w:tblW w:w="9634" w:type="dxa"/>
          <w:jc w:val="center"/>
          <w:tblLook w:val="04A0"/>
        </w:tblPrEx>
        <w:trPr>
          <w:jc w:val="center"/>
        </w:trPr>
        <w:tc>
          <w:tcPr>
            <w:tcW w:w="1838" w:type="dxa"/>
            <w:shd w:val="clear" w:color="auto" w:fill="auto"/>
          </w:tcPr>
          <w:p w:rsidR="00F609F6" w:rsidRPr="00674730" w:rsidP="000405B7" w14:paraId="032BDC9C"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Atvieglojumu devējs</w:t>
            </w:r>
          </w:p>
        </w:tc>
        <w:tc>
          <w:tcPr>
            <w:tcW w:w="7796" w:type="dxa"/>
            <w:shd w:val="clear" w:color="auto" w:fill="auto"/>
          </w:tcPr>
          <w:p w:rsidR="00F609F6" w:rsidRPr="00674730" w:rsidP="002F537F" w14:paraId="44BB040C" w14:textId="77777777">
            <w:pPr>
              <w:spacing w:after="0" w:line="276" w:lineRule="auto"/>
              <w:contextualSpacing/>
              <w:jc w:val="both"/>
              <w:rPr>
                <w:rFonts w:ascii="Times New Roman" w:eastAsia="Calibri" w:hAnsi="Times New Roman" w:cs="Times New Roman"/>
                <w:b/>
                <w:sz w:val="24"/>
                <w:szCs w:val="24"/>
              </w:rPr>
            </w:pPr>
            <w:r w:rsidRPr="00674730">
              <w:rPr>
                <w:rFonts w:ascii="Times New Roman" w:eastAsia="Calibri" w:hAnsi="Times New Roman" w:cs="Times New Roman"/>
                <w:sz w:val="24"/>
                <w:szCs w:val="24"/>
              </w:rPr>
              <w:t>Valsts un pašvaldību iestādes, kas definē Atvieglojumu  piešķiršanas kritērijus.</w:t>
            </w:r>
          </w:p>
        </w:tc>
      </w:tr>
      <w:tr w14:paraId="721CAC4A" w14:textId="77777777" w:rsidTr="00D83379">
        <w:tblPrEx>
          <w:tblW w:w="9634" w:type="dxa"/>
          <w:jc w:val="center"/>
          <w:tblLook w:val="04A0"/>
        </w:tblPrEx>
        <w:trPr>
          <w:jc w:val="center"/>
        </w:trPr>
        <w:tc>
          <w:tcPr>
            <w:tcW w:w="1838" w:type="dxa"/>
            <w:shd w:val="clear" w:color="auto" w:fill="auto"/>
          </w:tcPr>
          <w:p w:rsidR="00F609F6" w:rsidRPr="00674730" w:rsidP="000405B7" w14:paraId="1FDD8551"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Atvieglojumu norādījums</w:t>
            </w:r>
          </w:p>
        </w:tc>
        <w:tc>
          <w:tcPr>
            <w:tcW w:w="7796" w:type="dxa"/>
            <w:shd w:val="clear" w:color="auto" w:fill="auto"/>
          </w:tcPr>
          <w:p w:rsidR="00F609F6" w:rsidRPr="00674730" w:rsidP="002F537F" w14:paraId="105042BB"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Atvieglojumu piešķiršanas kritēriji un to apjoms. </w:t>
            </w:r>
          </w:p>
        </w:tc>
      </w:tr>
      <w:tr w14:paraId="0F22E143" w14:textId="77777777" w:rsidTr="00D83379">
        <w:tblPrEx>
          <w:tblW w:w="9634" w:type="dxa"/>
          <w:jc w:val="center"/>
          <w:tblLook w:val="04A0"/>
        </w:tblPrEx>
        <w:trPr>
          <w:jc w:val="center"/>
        </w:trPr>
        <w:tc>
          <w:tcPr>
            <w:tcW w:w="1838" w:type="dxa"/>
            <w:shd w:val="clear" w:color="auto" w:fill="auto"/>
          </w:tcPr>
          <w:p w:rsidR="00F609F6" w:rsidRPr="00674730" w:rsidP="000405B7" w14:paraId="510A811A"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Atvieglojumu saņēmējs</w:t>
            </w:r>
          </w:p>
        </w:tc>
        <w:tc>
          <w:tcPr>
            <w:tcW w:w="7796" w:type="dxa"/>
            <w:shd w:val="clear" w:color="auto" w:fill="auto"/>
          </w:tcPr>
          <w:p w:rsidR="00F609F6" w:rsidRPr="00674730" w:rsidP="002F537F" w14:paraId="1B07A3C8" w14:textId="40E01C88">
            <w:pPr>
              <w:spacing w:after="0" w:line="276" w:lineRule="auto"/>
              <w:contextualSpacing/>
              <w:jc w:val="both"/>
              <w:rPr>
                <w:rFonts w:ascii="Times New Roman" w:eastAsia="Calibri" w:hAnsi="Times New Roman" w:cs="Times New Roman"/>
                <w:b/>
                <w:sz w:val="24"/>
                <w:szCs w:val="24"/>
              </w:rPr>
            </w:pPr>
            <w:r w:rsidRPr="00674730">
              <w:rPr>
                <w:rFonts w:ascii="Times New Roman" w:eastAsia="Calibri" w:hAnsi="Times New Roman" w:cs="Times New Roman"/>
                <w:sz w:val="24"/>
                <w:szCs w:val="24"/>
              </w:rPr>
              <w:t>Iedzīvotājs - jebkura fiziska persona, kam pamatojoties uz normatīviem aktiem ir piešķirts vismaz viens Atvieglojums no jebkura Atvieglojumu devēja</w:t>
            </w:r>
          </w:p>
        </w:tc>
      </w:tr>
      <w:tr w14:paraId="5DE06632" w14:textId="77777777" w:rsidTr="00D83379">
        <w:tblPrEx>
          <w:tblW w:w="9634" w:type="dxa"/>
          <w:jc w:val="center"/>
          <w:tblLook w:val="04A0"/>
        </w:tblPrEx>
        <w:trPr>
          <w:jc w:val="center"/>
        </w:trPr>
        <w:tc>
          <w:tcPr>
            <w:tcW w:w="1838" w:type="dxa"/>
            <w:shd w:val="clear" w:color="auto" w:fill="auto"/>
          </w:tcPr>
          <w:p w:rsidR="00F609F6" w:rsidRPr="00674730" w:rsidP="000405B7" w14:paraId="48288442"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Darījums</w:t>
            </w:r>
          </w:p>
        </w:tc>
        <w:tc>
          <w:tcPr>
            <w:tcW w:w="7796" w:type="dxa"/>
            <w:shd w:val="clear" w:color="auto" w:fill="auto"/>
          </w:tcPr>
          <w:p w:rsidR="00F609F6" w:rsidRPr="00674730" w:rsidP="002F537F" w14:paraId="5566A54D" w14:textId="77777777">
            <w:pPr>
              <w:spacing w:after="0" w:line="276" w:lineRule="auto"/>
              <w:contextualSpacing/>
              <w:jc w:val="both"/>
              <w:rPr>
                <w:rFonts w:ascii="Times New Roman" w:eastAsia="Calibri" w:hAnsi="Times New Roman" w:cs="Times New Roman"/>
                <w:b/>
                <w:sz w:val="24"/>
                <w:szCs w:val="24"/>
              </w:rPr>
            </w:pPr>
            <w:r w:rsidRPr="00674730">
              <w:rPr>
                <w:rFonts w:ascii="Times New Roman" w:eastAsia="Calibri" w:hAnsi="Times New Roman" w:cs="Times New Roman"/>
                <w:sz w:val="24"/>
                <w:szCs w:val="24"/>
              </w:rPr>
              <w:t>Klienta veikts maksājums pie Tirgotāja, izmantojot reģistrētās Kartes datus</w:t>
            </w:r>
          </w:p>
        </w:tc>
      </w:tr>
      <w:tr w14:paraId="126A12B5" w14:textId="77777777" w:rsidTr="00D83379">
        <w:tblPrEx>
          <w:tblW w:w="9634" w:type="dxa"/>
          <w:jc w:val="center"/>
          <w:tblLook w:val="04A0"/>
        </w:tblPrEx>
        <w:trPr>
          <w:jc w:val="center"/>
        </w:trPr>
        <w:tc>
          <w:tcPr>
            <w:tcW w:w="1838" w:type="dxa"/>
            <w:shd w:val="clear" w:color="auto" w:fill="auto"/>
          </w:tcPr>
          <w:p w:rsidR="00F609F6" w:rsidRPr="00674730" w:rsidP="000405B7" w14:paraId="04BD633C"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ERAF</w:t>
            </w:r>
          </w:p>
        </w:tc>
        <w:tc>
          <w:tcPr>
            <w:tcW w:w="7796" w:type="dxa"/>
            <w:shd w:val="clear" w:color="auto" w:fill="auto"/>
          </w:tcPr>
          <w:p w:rsidR="00F609F6" w:rsidRPr="00674730" w:rsidP="002F537F" w14:paraId="7094AAD1" w14:textId="77777777">
            <w:pPr>
              <w:spacing w:after="0" w:line="276" w:lineRule="auto"/>
              <w:contextualSpacing/>
              <w:jc w:val="both"/>
              <w:rPr>
                <w:rFonts w:ascii="Times New Roman" w:eastAsia="Calibri" w:hAnsi="Times New Roman" w:cs="Times New Roman"/>
                <w:sz w:val="24"/>
                <w:szCs w:val="24"/>
              </w:rPr>
            </w:pPr>
            <w:r w:rsidRPr="00674730">
              <w:rPr>
                <w:rFonts w:ascii="Times New Roman" w:hAnsi="Times New Roman"/>
                <w:sz w:val="24"/>
                <w:szCs w:val="24"/>
              </w:rPr>
              <w:t>Eiropas Reģionālās attīstības fonds</w:t>
            </w:r>
          </w:p>
        </w:tc>
      </w:tr>
      <w:tr w14:paraId="09D6B4D0" w14:textId="77777777" w:rsidTr="00D83379">
        <w:tblPrEx>
          <w:tblW w:w="9634" w:type="dxa"/>
          <w:jc w:val="center"/>
          <w:tblLook w:val="04A0"/>
        </w:tblPrEx>
        <w:trPr>
          <w:jc w:val="center"/>
        </w:trPr>
        <w:tc>
          <w:tcPr>
            <w:tcW w:w="1838" w:type="dxa"/>
            <w:shd w:val="clear" w:color="auto" w:fill="auto"/>
          </w:tcPr>
          <w:p w:rsidR="00F609F6" w:rsidRPr="00674730" w:rsidP="000405B7" w14:paraId="459ACD51" w14:textId="0CE3418B">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IKT</w:t>
            </w:r>
          </w:p>
        </w:tc>
        <w:tc>
          <w:tcPr>
            <w:tcW w:w="7796" w:type="dxa"/>
            <w:shd w:val="clear" w:color="auto" w:fill="auto"/>
          </w:tcPr>
          <w:p w:rsidR="00F609F6" w:rsidRPr="00674730" w:rsidP="002F537F" w14:paraId="5EC36A6D" w14:textId="66C069C1">
            <w:pPr>
              <w:spacing w:after="0" w:line="276" w:lineRule="auto"/>
              <w:contextualSpacing/>
              <w:jc w:val="both"/>
              <w:rPr>
                <w:rFonts w:ascii="Times New Roman" w:hAnsi="Times New Roman"/>
                <w:sz w:val="24"/>
                <w:szCs w:val="24"/>
              </w:rPr>
            </w:pPr>
            <w:r w:rsidRPr="00674730">
              <w:rPr>
                <w:rFonts w:ascii="Times New Roman" w:eastAsia="Calibri" w:hAnsi="Times New Roman" w:cs="Times New Roman"/>
                <w:sz w:val="24"/>
                <w:szCs w:val="24"/>
              </w:rPr>
              <w:t>Informācijas un komunikāciju tehnoloģijas</w:t>
            </w:r>
          </w:p>
        </w:tc>
      </w:tr>
      <w:tr w14:paraId="76827464" w14:textId="77777777" w:rsidTr="00D83379">
        <w:tblPrEx>
          <w:tblW w:w="9634" w:type="dxa"/>
          <w:jc w:val="center"/>
          <w:tblLook w:val="04A0"/>
        </w:tblPrEx>
        <w:trPr>
          <w:jc w:val="center"/>
        </w:trPr>
        <w:tc>
          <w:tcPr>
            <w:tcW w:w="1838" w:type="dxa"/>
            <w:shd w:val="clear" w:color="auto" w:fill="auto"/>
          </w:tcPr>
          <w:p w:rsidR="00F609F6" w:rsidRPr="00674730" w:rsidP="000405B7" w14:paraId="0A5C6A1F"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Izdevējbanka</w:t>
            </w:r>
          </w:p>
        </w:tc>
        <w:tc>
          <w:tcPr>
            <w:tcW w:w="7796" w:type="dxa"/>
            <w:shd w:val="clear" w:color="auto" w:fill="auto"/>
          </w:tcPr>
          <w:p w:rsidR="00F609F6" w:rsidRPr="00674730" w:rsidP="002F537F" w14:paraId="165FDBDD"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Banka, kura ir iestājusies MasterCard un/vai VISA un/vai citās maksājumu karšu organizācijās</w:t>
            </w:r>
          </w:p>
        </w:tc>
      </w:tr>
      <w:tr w14:paraId="4AF0D0B3" w14:textId="77777777" w:rsidTr="00D83379">
        <w:tblPrEx>
          <w:tblW w:w="9634" w:type="dxa"/>
          <w:jc w:val="center"/>
          <w:tblLook w:val="04A0"/>
        </w:tblPrEx>
        <w:trPr>
          <w:jc w:val="center"/>
        </w:trPr>
        <w:tc>
          <w:tcPr>
            <w:tcW w:w="1838" w:type="dxa"/>
            <w:shd w:val="clear" w:color="auto" w:fill="auto"/>
          </w:tcPr>
          <w:p w:rsidR="00D83379" w:rsidRPr="00674730" w:rsidP="000405B7" w14:paraId="04EBF38B" w14:textId="2F0D47F0">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KAC</w:t>
            </w:r>
          </w:p>
        </w:tc>
        <w:tc>
          <w:tcPr>
            <w:tcW w:w="7796" w:type="dxa"/>
            <w:shd w:val="clear" w:color="auto" w:fill="auto"/>
          </w:tcPr>
          <w:p w:rsidR="00D83379" w:rsidRPr="00674730" w:rsidP="002F537F" w14:paraId="6AEAC0BC" w14:textId="55B734E4">
            <w:pPr>
              <w:spacing w:after="0" w:line="276" w:lineRule="auto"/>
              <w:contextualSpacing/>
              <w:jc w:val="both"/>
              <w:rPr>
                <w:rFonts w:ascii="Times New Roman" w:eastAsia="Calibri" w:hAnsi="Times New Roman" w:cs="Times New Roman"/>
                <w:sz w:val="24"/>
                <w:szCs w:val="24"/>
              </w:rPr>
            </w:pPr>
            <w:r w:rsidRPr="00674730">
              <w:rPr>
                <w:rFonts w:ascii="Times New Roman" w:hAnsi="Times New Roman" w:cs="Times New Roman"/>
                <w:sz w:val="24"/>
                <w:szCs w:val="24"/>
              </w:rPr>
              <w:t>Klientu apkalpošanas centri</w:t>
            </w:r>
          </w:p>
        </w:tc>
      </w:tr>
      <w:tr w14:paraId="47248C89" w14:textId="77777777" w:rsidTr="00D83379">
        <w:tblPrEx>
          <w:tblW w:w="9634" w:type="dxa"/>
          <w:jc w:val="center"/>
          <w:tblLook w:val="04A0"/>
        </w:tblPrEx>
        <w:trPr>
          <w:jc w:val="center"/>
        </w:trPr>
        <w:tc>
          <w:tcPr>
            <w:tcW w:w="1838" w:type="dxa"/>
            <w:shd w:val="clear" w:color="auto" w:fill="auto"/>
          </w:tcPr>
          <w:p w:rsidR="00F609F6" w:rsidRPr="00674730" w:rsidP="000405B7" w14:paraId="05B808A2"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Karte</w:t>
            </w:r>
          </w:p>
        </w:tc>
        <w:tc>
          <w:tcPr>
            <w:tcW w:w="7796" w:type="dxa"/>
            <w:shd w:val="clear" w:color="auto" w:fill="auto"/>
          </w:tcPr>
          <w:p w:rsidR="00F609F6" w:rsidRPr="00674730" w:rsidP="002F537F" w14:paraId="002FDC56"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Bankas maksājumu karte ar piesaistītu bankas kontu, vai personificēta ne bankas karte, kas piereģistrēta Vienotā iedzīvotāju atvieglojumu karšu reģistrā </w:t>
            </w:r>
          </w:p>
        </w:tc>
      </w:tr>
      <w:tr w14:paraId="4FE07AED" w14:textId="77777777" w:rsidTr="00D83379">
        <w:tblPrEx>
          <w:tblW w:w="9634" w:type="dxa"/>
          <w:jc w:val="center"/>
          <w:tblLook w:val="04A0"/>
        </w:tblPrEx>
        <w:trPr>
          <w:jc w:val="center"/>
        </w:trPr>
        <w:tc>
          <w:tcPr>
            <w:tcW w:w="1838" w:type="dxa"/>
            <w:shd w:val="clear" w:color="auto" w:fill="auto"/>
          </w:tcPr>
          <w:p w:rsidR="00F609F6" w:rsidRPr="00674730" w:rsidP="000405B7" w14:paraId="60302D93"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Klients </w:t>
            </w:r>
          </w:p>
        </w:tc>
        <w:tc>
          <w:tcPr>
            <w:tcW w:w="7796" w:type="dxa"/>
            <w:shd w:val="clear" w:color="auto" w:fill="auto"/>
          </w:tcPr>
          <w:p w:rsidR="00F609F6" w:rsidRPr="00674730" w:rsidP="002F537F" w14:paraId="33514568"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Norēķinu līdzekļa (Kartes, ne-banku kartes) lietotājs</w:t>
            </w:r>
          </w:p>
        </w:tc>
      </w:tr>
      <w:tr w14:paraId="4671275F" w14:textId="77777777" w:rsidTr="00D83379">
        <w:tblPrEx>
          <w:tblW w:w="9634" w:type="dxa"/>
          <w:jc w:val="center"/>
          <w:tblLook w:val="04A0"/>
        </w:tblPrEx>
        <w:trPr>
          <w:jc w:val="center"/>
        </w:trPr>
        <w:tc>
          <w:tcPr>
            <w:tcW w:w="1838" w:type="dxa"/>
            <w:shd w:val="clear" w:color="auto" w:fill="auto"/>
          </w:tcPr>
          <w:p w:rsidR="00F609F6" w:rsidRPr="00674730" w:rsidP="000405B7" w14:paraId="71D8AF42"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MasterCard</w:t>
            </w:r>
          </w:p>
        </w:tc>
        <w:tc>
          <w:tcPr>
            <w:tcW w:w="7796" w:type="dxa"/>
            <w:shd w:val="clear" w:color="auto" w:fill="auto"/>
          </w:tcPr>
          <w:p w:rsidR="00F609F6" w:rsidRPr="00674730" w:rsidP="002F537F" w14:paraId="20C87D07"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Starptautiskā maksājumu karšu organizācija “MasterCard </w:t>
            </w:r>
            <w:r w:rsidRPr="00674730">
              <w:rPr>
                <w:rFonts w:ascii="Times New Roman" w:eastAsia="Calibri" w:hAnsi="Times New Roman" w:cs="Times New Roman"/>
                <w:sz w:val="24"/>
                <w:szCs w:val="24"/>
              </w:rPr>
              <w:t>Worldwide</w:t>
            </w:r>
            <w:r w:rsidRPr="00674730">
              <w:rPr>
                <w:rFonts w:ascii="Times New Roman" w:eastAsia="Calibri" w:hAnsi="Times New Roman" w:cs="Times New Roman"/>
                <w:sz w:val="24"/>
                <w:szCs w:val="24"/>
              </w:rPr>
              <w:t>”</w:t>
            </w:r>
          </w:p>
        </w:tc>
      </w:tr>
      <w:tr w14:paraId="60FF0C4F" w14:textId="77777777" w:rsidTr="00D83379">
        <w:tblPrEx>
          <w:tblW w:w="9634" w:type="dxa"/>
          <w:jc w:val="center"/>
          <w:tblLook w:val="04A0"/>
        </w:tblPrEx>
        <w:trPr>
          <w:jc w:val="center"/>
        </w:trPr>
        <w:tc>
          <w:tcPr>
            <w:tcW w:w="1838" w:type="dxa"/>
            <w:shd w:val="clear" w:color="auto" w:fill="auto"/>
          </w:tcPr>
          <w:p w:rsidR="00F609F6" w:rsidRPr="00674730" w:rsidP="000405B7" w14:paraId="7E003954"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Pieņēmējbanka</w:t>
            </w:r>
          </w:p>
        </w:tc>
        <w:tc>
          <w:tcPr>
            <w:tcW w:w="7796" w:type="dxa"/>
            <w:shd w:val="clear" w:color="auto" w:fill="auto"/>
          </w:tcPr>
          <w:p w:rsidR="00F609F6" w:rsidRPr="00674730" w:rsidP="002F537F" w14:paraId="69A45934"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Banka, kura ir iestājusies MasterCard un/vai VISA un/vai citās maksājumu karšu organizācijās, kuras Tirgotājs pieņem maksājumu kartes apmaksai par precēm un/vai pakalpojumiem</w:t>
            </w:r>
          </w:p>
        </w:tc>
      </w:tr>
      <w:tr w14:paraId="3950E68A" w14:textId="77777777" w:rsidTr="00D83379">
        <w:tblPrEx>
          <w:tblW w:w="9634" w:type="dxa"/>
          <w:jc w:val="center"/>
          <w:tblLook w:val="04A0"/>
        </w:tblPrEx>
        <w:trPr>
          <w:jc w:val="center"/>
        </w:trPr>
        <w:tc>
          <w:tcPr>
            <w:tcW w:w="1838" w:type="dxa"/>
            <w:shd w:val="clear" w:color="auto" w:fill="auto"/>
          </w:tcPr>
          <w:p w:rsidR="00F609F6" w:rsidRPr="00674730" w:rsidP="000405B7" w14:paraId="33882C89"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Tirgotājs</w:t>
            </w:r>
          </w:p>
        </w:tc>
        <w:tc>
          <w:tcPr>
            <w:tcW w:w="7796" w:type="dxa"/>
            <w:shd w:val="clear" w:color="auto" w:fill="auto"/>
          </w:tcPr>
          <w:p w:rsidR="00F609F6" w:rsidRPr="00674730" w:rsidP="002F537F" w14:paraId="0A214496"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Juridiska persona, kura pamatojoties uz noslēgtajiem līgumiem, ir atvieglojuma saņēmēja pakalpojuma sniedzējs un ar kuru </w:t>
            </w:r>
            <w:r w:rsidRPr="00674730">
              <w:rPr>
                <w:rFonts w:ascii="Times New Roman" w:eastAsia="Calibri" w:hAnsi="Times New Roman" w:cs="Times New Roman"/>
                <w:sz w:val="24"/>
                <w:szCs w:val="24"/>
              </w:rPr>
              <w:t>Pieņēmējbanka</w:t>
            </w:r>
            <w:r w:rsidRPr="00674730">
              <w:rPr>
                <w:rFonts w:ascii="Times New Roman" w:eastAsia="Calibri" w:hAnsi="Times New Roman" w:cs="Times New Roman"/>
                <w:sz w:val="24"/>
                <w:szCs w:val="24"/>
              </w:rPr>
              <w:t xml:space="preserve"> ir noslēgusi līgumu par Darījumu apstrādi un apmaksu</w:t>
            </w:r>
          </w:p>
        </w:tc>
      </w:tr>
      <w:tr w14:paraId="15001199" w14:textId="77777777" w:rsidTr="00D83379">
        <w:tblPrEx>
          <w:tblW w:w="9634" w:type="dxa"/>
          <w:jc w:val="center"/>
          <w:tblLook w:val="04A0"/>
        </w:tblPrEx>
        <w:trPr>
          <w:jc w:val="center"/>
        </w:trPr>
        <w:tc>
          <w:tcPr>
            <w:tcW w:w="1838" w:type="dxa"/>
            <w:shd w:val="clear" w:color="auto" w:fill="auto"/>
          </w:tcPr>
          <w:p w:rsidR="00D83379" w:rsidRPr="00674730" w:rsidP="000405B7" w14:paraId="46C5A38C" w14:textId="358E969F">
            <w:pPr>
              <w:spacing w:before="40" w:after="40" w:line="240" w:lineRule="auto"/>
              <w:contextualSpacing/>
              <w:rPr>
                <w:rFonts w:ascii="Times New Roman" w:eastAsia="Calibri" w:hAnsi="Times New Roman" w:cs="Times New Roman"/>
                <w:sz w:val="24"/>
                <w:szCs w:val="24"/>
              </w:rPr>
            </w:pPr>
            <w:r w:rsidRPr="00674730">
              <w:rPr>
                <w:rFonts w:ascii="Times New Roman" w:hAnsi="Times New Roman" w:cs="Times New Roman"/>
                <w:sz w:val="24"/>
                <w:szCs w:val="24"/>
              </w:rPr>
              <w:t>PCI DSS</w:t>
            </w:r>
          </w:p>
        </w:tc>
        <w:tc>
          <w:tcPr>
            <w:tcW w:w="7796" w:type="dxa"/>
            <w:shd w:val="clear" w:color="auto" w:fill="auto"/>
          </w:tcPr>
          <w:p w:rsidR="00D83379" w:rsidRPr="00674730" w:rsidP="002F537F" w14:paraId="27201631" w14:textId="3A3522D6">
            <w:pPr>
              <w:spacing w:after="0" w:line="276" w:lineRule="auto"/>
              <w:contextualSpacing/>
              <w:jc w:val="both"/>
              <w:rPr>
                <w:rFonts w:ascii="Times New Roman" w:eastAsia="Calibri" w:hAnsi="Times New Roman" w:cs="Times New Roman"/>
                <w:sz w:val="24"/>
                <w:szCs w:val="24"/>
              </w:rPr>
            </w:pPr>
            <w:r w:rsidRPr="00674730">
              <w:rPr>
                <w:rFonts w:ascii="Times New Roman" w:hAnsi="Times New Roman" w:cs="Times New Roman"/>
                <w:sz w:val="24"/>
                <w:szCs w:val="24"/>
              </w:rPr>
              <w:t xml:space="preserve">PCI </w:t>
            </w:r>
            <w:r w:rsidRPr="00674730">
              <w:rPr>
                <w:rFonts w:ascii="Times New Roman" w:hAnsi="Times New Roman" w:cs="Times New Roman"/>
                <w:sz w:val="24"/>
                <w:szCs w:val="24"/>
              </w:rPr>
              <w:t>Data</w:t>
            </w:r>
            <w:r w:rsidRPr="00674730">
              <w:rPr>
                <w:rFonts w:ascii="Times New Roman" w:hAnsi="Times New Roman" w:cs="Times New Roman"/>
                <w:sz w:val="24"/>
                <w:szCs w:val="24"/>
              </w:rPr>
              <w:t xml:space="preserve"> </w:t>
            </w:r>
            <w:r w:rsidRPr="00674730">
              <w:rPr>
                <w:rFonts w:ascii="Times New Roman" w:hAnsi="Times New Roman" w:cs="Times New Roman"/>
                <w:sz w:val="24"/>
                <w:szCs w:val="24"/>
              </w:rPr>
              <w:t>Security</w:t>
            </w:r>
            <w:r w:rsidRPr="00674730">
              <w:rPr>
                <w:rFonts w:ascii="Times New Roman" w:hAnsi="Times New Roman" w:cs="Times New Roman"/>
                <w:sz w:val="24"/>
                <w:szCs w:val="24"/>
              </w:rPr>
              <w:t xml:space="preserve"> </w:t>
            </w:r>
            <w:r w:rsidRPr="00674730">
              <w:rPr>
                <w:rFonts w:ascii="Times New Roman" w:hAnsi="Times New Roman" w:cs="Times New Roman"/>
                <w:sz w:val="24"/>
                <w:szCs w:val="24"/>
              </w:rPr>
              <w:t>Standard</w:t>
            </w:r>
            <w:r w:rsidRPr="00674730">
              <w:rPr>
                <w:rFonts w:ascii="Times New Roman" w:hAnsi="Times New Roman" w:cs="Times New Roman"/>
                <w:sz w:val="24"/>
                <w:szCs w:val="24"/>
              </w:rPr>
              <w:t xml:space="preserve"> </w:t>
            </w:r>
          </w:p>
        </w:tc>
      </w:tr>
      <w:tr w14:paraId="4DE281F6" w14:textId="77777777" w:rsidTr="00D83379">
        <w:tblPrEx>
          <w:tblW w:w="9634" w:type="dxa"/>
          <w:jc w:val="center"/>
          <w:tblLook w:val="04A0"/>
        </w:tblPrEx>
        <w:trPr>
          <w:trHeight w:val="79"/>
          <w:jc w:val="center"/>
        </w:trPr>
        <w:tc>
          <w:tcPr>
            <w:tcW w:w="1838" w:type="dxa"/>
            <w:shd w:val="clear" w:color="auto" w:fill="auto"/>
          </w:tcPr>
          <w:p w:rsidR="00F609F6" w:rsidRPr="00674730" w:rsidP="000405B7" w14:paraId="6FA910E0"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VISA</w:t>
            </w:r>
          </w:p>
        </w:tc>
        <w:tc>
          <w:tcPr>
            <w:tcW w:w="7796" w:type="dxa"/>
            <w:shd w:val="clear" w:color="auto" w:fill="auto"/>
          </w:tcPr>
          <w:p w:rsidR="00F609F6" w:rsidRPr="00674730" w:rsidP="002F537F" w14:paraId="43F94BEC"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 xml:space="preserve">Starptautiskā maksājumu karšu organizācija “VISA </w:t>
            </w:r>
            <w:r w:rsidRPr="00674730">
              <w:rPr>
                <w:rFonts w:ascii="Times New Roman" w:eastAsia="Calibri" w:hAnsi="Times New Roman" w:cs="Times New Roman"/>
                <w:sz w:val="24"/>
                <w:szCs w:val="24"/>
              </w:rPr>
              <w:t>Europe</w:t>
            </w:r>
            <w:r w:rsidRPr="00674730">
              <w:rPr>
                <w:rFonts w:ascii="Times New Roman" w:eastAsia="Calibri" w:hAnsi="Times New Roman" w:cs="Times New Roman"/>
                <w:sz w:val="24"/>
                <w:szCs w:val="24"/>
              </w:rPr>
              <w:t>”.</w:t>
            </w:r>
          </w:p>
        </w:tc>
      </w:tr>
      <w:tr w14:paraId="5CB5034A" w14:textId="77777777" w:rsidTr="00D83379">
        <w:tblPrEx>
          <w:tblW w:w="9634" w:type="dxa"/>
          <w:jc w:val="center"/>
          <w:tblLook w:val="04A0"/>
        </w:tblPrEx>
        <w:trPr>
          <w:jc w:val="center"/>
        </w:trPr>
        <w:tc>
          <w:tcPr>
            <w:tcW w:w="1838" w:type="dxa"/>
            <w:shd w:val="clear" w:color="auto" w:fill="auto"/>
          </w:tcPr>
          <w:p w:rsidR="00F609F6" w:rsidRPr="00674730" w:rsidP="000405B7" w14:paraId="05A0A36C"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VISS</w:t>
            </w:r>
          </w:p>
        </w:tc>
        <w:tc>
          <w:tcPr>
            <w:tcW w:w="7796" w:type="dxa"/>
            <w:shd w:val="clear" w:color="auto" w:fill="auto"/>
          </w:tcPr>
          <w:p w:rsidR="00F609F6" w:rsidRPr="00674730" w:rsidP="002F537F" w14:paraId="7EAA0CAB"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Valsts informācijas sistēmu savietotājs</w:t>
            </w:r>
          </w:p>
        </w:tc>
      </w:tr>
      <w:tr w14:paraId="19F92415" w14:textId="77777777" w:rsidTr="00D83379">
        <w:tblPrEx>
          <w:tblW w:w="9634" w:type="dxa"/>
          <w:jc w:val="center"/>
          <w:tblLook w:val="04A0"/>
        </w:tblPrEx>
        <w:trPr>
          <w:jc w:val="center"/>
        </w:trPr>
        <w:tc>
          <w:tcPr>
            <w:tcW w:w="1838" w:type="dxa"/>
            <w:shd w:val="clear" w:color="auto" w:fill="auto"/>
          </w:tcPr>
          <w:p w:rsidR="00F609F6" w:rsidRPr="00674730" w:rsidP="000405B7" w14:paraId="274C21CC" w14:textId="77777777">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VRAA</w:t>
            </w:r>
          </w:p>
        </w:tc>
        <w:tc>
          <w:tcPr>
            <w:tcW w:w="7796" w:type="dxa"/>
            <w:shd w:val="clear" w:color="auto" w:fill="auto"/>
          </w:tcPr>
          <w:p w:rsidR="00F609F6" w:rsidRPr="00674730" w:rsidP="002F537F" w14:paraId="2EB968E0" w14:textId="77777777">
            <w:pPr>
              <w:spacing w:after="0" w:line="276" w:lineRule="auto"/>
              <w:contextualSpacing/>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Valsts reģionālās attīstības aģentūra</w:t>
            </w:r>
          </w:p>
        </w:tc>
      </w:tr>
      <w:tr w14:paraId="4CF978CD" w14:textId="77777777" w:rsidTr="000405B7">
        <w:tblPrEx>
          <w:tblW w:w="9634" w:type="dxa"/>
          <w:jc w:val="center"/>
          <w:tblLook w:val="04A0"/>
        </w:tblPrEx>
        <w:trPr>
          <w:trHeight w:val="158"/>
          <w:jc w:val="center"/>
        </w:trPr>
        <w:tc>
          <w:tcPr>
            <w:tcW w:w="1838" w:type="dxa"/>
            <w:shd w:val="clear" w:color="auto" w:fill="auto"/>
          </w:tcPr>
          <w:p w:rsidR="00F609F6" w:rsidRPr="00674730" w:rsidP="000405B7" w14:paraId="2C9F4475" w14:textId="64DA9C6F">
            <w:pPr>
              <w:spacing w:before="40" w:after="40" w:line="240" w:lineRule="auto"/>
              <w:contextualSpacing/>
              <w:rPr>
                <w:rFonts w:ascii="Times New Roman" w:eastAsia="Calibri" w:hAnsi="Times New Roman" w:cs="Times New Roman"/>
                <w:sz w:val="24"/>
                <w:szCs w:val="24"/>
              </w:rPr>
            </w:pPr>
            <w:r w:rsidRPr="00674730">
              <w:rPr>
                <w:rFonts w:ascii="Times New Roman" w:eastAsia="Calibri" w:hAnsi="Times New Roman" w:cs="Times New Roman"/>
                <w:sz w:val="24"/>
                <w:szCs w:val="24"/>
              </w:rPr>
              <w:t>VARAM</w:t>
            </w:r>
          </w:p>
        </w:tc>
        <w:tc>
          <w:tcPr>
            <w:tcW w:w="7796" w:type="dxa"/>
            <w:shd w:val="clear" w:color="auto" w:fill="auto"/>
          </w:tcPr>
          <w:p w:rsidR="00F609F6" w:rsidRPr="00674730" w:rsidP="002F537F" w14:paraId="7511F539" w14:textId="4FAE08AA">
            <w:pPr>
              <w:spacing w:after="0" w:line="276" w:lineRule="auto"/>
              <w:contextualSpacing/>
              <w:jc w:val="both"/>
              <w:rPr>
                <w:rFonts w:ascii="Times New Roman" w:eastAsia="Calibri" w:hAnsi="Times New Roman" w:cs="Times New Roman"/>
                <w:sz w:val="24"/>
                <w:szCs w:val="24"/>
              </w:rPr>
            </w:pPr>
            <w:r w:rsidRPr="00674730">
              <w:rPr>
                <w:rFonts w:ascii="Times New Roman" w:eastAsia="Times New Roman" w:hAnsi="Times New Roman" w:cs="Times New Roman"/>
                <w:sz w:val="24"/>
                <w:szCs w:val="24"/>
                <w:lang w:eastAsia="lv-LV"/>
              </w:rPr>
              <w:t>Vides aizsardzības un reģionālās attīstības ministrija</w:t>
            </w:r>
          </w:p>
        </w:tc>
      </w:tr>
    </w:tbl>
    <w:p w:rsidR="0063302C" w:rsidRPr="00674730" w:rsidP="00631723" w14:paraId="5589D524" w14:textId="4DD8C9B7">
      <w:pPr>
        <w:spacing w:after="0" w:line="276" w:lineRule="auto"/>
        <w:ind w:firstLine="720"/>
        <w:jc w:val="both"/>
        <w:rPr>
          <w:rFonts w:ascii="Times New Roman" w:eastAsia="Times New Roman" w:hAnsi="Times New Roman" w:cs="Times New Roman"/>
          <w:sz w:val="24"/>
          <w:szCs w:val="24"/>
          <w:lang w:eastAsia="lv-LV"/>
        </w:rPr>
      </w:pPr>
      <w:r w:rsidRPr="00674730">
        <w:rPr>
          <w:rFonts w:ascii="Times New Roman" w:eastAsia="Times New Roman" w:hAnsi="Times New Roman" w:cs="Times New Roman"/>
          <w:sz w:val="24"/>
          <w:szCs w:val="24"/>
          <w:lang w:eastAsia="lv-LV"/>
        </w:rPr>
        <w:t xml:space="preserve">Par pamatu ziņojumam izmantots </w:t>
      </w:r>
      <w:r w:rsidRPr="00674730" w:rsidR="00F609F6">
        <w:rPr>
          <w:rFonts w:ascii="Times New Roman" w:eastAsia="Times New Roman" w:hAnsi="Times New Roman" w:cs="Times New Roman"/>
          <w:sz w:val="24"/>
          <w:szCs w:val="24"/>
          <w:lang w:eastAsia="lv-LV"/>
        </w:rPr>
        <w:t>VRAA</w:t>
      </w:r>
      <w:r w:rsidRPr="00674730">
        <w:rPr>
          <w:rFonts w:ascii="Times New Roman" w:eastAsia="Times New Roman" w:hAnsi="Times New Roman" w:cs="Times New Roman"/>
          <w:sz w:val="24"/>
          <w:szCs w:val="24"/>
          <w:lang w:eastAsia="lv-LV"/>
        </w:rPr>
        <w:t xml:space="preserve"> izveidotās darba grupas “Par atvieglojumu administrēšanas koplietošanas risinājuma koncepcijas izstrādes darba grupas izveidi” (2017.gada 3.februāra </w:t>
      </w:r>
      <w:r w:rsidRPr="00674730" w:rsidR="001D6021">
        <w:rPr>
          <w:rFonts w:ascii="Times New Roman" w:eastAsia="Times New Roman" w:hAnsi="Times New Roman" w:cs="Times New Roman"/>
          <w:sz w:val="24"/>
          <w:szCs w:val="24"/>
          <w:lang w:eastAsia="lv-LV"/>
        </w:rPr>
        <w:t xml:space="preserve">VRAA </w:t>
      </w:r>
      <w:r w:rsidRPr="00674730">
        <w:rPr>
          <w:rFonts w:ascii="Times New Roman" w:eastAsia="Times New Roman" w:hAnsi="Times New Roman" w:cs="Times New Roman"/>
          <w:sz w:val="24"/>
          <w:szCs w:val="24"/>
          <w:lang w:eastAsia="lv-LV"/>
        </w:rPr>
        <w:t>rīkojums Nr.</w:t>
      </w:r>
      <w:r w:rsidRPr="00674730">
        <w:rPr>
          <w:rFonts w:ascii="Times New Roman" w:hAnsi="Times New Roman" w:cs="Times New Roman"/>
          <w:sz w:val="24"/>
          <w:szCs w:val="24"/>
        </w:rPr>
        <w:t xml:space="preserve"> 1-1/17/14) </w:t>
      </w:r>
      <w:r w:rsidRPr="00674730">
        <w:rPr>
          <w:rFonts w:ascii="Times New Roman" w:eastAsia="Times New Roman" w:hAnsi="Times New Roman" w:cs="Times New Roman"/>
          <w:sz w:val="24"/>
          <w:szCs w:val="24"/>
          <w:lang w:eastAsia="lv-LV"/>
        </w:rPr>
        <w:t xml:space="preserve">izstrādātais atvieglojumu administrēšanas koplietošanas risinājuma koncepcijas dokuments. </w:t>
      </w:r>
      <w:r w:rsidRPr="00674730" w:rsidR="00F609F6">
        <w:rPr>
          <w:rFonts w:ascii="Times New Roman" w:eastAsia="Times New Roman" w:hAnsi="Times New Roman" w:cs="Times New Roman"/>
          <w:sz w:val="24"/>
          <w:szCs w:val="24"/>
          <w:lang w:eastAsia="lv-LV"/>
        </w:rPr>
        <w:t>VRAA</w:t>
      </w:r>
      <w:r w:rsidRPr="00674730" w:rsidR="00BC1C53">
        <w:rPr>
          <w:rFonts w:ascii="Times New Roman" w:eastAsia="Times New Roman" w:hAnsi="Times New Roman" w:cs="Times New Roman"/>
          <w:sz w:val="24"/>
          <w:szCs w:val="24"/>
          <w:lang w:eastAsia="lv-LV"/>
        </w:rPr>
        <w:t xml:space="preserve"> izveidotās darba grupas sastāvā</w:t>
      </w:r>
      <w:r w:rsidRPr="00674730">
        <w:rPr>
          <w:rFonts w:ascii="Times New Roman" w:eastAsia="Times New Roman" w:hAnsi="Times New Roman" w:cs="Times New Roman"/>
          <w:sz w:val="24"/>
          <w:szCs w:val="24"/>
          <w:lang w:eastAsia="lv-LV"/>
        </w:rPr>
        <w:t xml:space="preserve"> iesaistīja pārstāvjus no</w:t>
      </w:r>
      <w:r w:rsidRPr="00674730" w:rsidR="008973C7">
        <w:rPr>
          <w:rFonts w:ascii="Times New Roman" w:eastAsia="Times New Roman" w:hAnsi="Times New Roman" w:cs="Times New Roman"/>
          <w:sz w:val="24"/>
          <w:szCs w:val="24"/>
          <w:lang w:eastAsia="lv-LV"/>
        </w:rPr>
        <w:t xml:space="preserve"> Latvijas </w:t>
      </w:r>
      <w:r w:rsidRPr="00674730" w:rsidR="00E2490C">
        <w:rPr>
          <w:rFonts w:ascii="Times New Roman" w:eastAsia="Times New Roman" w:hAnsi="Times New Roman" w:cs="Times New Roman"/>
          <w:sz w:val="24"/>
          <w:szCs w:val="24"/>
          <w:lang w:eastAsia="lv-LV"/>
        </w:rPr>
        <w:t>L</w:t>
      </w:r>
      <w:r w:rsidRPr="00674730" w:rsidR="008973C7">
        <w:rPr>
          <w:rFonts w:ascii="Times New Roman" w:eastAsia="Times New Roman" w:hAnsi="Times New Roman" w:cs="Times New Roman"/>
          <w:sz w:val="24"/>
          <w:szCs w:val="24"/>
          <w:lang w:eastAsia="lv-LV"/>
        </w:rPr>
        <w:t>ielo pilsētu asociācijas</w:t>
      </w:r>
      <w:r w:rsidRPr="00674730">
        <w:rPr>
          <w:rFonts w:ascii="Times New Roman" w:eastAsia="Times New Roman" w:hAnsi="Times New Roman" w:cs="Times New Roman"/>
          <w:sz w:val="24"/>
          <w:szCs w:val="24"/>
          <w:lang w:eastAsia="lv-LV"/>
        </w:rPr>
        <w:t xml:space="preserve"> </w:t>
      </w:r>
      <w:r w:rsidRPr="00674730" w:rsidR="008973C7">
        <w:rPr>
          <w:rFonts w:ascii="Times New Roman" w:eastAsia="Times New Roman" w:hAnsi="Times New Roman" w:cs="Times New Roman"/>
          <w:sz w:val="24"/>
          <w:szCs w:val="24"/>
          <w:lang w:eastAsia="lv-LV"/>
        </w:rPr>
        <w:t xml:space="preserve">(tika deleģēti pārstāvji no </w:t>
      </w:r>
      <w:r w:rsidRPr="00674730">
        <w:rPr>
          <w:rFonts w:ascii="Times New Roman" w:eastAsia="Times New Roman" w:hAnsi="Times New Roman" w:cs="Times New Roman"/>
          <w:sz w:val="24"/>
          <w:szCs w:val="24"/>
          <w:lang w:eastAsia="lv-LV"/>
        </w:rPr>
        <w:t>Jelgavas pilsētas domes</w:t>
      </w:r>
      <w:r w:rsidRPr="00674730" w:rsidR="008973C7">
        <w:rPr>
          <w:rFonts w:ascii="Times New Roman" w:eastAsia="Times New Roman" w:hAnsi="Times New Roman" w:cs="Times New Roman"/>
          <w:sz w:val="24"/>
          <w:szCs w:val="24"/>
          <w:lang w:eastAsia="lv-LV"/>
        </w:rPr>
        <w:t xml:space="preserve"> un</w:t>
      </w:r>
      <w:r w:rsidRPr="00674730">
        <w:rPr>
          <w:rFonts w:ascii="Times New Roman" w:eastAsia="Times New Roman" w:hAnsi="Times New Roman" w:cs="Times New Roman"/>
          <w:sz w:val="24"/>
          <w:szCs w:val="24"/>
          <w:lang w:eastAsia="lv-LV"/>
        </w:rPr>
        <w:t xml:space="preserve"> SIA “Jelgavas autobusu parks”</w:t>
      </w:r>
      <w:r w:rsidRPr="00674730" w:rsidR="008973C7">
        <w:rPr>
          <w:rFonts w:ascii="Times New Roman" w:eastAsia="Times New Roman" w:hAnsi="Times New Roman" w:cs="Times New Roman"/>
          <w:sz w:val="24"/>
          <w:szCs w:val="24"/>
          <w:lang w:eastAsia="lv-LV"/>
        </w:rPr>
        <w:t>)</w:t>
      </w:r>
      <w:r w:rsidRPr="00674730">
        <w:rPr>
          <w:rFonts w:ascii="Times New Roman" w:eastAsia="Times New Roman" w:hAnsi="Times New Roman" w:cs="Times New Roman"/>
          <w:sz w:val="24"/>
          <w:szCs w:val="24"/>
          <w:lang w:eastAsia="lv-LV"/>
        </w:rPr>
        <w:t xml:space="preserve"> un </w:t>
      </w:r>
      <w:r w:rsidRPr="00674730" w:rsidR="00F609F6">
        <w:rPr>
          <w:rFonts w:ascii="Times New Roman" w:eastAsia="Times New Roman" w:hAnsi="Times New Roman" w:cs="Times New Roman"/>
          <w:sz w:val="24"/>
          <w:szCs w:val="24"/>
          <w:lang w:eastAsia="lv-LV"/>
        </w:rPr>
        <w:t>VARAM</w:t>
      </w:r>
      <w:r w:rsidRPr="00674730">
        <w:rPr>
          <w:rFonts w:ascii="Times New Roman" w:eastAsia="Times New Roman" w:hAnsi="Times New Roman" w:cs="Times New Roman"/>
          <w:sz w:val="24"/>
          <w:szCs w:val="24"/>
          <w:lang w:eastAsia="lv-LV"/>
        </w:rPr>
        <w:t>.</w:t>
      </w:r>
      <w:r w:rsidRPr="00674730" w:rsidR="00FC5988">
        <w:rPr>
          <w:rFonts w:ascii="Times New Roman" w:eastAsia="Times New Roman" w:hAnsi="Times New Roman" w:cs="Times New Roman"/>
          <w:sz w:val="24"/>
          <w:szCs w:val="24"/>
          <w:lang w:eastAsia="lv-LV"/>
        </w:rPr>
        <w:t xml:space="preserve"> Sanāksmēs piedalījās pārstāvji </w:t>
      </w:r>
      <w:r w:rsidRPr="00674730" w:rsidR="00E2490C">
        <w:rPr>
          <w:rFonts w:ascii="Times New Roman" w:eastAsia="Times New Roman" w:hAnsi="Times New Roman" w:cs="Times New Roman"/>
          <w:sz w:val="24"/>
          <w:szCs w:val="24"/>
          <w:lang w:eastAsia="lv-LV"/>
        </w:rPr>
        <w:t xml:space="preserve">arī </w:t>
      </w:r>
      <w:r w:rsidRPr="00674730" w:rsidR="00FC5988">
        <w:rPr>
          <w:rFonts w:ascii="Times New Roman" w:eastAsia="Times New Roman" w:hAnsi="Times New Roman" w:cs="Times New Roman"/>
          <w:sz w:val="24"/>
          <w:szCs w:val="24"/>
          <w:lang w:eastAsia="lv-LV"/>
        </w:rPr>
        <w:t xml:space="preserve">no SIA “Rīgas satiksme”, kuri konceptuāli piekrita atvieglojumu administrēšanas koplietošanas risinājuma izveidei (2017.gada 17.februāra </w:t>
      </w:r>
      <w:r w:rsidRPr="00674730" w:rsidR="00F609F6">
        <w:rPr>
          <w:rFonts w:ascii="Times New Roman" w:eastAsia="Times New Roman" w:hAnsi="Times New Roman" w:cs="Times New Roman"/>
          <w:sz w:val="24"/>
          <w:szCs w:val="24"/>
          <w:lang w:eastAsia="lv-LV"/>
        </w:rPr>
        <w:t xml:space="preserve">darba grupas </w:t>
      </w:r>
      <w:r w:rsidRPr="00674730" w:rsidR="00FC5988">
        <w:rPr>
          <w:rFonts w:ascii="Times New Roman" w:eastAsia="Times New Roman" w:hAnsi="Times New Roman" w:cs="Times New Roman"/>
          <w:sz w:val="24"/>
          <w:szCs w:val="24"/>
          <w:lang w:eastAsia="lv-LV"/>
        </w:rPr>
        <w:t>sēdes protokols Nr.2).</w:t>
      </w:r>
    </w:p>
    <w:p w:rsidR="00631723" w:rsidRPr="00674730" w:rsidP="00631723" w14:paraId="23C2ADDB" w14:textId="1ECE70DD">
      <w:pPr>
        <w:spacing w:after="0" w:line="276" w:lineRule="auto"/>
        <w:ind w:firstLine="426"/>
        <w:jc w:val="both"/>
        <w:rPr>
          <w:rFonts w:ascii="Times New Roman" w:eastAsia="Times New Roman" w:hAnsi="Times New Roman" w:cs="Times New Roman"/>
          <w:sz w:val="24"/>
          <w:szCs w:val="24"/>
          <w:lang w:eastAsia="lv-LV"/>
        </w:rPr>
      </w:pPr>
      <w:r w:rsidRPr="00674730">
        <w:rPr>
          <w:rFonts w:ascii="Times New Roman" w:eastAsia="Times New Roman" w:hAnsi="Times New Roman" w:cs="Times New Roman"/>
          <w:sz w:val="24"/>
          <w:szCs w:val="24"/>
          <w:lang w:eastAsia="lv-LV"/>
        </w:rPr>
        <w:t>Ministru kabineta 2017. gada 21. marta rīkojuma Nr.126 “Par Finanšu sektora attīstības plānu 2017.-2019. gadam” 1.2.1.sadaļā “Digit</w:t>
      </w:r>
      <w:r w:rsidRPr="00674730" w:rsidR="00F609F6">
        <w:rPr>
          <w:rFonts w:ascii="Times New Roman" w:eastAsia="Times New Roman" w:hAnsi="Times New Roman" w:cs="Times New Roman"/>
          <w:sz w:val="24"/>
          <w:szCs w:val="24"/>
          <w:lang w:eastAsia="lv-LV"/>
        </w:rPr>
        <w:t>alizācija un inovācija” norādīts</w:t>
      </w:r>
      <w:r w:rsidRPr="00674730">
        <w:rPr>
          <w:rFonts w:ascii="Times New Roman" w:eastAsia="Times New Roman" w:hAnsi="Times New Roman" w:cs="Times New Roman"/>
          <w:sz w:val="24"/>
          <w:szCs w:val="24"/>
          <w:lang w:eastAsia="lv-LV"/>
        </w:rPr>
        <w:t xml:space="preserve">, ka digitālu risinājumu arvien plašāka izmantošana informācijas sniegšanā un </w:t>
      </w:r>
      <w:r w:rsidRPr="00674730">
        <w:rPr>
          <w:rFonts w:ascii="Times New Roman" w:eastAsia="Times New Roman" w:hAnsi="Times New Roman" w:cs="Times New Roman"/>
          <w:sz w:val="24"/>
          <w:szCs w:val="24"/>
          <w:lang w:eastAsia="lv-LV"/>
        </w:rPr>
        <w:t>atkalizmantošanā</w:t>
      </w:r>
      <w:r w:rsidRPr="00674730">
        <w:rPr>
          <w:rFonts w:ascii="Times New Roman" w:eastAsia="Times New Roman" w:hAnsi="Times New Roman" w:cs="Times New Roman"/>
          <w:sz w:val="24"/>
          <w:szCs w:val="24"/>
          <w:lang w:eastAsia="lv-LV"/>
        </w:rPr>
        <w:t xml:space="preserve"> starp bankām, citām finanšu iestādēm un valsts institūcijām uzlabotu gan finanšu sektora darbības efektivitāti (samazinot izmaksas), gan palielinātu valsts iestāžu veiktspēju un uzlabotu pakalpojumu kvalitāti un pieejamību klientiem. Finanšu sektoram sadarbībā ar valsts iestādēm jāpilnveido e-identifikācijas rīki, kā arī jāattīsta vienoti portāli, kas nodrošinātu dažādu valsts un finanšu iestāžu rīcībā esošo datu drošu un aizsargātu savstarpēju apmaiņu. </w:t>
      </w:r>
    </w:p>
    <w:p w:rsidR="00631723" w:rsidRPr="00674730" w:rsidP="00631723" w14:paraId="7E9473FC" w14:textId="679B0A97">
      <w:pPr>
        <w:spacing w:after="0" w:line="276" w:lineRule="auto"/>
        <w:ind w:firstLine="426"/>
        <w:jc w:val="both"/>
        <w:rPr>
          <w:rFonts w:ascii="Times New Roman" w:eastAsia="Times New Roman" w:hAnsi="Times New Roman" w:cs="Times New Roman"/>
          <w:sz w:val="24"/>
          <w:szCs w:val="24"/>
          <w:lang w:eastAsia="lv-LV"/>
        </w:rPr>
      </w:pPr>
      <w:r w:rsidRPr="00674730">
        <w:rPr>
          <w:rFonts w:ascii="Times New Roman" w:eastAsia="Times New Roman" w:hAnsi="Times New Roman" w:cs="Times New Roman"/>
          <w:sz w:val="24"/>
          <w:szCs w:val="24"/>
          <w:lang w:eastAsia="lv-LV"/>
        </w:rPr>
        <w:t>Finanšu sektora attīstības plānā 2017.-2019. gadam,</w:t>
      </w:r>
      <w:r w:rsidRPr="00674730">
        <w:rPr>
          <w:rFonts w:ascii="Times New Roman" w:eastAsia="Times New Roman" w:hAnsi="Times New Roman" w:cs="Times New Roman"/>
          <w:sz w:val="24"/>
          <w:szCs w:val="24"/>
          <w:lang w:eastAsia="lv-LV"/>
        </w:rPr>
        <w:t xml:space="preserve"> ar mērķi, attīstīt stabilu, drošu un starptautiski konkurētspējīgu finanšu sektoru ar inovatīvu finanšu pakalpojumu pieejamību, kas nodrošina ilgtspējīgu Latvijas tautsaimniecības izaugsmi, paredzēts uzdevums “1.1.1. Izveidot vienotu portālu, lai nodrošinātu valsts noteikto atvieglojumu saņēmēju attālinātu identifikāciju un uzskaiti, kā arī nodrošināt risinājuma ieviešanu, lai padarītu pieejamus konkrētajām iedzīvotāju kategorijām (sociālais statuss) valsts noteiktos pasākumus ar atvieglojumiem un atlaidēm, un šo pakalpojumu uzskaiti”. Sasniedzamais rezultāts</w:t>
      </w:r>
      <w:r w:rsidRPr="00674730" w:rsidR="00091309">
        <w:rPr>
          <w:rFonts w:ascii="Times New Roman" w:eastAsia="Times New Roman" w:hAnsi="Times New Roman" w:cs="Times New Roman"/>
          <w:sz w:val="24"/>
          <w:szCs w:val="24"/>
          <w:lang w:eastAsia="lv-LV"/>
        </w:rPr>
        <w:t xml:space="preserve"> </w:t>
      </w:r>
      <w:r w:rsidRPr="00674730">
        <w:rPr>
          <w:rFonts w:ascii="Times New Roman" w:eastAsia="Times New Roman" w:hAnsi="Times New Roman" w:cs="Times New Roman"/>
          <w:sz w:val="24"/>
          <w:szCs w:val="24"/>
          <w:lang w:eastAsia="lv-LV"/>
        </w:rPr>
        <w:t xml:space="preserve">- padarīti pieejamāki valsts noteiktie atvieglojumi un </w:t>
      </w:r>
      <w:r w:rsidRPr="00674730">
        <w:rPr>
          <w:rFonts w:ascii="Times New Roman" w:eastAsia="Times New Roman" w:hAnsi="Times New Roman" w:cs="Times New Roman"/>
          <w:sz w:val="24"/>
          <w:szCs w:val="24"/>
          <w:lang w:eastAsia="lv-LV"/>
        </w:rPr>
        <w:t>efektivizēta</w:t>
      </w:r>
      <w:r w:rsidRPr="00674730">
        <w:rPr>
          <w:rFonts w:ascii="Times New Roman" w:eastAsia="Times New Roman" w:hAnsi="Times New Roman" w:cs="Times New Roman"/>
          <w:sz w:val="24"/>
          <w:szCs w:val="24"/>
          <w:lang w:eastAsia="lv-LV"/>
        </w:rPr>
        <w:t xml:space="preserve"> atvieglojumu uzskaite.</w:t>
      </w:r>
    </w:p>
    <w:p w:rsidR="00631723" w:rsidRPr="00674730" w:rsidP="00631723" w14:paraId="20328B0D" w14:textId="1C24F3D7">
      <w:pPr>
        <w:spacing w:after="0" w:line="276" w:lineRule="auto"/>
        <w:ind w:firstLine="426"/>
        <w:jc w:val="both"/>
        <w:rPr>
          <w:rFonts w:ascii="Times New Roman" w:hAnsi="Times New Roman" w:cs="Times New Roman"/>
          <w:sz w:val="24"/>
          <w:szCs w:val="24"/>
        </w:rPr>
      </w:pPr>
      <w:r w:rsidRPr="00674730">
        <w:rPr>
          <w:rFonts w:ascii="Times New Roman" w:hAnsi="Times New Roman" w:cs="Times New Roman"/>
          <w:sz w:val="24"/>
          <w:szCs w:val="24"/>
        </w:rPr>
        <w:t>Jāuzsver, ka Valsts kontroles revīzijas ziņojum</w:t>
      </w:r>
      <w:r w:rsidRPr="00674730" w:rsidR="00F609F6">
        <w:rPr>
          <w:rFonts w:ascii="Times New Roman" w:hAnsi="Times New Roman" w:cs="Times New Roman"/>
          <w:sz w:val="24"/>
          <w:szCs w:val="24"/>
        </w:rPr>
        <w:t>a</w:t>
      </w:r>
      <w:r w:rsidRPr="00674730">
        <w:rPr>
          <w:rFonts w:ascii="Times New Roman" w:hAnsi="Times New Roman" w:cs="Times New Roman"/>
          <w:sz w:val="24"/>
          <w:szCs w:val="24"/>
        </w:rPr>
        <w:t xml:space="preserve"> </w:t>
      </w:r>
      <w:r w:rsidRPr="00674730" w:rsidR="00F609F6">
        <w:rPr>
          <w:rFonts w:ascii="Times New Roman" w:hAnsi="Times New Roman" w:cs="Times New Roman"/>
          <w:sz w:val="24"/>
          <w:szCs w:val="24"/>
        </w:rPr>
        <w:t xml:space="preserve">kopsavilkumā </w:t>
      </w:r>
      <w:r w:rsidRPr="00674730">
        <w:rPr>
          <w:rFonts w:ascii="Times New Roman" w:hAnsi="Times New Roman" w:cs="Times New Roman"/>
          <w:sz w:val="24"/>
          <w:szCs w:val="24"/>
        </w:rPr>
        <w:t>“Vai valsts pārvalde efektīvi rīkojas ar uzkrāto informāciju?”</w:t>
      </w:r>
      <w:r>
        <w:rPr>
          <w:rStyle w:val="FootnoteReference"/>
          <w:rFonts w:ascii="Times New Roman" w:hAnsi="Times New Roman" w:cs="Times New Roman"/>
          <w:sz w:val="24"/>
          <w:szCs w:val="24"/>
        </w:rPr>
        <w:footnoteReference w:id="3"/>
      </w:r>
      <w:r w:rsidRPr="00674730">
        <w:rPr>
          <w:rFonts w:ascii="Times New Roman" w:hAnsi="Times New Roman" w:cs="Times New Roman"/>
          <w:sz w:val="24"/>
          <w:szCs w:val="24"/>
        </w:rPr>
        <w:t xml:space="preserve"> norādīts, ka datu aprites plūsma nav pietiekami caurskatāma un izsekojama, lai iestādēm būtu pilnīga informācija plānot savu informācijas sistēmu attīstību un sadarbspējas uzlabošanu, tāpēc </w:t>
      </w:r>
      <w:r w:rsidRPr="00674730" w:rsidR="00F609F6">
        <w:rPr>
          <w:rFonts w:ascii="Times New Roman" w:hAnsi="Times New Roman" w:cs="Times New Roman"/>
          <w:sz w:val="24"/>
          <w:szCs w:val="24"/>
        </w:rPr>
        <w:t>VARAM</w:t>
      </w:r>
      <w:r w:rsidRPr="00674730">
        <w:rPr>
          <w:rFonts w:ascii="Times New Roman" w:hAnsi="Times New Roman" w:cs="Times New Roman"/>
          <w:sz w:val="24"/>
          <w:szCs w:val="24"/>
        </w:rPr>
        <w:t xml:space="preserve"> jāuzņemas iniciatīva šī jautājuma aktualizēšanai augstākajā starpnozaru līmenī.</w:t>
      </w:r>
    </w:p>
    <w:p w:rsidR="003C1F42" w:rsidRPr="00674730" w:rsidP="007E6F03" w14:paraId="4E0D38FB" w14:textId="63BC87DB">
      <w:pPr>
        <w:spacing w:after="0" w:line="276" w:lineRule="auto"/>
        <w:ind w:firstLine="426"/>
        <w:jc w:val="both"/>
        <w:rPr>
          <w:rStyle w:val="FontStyle60"/>
          <w:rFonts w:eastAsiaTheme="minorEastAsia"/>
          <w:sz w:val="24"/>
          <w:szCs w:val="24"/>
          <w:lang w:eastAsia="lv-LV" w:bidi="lo-LA"/>
        </w:rPr>
      </w:pPr>
      <w:r w:rsidRPr="00674730">
        <w:rPr>
          <w:rFonts w:ascii="Times New Roman" w:eastAsia="Times New Roman" w:hAnsi="Times New Roman" w:cs="Times New Roman"/>
          <w:sz w:val="24"/>
          <w:szCs w:val="24"/>
          <w:lang w:eastAsia="lv-LV"/>
        </w:rPr>
        <w:t xml:space="preserve">Lai realizētu dotos uzdevumus un īstenotu </w:t>
      </w:r>
      <w:r w:rsidRPr="00674730">
        <w:rPr>
          <w:rStyle w:val="FontStyle60"/>
          <w:rFonts w:eastAsiaTheme="minorEastAsia"/>
          <w:sz w:val="24"/>
          <w:szCs w:val="24"/>
          <w:lang w:eastAsia="lv-LV" w:bidi="lo-LA"/>
        </w:rPr>
        <w:t xml:space="preserve">Atvieglojumu uzskaites koplietošanas risinājuma ieviešanu valsts un pašvaldību atvieglojumu administrēšanai, </w:t>
      </w:r>
      <w:bookmarkStart w:id="1" w:name="_Toc503453992"/>
      <w:bookmarkStart w:id="2" w:name="_Toc503453994"/>
      <w:r w:rsidRPr="00674730" w:rsidR="007E6F03">
        <w:rPr>
          <w:rStyle w:val="FontStyle60"/>
          <w:rFonts w:eastAsiaTheme="minorEastAsia"/>
          <w:sz w:val="24"/>
          <w:szCs w:val="24"/>
          <w:lang w:eastAsia="lv-LV" w:bidi="lo-LA"/>
        </w:rPr>
        <w:t xml:space="preserve">jāizstrādā informācijas sistēma, kas nodrošinās plānotā risinājuma funkcionalitāti. </w:t>
      </w:r>
      <w:r w:rsidRPr="00674730" w:rsidR="00F609F6">
        <w:rPr>
          <w:rFonts w:ascii="Times New Roman" w:hAnsi="Times New Roman"/>
          <w:sz w:val="24"/>
          <w:szCs w:val="24"/>
        </w:rPr>
        <w:t>VARAM</w:t>
      </w:r>
      <w:r w:rsidRPr="00674730" w:rsidR="007E6F03">
        <w:rPr>
          <w:rFonts w:ascii="Times New Roman" w:hAnsi="Times New Roman"/>
          <w:sz w:val="24"/>
          <w:szCs w:val="24"/>
        </w:rPr>
        <w:t xml:space="preserve"> (</w:t>
      </w:r>
      <w:r w:rsidRPr="00674730" w:rsidR="00F609F6">
        <w:rPr>
          <w:rFonts w:ascii="Times New Roman" w:hAnsi="Times New Roman"/>
          <w:sz w:val="24"/>
          <w:szCs w:val="24"/>
        </w:rPr>
        <w:t>VRAA</w:t>
      </w:r>
      <w:r w:rsidRPr="00674730" w:rsidR="007E6F03">
        <w:rPr>
          <w:rStyle w:val="FontStyle60"/>
          <w:rFonts w:eastAsiaTheme="minorEastAsia"/>
          <w:sz w:val="24"/>
          <w:szCs w:val="24"/>
          <w:lang w:eastAsia="lv-LV" w:bidi="lo-LA"/>
        </w:rPr>
        <w:t xml:space="preserve">) jāīsteno koplietošanas risinājuma </w:t>
      </w:r>
      <w:r w:rsidRPr="00674730" w:rsidR="007E6F03">
        <w:rPr>
          <w:rStyle w:val="FontStyle60"/>
          <w:rFonts w:eastAsiaTheme="minorEastAsia"/>
          <w:sz w:val="24"/>
          <w:szCs w:val="24"/>
          <w:lang w:eastAsia="lv-LV" w:bidi="lo-LA"/>
        </w:rPr>
        <w:t>izs</w:t>
      </w:r>
      <w:r w:rsidR="008F5542">
        <w:rPr>
          <w:rStyle w:val="FontStyle60"/>
          <w:rFonts w:eastAsiaTheme="minorEastAsia"/>
          <w:sz w:val="24"/>
          <w:szCs w:val="24"/>
          <w:lang w:eastAsia="lv-LV" w:bidi="lo-LA"/>
        </w:rPr>
        <w:t>r</w:t>
      </w:r>
      <w:r w:rsidRPr="00674730" w:rsidR="007E6F03">
        <w:rPr>
          <w:rStyle w:val="FontStyle60"/>
          <w:rFonts w:eastAsiaTheme="minorEastAsia"/>
          <w:sz w:val="24"/>
          <w:szCs w:val="24"/>
          <w:lang w:eastAsia="lv-LV" w:bidi="lo-LA"/>
        </w:rPr>
        <w:t>tāde</w:t>
      </w:r>
      <w:r w:rsidRPr="00674730" w:rsidR="007E6F03">
        <w:rPr>
          <w:rStyle w:val="FontStyle60"/>
          <w:rFonts w:eastAsiaTheme="minorEastAsia"/>
          <w:sz w:val="24"/>
          <w:szCs w:val="24"/>
          <w:lang w:eastAsia="lv-LV" w:bidi="lo-LA"/>
        </w:rPr>
        <w:t xml:space="preserve">, ieviešana un uzturēšanas ieviešanas laikā finansēšana no ERAF </w:t>
      </w:r>
      <w:r w:rsidRPr="00674730" w:rsidR="000405B7">
        <w:rPr>
          <w:rStyle w:val="FontStyle60"/>
          <w:rFonts w:eastAsiaTheme="minorEastAsia"/>
          <w:sz w:val="24"/>
          <w:szCs w:val="24"/>
          <w:lang w:eastAsia="lv-LV" w:bidi="lo-LA"/>
        </w:rPr>
        <w:t>Darbības programmas “Izaugsme un nodarbinātība”</w:t>
      </w:r>
      <w:r w:rsidRPr="00674730" w:rsidR="00CE3915">
        <w:rPr>
          <w:rStyle w:val="FontStyle60"/>
          <w:rFonts w:eastAsiaTheme="minorEastAsia"/>
          <w:sz w:val="24"/>
          <w:szCs w:val="24"/>
          <w:lang w:eastAsia="lv-LV" w:bidi="lo-LA"/>
        </w:rPr>
        <w:t xml:space="preserve"> 2.2.1.specifiskā atbalsta mērķa "Nodrošināt publisko datu </w:t>
      </w:r>
      <w:r w:rsidRPr="00674730" w:rsidR="00CE3915">
        <w:rPr>
          <w:rStyle w:val="FontStyle60"/>
          <w:rFonts w:eastAsiaTheme="minorEastAsia"/>
          <w:sz w:val="24"/>
          <w:szCs w:val="24"/>
          <w:lang w:eastAsia="lv-LV" w:bidi="lo-LA"/>
        </w:rPr>
        <w:t>atkalizmantošanas</w:t>
      </w:r>
      <w:r w:rsidRPr="00674730" w:rsidR="00CE3915">
        <w:rPr>
          <w:rStyle w:val="FontStyle60"/>
          <w:rFonts w:eastAsiaTheme="minorEastAsia"/>
          <w:sz w:val="24"/>
          <w:szCs w:val="24"/>
          <w:lang w:eastAsia="lv-LV" w:bidi="lo-LA"/>
        </w:rPr>
        <w:t xml:space="preserve"> pieaugumu un efektīvu publiskās pārvaldes un privātā sektora m</w:t>
      </w:r>
      <w:r w:rsidRPr="00674730" w:rsidR="000405B7">
        <w:rPr>
          <w:rStyle w:val="FontStyle60"/>
          <w:rFonts w:eastAsiaTheme="minorEastAsia"/>
          <w:sz w:val="24"/>
          <w:szCs w:val="24"/>
          <w:lang w:eastAsia="lv-LV" w:bidi="lo-LA"/>
        </w:rPr>
        <w:t>ijiedarbību" 2.2.1.1. pasākuma “</w:t>
      </w:r>
      <w:r w:rsidRPr="00674730" w:rsidR="00CE3915">
        <w:rPr>
          <w:rStyle w:val="FontStyle60"/>
          <w:rFonts w:eastAsiaTheme="minorEastAsia"/>
          <w:sz w:val="24"/>
          <w:szCs w:val="24"/>
          <w:lang w:eastAsia="lv-LV" w:bidi="lo-LA"/>
        </w:rPr>
        <w:t>Centralizētu publiskās pārvaldes IKT platformu izveide, publiskās pārvaldes pr</w:t>
      </w:r>
      <w:r w:rsidRPr="00674730" w:rsidR="000405B7">
        <w:rPr>
          <w:rStyle w:val="FontStyle60"/>
          <w:rFonts w:eastAsiaTheme="minorEastAsia"/>
          <w:sz w:val="24"/>
          <w:szCs w:val="24"/>
          <w:lang w:eastAsia="lv-LV" w:bidi="lo-LA"/>
        </w:rPr>
        <w:t>ocesu optimizēšana un attīstība”</w:t>
      </w:r>
      <w:r w:rsidRPr="00674730" w:rsidR="00CE3915">
        <w:rPr>
          <w:rStyle w:val="FontStyle60"/>
          <w:rFonts w:eastAsiaTheme="minorEastAsia"/>
          <w:sz w:val="24"/>
          <w:szCs w:val="24"/>
          <w:lang w:eastAsia="lv-LV" w:bidi="lo-LA"/>
        </w:rPr>
        <w:t>, VARAM īstenojamajā ERAF līdzfinansētajā projektā „Publiskās pārvaldes informācijas un komunikācijas tehnoloģiju arhitektūras pārvaldības sistēma, 2. kārta”</w:t>
      </w:r>
      <w:r w:rsidRPr="00674730" w:rsidR="007E6F03">
        <w:rPr>
          <w:rStyle w:val="FontStyle60"/>
          <w:rFonts w:eastAsiaTheme="minorEastAsia"/>
          <w:sz w:val="24"/>
          <w:szCs w:val="24"/>
          <w:lang w:eastAsia="lv-LV" w:bidi="lo-LA"/>
        </w:rPr>
        <w:t xml:space="preserve"> </w:t>
      </w:r>
      <w:r w:rsidRPr="00674730" w:rsidR="00CE3915">
        <w:rPr>
          <w:rStyle w:val="FontStyle60"/>
          <w:rFonts w:eastAsiaTheme="minorEastAsia"/>
          <w:sz w:val="24"/>
          <w:szCs w:val="24"/>
          <w:lang w:eastAsia="lv-LV" w:bidi="lo-LA"/>
        </w:rPr>
        <w:t xml:space="preserve">(PIKTAPS 2. kārta) </w:t>
      </w:r>
      <w:r w:rsidRPr="00674730" w:rsidR="007E6F03">
        <w:rPr>
          <w:rStyle w:val="FontStyle60"/>
          <w:rFonts w:eastAsiaTheme="minorEastAsia"/>
          <w:sz w:val="24"/>
          <w:szCs w:val="24"/>
          <w:lang w:eastAsia="lv-LV" w:bidi="lo-LA"/>
        </w:rPr>
        <w:t>finanšu līdzekļiem, savukārt pēc projekta pabeigšanas risinājuma uzturēšanu nodrošinot par valsts un pašvaldību budžeta līdzekļiem.</w:t>
      </w:r>
    </w:p>
    <w:p w:rsidR="00882042" w:rsidRPr="00674730" w:rsidP="00882042" w14:paraId="4026ABEA" w14:textId="77777777">
      <w:pPr>
        <w:pStyle w:val="Heading1"/>
        <w:numPr>
          <w:ilvl w:val="0"/>
          <w:numId w:val="13"/>
        </w:numPr>
        <w:spacing w:after="240"/>
        <w:jc w:val="center"/>
        <w:rPr>
          <w:rFonts w:ascii="Times New Roman" w:hAnsi="Times New Roman" w:eastAsiaTheme="minorEastAsia" w:cs="Times New Roman"/>
          <w:b/>
          <w:color w:val="auto"/>
          <w:sz w:val="24"/>
          <w:szCs w:val="24"/>
          <w:lang w:eastAsia="lv-LV" w:bidi="lo-LA"/>
        </w:rPr>
      </w:pPr>
      <w:bookmarkEnd w:id="1"/>
      <w:r w:rsidRPr="00674730">
        <w:rPr>
          <w:rStyle w:val="FontStyle60"/>
          <w:rFonts w:eastAsiaTheme="minorEastAsia"/>
          <w:b/>
          <w:color w:val="auto"/>
          <w:sz w:val="24"/>
          <w:szCs w:val="24"/>
          <w:lang w:eastAsia="lv-LV" w:bidi="lo-LA"/>
        </w:rPr>
        <w:t>Esošās situācijas raksturojums</w:t>
      </w:r>
      <w:bookmarkEnd w:id="2"/>
    </w:p>
    <w:p w:rsidR="003C1F42" w:rsidRPr="00674730" w:rsidP="003C1F42" w14:paraId="14DBDED0" w14:textId="1D5D920B">
      <w:pPr>
        <w:spacing w:after="0" w:line="276" w:lineRule="auto"/>
        <w:ind w:firstLine="720"/>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Atvieglojumu administrēšanas jautājums ir aktuāls gan valsts, gan pašvaldīb</w:t>
      </w:r>
      <w:r w:rsidRPr="00674730" w:rsidR="005047C2">
        <w:rPr>
          <w:rStyle w:val="FontStyle60"/>
          <w:rFonts w:eastAsiaTheme="minorEastAsia"/>
          <w:sz w:val="24"/>
          <w:szCs w:val="24"/>
          <w:lang w:eastAsia="lv-LV" w:bidi="lo-LA"/>
        </w:rPr>
        <w:t>u</w:t>
      </w:r>
      <w:r w:rsidRPr="00674730" w:rsidR="004158D0">
        <w:rPr>
          <w:rStyle w:val="FontStyle60"/>
          <w:rFonts w:eastAsiaTheme="minorEastAsia"/>
          <w:sz w:val="24"/>
          <w:szCs w:val="24"/>
          <w:lang w:eastAsia="lv-LV" w:bidi="lo-LA"/>
        </w:rPr>
        <w:t xml:space="preserve"> līmenī. </w:t>
      </w:r>
      <w:r w:rsidRPr="00674730">
        <w:rPr>
          <w:rStyle w:val="FontStyle60"/>
          <w:rFonts w:eastAsiaTheme="minorEastAsia"/>
          <w:sz w:val="24"/>
          <w:szCs w:val="24"/>
          <w:lang w:eastAsia="lv-LV" w:bidi="lo-LA"/>
        </w:rPr>
        <w:t xml:space="preserve">Var minēt vairākas sociālās grupas, piemēram, skolēni, pensionāri, </w:t>
      </w:r>
      <w:r w:rsidRPr="00674730" w:rsidR="00476F7D">
        <w:rPr>
          <w:rStyle w:val="FontStyle60"/>
          <w:rFonts w:eastAsiaTheme="minorEastAsia"/>
          <w:sz w:val="24"/>
          <w:szCs w:val="24"/>
          <w:lang w:eastAsia="lv-LV" w:bidi="lo-LA"/>
        </w:rPr>
        <w:t xml:space="preserve">personas ar </w:t>
      </w:r>
      <w:r w:rsidRPr="00674730" w:rsidR="00617DAA">
        <w:rPr>
          <w:rStyle w:val="FontStyle60"/>
          <w:rFonts w:eastAsiaTheme="minorEastAsia"/>
          <w:sz w:val="24"/>
          <w:szCs w:val="24"/>
          <w:lang w:eastAsia="lv-LV" w:bidi="lo-LA"/>
        </w:rPr>
        <w:t>inval</w:t>
      </w:r>
      <w:r w:rsidRPr="00674730" w:rsidR="00476F7D">
        <w:rPr>
          <w:rStyle w:val="FontStyle60"/>
          <w:rFonts w:eastAsiaTheme="minorEastAsia"/>
          <w:sz w:val="24"/>
          <w:szCs w:val="24"/>
          <w:lang w:eastAsia="lv-LV" w:bidi="lo-LA"/>
        </w:rPr>
        <w:t>i</w:t>
      </w:r>
      <w:r w:rsidRPr="00674730" w:rsidR="00617DAA">
        <w:rPr>
          <w:rStyle w:val="FontStyle60"/>
          <w:rFonts w:eastAsiaTheme="minorEastAsia"/>
          <w:sz w:val="24"/>
          <w:szCs w:val="24"/>
          <w:lang w:eastAsia="lv-LV" w:bidi="lo-LA"/>
        </w:rPr>
        <w:t>di</w:t>
      </w:r>
      <w:r w:rsidRPr="00674730" w:rsidR="00476F7D">
        <w:rPr>
          <w:rStyle w:val="FontStyle60"/>
          <w:rFonts w:eastAsiaTheme="minorEastAsia"/>
          <w:sz w:val="24"/>
          <w:szCs w:val="24"/>
          <w:lang w:eastAsia="lv-LV" w:bidi="lo-LA"/>
        </w:rPr>
        <w:t>tāti</w:t>
      </w:r>
      <w:r w:rsidRPr="00674730" w:rsidR="00617DAA">
        <w:rPr>
          <w:rStyle w:val="FontStyle60"/>
          <w:rFonts w:eastAsiaTheme="minorEastAsia"/>
          <w:sz w:val="24"/>
          <w:szCs w:val="24"/>
          <w:lang w:eastAsia="lv-LV" w:bidi="lo-LA"/>
        </w:rPr>
        <w:t xml:space="preserve">, </w:t>
      </w:r>
      <w:r w:rsidRPr="00674730">
        <w:rPr>
          <w:rStyle w:val="FontStyle60"/>
          <w:rFonts w:eastAsiaTheme="minorEastAsia"/>
          <w:sz w:val="24"/>
          <w:szCs w:val="24"/>
          <w:lang w:eastAsia="lv-LV" w:bidi="lo-LA"/>
        </w:rPr>
        <w:t>bezdarbnieki un citas grupas, kuriem ir pieejami dažāda veida Atvieglojumi dažādu pakalpojumu</w:t>
      </w:r>
      <w:r w:rsidRPr="00674730" w:rsidR="002C0253">
        <w:rPr>
          <w:rStyle w:val="FontStyle60"/>
          <w:rFonts w:eastAsiaTheme="minorEastAsia"/>
          <w:sz w:val="24"/>
          <w:szCs w:val="24"/>
          <w:lang w:eastAsia="lv-LV" w:bidi="lo-LA"/>
        </w:rPr>
        <w:t xml:space="preserve"> un </w:t>
      </w:r>
      <w:r w:rsidRPr="00674730">
        <w:rPr>
          <w:rStyle w:val="FontStyle60"/>
          <w:rFonts w:eastAsiaTheme="minorEastAsia"/>
          <w:sz w:val="24"/>
          <w:szCs w:val="24"/>
          <w:lang w:eastAsia="lv-LV" w:bidi="lo-LA"/>
        </w:rPr>
        <w:t>produktu saņemšanai.</w:t>
      </w:r>
    </w:p>
    <w:p w:rsidR="00826FE5" w:rsidRPr="00674730" w:rsidP="003C1F42" w14:paraId="5526102C" w14:textId="77777777">
      <w:pPr>
        <w:spacing w:after="0" w:line="276" w:lineRule="auto"/>
        <w:ind w:firstLine="720"/>
        <w:jc w:val="right"/>
        <w:rPr>
          <w:rFonts w:ascii="Times New Roman" w:hAnsi="Times New Roman" w:cs="Times New Roman"/>
          <w:b/>
          <w:sz w:val="24"/>
          <w:szCs w:val="24"/>
        </w:rPr>
      </w:pPr>
    </w:p>
    <w:p w:rsidR="00EA664E" w:rsidRPr="00674730" w:rsidP="003C1F42" w14:paraId="51FF911A" w14:textId="6A99DEDD">
      <w:pPr>
        <w:spacing w:after="0" w:line="276" w:lineRule="auto"/>
        <w:ind w:firstLine="720"/>
        <w:jc w:val="right"/>
        <w:rPr>
          <w:rStyle w:val="FontStyle60"/>
          <w:rFonts w:eastAsiaTheme="minorEastAsia"/>
          <w:b/>
          <w:sz w:val="24"/>
          <w:szCs w:val="24"/>
          <w:lang w:eastAsia="lv-LV" w:bidi="lo-LA"/>
        </w:rPr>
      </w:pPr>
      <w:r w:rsidRPr="00674730">
        <w:rPr>
          <w:rFonts w:ascii="Times New Roman" w:hAnsi="Times New Roman" w:cs="Times New Roman"/>
          <w:b/>
          <w:sz w:val="24"/>
          <w:szCs w:val="24"/>
        </w:rPr>
        <w:t xml:space="preserve">Pašvaldību sniegtie </w:t>
      </w:r>
      <w:r w:rsidRPr="00674730" w:rsidR="004158D0">
        <w:rPr>
          <w:rFonts w:ascii="Times New Roman" w:hAnsi="Times New Roman" w:cs="Times New Roman"/>
          <w:b/>
          <w:sz w:val="24"/>
          <w:szCs w:val="24"/>
        </w:rPr>
        <w:t xml:space="preserve">atvieglojumi </w:t>
      </w:r>
      <w:r w:rsidRPr="00674730">
        <w:rPr>
          <w:rFonts w:ascii="Times New Roman" w:hAnsi="Times New Roman" w:cs="Times New Roman"/>
          <w:b/>
          <w:sz w:val="24"/>
          <w:szCs w:val="24"/>
        </w:rPr>
        <w:t xml:space="preserve"> 2016. gadā</w:t>
      </w:r>
      <w:r w:rsidRPr="00674730" w:rsidR="003C1F42">
        <w:rPr>
          <w:rFonts w:ascii="Times New Roman" w:hAnsi="Times New Roman" w:cs="Times New Roman"/>
          <w:b/>
          <w:sz w:val="24"/>
          <w:szCs w:val="24"/>
        </w:rPr>
        <w:tab/>
      </w:r>
      <w:r w:rsidRPr="00674730" w:rsidR="003C1F42">
        <w:rPr>
          <w:rFonts w:ascii="Times New Roman" w:hAnsi="Times New Roman" w:cs="Times New Roman"/>
          <w:b/>
          <w:sz w:val="24"/>
          <w:szCs w:val="24"/>
        </w:rPr>
        <w:tab/>
      </w:r>
      <w:r w:rsidRPr="00674730" w:rsidR="003C1F42">
        <w:rPr>
          <w:rFonts w:ascii="Times New Roman" w:hAnsi="Times New Roman" w:cs="Times New Roman"/>
          <w:b/>
          <w:sz w:val="24"/>
          <w:szCs w:val="24"/>
        </w:rPr>
        <w:tab/>
      </w:r>
      <w:r w:rsidRPr="00674730" w:rsidR="003C1F42">
        <w:rPr>
          <w:rStyle w:val="FontStyle60"/>
          <w:rFonts w:eastAsiaTheme="minorEastAsia"/>
          <w:sz w:val="24"/>
          <w:szCs w:val="24"/>
          <w:lang w:eastAsia="lv-LV" w:bidi="lo-LA"/>
        </w:rPr>
        <w:t>2.tabula</w:t>
      </w:r>
    </w:p>
    <w:tbl>
      <w:tblPr>
        <w:tblStyle w:val="TableGrid"/>
        <w:tblW w:w="9776" w:type="dxa"/>
        <w:jc w:val="center"/>
        <w:tblLook w:val="04A0"/>
      </w:tblPr>
      <w:tblGrid>
        <w:gridCol w:w="5240"/>
        <w:gridCol w:w="2268"/>
        <w:gridCol w:w="2268"/>
      </w:tblGrid>
      <w:tr w14:paraId="481DFF17" w14:textId="77777777" w:rsidTr="00F609F6">
        <w:tblPrEx>
          <w:tblW w:w="9776" w:type="dxa"/>
          <w:jc w:val="center"/>
          <w:tblLook w:val="04A0"/>
        </w:tblPrEx>
        <w:trPr>
          <w:jc w:val="center"/>
        </w:trPr>
        <w:tc>
          <w:tcPr>
            <w:tcW w:w="5240" w:type="dxa"/>
            <w:shd w:val="clear" w:color="auto" w:fill="F2F2F2" w:themeFill="background1" w:themeFillShade="F2"/>
            <w:vAlign w:val="center"/>
          </w:tcPr>
          <w:p w:rsidR="0026662D" w:rsidRPr="00674730" w:rsidP="00631723" w14:paraId="546E6D7B" w14:textId="2A92C930">
            <w:pPr>
              <w:spacing w:before="100" w:beforeAutospacing="1" w:after="100" w:afterAutospacing="1" w:line="276" w:lineRule="auto"/>
              <w:contextualSpacing/>
              <w:jc w:val="center"/>
              <w:rPr>
                <w:b/>
                <w:sz w:val="24"/>
                <w:szCs w:val="24"/>
              </w:rPr>
            </w:pPr>
            <w:r w:rsidRPr="00674730">
              <w:rPr>
                <w:b/>
                <w:sz w:val="24"/>
                <w:szCs w:val="24"/>
              </w:rPr>
              <w:t>N</w:t>
            </w:r>
            <w:r w:rsidRPr="00674730">
              <w:rPr>
                <w:b/>
                <w:sz w:val="24"/>
                <w:szCs w:val="24"/>
              </w:rPr>
              <w:t>osaukums</w:t>
            </w:r>
          </w:p>
        </w:tc>
        <w:tc>
          <w:tcPr>
            <w:tcW w:w="2268" w:type="dxa"/>
            <w:shd w:val="clear" w:color="auto" w:fill="F2F2F2" w:themeFill="background1" w:themeFillShade="F2"/>
            <w:vAlign w:val="center"/>
          </w:tcPr>
          <w:p w:rsidR="0026662D" w:rsidRPr="00674730" w:rsidP="00F609F6" w14:paraId="2B6AFC20" w14:textId="77777777">
            <w:pPr>
              <w:spacing w:before="100" w:beforeAutospacing="1" w:after="100" w:afterAutospacing="1" w:line="276" w:lineRule="auto"/>
              <w:contextualSpacing/>
              <w:jc w:val="center"/>
              <w:rPr>
                <w:b/>
                <w:sz w:val="24"/>
                <w:szCs w:val="24"/>
              </w:rPr>
            </w:pPr>
            <w:r w:rsidRPr="00674730">
              <w:rPr>
                <w:b/>
                <w:sz w:val="24"/>
                <w:szCs w:val="24"/>
              </w:rPr>
              <w:t>Apjoms</w:t>
            </w:r>
          </w:p>
          <w:p w:rsidR="0026662D" w:rsidRPr="00674730" w:rsidP="00F609F6" w14:paraId="42571571" w14:textId="77777777">
            <w:pPr>
              <w:spacing w:before="100" w:beforeAutospacing="1" w:after="100" w:afterAutospacing="1" w:line="276" w:lineRule="auto"/>
              <w:contextualSpacing/>
              <w:jc w:val="center"/>
              <w:rPr>
                <w:b/>
                <w:sz w:val="24"/>
                <w:szCs w:val="24"/>
              </w:rPr>
            </w:pPr>
            <w:r w:rsidRPr="00674730">
              <w:rPr>
                <w:b/>
                <w:sz w:val="24"/>
                <w:szCs w:val="24"/>
              </w:rPr>
              <w:t>(EUR)</w:t>
            </w:r>
          </w:p>
        </w:tc>
        <w:tc>
          <w:tcPr>
            <w:tcW w:w="2268" w:type="dxa"/>
            <w:shd w:val="clear" w:color="auto" w:fill="F2F2F2" w:themeFill="background1" w:themeFillShade="F2"/>
            <w:vAlign w:val="center"/>
          </w:tcPr>
          <w:p w:rsidR="0026662D" w:rsidRPr="00674730" w:rsidP="00F609F6" w14:paraId="21DE6446" w14:textId="77777777">
            <w:pPr>
              <w:spacing w:before="100" w:beforeAutospacing="1" w:after="100" w:afterAutospacing="1" w:line="276" w:lineRule="auto"/>
              <w:contextualSpacing/>
              <w:jc w:val="center"/>
              <w:rPr>
                <w:b/>
                <w:sz w:val="24"/>
                <w:szCs w:val="24"/>
              </w:rPr>
            </w:pPr>
            <w:r w:rsidRPr="00674730">
              <w:rPr>
                <w:b/>
                <w:sz w:val="24"/>
                <w:szCs w:val="24"/>
              </w:rPr>
              <w:t>Apjoms</w:t>
            </w:r>
          </w:p>
          <w:p w:rsidR="0026662D" w:rsidRPr="00674730" w:rsidP="00F609F6" w14:paraId="6BB98B32" w14:textId="77777777">
            <w:pPr>
              <w:spacing w:before="100" w:beforeAutospacing="1" w:after="100" w:afterAutospacing="1" w:line="276" w:lineRule="auto"/>
              <w:contextualSpacing/>
              <w:jc w:val="center"/>
              <w:rPr>
                <w:b/>
                <w:sz w:val="24"/>
                <w:szCs w:val="24"/>
              </w:rPr>
            </w:pPr>
            <w:r w:rsidRPr="00674730">
              <w:rPr>
                <w:b/>
                <w:sz w:val="24"/>
                <w:szCs w:val="24"/>
              </w:rPr>
              <w:t>(Izmaksu skaits)</w:t>
            </w:r>
          </w:p>
        </w:tc>
      </w:tr>
      <w:tr w14:paraId="5B8CF455" w14:textId="77777777" w:rsidTr="00F609F6">
        <w:tblPrEx>
          <w:tblW w:w="9776" w:type="dxa"/>
          <w:jc w:val="center"/>
          <w:tblLook w:val="04A0"/>
        </w:tblPrEx>
        <w:trPr>
          <w:jc w:val="center"/>
        </w:trPr>
        <w:tc>
          <w:tcPr>
            <w:tcW w:w="5240" w:type="dxa"/>
          </w:tcPr>
          <w:p w:rsidR="00773FFE" w:rsidRPr="00674730" w:rsidP="00773FFE" w14:paraId="41CFEDFF" w14:textId="1F146EB7">
            <w:pPr>
              <w:spacing w:before="100" w:beforeAutospacing="1" w:after="100" w:afterAutospacing="1" w:line="276" w:lineRule="auto"/>
              <w:contextualSpacing/>
              <w:jc w:val="both"/>
              <w:rPr>
                <w:sz w:val="24"/>
                <w:szCs w:val="24"/>
              </w:rPr>
            </w:pPr>
            <w:r w:rsidRPr="00674730">
              <w:rPr>
                <w:sz w:val="24"/>
                <w:szCs w:val="24"/>
              </w:rPr>
              <w:t>T</w:t>
            </w:r>
            <w:r w:rsidRPr="00674730">
              <w:rPr>
                <w:sz w:val="24"/>
                <w:szCs w:val="24"/>
              </w:rPr>
              <w:t>ransporta pakalpojumu apmaksai</w:t>
            </w:r>
          </w:p>
        </w:tc>
        <w:tc>
          <w:tcPr>
            <w:tcW w:w="2268" w:type="dxa"/>
            <w:shd w:val="clear" w:color="auto" w:fill="auto"/>
          </w:tcPr>
          <w:p w:rsidR="00773FFE" w:rsidRPr="00674730" w:rsidP="00F609F6" w14:paraId="60EA24E7" w14:textId="77777777">
            <w:pPr>
              <w:spacing w:before="100" w:beforeAutospacing="1" w:after="100" w:afterAutospacing="1"/>
              <w:contextualSpacing/>
              <w:jc w:val="center"/>
              <w:rPr>
                <w:sz w:val="24"/>
                <w:szCs w:val="24"/>
              </w:rPr>
            </w:pPr>
            <w:r w:rsidRPr="00674730">
              <w:rPr>
                <w:sz w:val="24"/>
                <w:szCs w:val="24"/>
              </w:rPr>
              <w:t>2 183 000</w:t>
            </w:r>
          </w:p>
        </w:tc>
        <w:tc>
          <w:tcPr>
            <w:tcW w:w="2268" w:type="dxa"/>
          </w:tcPr>
          <w:p w:rsidR="00773FFE" w:rsidRPr="00674730" w:rsidP="00F609F6" w14:paraId="1196A6E2" w14:textId="77777777">
            <w:pPr>
              <w:spacing w:before="100" w:beforeAutospacing="1" w:after="100" w:afterAutospacing="1" w:line="276" w:lineRule="auto"/>
              <w:contextualSpacing/>
              <w:jc w:val="center"/>
              <w:rPr>
                <w:sz w:val="24"/>
                <w:szCs w:val="24"/>
              </w:rPr>
            </w:pPr>
            <w:r w:rsidRPr="00674730">
              <w:rPr>
                <w:sz w:val="24"/>
                <w:szCs w:val="24"/>
              </w:rPr>
              <w:t>54 774</w:t>
            </w:r>
          </w:p>
        </w:tc>
      </w:tr>
      <w:tr w14:paraId="54D46BBD" w14:textId="77777777" w:rsidTr="00F609F6">
        <w:tblPrEx>
          <w:tblW w:w="9776" w:type="dxa"/>
          <w:jc w:val="center"/>
          <w:tblLook w:val="04A0"/>
        </w:tblPrEx>
        <w:trPr>
          <w:jc w:val="center"/>
        </w:trPr>
        <w:tc>
          <w:tcPr>
            <w:tcW w:w="5240" w:type="dxa"/>
          </w:tcPr>
          <w:p w:rsidR="00773FFE" w:rsidRPr="00674730" w:rsidP="00773FFE" w14:paraId="49863E9D" w14:textId="6C90707E">
            <w:pPr>
              <w:spacing w:before="100" w:beforeAutospacing="1" w:after="100" w:afterAutospacing="1" w:line="276" w:lineRule="auto"/>
              <w:contextualSpacing/>
              <w:jc w:val="both"/>
              <w:rPr>
                <w:sz w:val="24"/>
                <w:szCs w:val="24"/>
              </w:rPr>
            </w:pPr>
            <w:r w:rsidRPr="00674730">
              <w:rPr>
                <w:sz w:val="24"/>
                <w:szCs w:val="24"/>
              </w:rPr>
              <w:t>I</w:t>
            </w:r>
            <w:r w:rsidRPr="00674730">
              <w:rPr>
                <w:sz w:val="24"/>
                <w:szCs w:val="24"/>
              </w:rPr>
              <w:t>zglītības iestāžu audzēkņu ēdināšanai</w:t>
            </w:r>
          </w:p>
        </w:tc>
        <w:tc>
          <w:tcPr>
            <w:tcW w:w="2268" w:type="dxa"/>
            <w:shd w:val="clear" w:color="auto" w:fill="auto"/>
          </w:tcPr>
          <w:p w:rsidR="00773FFE" w:rsidRPr="00674730" w:rsidP="00F609F6" w14:paraId="3E1CEFCB" w14:textId="77777777">
            <w:pPr>
              <w:spacing w:before="100" w:beforeAutospacing="1" w:after="100" w:afterAutospacing="1"/>
              <w:contextualSpacing/>
              <w:jc w:val="center"/>
              <w:rPr>
                <w:sz w:val="24"/>
                <w:szCs w:val="24"/>
              </w:rPr>
            </w:pPr>
            <w:r w:rsidRPr="00674730">
              <w:rPr>
                <w:sz w:val="24"/>
                <w:szCs w:val="24"/>
              </w:rPr>
              <w:t>936 000</w:t>
            </w:r>
          </w:p>
        </w:tc>
        <w:tc>
          <w:tcPr>
            <w:tcW w:w="2268" w:type="dxa"/>
          </w:tcPr>
          <w:p w:rsidR="00773FFE" w:rsidRPr="00674730" w:rsidP="00F609F6" w14:paraId="772801A7" w14:textId="77777777">
            <w:pPr>
              <w:spacing w:before="100" w:beforeAutospacing="1" w:after="100" w:afterAutospacing="1" w:line="276" w:lineRule="auto"/>
              <w:contextualSpacing/>
              <w:jc w:val="center"/>
              <w:rPr>
                <w:sz w:val="24"/>
                <w:szCs w:val="24"/>
              </w:rPr>
            </w:pPr>
            <w:r w:rsidRPr="00674730">
              <w:rPr>
                <w:sz w:val="24"/>
                <w:szCs w:val="24"/>
              </w:rPr>
              <w:t>41 456</w:t>
            </w:r>
          </w:p>
        </w:tc>
      </w:tr>
      <w:tr w14:paraId="53C54B29" w14:textId="77777777" w:rsidTr="00F609F6">
        <w:tblPrEx>
          <w:tblW w:w="9776" w:type="dxa"/>
          <w:jc w:val="center"/>
          <w:tblLook w:val="04A0"/>
        </w:tblPrEx>
        <w:trPr>
          <w:jc w:val="center"/>
        </w:trPr>
        <w:tc>
          <w:tcPr>
            <w:tcW w:w="5240" w:type="dxa"/>
          </w:tcPr>
          <w:p w:rsidR="0026662D" w:rsidRPr="00674730" w:rsidP="00631723" w14:paraId="320EC28E" w14:textId="77777777">
            <w:pPr>
              <w:spacing w:before="100" w:beforeAutospacing="1" w:after="100" w:afterAutospacing="1" w:line="276" w:lineRule="auto"/>
              <w:contextualSpacing/>
              <w:jc w:val="right"/>
              <w:rPr>
                <w:b/>
                <w:sz w:val="24"/>
                <w:szCs w:val="24"/>
              </w:rPr>
            </w:pPr>
            <w:r w:rsidRPr="00674730">
              <w:rPr>
                <w:b/>
                <w:sz w:val="24"/>
                <w:szCs w:val="24"/>
              </w:rPr>
              <w:t>Kopā:</w:t>
            </w:r>
          </w:p>
        </w:tc>
        <w:tc>
          <w:tcPr>
            <w:tcW w:w="2268" w:type="dxa"/>
          </w:tcPr>
          <w:p w:rsidR="0026662D" w:rsidRPr="00674730" w:rsidP="00F609F6" w14:paraId="7B4A8D56" w14:textId="3CD46F0A">
            <w:pPr>
              <w:spacing w:before="100" w:beforeAutospacing="1" w:after="100" w:afterAutospacing="1" w:line="276" w:lineRule="auto"/>
              <w:contextualSpacing/>
              <w:jc w:val="center"/>
              <w:rPr>
                <w:b/>
                <w:sz w:val="24"/>
                <w:szCs w:val="24"/>
              </w:rPr>
            </w:pPr>
            <w:r w:rsidRPr="00674730">
              <w:rPr>
                <w:b/>
                <w:sz w:val="24"/>
                <w:szCs w:val="24"/>
              </w:rPr>
              <w:t>3 119 000</w:t>
            </w:r>
          </w:p>
        </w:tc>
        <w:tc>
          <w:tcPr>
            <w:tcW w:w="2268" w:type="dxa"/>
            <w:shd w:val="thinReverseDiagStripe" w:color="auto" w:fill="auto"/>
          </w:tcPr>
          <w:p w:rsidR="0026662D" w:rsidRPr="00674730" w:rsidP="00F609F6" w14:paraId="761D0E94" w14:textId="77777777">
            <w:pPr>
              <w:spacing w:before="100" w:beforeAutospacing="1" w:after="100" w:afterAutospacing="1" w:line="276" w:lineRule="auto"/>
              <w:contextualSpacing/>
              <w:jc w:val="center"/>
              <w:rPr>
                <w:sz w:val="24"/>
                <w:szCs w:val="24"/>
              </w:rPr>
            </w:pPr>
          </w:p>
        </w:tc>
      </w:tr>
    </w:tbl>
    <w:p w:rsidR="00805B0B" w:rsidRPr="00674730" w:rsidP="00631723" w14:paraId="52E1466D" w14:textId="77777777">
      <w:pPr>
        <w:spacing w:after="0" w:line="276" w:lineRule="auto"/>
        <w:ind w:firstLine="720"/>
        <w:jc w:val="both"/>
        <w:rPr>
          <w:rStyle w:val="FontStyle60"/>
          <w:rFonts w:eastAsiaTheme="minorEastAsia"/>
          <w:i/>
          <w:szCs w:val="24"/>
          <w:lang w:eastAsia="lv-LV" w:bidi="lo-LA"/>
        </w:rPr>
      </w:pPr>
      <w:r w:rsidRPr="00674730">
        <w:rPr>
          <w:rStyle w:val="FontStyle60"/>
          <w:rFonts w:eastAsiaTheme="minorEastAsia"/>
          <w:i/>
          <w:szCs w:val="24"/>
          <w:lang w:eastAsia="lv-LV" w:bidi="lo-LA"/>
        </w:rPr>
        <w:t>Datu avots:</w:t>
      </w:r>
      <w:r w:rsidRPr="00674730" w:rsidR="00773FFE">
        <w:rPr>
          <w:rStyle w:val="FontStyle60"/>
          <w:rFonts w:eastAsiaTheme="minorEastAsia"/>
          <w:i/>
          <w:szCs w:val="24"/>
          <w:lang w:eastAsia="lv-LV" w:bidi="lo-LA"/>
        </w:rPr>
        <w:t xml:space="preserve"> Latvijas L</w:t>
      </w:r>
      <w:r w:rsidRPr="00674730" w:rsidR="00DF47FE">
        <w:rPr>
          <w:rStyle w:val="FontStyle60"/>
          <w:rFonts w:eastAsiaTheme="minorEastAsia"/>
          <w:i/>
          <w:szCs w:val="24"/>
          <w:lang w:eastAsia="lv-LV" w:bidi="lo-LA"/>
        </w:rPr>
        <w:t>ielo pilsētu asociācija</w:t>
      </w:r>
      <w:r w:rsidRPr="00674730" w:rsidR="0090563E">
        <w:rPr>
          <w:rStyle w:val="FontStyle60"/>
          <w:rFonts w:eastAsiaTheme="minorEastAsia"/>
          <w:i/>
          <w:szCs w:val="24"/>
          <w:lang w:eastAsia="lv-LV" w:bidi="lo-LA"/>
        </w:rPr>
        <w:t xml:space="preserve"> </w:t>
      </w:r>
      <w:r w:rsidRPr="00674730" w:rsidR="0090563E">
        <w:rPr>
          <w:rStyle w:val="FontStyle60"/>
          <w:rFonts w:eastAsiaTheme="minorEastAsia"/>
          <w:i/>
          <w:szCs w:val="24"/>
          <w:lang w:eastAsia="lv-LV" w:bidi="lo-LA"/>
        </w:rPr>
        <w:tab/>
        <w:t xml:space="preserve"> </w:t>
      </w:r>
      <w:r w:rsidRPr="00674730" w:rsidR="0090563E">
        <w:rPr>
          <w:rStyle w:val="FontStyle60"/>
          <w:rFonts w:eastAsiaTheme="minorEastAsia"/>
          <w:i/>
          <w:szCs w:val="24"/>
          <w:lang w:eastAsia="lv-LV" w:bidi="lo-LA"/>
        </w:rPr>
        <w:tab/>
      </w:r>
    </w:p>
    <w:p w:rsidR="004158D0" w:rsidRPr="00674730" w:rsidP="00631723" w14:paraId="2C07A47F" w14:textId="77777777">
      <w:pPr>
        <w:spacing w:after="0" w:line="276" w:lineRule="auto"/>
        <w:ind w:firstLine="426"/>
        <w:jc w:val="both"/>
        <w:rPr>
          <w:rStyle w:val="FontStyle60"/>
          <w:rFonts w:eastAsiaTheme="minorEastAsia"/>
          <w:sz w:val="24"/>
          <w:szCs w:val="24"/>
          <w:lang w:eastAsia="lv-LV" w:bidi="lo-LA"/>
        </w:rPr>
      </w:pPr>
    </w:p>
    <w:p w:rsidR="00A55924" w:rsidRPr="00674730" w:rsidP="00FE6D30" w14:paraId="1D56A7CC" w14:textId="3CB494A5">
      <w:pPr>
        <w:spacing w:after="0" w:line="276" w:lineRule="auto"/>
        <w:ind w:firstLine="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Pašvaldības, ņemot vērā budžeta iespējas</w:t>
      </w:r>
      <w:r w:rsidRPr="00674730" w:rsidR="004158D0">
        <w:rPr>
          <w:rStyle w:val="FontStyle60"/>
          <w:rFonts w:eastAsiaTheme="minorEastAsia"/>
          <w:sz w:val="24"/>
          <w:szCs w:val="24"/>
          <w:lang w:eastAsia="lv-LV" w:bidi="lo-LA"/>
        </w:rPr>
        <w:t>, sniedz atvieglojumus</w:t>
      </w:r>
      <w:r w:rsidRPr="00674730">
        <w:rPr>
          <w:rStyle w:val="FontStyle60"/>
          <w:rFonts w:eastAsiaTheme="minorEastAsia"/>
          <w:sz w:val="24"/>
          <w:szCs w:val="24"/>
          <w:lang w:eastAsia="lv-LV" w:bidi="lo-LA"/>
        </w:rPr>
        <w:t xml:space="preserve">, kas norādīti 2.tabulā, tādejādi sniedzot atbalstu saviem iedzīvotājiem. </w:t>
      </w:r>
    </w:p>
    <w:p w:rsidR="00D37C73" w:rsidRPr="00674730" w:rsidP="00631723" w14:paraId="206FEFFD" w14:textId="69DE94A4">
      <w:pPr>
        <w:spacing w:after="0" w:line="276" w:lineRule="auto"/>
        <w:ind w:firstLine="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A</w:t>
      </w:r>
      <w:r w:rsidRPr="00674730">
        <w:rPr>
          <w:rStyle w:val="FontStyle60"/>
          <w:rFonts w:eastAsiaTheme="minorEastAsia"/>
          <w:sz w:val="24"/>
          <w:szCs w:val="24"/>
          <w:lang w:eastAsia="lv-LV" w:bidi="lo-LA"/>
        </w:rPr>
        <w:t xml:space="preserve">r likumu </w:t>
      </w:r>
      <w:r w:rsidRPr="00674730" w:rsidR="00617DAA">
        <w:rPr>
          <w:rStyle w:val="FontStyle60"/>
          <w:rFonts w:eastAsiaTheme="minorEastAsia"/>
          <w:sz w:val="24"/>
          <w:szCs w:val="24"/>
          <w:lang w:eastAsia="lv-LV" w:bidi="lo-LA"/>
        </w:rPr>
        <w:t xml:space="preserve">ir </w:t>
      </w:r>
      <w:r w:rsidRPr="00674730">
        <w:rPr>
          <w:rStyle w:val="FontStyle60"/>
          <w:rFonts w:eastAsiaTheme="minorEastAsia"/>
          <w:sz w:val="24"/>
          <w:szCs w:val="24"/>
          <w:lang w:eastAsia="lv-LV" w:bidi="lo-LA"/>
        </w:rPr>
        <w:t>noteiktas atbalsta formas, kas pašvaldībām ir obligātas vai paredz tiesības attiecībā uz pašvaldības iedzīvotājiem, piemēram</w:t>
      </w:r>
      <w:r w:rsidRPr="00674730" w:rsidR="00617DAA">
        <w:rPr>
          <w:rStyle w:val="FontStyle60"/>
          <w:rFonts w:eastAsiaTheme="minorEastAsia"/>
          <w:sz w:val="24"/>
          <w:szCs w:val="24"/>
          <w:lang w:eastAsia="lv-LV" w:bidi="lo-LA"/>
        </w:rPr>
        <w:t xml:space="preserve">, </w:t>
      </w:r>
      <w:r w:rsidRPr="00674730" w:rsidR="00F609F6">
        <w:rPr>
          <w:rStyle w:val="FontStyle60"/>
          <w:rFonts w:eastAsiaTheme="minorEastAsia"/>
          <w:sz w:val="24"/>
          <w:szCs w:val="24"/>
          <w:lang w:eastAsia="lv-LV" w:bidi="lo-LA"/>
        </w:rPr>
        <w:t>n</w:t>
      </w:r>
      <w:r w:rsidRPr="00674730">
        <w:rPr>
          <w:rStyle w:val="FontStyle60"/>
          <w:rFonts w:eastAsiaTheme="minorEastAsia"/>
          <w:sz w:val="24"/>
          <w:szCs w:val="24"/>
          <w:lang w:eastAsia="lv-LV" w:bidi="lo-LA"/>
        </w:rPr>
        <w:t xml:space="preserve">ekustamā īpašuma </w:t>
      </w:r>
      <w:r w:rsidRPr="00674730" w:rsidR="00484F71">
        <w:rPr>
          <w:rStyle w:val="FontStyle60"/>
          <w:rFonts w:eastAsiaTheme="minorEastAsia"/>
          <w:sz w:val="24"/>
          <w:szCs w:val="24"/>
          <w:lang w:eastAsia="lv-LV" w:bidi="lo-LA"/>
        </w:rPr>
        <w:t xml:space="preserve">nodokļa </w:t>
      </w:r>
      <w:r w:rsidRPr="00674730" w:rsidR="009B112C">
        <w:rPr>
          <w:rStyle w:val="FontStyle60"/>
          <w:rFonts w:eastAsiaTheme="minorEastAsia"/>
          <w:sz w:val="24"/>
          <w:szCs w:val="24"/>
          <w:lang w:eastAsia="lv-LV" w:bidi="lo-LA"/>
        </w:rPr>
        <w:t>atvieglojumus</w:t>
      </w:r>
      <w:r w:rsidRPr="00674730" w:rsidR="00023EC8">
        <w:rPr>
          <w:rStyle w:val="FontStyle60"/>
          <w:rFonts w:eastAsiaTheme="minorEastAsia"/>
          <w:sz w:val="24"/>
          <w:szCs w:val="24"/>
          <w:lang w:eastAsia="lv-LV" w:bidi="lo-LA"/>
        </w:rPr>
        <w:t>, saskaņā ar likuma “Par nekustamā īpašuma nodokli” 5.pantā noteikto</w:t>
      </w:r>
      <w:r w:rsidRPr="00674730" w:rsidR="00091309">
        <w:rPr>
          <w:rStyle w:val="FontStyle60"/>
          <w:rFonts w:eastAsiaTheme="minorEastAsia"/>
          <w:sz w:val="24"/>
          <w:szCs w:val="24"/>
          <w:lang w:eastAsia="lv-LV" w:bidi="lo-LA"/>
        </w:rPr>
        <w:t xml:space="preserve"> </w:t>
      </w:r>
      <w:r w:rsidRPr="00674730" w:rsidR="00023EC8">
        <w:rPr>
          <w:rStyle w:val="FontStyle60"/>
          <w:rFonts w:eastAsiaTheme="minorEastAsia"/>
          <w:sz w:val="24"/>
          <w:szCs w:val="24"/>
          <w:lang w:eastAsia="lv-LV" w:bidi="lo-LA"/>
        </w:rPr>
        <w:t xml:space="preserve">- atvieglojumi: trūcīgām personām 90 % apmērā, maznodrošinātām personām — līdz 90 %, daudzbērnu ģimenēm un politiski represētajām personām 50 %, kā arī pašvaldības var izdot saistošus noteikumus, kuros paredzēti </w:t>
      </w:r>
      <w:r w:rsidRPr="00674730" w:rsidR="00617DAA">
        <w:rPr>
          <w:rStyle w:val="FontStyle60"/>
          <w:rFonts w:eastAsiaTheme="minorEastAsia"/>
          <w:sz w:val="24"/>
          <w:szCs w:val="24"/>
          <w:lang w:eastAsia="lv-LV" w:bidi="lo-LA"/>
        </w:rPr>
        <w:t xml:space="preserve">lielāki atvieglojumi par likumā noteiktajiem </w:t>
      </w:r>
      <w:r w:rsidRPr="00674730" w:rsidR="00484F71">
        <w:rPr>
          <w:rStyle w:val="FontStyle60"/>
          <w:rFonts w:eastAsiaTheme="minorEastAsia"/>
          <w:sz w:val="24"/>
          <w:szCs w:val="24"/>
          <w:lang w:eastAsia="lv-LV" w:bidi="lo-LA"/>
        </w:rPr>
        <w:t xml:space="preserve">atvieglojumiem </w:t>
      </w:r>
      <w:r w:rsidRPr="00674730" w:rsidR="00617DAA">
        <w:rPr>
          <w:rStyle w:val="FontStyle60"/>
          <w:rFonts w:eastAsiaTheme="minorEastAsia"/>
          <w:sz w:val="24"/>
          <w:szCs w:val="24"/>
          <w:lang w:eastAsia="lv-LV" w:bidi="lo-LA"/>
        </w:rPr>
        <w:t xml:space="preserve">un </w:t>
      </w:r>
      <w:r w:rsidRPr="00674730" w:rsidR="00023EC8">
        <w:rPr>
          <w:rStyle w:val="FontStyle60"/>
          <w:rFonts w:eastAsiaTheme="minorEastAsia"/>
          <w:sz w:val="24"/>
          <w:szCs w:val="24"/>
          <w:lang w:eastAsia="lv-LV" w:bidi="lo-LA"/>
        </w:rPr>
        <w:t xml:space="preserve">atvieglojumi atsevišķām nekustamā īpašuma nodokļa maksātāju kategorijām, piemēram, pensionāriem, </w:t>
      </w:r>
      <w:r w:rsidRPr="00674730" w:rsidR="00476F7D">
        <w:rPr>
          <w:rStyle w:val="FontStyle60"/>
          <w:rFonts w:eastAsiaTheme="minorEastAsia"/>
          <w:sz w:val="24"/>
          <w:szCs w:val="24"/>
          <w:lang w:eastAsia="lv-LV" w:bidi="lo-LA"/>
        </w:rPr>
        <w:t xml:space="preserve">personām ar </w:t>
      </w:r>
      <w:r w:rsidRPr="00674730" w:rsidR="00023EC8">
        <w:rPr>
          <w:rStyle w:val="FontStyle60"/>
          <w:rFonts w:eastAsiaTheme="minorEastAsia"/>
          <w:sz w:val="24"/>
          <w:szCs w:val="24"/>
          <w:lang w:eastAsia="lv-LV" w:bidi="lo-LA"/>
        </w:rPr>
        <w:t>inval</w:t>
      </w:r>
      <w:r w:rsidRPr="00674730" w:rsidR="00476F7D">
        <w:rPr>
          <w:rStyle w:val="FontStyle60"/>
          <w:rFonts w:eastAsiaTheme="minorEastAsia"/>
          <w:sz w:val="24"/>
          <w:szCs w:val="24"/>
          <w:lang w:eastAsia="lv-LV" w:bidi="lo-LA"/>
        </w:rPr>
        <w:t>i</w:t>
      </w:r>
      <w:r w:rsidRPr="00674730" w:rsidR="00023EC8">
        <w:rPr>
          <w:rStyle w:val="FontStyle60"/>
          <w:rFonts w:eastAsiaTheme="minorEastAsia"/>
          <w:sz w:val="24"/>
          <w:szCs w:val="24"/>
          <w:lang w:eastAsia="lv-LV" w:bidi="lo-LA"/>
        </w:rPr>
        <w:t>di</w:t>
      </w:r>
      <w:r w:rsidRPr="00674730" w:rsidR="00476F7D">
        <w:rPr>
          <w:rStyle w:val="FontStyle60"/>
          <w:rFonts w:eastAsiaTheme="minorEastAsia"/>
          <w:sz w:val="24"/>
          <w:szCs w:val="24"/>
          <w:lang w:eastAsia="lv-LV" w:bidi="lo-LA"/>
        </w:rPr>
        <w:t>tāti</w:t>
      </w:r>
      <w:r w:rsidRPr="00674730" w:rsidR="00D334E5">
        <w:rPr>
          <w:rStyle w:val="FontStyle60"/>
          <w:rFonts w:eastAsiaTheme="minorEastAsia"/>
          <w:sz w:val="24"/>
          <w:szCs w:val="24"/>
          <w:lang w:eastAsia="lv-LV" w:bidi="lo-LA"/>
        </w:rPr>
        <w:t>, personām</w:t>
      </w:r>
      <w:r w:rsidRPr="00674730" w:rsidR="00023EC8">
        <w:rPr>
          <w:rStyle w:val="FontStyle60"/>
          <w:rFonts w:eastAsiaTheme="minorEastAsia"/>
          <w:sz w:val="24"/>
          <w:szCs w:val="24"/>
          <w:lang w:eastAsia="lv-LV" w:bidi="lo-LA"/>
        </w:rPr>
        <w:t>, kur</w:t>
      </w:r>
      <w:r w:rsidRPr="00674730" w:rsidR="00D334E5">
        <w:rPr>
          <w:rStyle w:val="FontStyle60"/>
          <w:rFonts w:eastAsiaTheme="minorEastAsia"/>
          <w:sz w:val="24"/>
          <w:szCs w:val="24"/>
          <w:lang w:eastAsia="lv-LV" w:bidi="lo-LA"/>
        </w:rPr>
        <w:t>u</w:t>
      </w:r>
      <w:r w:rsidRPr="00674730" w:rsidR="00023EC8">
        <w:rPr>
          <w:rStyle w:val="FontStyle60"/>
          <w:rFonts w:eastAsiaTheme="minorEastAsia"/>
          <w:sz w:val="24"/>
          <w:szCs w:val="24"/>
          <w:lang w:eastAsia="lv-LV" w:bidi="lo-LA"/>
        </w:rPr>
        <w:t xml:space="preserve"> zeme, ēka atrodas aizsargājamo dabas teritoriju/ kultūras objekta kategorijā, par zemi vai ēku, kas tiek izmantota pašvaldības vajadzībām, u.c. </w:t>
      </w:r>
    </w:p>
    <w:p w:rsidR="00F373D4" w:rsidRPr="00674730" w:rsidP="00631723" w14:paraId="01567D34" w14:textId="699291DF">
      <w:pPr>
        <w:spacing w:after="0" w:line="276" w:lineRule="auto"/>
        <w:ind w:firstLine="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Likuma “</w:t>
      </w:r>
      <w:r w:rsidRPr="00674730">
        <w:rPr>
          <w:rStyle w:val="FontStyle60"/>
          <w:rFonts w:eastAsiaTheme="minorEastAsia"/>
          <w:sz w:val="24"/>
          <w:szCs w:val="24"/>
          <w:lang w:eastAsia="lv-LV" w:bidi="lo-LA"/>
        </w:rPr>
        <w:t>Par dzīvojamo telpu īri</w:t>
      </w:r>
      <w:r w:rsidRPr="00674730">
        <w:rPr>
          <w:rStyle w:val="FontStyle60"/>
          <w:rFonts w:eastAsiaTheme="minorEastAsia"/>
          <w:sz w:val="24"/>
          <w:szCs w:val="24"/>
          <w:lang w:eastAsia="lv-LV" w:bidi="lo-LA"/>
        </w:rPr>
        <w:t>”</w:t>
      </w:r>
      <w:r w:rsidRPr="00674730">
        <w:rPr>
          <w:rStyle w:val="FontStyle60"/>
          <w:rFonts w:eastAsiaTheme="minorEastAsia"/>
          <w:sz w:val="24"/>
          <w:szCs w:val="24"/>
          <w:lang w:eastAsia="lv-LV" w:bidi="lo-LA"/>
        </w:rPr>
        <w:t xml:space="preserve"> 11.</w:t>
      </w:r>
      <w:r w:rsidRPr="00674730">
        <w:rPr>
          <w:rStyle w:val="FontStyle60"/>
          <w:rFonts w:eastAsiaTheme="minorEastAsia"/>
          <w:sz w:val="24"/>
          <w:szCs w:val="24"/>
          <w:vertAlign w:val="superscript"/>
          <w:lang w:eastAsia="lv-LV" w:bidi="lo-LA"/>
        </w:rPr>
        <w:t xml:space="preserve">1 </w:t>
      </w:r>
      <w:r w:rsidRPr="00674730">
        <w:rPr>
          <w:rStyle w:val="FontStyle60"/>
          <w:rFonts w:eastAsiaTheme="minorEastAsia"/>
          <w:sz w:val="24"/>
          <w:szCs w:val="24"/>
          <w:lang w:eastAsia="lv-LV" w:bidi="lo-LA"/>
        </w:rPr>
        <w:t xml:space="preserve">pants paredz, ka gadījumā, ja dzīvojamā telpa tiek izīrēta personai, kurai pašvaldības pienākums ir sniegt likumā noteiktajā kārtībā palīdzību </w:t>
      </w:r>
      <w:r w:rsidRPr="00674730" w:rsidR="00F609F6">
        <w:rPr>
          <w:rStyle w:val="FontStyle60"/>
          <w:rFonts w:eastAsiaTheme="minorEastAsia"/>
          <w:sz w:val="24"/>
          <w:szCs w:val="24"/>
          <w:lang w:eastAsia="lv-LV" w:bidi="lo-LA"/>
        </w:rPr>
        <w:t>dzīvokļa jautājumu risināšanā (l</w:t>
      </w:r>
      <w:r w:rsidRPr="00674730">
        <w:rPr>
          <w:rStyle w:val="FontStyle60"/>
          <w:rFonts w:eastAsiaTheme="minorEastAsia"/>
          <w:sz w:val="24"/>
          <w:szCs w:val="24"/>
          <w:lang w:eastAsia="lv-LV" w:bidi="lo-LA"/>
        </w:rPr>
        <w:t>ikuma “Par palīdzību dzīvokļu jautājumu risināšanā” 14.pants)</w:t>
      </w:r>
      <w:r w:rsidRPr="00674730" w:rsidR="00844097">
        <w:rPr>
          <w:rStyle w:val="FontStyle60"/>
          <w:rFonts w:eastAsiaTheme="minorEastAsia"/>
          <w:sz w:val="24"/>
          <w:szCs w:val="24"/>
          <w:lang w:eastAsia="lv-LV" w:bidi="lo-LA"/>
        </w:rPr>
        <w:t>, pašvaldība</w:t>
      </w:r>
      <w:r w:rsidRPr="00674730">
        <w:rPr>
          <w:rStyle w:val="FontStyle60"/>
          <w:rFonts w:eastAsiaTheme="minorEastAsia"/>
          <w:sz w:val="24"/>
          <w:szCs w:val="24"/>
          <w:lang w:eastAsia="lv-LV" w:bidi="lo-LA"/>
        </w:rPr>
        <w:t xml:space="preserve"> var noteikt zemāku īres maksu, samazinot dzīvojamās telpas apsaimniekošanas izdevumus un neiekļaujot tajā peļņu.</w:t>
      </w:r>
    </w:p>
    <w:p w:rsidR="008F02DE" w:rsidRPr="00674730" w:rsidP="00A65435" w14:paraId="6E0DE185" w14:textId="72D4C3A5">
      <w:pPr>
        <w:spacing w:after="0" w:line="276" w:lineRule="auto"/>
        <w:ind w:firstLine="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Attiec</w:t>
      </w:r>
      <w:r w:rsidRPr="00674730" w:rsidR="00A5116E">
        <w:rPr>
          <w:rStyle w:val="FontStyle60"/>
          <w:rFonts w:eastAsiaTheme="minorEastAsia"/>
          <w:sz w:val="24"/>
          <w:szCs w:val="24"/>
          <w:lang w:eastAsia="lv-LV" w:bidi="lo-LA"/>
        </w:rPr>
        <w:t>ī</w:t>
      </w:r>
      <w:r w:rsidRPr="00674730">
        <w:rPr>
          <w:rStyle w:val="FontStyle60"/>
          <w:rFonts w:eastAsiaTheme="minorEastAsia"/>
          <w:sz w:val="24"/>
          <w:szCs w:val="24"/>
          <w:lang w:eastAsia="lv-LV" w:bidi="lo-LA"/>
        </w:rPr>
        <w:t xml:space="preserve">bā par braukšanu sabiedriskajā transportā, pašvaldības saskaņā ar likuma „Par pašvaldībām” 15.panta pirmās daļas 19.punktu un Sabiedriskā transporta pakalpojumu likuma 14.panta trešo daļu </w:t>
      </w:r>
      <w:r w:rsidRPr="00674730" w:rsidR="002167F1">
        <w:rPr>
          <w:rStyle w:val="FontStyle60"/>
          <w:rFonts w:eastAsiaTheme="minorEastAsia"/>
          <w:sz w:val="24"/>
          <w:szCs w:val="24"/>
          <w:lang w:eastAsia="lv-LV" w:bidi="lo-LA"/>
        </w:rPr>
        <w:t>var izdot</w:t>
      </w:r>
      <w:r w:rsidRPr="00674730">
        <w:rPr>
          <w:rStyle w:val="FontStyle60"/>
          <w:rFonts w:eastAsiaTheme="minorEastAsia"/>
          <w:sz w:val="24"/>
          <w:szCs w:val="24"/>
          <w:lang w:eastAsia="lv-LV" w:bidi="lo-LA"/>
        </w:rPr>
        <w:t xml:space="preserve"> sai</w:t>
      </w:r>
      <w:r w:rsidRPr="00674730" w:rsidR="009B112C">
        <w:rPr>
          <w:rStyle w:val="FontStyle60"/>
          <w:rFonts w:eastAsiaTheme="minorEastAsia"/>
          <w:sz w:val="24"/>
          <w:szCs w:val="24"/>
          <w:lang w:eastAsia="lv-LV" w:bidi="lo-LA"/>
        </w:rPr>
        <w:t>s</w:t>
      </w:r>
      <w:r w:rsidRPr="00674730">
        <w:rPr>
          <w:rStyle w:val="FontStyle60"/>
          <w:rFonts w:eastAsiaTheme="minorEastAsia"/>
          <w:sz w:val="24"/>
          <w:szCs w:val="24"/>
          <w:lang w:eastAsia="lv-LV" w:bidi="lo-LA"/>
        </w:rPr>
        <w:t xml:space="preserve">tošos noteikumus par braukšanas maksas atvieglojumiem sabiedriskajā transportā konkrētajā pašvaldībā. </w:t>
      </w:r>
      <w:r w:rsidRPr="00674730">
        <w:rPr>
          <w:rStyle w:val="FontStyle60"/>
          <w:rFonts w:eastAsiaTheme="minorEastAsia"/>
          <w:sz w:val="24"/>
          <w:szCs w:val="24"/>
          <w:lang w:bidi="lo-LA"/>
        </w:rPr>
        <w:t>Saistošajos noteikumos</w:t>
      </w:r>
      <w:r w:rsidRPr="00674730">
        <w:rPr>
          <w:rStyle w:val="FontStyle60"/>
          <w:rFonts w:eastAsiaTheme="minorEastAsia"/>
          <w:sz w:val="24"/>
          <w:szCs w:val="24"/>
          <w:lang w:eastAsia="lv-LV" w:bidi="lo-LA"/>
        </w:rPr>
        <w:t xml:space="preserve"> </w:t>
      </w:r>
      <w:r w:rsidRPr="00674730">
        <w:rPr>
          <w:rStyle w:val="FontStyle60"/>
          <w:rFonts w:eastAsiaTheme="minorEastAsia"/>
          <w:sz w:val="24"/>
          <w:szCs w:val="24"/>
          <w:lang w:bidi="lo-LA"/>
        </w:rPr>
        <w:t xml:space="preserve">tiek </w:t>
      </w:r>
      <w:r w:rsidRPr="00674730">
        <w:rPr>
          <w:rStyle w:val="FontStyle60"/>
          <w:rFonts w:eastAsiaTheme="minorEastAsia"/>
          <w:sz w:val="24"/>
          <w:szCs w:val="24"/>
          <w:lang w:eastAsia="lv-LV" w:bidi="lo-LA"/>
        </w:rPr>
        <w:t>noteikts</w:t>
      </w:r>
      <w:r w:rsidRPr="00674730">
        <w:rPr>
          <w:rStyle w:val="FontStyle60"/>
          <w:rFonts w:eastAsiaTheme="minorEastAsia"/>
          <w:sz w:val="24"/>
          <w:szCs w:val="24"/>
          <w:lang w:bidi="lo-LA"/>
        </w:rPr>
        <w:t xml:space="preserve"> personu loks, kuras ir tiesīgas izmantot transportu bez maksas</w:t>
      </w:r>
      <w:r w:rsidRPr="00674730">
        <w:rPr>
          <w:rStyle w:val="FontStyle60"/>
          <w:rFonts w:eastAsiaTheme="minorEastAsia"/>
          <w:sz w:val="24"/>
          <w:szCs w:val="24"/>
          <w:lang w:eastAsia="lv-LV" w:bidi="lo-LA"/>
        </w:rPr>
        <w:t xml:space="preserve"> vai ar procentuālu atlaidi no biļetes cenas. </w:t>
      </w:r>
      <w:r w:rsidRPr="00674730" w:rsidR="002167F1">
        <w:rPr>
          <w:rStyle w:val="FontStyle60"/>
          <w:rFonts w:eastAsiaTheme="minorEastAsia"/>
          <w:sz w:val="24"/>
          <w:szCs w:val="24"/>
          <w:lang w:eastAsia="lv-LV" w:bidi="lo-LA"/>
        </w:rPr>
        <w:t xml:space="preserve">Šādu atvieglojumu piešķiršanai tiek paredzēti pašvaldības budžeta līdzekļi. </w:t>
      </w:r>
      <w:r w:rsidRPr="00674730">
        <w:rPr>
          <w:rStyle w:val="FontStyle60"/>
          <w:rFonts w:eastAsiaTheme="minorEastAsia"/>
          <w:sz w:val="24"/>
          <w:szCs w:val="24"/>
          <w:lang w:eastAsia="lv-LV" w:bidi="lo-LA"/>
        </w:rPr>
        <w:t>Piemēram, nosakot tiesības braukt bez maksas visiem pensionāriem, kuri sasnieguši 60 gadu vecumu, trūcīgās un maznodrošinātās personas</w:t>
      </w:r>
      <w:r w:rsidRPr="00674730" w:rsidR="00A65435">
        <w:rPr>
          <w:rStyle w:val="FontStyle60"/>
          <w:rFonts w:eastAsiaTheme="minorEastAsia"/>
          <w:sz w:val="24"/>
          <w:szCs w:val="24"/>
          <w:lang w:eastAsia="lv-LV" w:bidi="lo-LA"/>
        </w:rPr>
        <w:t xml:space="preserve">, pirmsskolas vecuma bērni, bet 50% atlaidi no biļetes saņem vispārējās izglītības iestāžu 1.-12.klašu skolēni, u.c. Lai nodrošinātu šo atvieglojumu saņemšanu, tiek izmantotas </w:t>
      </w:r>
      <w:r w:rsidRPr="00674730" w:rsidR="00A65435">
        <w:rPr>
          <w:rStyle w:val="FontStyle60"/>
          <w:rFonts w:eastAsiaTheme="minorEastAsia"/>
          <w:sz w:val="24"/>
          <w:szCs w:val="24"/>
          <w:lang w:bidi="lo-LA"/>
        </w:rPr>
        <w:t>personalizētas braukšanas kartes, kuru saņemšanu nodrošina pašvaldība</w:t>
      </w:r>
      <w:r w:rsidRPr="00674730" w:rsidR="002167F1">
        <w:rPr>
          <w:rStyle w:val="FontStyle60"/>
          <w:rFonts w:eastAsiaTheme="minorEastAsia"/>
          <w:sz w:val="24"/>
          <w:szCs w:val="24"/>
          <w:lang w:bidi="lo-LA"/>
        </w:rPr>
        <w:t xml:space="preserve">. </w:t>
      </w:r>
      <w:r w:rsidRPr="00674730" w:rsidR="00A65435">
        <w:rPr>
          <w:rStyle w:val="FontStyle60"/>
          <w:rFonts w:eastAsiaTheme="minorEastAsia"/>
          <w:sz w:val="24"/>
          <w:szCs w:val="24"/>
          <w:lang w:bidi="lo-LA"/>
        </w:rPr>
        <w:t xml:space="preserve"> </w:t>
      </w:r>
    </w:p>
    <w:p w:rsidR="00F373D4" w:rsidRPr="00674730" w:rsidP="00A65435" w14:paraId="25919CE9" w14:textId="27D9971A">
      <w:pPr>
        <w:pStyle w:val="naisnod"/>
        <w:tabs>
          <w:tab w:val="left" w:pos="6412"/>
        </w:tabs>
        <w:spacing w:before="0" w:after="0"/>
        <w:ind w:right="98"/>
        <w:jc w:val="both"/>
        <w:rPr>
          <w:rStyle w:val="FontStyle60"/>
          <w:rFonts w:eastAsiaTheme="minorEastAsia"/>
          <w:sz w:val="24"/>
          <w:szCs w:val="24"/>
          <w:lang w:bidi="lo-LA"/>
        </w:rPr>
      </w:pPr>
    </w:p>
    <w:p w:rsidR="00FE6D30" w:rsidRPr="00674730" w:rsidP="00631723" w14:paraId="5E3D63BF" w14:textId="77777777">
      <w:pPr>
        <w:spacing w:after="0" w:line="276" w:lineRule="auto"/>
        <w:ind w:firstLine="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 xml:space="preserve">Attiecībā uz valsts sniegtajiem atvieglojumiem </w:t>
      </w:r>
      <w:r w:rsidRPr="00674730" w:rsidR="00BF10EC">
        <w:rPr>
          <w:rStyle w:val="FontStyle60"/>
          <w:rFonts w:eastAsiaTheme="minorEastAsia"/>
          <w:sz w:val="24"/>
          <w:szCs w:val="24"/>
          <w:lang w:eastAsia="lv-LV" w:bidi="lo-LA"/>
        </w:rPr>
        <w:t xml:space="preserve">iedzīvotājiem </w:t>
      </w:r>
      <w:r w:rsidRPr="00674730">
        <w:rPr>
          <w:rStyle w:val="FontStyle60"/>
          <w:rFonts w:eastAsiaTheme="minorEastAsia"/>
          <w:sz w:val="24"/>
          <w:szCs w:val="24"/>
          <w:lang w:eastAsia="lv-LV" w:bidi="lo-LA"/>
        </w:rPr>
        <w:t>norādām</w:t>
      </w:r>
      <w:r w:rsidRPr="00674730" w:rsidR="0085314A">
        <w:rPr>
          <w:rStyle w:val="FontStyle60"/>
          <w:rFonts w:eastAsiaTheme="minorEastAsia"/>
          <w:sz w:val="24"/>
          <w:szCs w:val="24"/>
          <w:lang w:eastAsia="lv-LV" w:bidi="lo-LA"/>
        </w:rPr>
        <w:t xml:space="preserve"> uz vairākiem piemēriem:</w:t>
      </w:r>
    </w:p>
    <w:p w:rsidR="0031092C" w:rsidRPr="00674730" w:rsidP="00482086" w14:paraId="74286CB4" w14:textId="77777777">
      <w:pPr>
        <w:pStyle w:val="ListParagraph"/>
        <w:numPr>
          <w:ilvl w:val="0"/>
          <w:numId w:val="11"/>
        </w:numPr>
        <w:spacing w:after="0" w:line="276" w:lineRule="auto"/>
        <w:ind w:left="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Atvieglojumi transporta līdzekļa īpašniekiem:</w:t>
      </w:r>
    </w:p>
    <w:p w:rsidR="0085314A" w:rsidRPr="00674730" w:rsidP="00482086" w14:paraId="4DDF18D2" w14:textId="77777777">
      <w:pPr>
        <w:pStyle w:val="ListParagraph"/>
        <w:numPr>
          <w:ilvl w:val="1"/>
          <w:numId w:val="11"/>
        </w:numPr>
        <w:spacing w:after="0" w:line="276" w:lineRule="auto"/>
        <w:ind w:left="1134"/>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Transportlīdzekļa ekspluatācijas nodokļa un uzņēmumu vieglo transportlīdzekļu nodokļa likum</w:t>
      </w:r>
      <w:r w:rsidRPr="00674730" w:rsidR="0031092C">
        <w:rPr>
          <w:rStyle w:val="FontStyle60"/>
          <w:rFonts w:eastAsiaTheme="minorEastAsia"/>
          <w:sz w:val="24"/>
          <w:szCs w:val="24"/>
          <w:lang w:eastAsia="lv-LV" w:bidi="lo-LA"/>
        </w:rPr>
        <w:t xml:space="preserve">a </w:t>
      </w:r>
      <w:r w:rsidRPr="00674730" w:rsidR="00F915C8">
        <w:rPr>
          <w:rStyle w:val="FontStyle60"/>
          <w:rFonts w:eastAsiaTheme="minorEastAsia"/>
          <w:sz w:val="24"/>
          <w:szCs w:val="24"/>
          <w:lang w:eastAsia="lv-LV" w:bidi="lo-LA"/>
        </w:rPr>
        <w:t xml:space="preserve">7.pantā noteikti </w:t>
      </w:r>
      <w:r w:rsidRPr="00674730">
        <w:rPr>
          <w:rStyle w:val="FontStyle60"/>
          <w:rFonts w:eastAsiaTheme="minorEastAsia"/>
          <w:sz w:val="24"/>
          <w:szCs w:val="24"/>
          <w:u w:val="single"/>
          <w:lang w:eastAsia="lv-LV" w:bidi="lo-LA"/>
        </w:rPr>
        <w:t>t</w:t>
      </w:r>
      <w:r w:rsidRPr="00674730">
        <w:rPr>
          <w:rStyle w:val="FontStyle60"/>
          <w:rFonts w:eastAsiaTheme="minorEastAsia"/>
          <w:sz w:val="24"/>
          <w:szCs w:val="24"/>
          <w:u w:val="single"/>
          <w:lang w:eastAsia="lv-LV" w:bidi="lo-LA"/>
        </w:rPr>
        <w:t>ransportlīdzekļa ekspluatācijas nodokļa atvieglojumi</w:t>
      </w:r>
      <w:r w:rsidRPr="00674730" w:rsidR="00F915C8">
        <w:rPr>
          <w:rStyle w:val="FontStyle60"/>
          <w:rFonts w:eastAsiaTheme="minorEastAsia"/>
          <w:sz w:val="24"/>
          <w:szCs w:val="24"/>
          <w:lang w:eastAsia="lv-LV" w:bidi="lo-LA"/>
        </w:rPr>
        <w:t xml:space="preserve">, </w:t>
      </w:r>
      <w:r w:rsidRPr="00674730" w:rsidR="00F915C8">
        <w:rPr>
          <w:rStyle w:val="FontStyle60"/>
          <w:rFonts w:eastAsiaTheme="minorEastAsia"/>
          <w:sz w:val="24"/>
          <w:szCs w:val="24"/>
          <w:lang w:eastAsia="lv-LV" w:bidi="lo-LA"/>
        </w:rPr>
        <w:t xml:space="preserve">piemēram, daudzbērnu ģimene par vienu no tās locekļa īpašumā, turējumā vai valdījumā reģistrētu transportlīdzekli maksā transportlīdzekļa ekspluatācijas nodokli par attiecīgo kalendāra gadu 50 </w:t>
      </w:r>
      <w:r w:rsidRPr="00674730">
        <w:rPr>
          <w:rStyle w:val="FontStyle60"/>
          <w:rFonts w:eastAsiaTheme="minorEastAsia"/>
          <w:sz w:val="24"/>
          <w:szCs w:val="24"/>
          <w:lang w:eastAsia="lv-LV" w:bidi="lo-LA"/>
        </w:rPr>
        <w:t xml:space="preserve">% </w:t>
      </w:r>
      <w:r w:rsidRPr="00674730" w:rsidR="00F915C8">
        <w:rPr>
          <w:rStyle w:val="FontStyle60"/>
          <w:rFonts w:eastAsiaTheme="minorEastAsia"/>
          <w:sz w:val="24"/>
          <w:szCs w:val="24"/>
          <w:lang w:eastAsia="lv-LV" w:bidi="lo-LA"/>
        </w:rPr>
        <w:t>apmērā.</w:t>
      </w:r>
      <w:r w:rsidRPr="00674730">
        <w:rPr>
          <w:rStyle w:val="FontStyle60"/>
          <w:rFonts w:eastAsiaTheme="minorEastAsia"/>
          <w:sz w:val="24"/>
          <w:szCs w:val="24"/>
          <w:lang w:eastAsia="lv-LV" w:bidi="lo-LA"/>
        </w:rPr>
        <w:t xml:space="preserve"> </w:t>
      </w:r>
    </w:p>
    <w:p w:rsidR="0085314A" w:rsidRPr="00674730" w:rsidP="00482086" w14:paraId="02C80BA1" w14:textId="77777777">
      <w:pPr>
        <w:pStyle w:val="ListParagraph"/>
        <w:numPr>
          <w:ilvl w:val="1"/>
          <w:numId w:val="11"/>
        </w:numPr>
        <w:spacing w:after="0" w:line="293" w:lineRule="atLeast"/>
        <w:ind w:left="1134"/>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6.pants paredz, ka transportlīdzekļa ekspluatācijas nodokli nemaksā par :</w:t>
      </w:r>
    </w:p>
    <w:p w:rsidR="0085314A" w:rsidRPr="00674730" w:rsidP="00482086" w14:paraId="4F72E313" w14:textId="77777777">
      <w:pPr>
        <w:pStyle w:val="ListParagraph"/>
        <w:numPr>
          <w:ilvl w:val="2"/>
          <w:numId w:val="11"/>
        </w:numPr>
        <w:spacing w:after="0" w:line="293" w:lineRule="atLeast"/>
        <w:ind w:left="1418"/>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 xml:space="preserve">vienu vieglo automobili, motociklu, triciklu vai kvadriciklu, kurš ir vai tiek reģistrēts personai ar invaliditāti </w:t>
      </w:r>
      <w:r w:rsidRPr="00674730">
        <w:rPr>
          <w:rStyle w:val="FontStyle60"/>
          <w:rFonts w:eastAsiaTheme="minorEastAsia"/>
          <w:sz w:val="24"/>
          <w:szCs w:val="24"/>
          <w:lang w:bidi="lo-LA"/>
        </w:rPr>
        <w:t>īpašumā, turējumā vai valdījumā;</w:t>
      </w:r>
    </w:p>
    <w:p w:rsidR="0085314A" w:rsidRPr="00674730" w:rsidP="00482086" w14:paraId="057E239A" w14:textId="77777777">
      <w:pPr>
        <w:pStyle w:val="ListParagraph"/>
        <w:numPr>
          <w:ilvl w:val="2"/>
          <w:numId w:val="11"/>
        </w:numPr>
        <w:spacing w:after="0" w:line="293" w:lineRule="atLeast"/>
        <w:ind w:left="1418"/>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w:t>
      </w:r>
      <w:r w:rsidRPr="00674730" w:rsidR="00EB20E8">
        <w:rPr>
          <w:rStyle w:val="FontStyle60"/>
          <w:rFonts w:eastAsiaTheme="minorEastAsia"/>
          <w:sz w:val="24"/>
          <w:szCs w:val="24"/>
          <w:lang w:eastAsia="lv-LV" w:bidi="lo-LA"/>
        </w:rPr>
        <w:t>;</w:t>
      </w:r>
    </w:p>
    <w:p w:rsidR="0085314A" w:rsidRPr="00674730" w:rsidP="00482086" w14:paraId="5328914D" w14:textId="77777777">
      <w:pPr>
        <w:pStyle w:val="ListParagraph"/>
        <w:numPr>
          <w:ilvl w:val="0"/>
          <w:numId w:val="11"/>
        </w:numPr>
        <w:spacing w:after="0" w:line="276" w:lineRule="auto"/>
        <w:ind w:left="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Atvieglojumi veselības aprūpē:</w:t>
      </w:r>
    </w:p>
    <w:p w:rsidR="0031092C" w:rsidRPr="00674730" w:rsidP="00482086" w14:paraId="565B2651" w14:textId="77777777">
      <w:pPr>
        <w:pStyle w:val="ListParagraph"/>
        <w:numPr>
          <w:ilvl w:val="1"/>
          <w:numId w:val="11"/>
        </w:numPr>
        <w:spacing w:after="0" w:line="276" w:lineRule="auto"/>
        <w:ind w:left="1134"/>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Ministru kabineta 2013.gada 17.decembra noteikumu Nr.1529 „Veselības aprūpes organizēšanas un finansēšanas kārtība” 23.punktā noteiktas 18 iedzīvotāju kategorijas, kuras ir atbrīvotas no pacienta iemaksas</w:t>
      </w:r>
      <w:r w:rsidRPr="00674730" w:rsidR="00EB20E8">
        <w:rPr>
          <w:rStyle w:val="FontStyle60"/>
          <w:rFonts w:eastAsiaTheme="minorEastAsia"/>
          <w:sz w:val="24"/>
          <w:szCs w:val="24"/>
          <w:lang w:eastAsia="lv-LV" w:bidi="lo-LA"/>
        </w:rPr>
        <w:t>;</w:t>
      </w:r>
      <w:r w:rsidRPr="00674730">
        <w:rPr>
          <w:rStyle w:val="FontStyle60"/>
          <w:rFonts w:eastAsiaTheme="minorEastAsia"/>
          <w:sz w:val="24"/>
          <w:szCs w:val="24"/>
          <w:lang w:eastAsia="lv-LV" w:bidi="lo-LA"/>
        </w:rPr>
        <w:t xml:space="preserve"> </w:t>
      </w:r>
    </w:p>
    <w:p w:rsidR="0031092C" w:rsidRPr="00674730" w:rsidP="00482086" w14:paraId="01D9C81F" w14:textId="77777777">
      <w:pPr>
        <w:pStyle w:val="ListParagraph"/>
        <w:numPr>
          <w:ilvl w:val="0"/>
          <w:numId w:val="11"/>
        </w:numPr>
        <w:spacing w:after="0" w:line="276" w:lineRule="auto"/>
        <w:ind w:left="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Atvieglojumi elektroenerģijas apmaksai:</w:t>
      </w:r>
      <w:r w:rsidRPr="00674730" w:rsidR="00F373D4">
        <w:rPr>
          <w:rStyle w:val="FontStyle60"/>
          <w:rFonts w:eastAsiaTheme="minorEastAsia"/>
          <w:sz w:val="24"/>
          <w:szCs w:val="24"/>
          <w:lang w:eastAsia="lv-LV" w:bidi="lo-LA"/>
        </w:rPr>
        <w:t xml:space="preserve"> Ministru kabineta 2016.gada 12.jūlija noteikumos Nr.459 „Aizsargātā lietotāja tirdzniecības pakalpojuma sniegšanas un sadales sistēmas pakalpojuma kompensēšanas kārtība” noteikti nosacījumi trūcīgām vai maznodrošinātām ģimenēm (personām) un daudzbērnu ģimenēm, ģimenei (personai), kuras aprūpē ir bērns ar invaliditāti, vai persona ar I invaliditātes grupu.</w:t>
      </w:r>
    </w:p>
    <w:p w:rsidR="00EB20E8" w:rsidRPr="00674730" w:rsidP="00482086" w14:paraId="1ADF06CF" w14:textId="77777777">
      <w:pPr>
        <w:pStyle w:val="ListParagraph"/>
        <w:numPr>
          <w:ilvl w:val="0"/>
          <w:numId w:val="11"/>
        </w:numPr>
        <w:spacing w:after="0" w:line="276" w:lineRule="auto"/>
        <w:ind w:left="426"/>
        <w:jc w:val="both"/>
        <w:rPr>
          <w:rStyle w:val="FontStyle60"/>
          <w:rFonts w:eastAsiaTheme="minorEastAsia"/>
          <w:sz w:val="24"/>
          <w:szCs w:val="24"/>
          <w:lang w:eastAsia="lv-LV" w:bidi="lo-LA"/>
        </w:rPr>
      </w:pPr>
      <w:r w:rsidRPr="00674730">
        <w:rPr>
          <w:rStyle w:val="FontStyle60"/>
          <w:rFonts w:eastAsiaTheme="minorEastAsia"/>
          <w:sz w:val="24"/>
          <w:szCs w:val="24"/>
          <w:lang w:eastAsia="lv-LV" w:bidi="lo-LA"/>
        </w:rPr>
        <w:t>Valsts nodevu atvieglojumi</w:t>
      </w:r>
      <w:r w:rsidRPr="00674730" w:rsidR="002E395A">
        <w:rPr>
          <w:rStyle w:val="FontStyle60"/>
          <w:rFonts w:eastAsiaTheme="minorEastAsia"/>
          <w:sz w:val="24"/>
          <w:szCs w:val="24"/>
          <w:lang w:eastAsia="lv-LV" w:bidi="lo-LA"/>
        </w:rPr>
        <w:t>, piemēram</w:t>
      </w:r>
      <w:r w:rsidRPr="00674730">
        <w:rPr>
          <w:rStyle w:val="FontStyle60"/>
          <w:rFonts w:eastAsiaTheme="minorEastAsia"/>
          <w:sz w:val="24"/>
          <w:szCs w:val="24"/>
          <w:lang w:eastAsia="lv-LV" w:bidi="lo-LA"/>
        </w:rPr>
        <w:t>:</w:t>
      </w:r>
    </w:p>
    <w:p w:rsidR="00EB20E8" w:rsidRPr="00674730" w:rsidP="00826FE5" w14:paraId="7914F9DB" w14:textId="77777777">
      <w:pPr>
        <w:pStyle w:val="ListParagraph"/>
        <w:numPr>
          <w:ilvl w:val="1"/>
          <w:numId w:val="11"/>
        </w:numPr>
        <w:spacing w:after="0" w:line="276" w:lineRule="auto"/>
        <w:ind w:left="993"/>
        <w:jc w:val="both"/>
        <w:rPr>
          <w:rFonts w:ascii="Times New Roman" w:hAnsi="Times New Roman" w:eastAsiaTheme="minorEastAsia" w:cs="Times New Roman"/>
          <w:sz w:val="24"/>
          <w:szCs w:val="24"/>
          <w:lang w:eastAsia="lv-LV" w:bidi="lo-LA"/>
        </w:rPr>
      </w:pPr>
      <w:r w:rsidRPr="00674730">
        <w:rPr>
          <w:rFonts w:ascii="Times New Roman" w:hAnsi="Times New Roman" w:cs="Times New Roman"/>
          <w:sz w:val="24"/>
          <w:szCs w:val="24"/>
        </w:rPr>
        <w:t>Atbilstoši Ministru kabineta 2012.gada 21.februāra noteikumu Nr.133 „Noteikumi par valsts nodevu par personu apliecinošu dokumentu izsniegšanu”</w:t>
      </w:r>
      <w:r w:rsidRPr="00674730">
        <w:rPr>
          <w:rFonts w:ascii="Times New Roman" w:hAnsi="Times New Roman" w:cs="Times New Roman"/>
          <w:sz w:val="24"/>
          <w:szCs w:val="24"/>
          <w:shd w:val="clear" w:color="auto" w:fill="FFFFFF"/>
        </w:rPr>
        <w:t xml:space="preserve"> 6.punktam valsts nodevas atvieglojumi par personu apliecinoša dokumenta (izņemot uzturēšanās atļauju) izsniegšanu ir noteikti četrām personu kategorijām;</w:t>
      </w:r>
    </w:p>
    <w:p w:rsidR="00EB20E8" w:rsidRPr="00674730" w:rsidP="00826FE5" w14:paraId="34C2426B" w14:textId="77777777">
      <w:pPr>
        <w:pStyle w:val="ListParagraph"/>
        <w:numPr>
          <w:ilvl w:val="1"/>
          <w:numId w:val="11"/>
        </w:numPr>
        <w:spacing w:after="0" w:line="276" w:lineRule="auto"/>
        <w:ind w:left="993"/>
        <w:jc w:val="both"/>
        <w:rPr>
          <w:rFonts w:ascii="Times New Roman" w:hAnsi="Times New Roman" w:cs="Times New Roman"/>
          <w:sz w:val="24"/>
          <w:szCs w:val="24"/>
          <w:u w:val="single"/>
        </w:rPr>
      </w:pPr>
      <w:r w:rsidRPr="00674730">
        <w:rPr>
          <w:rFonts w:ascii="Times New Roman" w:hAnsi="Times New Roman" w:cs="Times New Roman"/>
          <w:sz w:val="24"/>
          <w:szCs w:val="24"/>
        </w:rPr>
        <w:t xml:space="preserve">Ministru kabineta 2013.gada 24.septembra noteikumu Nr.906 „Noteikumi par civilstāvokļa aktu reģistrācijas valsts nodevu” 8.punkts nosaka, ka no valsts nodevas atbrīvo piecas iedzīvotāju kategorijas </w:t>
      </w:r>
      <w:r w:rsidRPr="00674730">
        <w:rPr>
          <w:rFonts w:ascii="Times New Roman" w:hAnsi="Times New Roman" w:cs="Times New Roman"/>
          <w:sz w:val="24"/>
          <w:szCs w:val="24"/>
          <w:u w:val="single"/>
        </w:rPr>
        <w:t>(uzrādot attiecīgu statusu apliecinošu dokumentu);</w:t>
      </w:r>
    </w:p>
    <w:p w:rsidR="002E395A" w:rsidRPr="00674730" w:rsidP="00826FE5" w14:paraId="1B7AC017" w14:textId="77777777">
      <w:pPr>
        <w:pStyle w:val="ListParagraph"/>
        <w:numPr>
          <w:ilvl w:val="1"/>
          <w:numId w:val="11"/>
        </w:numPr>
        <w:spacing w:after="0" w:line="276" w:lineRule="auto"/>
        <w:ind w:left="993"/>
        <w:jc w:val="both"/>
        <w:rPr>
          <w:rFonts w:ascii="Times New Roman" w:hAnsi="Times New Roman" w:cs="Times New Roman"/>
          <w:sz w:val="24"/>
          <w:szCs w:val="24"/>
        </w:rPr>
      </w:pPr>
      <w:r w:rsidRPr="00674730">
        <w:rPr>
          <w:rFonts w:ascii="Times New Roman" w:hAnsi="Times New Roman" w:cs="Times New Roman"/>
          <w:sz w:val="24"/>
          <w:szCs w:val="24"/>
        </w:rPr>
        <w:t xml:space="preserve">Ministru kabineta 2014.gada 23.septembra noteikumu Nr.563 „Noteikumi par ziņu sniegšanu un saņemšanu no Sodu reģistra, valsts nodevas apmēru un izziņas noformēšanas prasībām” 41.punkts paredz, ka </w:t>
      </w:r>
      <w:r w:rsidRPr="00674730">
        <w:rPr>
          <w:rFonts w:ascii="Times New Roman" w:hAnsi="Times New Roman" w:cs="Times New Roman"/>
          <w:sz w:val="24"/>
          <w:szCs w:val="24"/>
          <w:u w:val="single"/>
        </w:rPr>
        <w:t>uzrādot attiecīgu statusu apliecinošu dokumentu</w:t>
      </w:r>
      <w:r w:rsidRPr="00674730">
        <w:rPr>
          <w:rFonts w:ascii="Times New Roman" w:hAnsi="Times New Roman" w:cs="Times New Roman"/>
          <w:sz w:val="24"/>
          <w:szCs w:val="24"/>
        </w:rPr>
        <w:t xml:space="preserve">, no valsts nodevas samaksas ir atbrīvotas </w:t>
      </w:r>
      <w:r w:rsidRPr="00674730">
        <w:rPr>
          <w:rFonts w:ascii="Times New Roman" w:hAnsi="Times New Roman" w:cs="Times New Roman"/>
          <w:sz w:val="24"/>
          <w:szCs w:val="24"/>
        </w:rPr>
        <w:t>piecas personu kategorijas.</w:t>
      </w:r>
    </w:p>
    <w:p w:rsidR="002E395A" w:rsidRPr="00674730" w:rsidP="00826FE5" w14:paraId="4F27F531" w14:textId="77777777">
      <w:pPr>
        <w:pStyle w:val="ListParagraph"/>
        <w:numPr>
          <w:ilvl w:val="1"/>
          <w:numId w:val="11"/>
        </w:numPr>
        <w:spacing w:after="0" w:line="276" w:lineRule="auto"/>
        <w:ind w:left="993"/>
        <w:jc w:val="both"/>
        <w:rPr>
          <w:rFonts w:ascii="Times New Roman" w:hAnsi="Times New Roman" w:eastAsiaTheme="minorEastAsia" w:cs="Times New Roman"/>
          <w:sz w:val="24"/>
          <w:szCs w:val="24"/>
          <w:lang w:eastAsia="lv-LV" w:bidi="lo-LA"/>
        </w:rPr>
      </w:pPr>
      <w:r w:rsidRPr="00674730">
        <w:rPr>
          <w:rFonts w:ascii="Times New Roman" w:hAnsi="Times New Roman" w:cs="Times New Roman"/>
          <w:sz w:val="24"/>
          <w:szCs w:val="24"/>
        </w:rPr>
        <w:t xml:space="preserve">Ministru kabineta 2012.gada 18.decembra noteikumi Nr.887 “Noteikumi par valsts nodevu par Latvijas Nacionālā arhīva sociāli tiesiskās izziņas sagatavošanu un izsniegšanu” 8.punkts paredz, ka valsts nodevas apmēru samazina par 50 %-  politiski represētai personai, pirmās vai otrās grupas invalīdam vai personai, kas atbilst trūcīgas personas statusam, </w:t>
      </w:r>
      <w:r w:rsidRPr="00674730">
        <w:rPr>
          <w:rFonts w:ascii="Times New Roman" w:hAnsi="Times New Roman" w:cs="Times New Roman"/>
          <w:sz w:val="24"/>
          <w:szCs w:val="24"/>
          <w:u w:val="single"/>
        </w:rPr>
        <w:t>ja persona uzrāda attiecīgo statusu apliecinošu dokumentu vai pieprasījumam pievieno šāda dokumenta kopiju</w:t>
      </w:r>
      <w:r w:rsidRPr="00674730">
        <w:rPr>
          <w:rFonts w:ascii="Times New Roman" w:hAnsi="Times New Roman" w:cs="Times New Roman"/>
          <w:sz w:val="24"/>
          <w:szCs w:val="24"/>
        </w:rPr>
        <w:t>;</w:t>
      </w:r>
    </w:p>
    <w:p w:rsidR="00F27FEB" w:rsidRPr="00674730" w:rsidP="00631723" w14:paraId="4AF6338A" w14:textId="77777777">
      <w:pPr>
        <w:spacing w:after="0" w:line="276" w:lineRule="auto"/>
        <w:ind w:firstLine="426"/>
        <w:jc w:val="both"/>
        <w:rPr>
          <w:rStyle w:val="FontStyle60"/>
          <w:rFonts w:eastAsiaTheme="minorEastAsia"/>
          <w:sz w:val="24"/>
          <w:szCs w:val="24"/>
          <w:lang w:eastAsia="lv-LV" w:bidi="lo-LA"/>
        </w:rPr>
      </w:pPr>
    </w:p>
    <w:p w:rsidR="00FE6D30" w:rsidRPr="00674730" w:rsidP="00631723" w14:paraId="62240DB2" w14:textId="049192CB">
      <w:pPr>
        <w:spacing w:after="0" w:line="276" w:lineRule="auto"/>
        <w:ind w:firstLine="426"/>
        <w:jc w:val="both"/>
        <w:rPr>
          <w:rFonts w:ascii="Times New Roman" w:hAnsi="Times New Roman" w:cs="Times New Roman"/>
          <w:sz w:val="24"/>
          <w:szCs w:val="24"/>
        </w:rPr>
      </w:pPr>
      <w:r w:rsidRPr="00674730">
        <w:rPr>
          <w:rStyle w:val="FontStyle60"/>
          <w:rFonts w:eastAsiaTheme="minorEastAsia"/>
          <w:sz w:val="24"/>
          <w:szCs w:val="24"/>
          <w:lang w:eastAsia="lv-LV" w:bidi="lo-LA"/>
        </w:rPr>
        <w:t>Kā redzams, daudzi atvieglojumi personām pieejami uzrādot attiecīgo statusu apliecinošus dokumentus, kas personām ir apgrūtinoši un laikietilpīgi, vienlaikus jāņem vērā, ka daudzas personas</w:t>
      </w:r>
      <w:r w:rsidRPr="00674730" w:rsidR="00647FA3">
        <w:rPr>
          <w:rStyle w:val="FontStyle60"/>
          <w:rFonts w:eastAsiaTheme="minorEastAsia"/>
          <w:sz w:val="24"/>
          <w:szCs w:val="24"/>
          <w:lang w:eastAsia="lv-LV" w:bidi="lo-LA"/>
        </w:rPr>
        <w:t>,</w:t>
      </w:r>
      <w:r w:rsidRPr="00674730">
        <w:rPr>
          <w:rStyle w:val="FontStyle60"/>
          <w:rFonts w:eastAsiaTheme="minorEastAsia"/>
          <w:sz w:val="24"/>
          <w:szCs w:val="24"/>
          <w:lang w:eastAsia="lv-LV" w:bidi="lo-LA"/>
        </w:rPr>
        <w:t xml:space="preserve"> iespējams</w:t>
      </w:r>
      <w:r w:rsidRPr="00674730" w:rsidR="00647FA3">
        <w:rPr>
          <w:rStyle w:val="FontStyle60"/>
          <w:rFonts w:eastAsiaTheme="minorEastAsia"/>
          <w:sz w:val="24"/>
          <w:szCs w:val="24"/>
          <w:lang w:eastAsia="lv-LV" w:bidi="lo-LA"/>
        </w:rPr>
        <w:t>,</w:t>
      </w:r>
      <w:r w:rsidRPr="00674730">
        <w:rPr>
          <w:rStyle w:val="FontStyle60"/>
          <w:rFonts w:eastAsiaTheme="minorEastAsia"/>
          <w:sz w:val="24"/>
          <w:szCs w:val="24"/>
          <w:lang w:eastAsia="lv-LV" w:bidi="lo-LA"/>
        </w:rPr>
        <w:t xml:space="preserve"> nezin, ka tām pienākas atvieglojumi. </w:t>
      </w:r>
      <w:r w:rsidRPr="00674730" w:rsidR="00BF10EC">
        <w:rPr>
          <w:rStyle w:val="FontStyle60"/>
          <w:rFonts w:eastAsiaTheme="minorEastAsia"/>
          <w:sz w:val="24"/>
          <w:szCs w:val="24"/>
          <w:lang w:eastAsia="lv-LV" w:bidi="lo-LA"/>
        </w:rPr>
        <w:t>Pēc pašvaldību atvieglojumu administrēšanas elektroniskā vidē, būtu</w:t>
      </w:r>
      <w:r w:rsidRPr="00674730" w:rsidR="002F537F">
        <w:rPr>
          <w:rStyle w:val="FontStyle60"/>
          <w:rFonts w:eastAsiaTheme="minorEastAsia"/>
          <w:sz w:val="24"/>
          <w:szCs w:val="24"/>
          <w:lang w:eastAsia="lv-LV" w:bidi="lo-LA"/>
        </w:rPr>
        <w:t xml:space="preserve"> nepieciešams izvērtēt iespējas vai</w:t>
      </w:r>
      <w:r w:rsidRPr="00674730" w:rsidR="00BF10EC">
        <w:rPr>
          <w:rStyle w:val="FontStyle60"/>
          <w:rFonts w:eastAsiaTheme="minorEastAsia"/>
          <w:sz w:val="24"/>
          <w:szCs w:val="24"/>
          <w:lang w:eastAsia="lv-LV" w:bidi="lo-LA"/>
        </w:rPr>
        <w:t xml:space="preserve"> nepieciešamību arī valsts sniegtajiem pakalpojumiem ievies</w:t>
      </w:r>
      <w:r w:rsidRPr="00674730">
        <w:rPr>
          <w:rStyle w:val="FontStyle60"/>
          <w:rFonts w:eastAsiaTheme="minorEastAsia"/>
          <w:sz w:val="24"/>
          <w:szCs w:val="24"/>
          <w:lang w:eastAsia="lv-LV" w:bidi="lo-LA"/>
        </w:rPr>
        <w:t xml:space="preserve">t administrēšanu elektroniskā vidē, </w:t>
      </w:r>
      <w:r w:rsidRPr="00674730" w:rsidR="00BF10EC">
        <w:rPr>
          <w:rStyle w:val="FontStyle60"/>
          <w:rFonts w:eastAsiaTheme="minorEastAsia"/>
          <w:sz w:val="24"/>
          <w:szCs w:val="24"/>
          <w:lang w:eastAsia="lv-LV" w:bidi="lo-LA"/>
        </w:rPr>
        <w:t xml:space="preserve">lai izvairītos </w:t>
      </w:r>
      <w:r w:rsidRPr="00674730">
        <w:rPr>
          <w:rStyle w:val="FontStyle60"/>
          <w:rFonts w:eastAsiaTheme="minorEastAsia"/>
          <w:sz w:val="24"/>
          <w:szCs w:val="24"/>
          <w:lang w:eastAsia="lv-LV" w:bidi="lo-LA"/>
        </w:rPr>
        <w:t xml:space="preserve">no </w:t>
      </w:r>
      <w:r w:rsidRPr="00674730" w:rsidR="00BF10EC">
        <w:rPr>
          <w:rStyle w:val="FontStyle60"/>
          <w:rFonts w:eastAsiaTheme="minorEastAsia"/>
          <w:sz w:val="24"/>
          <w:szCs w:val="24"/>
          <w:lang w:eastAsia="lv-LV" w:bidi="lo-LA"/>
        </w:rPr>
        <w:t>iepriekš minētajiem faktoriem</w:t>
      </w:r>
      <w:r w:rsidRPr="00674730">
        <w:rPr>
          <w:rStyle w:val="FontStyle60"/>
          <w:rFonts w:eastAsiaTheme="minorEastAsia"/>
          <w:sz w:val="24"/>
          <w:szCs w:val="24"/>
          <w:lang w:eastAsia="lv-LV" w:bidi="lo-LA"/>
        </w:rPr>
        <w:t>.</w:t>
      </w:r>
      <w:r w:rsidRPr="00674730" w:rsidR="006D6706">
        <w:rPr>
          <w:rFonts w:ascii="Times New Roman" w:hAnsi="Times New Roman" w:cs="Times New Roman"/>
          <w:sz w:val="24"/>
          <w:szCs w:val="24"/>
        </w:rPr>
        <w:t xml:space="preserve"> </w:t>
      </w:r>
    </w:p>
    <w:p w:rsidR="007C3AD6" w:rsidRPr="00674730" w:rsidP="007C3AD6" w14:paraId="1C2E5A54" w14:textId="47482348">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Ņemot vērā, ka dažāda veida </w:t>
      </w:r>
      <w:r w:rsidRPr="00674730" w:rsidR="009B112C">
        <w:rPr>
          <w:rFonts w:ascii="Times New Roman" w:hAnsi="Times New Roman" w:cs="Times New Roman"/>
          <w:sz w:val="24"/>
          <w:szCs w:val="24"/>
        </w:rPr>
        <w:t>atvieglojumi paredzēti</w:t>
      </w:r>
      <w:r w:rsidRPr="00674730">
        <w:rPr>
          <w:rFonts w:ascii="Times New Roman" w:hAnsi="Times New Roman" w:cs="Times New Roman"/>
          <w:sz w:val="24"/>
          <w:szCs w:val="24"/>
        </w:rPr>
        <w:t>, arī sniedzot valsts pārvaldes pakalpojumus</w:t>
      </w:r>
      <w:r w:rsidRPr="00674730" w:rsidR="009B112C">
        <w:rPr>
          <w:rFonts w:ascii="Times New Roman" w:hAnsi="Times New Roman" w:cs="Times New Roman"/>
          <w:sz w:val="24"/>
          <w:szCs w:val="24"/>
        </w:rPr>
        <w:t xml:space="preserve"> </w:t>
      </w:r>
      <w:r w:rsidRPr="00674730" w:rsidR="00B653C8">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sidR="00B653C8">
        <w:rPr>
          <w:rFonts w:ascii="Times New Roman" w:hAnsi="Times New Roman" w:cs="Times New Roman"/>
          <w:sz w:val="24"/>
          <w:szCs w:val="24"/>
        </w:rPr>
        <w:t xml:space="preserve">izstrādes gaitā jāizvērtē iespēja kā </w:t>
      </w:r>
      <w:r w:rsidRPr="00674730">
        <w:rPr>
          <w:rFonts w:ascii="Times New Roman" w:hAnsi="Times New Roman" w:cs="Times New Roman"/>
          <w:sz w:val="24"/>
          <w:szCs w:val="24"/>
        </w:rPr>
        <w:t xml:space="preserve">Atvieglojumu koplietošanas risinājuma komponentes varētu izmantot, lai atvieglotu </w:t>
      </w:r>
      <w:r w:rsidRPr="00674730" w:rsidR="009B112C">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piemērošanu atbilstošām valsts pārvaldes </w:t>
      </w:r>
      <w:r w:rsidRPr="00674730">
        <w:rPr>
          <w:rFonts w:ascii="Times New Roman" w:hAnsi="Times New Roman" w:cs="Times New Roman"/>
          <w:sz w:val="24"/>
          <w:szCs w:val="24"/>
        </w:rPr>
        <w:t xml:space="preserve">pakalpojumu saņēmēju grupām </w:t>
      </w:r>
      <w:r w:rsidRPr="00674730" w:rsidR="005D6DB0">
        <w:rPr>
          <w:rFonts w:ascii="Times New Roman" w:hAnsi="Times New Roman" w:cs="Times New Roman"/>
          <w:sz w:val="24"/>
          <w:szCs w:val="24"/>
        </w:rPr>
        <w:t xml:space="preserve">Jāņem vērā, ka ir </w:t>
      </w:r>
      <w:r w:rsidRPr="00674730">
        <w:rPr>
          <w:rFonts w:ascii="Times New Roman" w:hAnsi="Times New Roman" w:cs="Times New Roman"/>
          <w:sz w:val="24"/>
          <w:szCs w:val="24"/>
        </w:rPr>
        <w:t>paredz</w:t>
      </w:r>
      <w:r w:rsidRPr="00674730" w:rsidR="005D6DB0">
        <w:rPr>
          <w:rFonts w:ascii="Times New Roman" w:hAnsi="Times New Roman" w:cs="Times New Roman"/>
          <w:sz w:val="24"/>
          <w:szCs w:val="24"/>
        </w:rPr>
        <w:t>ēti</w:t>
      </w:r>
      <w:r w:rsidRPr="00674730">
        <w:rPr>
          <w:rFonts w:ascii="Times New Roman" w:hAnsi="Times New Roman" w:cs="Times New Roman"/>
          <w:sz w:val="24"/>
          <w:szCs w:val="24"/>
        </w:rPr>
        <w:t xml:space="preserve"> </w:t>
      </w:r>
      <w:r w:rsidRPr="00674730" w:rsidR="005D6DB0">
        <w:rPr>
          <w:rFonts w:ascii="Times New Roman" w:hAnsi="Times New Roman" w:cs="Times New Roman"/>
          <w:sz w:val="24"/>
          <w:szCs w:val="24"/>
        </w:rPr>
        <w:t xml:space="preserve">pilnveidojumi </w:t>
      </w:r>
      <w:r w:rsidRPr="00674730">
        <w:rPr>
          <w:rFonts w:ascii="Times New Roman" w:hAnsi="Times New Roman" w:cs="Times New Roman"/>
          <w:sz w:val="24"/>
          <w:szCs w:val="24"/>
        </w:rPr>
        <w:t xml:space="preserve">valsts pārvaldes pakalpojumu portālā latvija.lv atbilstoši 2017. gada 4. jūlijā apstiprinātajiem Ministru kabineta noteikumiem Nr. 399 “Valsts pārvaldes pakalpojumu uzskaites, sniegšanas un kvalitātes kontroles kārtība”, kas nosaka vienotu kārtību valsts pārvaldes iestāžu (t. sk. pašvaldību) pakalpojumu aprakstīšanai valsts pārvaldes pakalpojumu katalogā, un </w:t>
      </w:r>
      <w:r w:rsidRPr="00674730" w:rsidR="00E00B8C">
        <w:rPr>
          <w:rFonts w:ascii="Times New Roman" w:hAnsi="Times New Roman" w:cs="Times New Roman"/>
          <w:sz w:val="24"/>
          <w:szCs w:val="24"/>
        </w:rPr>
        <w:t xml:space="preserve">jāizvērtē iespēja, lai </w:t>
      </w:r>
      <w:r w:rsidRPr="00674730">
        <w:rPr>
          <w:rFonts w:ascii="Times New Roman" w:hAnsi="Times New Roman" w:cs="Times New Roman"/>
          <w:sz w:val="24"/>
          <w:szCs w:val="24"/>
        </w:rPr>
        <w:t>minētajām Atvieglojumu koplietošanas risinājuma komponentēm būtu iespējama integrācija, piemēram, ar pakalpojumu kataloga cenrāžiem. Vienlaikus nepieciešamas izmaiņas minētajos noteikumos, lai noteiktu maksas pakalpojumu uzskaites kārtību un atbilstošās informācijas uzkrāšanu par izmantotajām atlaidēm.</w:t>
      </w:r>
    </w:p>
    <w:p w:rsidR="008A0525" w:rsidRPr="00674730" w:rsidP="008A0525" w14:paraId="4D51022D" w14:textId="74513E62">
      <w:pPr>
        <w:spacing w:after="0" w:line="276" w:lineRule="auto"/>
        <w:ind w:firstLine="720"/>
        <w:jc w:val="both"/>
        <w:rPr>
          <w:rFonts w:ascii="Times New Roman" w:eastAsia="Calibri" w:hAnsi="Times New Roman" w:cs="Times New Roman"/>
          <w:sz w:val="24"/>
          <w:szCs w:val="24"/>
        </w:rPr>
      </w:pPr>
      <w:r w:rsidRPr="00674730">
        <w:rPr>
          <w:rFonts w:ascii="Times New Roman" w:hAnsi="Times New Roman" w:cs="Times New Roman"/>
          <w:sz w:val="24"/>
          <w:szCs w:val="24"/>
        </w:rPr>
        <w:t>Izstrādājot Atvieglojumu uzskaites koplietošanas risinājumu katrai ministrijai būtu nepieciešams izvērtēt iespējas un nepieciešamību</w:t>
      </w:r>
      <w:r w:rsidRPr="00674730" w:rsidR="00994A62">
        <w:rPr>
          <w:rFonts w:ascii="Times New Roman" w:hAnsi="Times New Roman" w:cs="Times New Roman"/>
          <w:sz w:val="24"/>
          <w:szCs w:val="24"/>
        </w:rPr>
        <w:t xml:space="preserve"> </w:t>
      </w:r>
      <w:r w:rsidRPr="00674730" w:rsidR="009A4ED9">
        <w:rPr>
          <w:rFonts w:ascii="Times New Roman" w:hAnsi="Times New Roman" w:cs="Times New Roman"/>
          <w:sz w:val="24"/>
          <w:szCs w:val="24"/>
        </w:rPr>
        <w:t>uzlabojot un elektronizējot savus pakalpojumus,</w:t>
      </w:r>
      <w:r w:rsidRPr="00674730">
        <w:rPr>
          <w:rFonts w:ascii="Times New Roman" w:hAnsi="Times New Roman" w:cs="Times New Roman"/>
          <w:sz w:val="24"/>
          <w:szCs w:val="24"/>
        </w:rPr>
        <w:t xml:space="preserve"> izmanot šo risinājumu, lai optimizētu savu darbību un uzlabotu atvieglojumu saņemšanas pieejamību, vienlaikus nosakot vienotu pieeju un principus datu apmaiņas organizēšanai un veicinot iestāžu starpnozaru sadarbību</w:t>
      </w:r>
      <w:r w:rsidRPr="00674730">
        <w:rPr>
          <w:rFonts w:ascii="Times New Roman" w:hAnsi="Times New Roman" w:cs="Times New Roman"/>
          <w:sz w:val="24"/>
          <w:szCs w:val="24"/>
        </w:rPr>
        <w:t xml:space="preserve">. </w:t>
      </w:r>
    </w:p>
    <w:p w:rsidR="007C3AD6" w:rsidRPr="00674730" w:rsidP="0065288C" w14:paraId="37BDBB04" w14:textId="7BD45A75">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Vēršam uzmanību, ka šobrīd tiek plānota to atvieglojumu administrēšana, kas paredzēti no pašvaldību budžeta.</w:t>
      </w:r>
    </w:p>
    <w:p w:rsidR="0065288C" w:rsidRPr="00674730" w:rsidP="0065288C" w14:paraId="029DD3D6" w14:textId="77777777">
      <w:pPr>
        <w:spacing w:after="0" w:line="276" w:lineRule="auto"/>
        <w:ind w:firstLine="720"/>
        <w:contextualSpacing/>
        <w:jc w:val="both"/>
        <w:rPr>
          <w:rFonts w:ascii="Times New Roman" w:hAnsi="Times New Roman" w:cs="Times New Roman"/>
          <w:sz w:val="20"/>
          <w:szCs w:val="24"/>
        </w:rPr>
      </w:pPr>
    </w:p>
    <w:p w:rsidR="00D37C73" w:rsidRPr="00674730" w:rsidP="00631723" w14:paraId="04BC69B7"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Pašreiz Latvijā un arī citviet pasaulē izmanto galvenokārt divas Atvieglojumu administrēšanas pieejas: </w:t>
      </w:r>
    </w:p>
    <w:p w:rsidR="00D37C73" w:rsidRPr="00674730" w:rsidP="00482086" w14:paraId="4B303C1D" w14:textId="77777777">
      <w:pPr>
        <w:pStyle w:val="ListParagraph"/>
        <w:numPr>
          <w:ilvl w:val="0"/>
          <w:numId w:val="9"/>
        </w:numPr>
        <w:spacing w:after="0" w:line="276" w:lineRule="auto"/>
        <w:ind w:left="993"/>
        <w:jc w:val="both"/>
        <w:rPr>
          <w:rFonts w:ascii="Times New Roman" w:hAnsi="Times New Roman" w:cs="Times New Roman"/>
          <w:sz w:val="24"/>
          <w:szCs w:val="24"/>
        </w:rPr>
      </w:pPr>
      <w:r w:rsidRPr="00674730">
        <w:rPr>
          <w:rFonts w:ascii="Times New Roman" w:hAnsi="Times New Roman" w:cs="Times New Roman"/>
          <w:b/>
          <w:sz w:val="24"/>
          <w:szCs w:val="24"/>
        </w:rPr>
        <w:t>Atvieglojumus administrē Tirgotājs</w:t>
      </w:r>
      <w:r w:rsidRPr="00674730">
        <w:rPr>
          <w:rFonts w:ascii="Times New Roman" w:hAnsi="Times New Roman" w:cs="Times New Roman"/>
          <w:sz w:val="24"/>
          <w:szCs w:val="24"/>
        </w:rPr>
        <w:t xml:space="preserve"> (Atvieglojumu maksājumus saņem Tirgotājs, nevis Atvieglojuma saņēmējs)</w:t>
      </w:r>
      <w:r w:rsidRPr="00674730">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Pr>
          <w:rFonts w:ascii="Times New Roman" w:hAnsi="Times New Roman" w:cs="Times New Roman"/>
          <w:sz w:val="24"/>
          <w:szCs w:val="24"/>
        </w:rPr>
        <w:t>Tirgotājs sniedz atskaites Atvieglojumu devējam, tam palielinās administratīvais slogs, kā arī, tā kā Tirgotājs ir darījumu apjoma palielināšanā ieinteresēta persona, tam rodas interešu konflikts</w:t>
      </w:r>
      <w:r w:rsidRPr="00674730" w:rsidR="00BF10EC">
        <w:rPr>
          <w:rFonts w:ascii="Times New Roman" w:hAnsi="Times New Roman" w:cs="Times New Roman"/>
          <w:sz w:val="24"/>
          <w:szCs w:val="24"/>
        </w:rPr>
        <w:t>;</w:t>
      </w:r>
    </w:p>
    <w:p w:rsidR="00D37C73" w:rsidRPr="00674730" w:rsidP="00482086" w14:paraId="147F0BF0" w14:textId="77777777">
      <w:pPr>
        <w:pStyle w:val="ListParagraph"/>
        <w:numPr>
          <w:ilvl w:val="0"/>
          <w:numId w:val="9"/>
        </w:numPr>
        <w:spacing w:after="0" w:line="276" w:lineRule="auto"/>
        <w:ind w:left="993"/>
        <w:jc w:val="both"/>
        <w:rPr>
          <w:rFonts w:ascii="Times New Roman" w:hAnsi="Times New Roman" w:cs="Times New Roman"/>
          <w:sz w:val="24"/>
          <w:szCs w:val="24"/>
        </w:rPr>
      </w:pPr>
      <w:r w:rsidRPr="00674730">
        <w:rPr>
          <w:rFonts w:ascii="Times New Roman" w:hAnsi="Times New Roman" w:cs="Times New Roman"/>
          <w:b/>
          <w:sz w:val="24"/>
          <w:szCs w:val="24"/>
        </w:rPr>
        <w:t>Atvieglojuma saņēmējs iesniedz Darījuma dokumentus Atvieglojumu devējam</w:t>
      </w:r>
      <w:r w:rsidRPr="00674730">
        <w:rPr>
          <w:rFonts w:ascii="Times New Roman" w:hAnsi="Times New Roman" w:cs="Times New Roman"/>
          <w:sz w:val="24"/>
          <w:szCs w:val="24"/>
        </w:rPr>
        <w:t xml:space="preserve"> (Atvieglojuma maksājumus saņem Atvieglojuma saņēmējs). </w:t>
      </w:r>
      <w:r w:rsidRPr="00674730">
        <w:rPr>
          <w:rFonts w:ascii="Times New Roman" w:hAnsi="Times New Roman" w:cs="Times New Roman"/>
          <w:sz w:val="24"/>
          <w:szCs w:val="24"/>
        </w:rPr>
        <w:t>Atvieglojumu devējam ir sarežģīti precīzi identificēt Tirgotāju, pircēju un noteikt Darījuma faktu (vai darījums notika korekti un vai Darījumu izpildīja Atvieglojuma saņēmējs).</w:t>
      </w:r>
    </w:p>
    <w:p w:rsidR="00E05A1C" w:rsidRPr="00674730" w:rsidP="00631723" w14:paraId="68F9C323" w14:textId="77777777">
      <w:pPr>
        <w:spacing w:after="0" w:line="276" w:lineRule="auto"/>
        <w:jc w:val="both"/>
        <w:rPr>
          <w:rFonts w:ascii="Times New Roman" w:hAnsi="Times New Roman" w:cs="Times New Roman"/>
          <w:sz w:val="14"/>
          <w:szCs w:val="24"/>
        </w:rPr>
      </w:pPr>
    </w:p>
    <w:p w:rsidR="007E7F4E" w:rsidRPr="00674730" w:rsidP="00826FE5" w14:paraId="50C00475" w14:textId="77777777">
      <w:pPr>
        <w:spacing w:after="0" w:line="276" w:lineRule="auto"/>
        <w:ind w:firstLine="633"/>
        <w:jc w:val="both"/>
        <w:rPr>
          <w:rFonts w:ascii="Times New Roman" w:hAnsi="Times New Roman" w:cs="Times New Roman"/>
          <w:sz w:val="24"/>
          <w:szCs w:val="24"/>
        </w:rPr>
      </w:pPr>
      <w:r w:rsidRPr="00674730">
        <w:rPr>
          <w:rFonts w:ascii="Times New Roman" w:hAnsi="Times New Roman" w:cs="Times New Roman"/>
          <w:sz w:val="24"/>
          <w:szCs w:val="24"/>
        </w:rPr>
        <w:t>Abos gadījumos ar atvieglojumiem saistītie maksājumi notiek pirms vai pēc Darījuma</w:t>
      </w:r>
      <w:r w:rsidRPr="00674730" w:rsidR="00A3685D">
        <w:rPr>
          <w:rFonts w:ascii="Times New Roman" w:hAnsi="Times New Roman" w:cs="Times New Roman"/>
          <w:sz w:val="24"/>
          <w:szCs w:val="24"/>
        </w:rPr>
        <w:t>, nevis Darījuma brīdī.</w:t>
      </w:r>
      <w:r w:rsidRPr="00674730">
        <w:rPr>
          <w:rFonts w:ascii="Times New Roman" w:hAnsi="Times New Roman" w:cs="Times New Roman"/>
          <w:sz w:val="24"/>
          <w:szCs w:val="24"/>
        </w:rPr>
        <w:t xml:space="preserve"> </w:t>
      </w:r>
    </w:p>
    <w:p w:rsidR="007E7F4E" w:rsidRPr="00674730" w:rsidP="00631723" w14:paraId="7177E82C"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Divu esošo pieeju trūkumi ir neefektīva Atvieglojumiem paredzēto līdzekļu izlietošana</w:t>
      </w:r>
      <w:r w:rsidRPr="00674730" w:rsidR="002C0253">
        <w:rPr>
          <w:rFonts w:ascii="Times New Roman" w:hAnsi="Times New Roman" w:cs="Times New Roman"/>
          <w:sz w:val="24"/>
          <w:szCs w:val="24"/>
        </w:rPr>
        <w:t>,</w:t>
      </w:r>
      <w:r w:rsidRPr="00674730">
        <w:rPr>
          <w:rFonts w:ascii="Times New Roman" w:hAnsi="Times New Roman" w:cs="Times New Roman"/>
          <w:sz w:val="24"/>
          <w:szCs w:val="24"/>
        </w:rPr>
        <w:t xml:space="preserve"> un ir grūti vai neiespējami verificēt Darījuma Atvieglojuma gadījumus (kā arī atvieglojumu saņemšanas neatkarīgu un uzticamu kontroli)</w:t>
      </w:r>
      <w:r w:rsidRPr="00674730" w:rsidR="000F016D">
        <w:rPr>
          <w:rFonts w:ascii="Times New Roman" w:hAnsi="Times New Roman" w:cs="Times New Roman"/>
          <w:sz w:val="24"/>
          <w:szCs w:val="24"/>
        </w:rPr>
        <w:t>, jo pastāv riski, ka būs nepietiekama Atvieglojuma saņēmēja personas identifikācija, iespējama dokumentu, kas apliecina Atvieglojuma saņemšanu viltošana, kā arī negodprātīga attieksme un rīcība no Atvieglojuma devēja puses</w:t>
      </w:r>
      <w:r w:rsidRPr="00674730">
        <w:rPr>
          <w:rFonts w:ascii="Times New Roman" w:hAnsi="Times New Roman" w:cs="Times New Roman"/>
          <w:sz w:val="24"/>
          <w:szCs w:val="24"/>
        </w:rPr>
        <w:t>.</w:t>
      </w:r>
      <w:r w:rsidRPr="00674730" w:rsidR="00481652">
        <w:rPr>
          <w:rFonts w:ascii="Times New Roman" w:hAnsi="Times New Roman" w:cs="Times New Roman"/>
          <w:sz w:val="24"/>
          <w:szCs w:val="24"/>
        </w:rPr>
        <w:t xml:space="preserve"> </w:t>
      </w:r>
    </w:p>
    <w:p w:rsidR="007E7F4E" w:rsidRPr="00674730" w:rsidP="00631723" w14:paraId="2012E0DD" w14:textId="578DADCF">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Atsevišķos gadījumos Latvijā pašvaldībās ir ieviesta </w:t>
      </w:r>
      <w:r w:rsidRPr="00674730">
        <w:rPr>
          <w:rFonts w:ascii="Times New Roman" w:hAnsi="Times New Roman" w:cs="Times New Roman"/>
          <w:sz w:val="24"/>
          <w:szCs w:val="24"/>
          <w:u w:val="single"/>
        </w:rPr>
        <w:t>lokāla</w:t>
      </w:r>
      <w:r w:rsidRPr="00674730">
        <w:rPr>
          <w:rFonts w:ascii="Times New Roman" w:hAnsi="Times New Roman" w:cs="Times New Roman"/>
          <w:sz w:val="24"/>
          <w:szCs w:val="24"/>
        </w:rPr>
        <w:t xml:space="preserve"> elektroniska uzskaites sistēma </w:t>
      </w:r>
      <w:r w:rsidRPr="00674730" w:rsidR="00DF47FE">
        <w:rPr>
          <w:rFonts w:ascii="Times New Roman" w:hAnsi="Times New Roman" w:cs="Times New Roman"/>
          <w:sz w:val="24"/>
          <w:szCs w:val="24"/>
        </w:rPr>
        <w:t xml:space="preserve"> (Rīga, Sigulda, Jelgava, Liepāja) </w:t>
      </w:r>
      <w:r w:rsidRPr="00674730">
        <w:rPr>
          <w:rFonts w:ascii="Times New Roman" w:hAnsi="Times New Roman" w:cs="Times New Roman"/>
          <w:sz w:val="24"/>
          <w:szCs w:val="24"/>
        </w:rPr>
        <w:t xml:space="preserve">ar definētām </w:t>
      </w:r>
      <w:r w:rsidRPr="00674730" w:rsidR="00A66651">
        <w:rPr>
          <w:rFonts w:ascii="Times New Roman" w:hAnsi="Times New Roman" w:cs="Times New Roman"/>
          <w:sz w:val="24"/>
          <w:szCs w:val="24"/>
        </w:rPr>
        <w:t xml:space="preserve">atvieglojumu saņēmēju </w:t>
      </w:r>
      <w:r w:rsidRPr="00674730">
        <w:rPr>
          <w:rFonts w:ascii="Times New Roman" w:hAnsi="Times New Roman" w:cs="Times New Roman"/>
          <w:sz w:val="24"/>
          <w:szCs w:val="24"/>
        </w:rPr>
        <w:t>kategorijām un pēc</w:t>
      </w:r>
      <w:r w:rsidRPr="00674730" w:rsidR="00EC543A">
        <w:rPr>
          <w:rFonts w:ascii="Times New Roman" w:hAnsi="Times New Roman" w:cs="Times New Roman"/>
          <w:sz w:val="24"/>
          <w:szCs w:val="24"/>
        </w:rPr>
        <w:t xml:space="preserve"> </w:t>
      </w:r>
      <w:r w:rsidRPr="00674730" w:rsidR="002F537F">
        <w:rPr>
          <w:rFonts w:ascii="Times New Roman" w:hAnsi="Times New Roman" w:cs="Times New Roman"/>
          <w:sz w:val="24"/>
          <w:szCs w:val="24"/>
        </w:rPr>
        <w:t>VARAM</w:t>
      </w:r>
      <w:r w:rsidRPr="00674730">
        <w:rPr>
          <w:rFonts w:ascii="Times New Roman" w:hAnsi="Times New Roman" w:cs="Times New Roman"/>
          <w:sz w:val="24"/>
          <w:szCs w:val="24"/>
        </w:rPr>
        <w:t xml:space="preserve"> rīcībā esošas informācijas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saņēmēji izmanto vai nu personificētu </w:t>
      </w:r>
      <w:r w:rsidRPr="00674730">
        <w:rPr>
          <w:rFonts w:ascii="Times New Roman" w:hAnsi="Times New Roman" w:cs="Times New Roman"/>
          <w:sz w:val="24"/>
          <w:szCs w:val="24"/>
        </w:rPr>
        <w:t>bezkontakta</w:t>
      </w:r>
      <w:r w:rsidRPr="00674730" w:rsidR="00A41D2F">
        <w:rPr>
          <w:rFonts w:ascii="Times New Roman" w:hAnsi="Times New Roman" w:cs="Times New Roman"/>
          <w:sz w:val="24"/>
          <w:szCs w:val="24"/>
        </w:rPr>
        <w:t xml:space="preserve"> ne</w:t>
      </w:r>
      <w:r w:rsidRPr="00674730">
        <w:rPr>
          <w:rFonts w:ascii="Times New Roman" w:hAnsi="Times New Roman" w:cs="Times New Roman"/>
          <w:sz w:val="24"/>
          <w:szCs w:val="24"/>
        </w:rPr>
        <w:t>banku karti (</w:t>
      </w:r>
      <w:r w:rsidRPr="00674730" w:rsidR="00A66651">
        <w:rPr>
          <w:rFonts w:ascii="Times New Roman" w:hAnsi="Times New Roman" w:cs="Times New Roman"/>
          <w:sz w:val="24"/>
          <w:szCs w:val="24"/>
        </w:rPr>
        <w:t xml:space="preserve">valsts vai pašvaldības </w:t>
      </w:r>
      <w:r w:rsidRPr="00674730">
        <w:rPr>
          <w:rFonts w:ascii="Times New Roman" w:hAnsi="Times New Roman" w:cs="Times New Roman"/>
          <w:sz w:val="24"/>
          <w:szCs w:val="24"/>
        </w:rPr>
        <w:t>institūcijas izsniegta identifikācijas karte, kas pēc noteiktiem standartiem nodrošina darījumu uzskaiti un personas identifikāciju, kā arī nodrošina bezskaidras naudas maksājumu veikšanu), vai nu maksājumu karšu sistēmas risinājum</w:t>
      </w:r>
      <w:r w:rsidRPr="00674730" w:rsidR="00A41D2F">
        <w:rPr>
          <w:rFonts w:ascii="Times New Roman" w:hAnsi="Times New Roman" w:cs="Times New Roman"/>
          <w:sz w:val="24"/>
          <w:szCs w:val="24"/>
        </w:rPr>
        <w:t>u</w:t>
      </w:r>
      <w:r w:rsidRPr="00674730">
        <w:rPr>
          <w:rFonts w:ascii="Times New Roman" w:hAnsi="Times New Roman" w:cs="Times New Roman"/>
          <w:sz w:val="24"/>
          <w:szCs w:val="24"/>
        </w:rPr>
        <w:t>s ar konkrētu banku iesaisti, kura pamatā ir atbilstība starptautiskās maksājumu karšu organizācijas VISA un MasterCard prasībām.</w:t>
      </w:r>
    </w:p>
    <w:p w:rsidR="001D6021" w:rsidRPr="00674730" w:rsidP="00826FE5" w14:paraId="18121F6F" w14:textId="77777777">
      <w:pPr>
        <w:spacing w:after="0" w:line="276" w:lineRule="auto"/>
        <w:ind w:firstLine="425"/>
        <w:contextualSpacing/>
        <w:jc w:val="both"/>
        <w:rPr>
          <w:rFonts w:ascii="Times New Roman" w:hAnsi="Times New Roman" w:cs="Times New Roman"/>
          <w:sz w:val="8"/>
          <w:szCs w:val="24"/>
        </w:rPr>
      </w:pPr>
    </w:p>
    <w:p w:rsidR="007E7F4E" w:rsidRPr="00674730" w:rsidP="00826FE5" w14:paraId="0873BB95" w14:textId="6ABE6C95">
      <w:pPr>
        <w:spacing w:after="0" w:line="276" w:lineRule="auto"/>
        <w:ind w:firstLine="425"/>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Latvijas </w:t>
      </w:r>
      <w:r w:rsidRPr="00674730" w:rsidR="00C870F5">
        <w:rPr>
          <w:rFonts w:ascii="Times New Roman" w:hAnsi="Times New Roman" w:cs="Times New Roman"/>
          <w:sz w:val="24"/>
          <w:szCs w:val="24"/>
        </w:rPr>
        <w:t>L</w:t>
      </w:r>
      <w:r w:rsidRPr="00674730">
        <w:rPr>
          <w:rFonts w:ascii="Times New Roman" w:hAnsi="Times New Roman" w:cs="Times New Roman"/>
          <w:sz w:val="24"/>
          <w:szCs w:val="24"/>
        </w:rPr>
        <w:t>ielo pilsētu asociācija ir norādījusi uz šādām problēmām Atvieglojumu administrēšanā pašvaldību līmenī:</w:t>
      </w:r>
    </w:p>
    <w:p w:rsidR="007E7F4E" w:rsidRPr="00674730" w:rsidP="00631723" w14:paraId="5AEFEE5C" w14:textId="6762818E">
      <w:pPr>
        <w:spacing w:after="0" w:line="276" w:lineRule="auto"/>
        <w:ind w:left="709" w:hanging="284"/>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1. </w:t>
      </w:r>
      <w:r w:rsidRPr="00674730" w:rsidR="008F5E19">
        <w:rPr>
          <w:rFonts w:ascii="Times New Roman" w:hAnsi="Times New Roman" w:cs="Times New Roman"/>
          <w:sz w:val="24"/>
          <w:szCs w:val="24"/>
        </w:rPr>
        <w:t xml:space="preserve">katrā </w:t>
      </w:r>
      <w:r w:rsidRPr="00674730">
        <w:rPr>
          <w:rFonts w:ascii="Times New Roman" w:hAnsi="Times New Roman" w:cs="Times New Roman"/>
          <w:sz w:val="24"/>
          <w:szCs w:val="24"/>
        </w:rPr>
        <w:t xml:space="preserve">pašvaldībā ir savi </w:t>
      </w:r>
      <w:r w:rsidRPr="00674730" w:rsidR="00AD4681">
        <w:rPr>
          <w:rFonts w:ascii="Times New Roman" w:hAnsi="Times New Roman" w:cs="Times New Roman"/>
          <w:sz w:val="24"/>
          <w:szCs w:val="24"/>
        </w:rPr>
        <w:t>A</w:t>
      </w:r>
      <w:r w:rsidRPr="00674730">
        <w:rPr>
          <w:rFonts w:ascii="Times New Roman" w:hAnsi="Times New Roman" w:cs="Times New Roman"/>
          <w:sz w:val="24"/>
          <w:szCs w:val="24"/>
        </w:rPr>
        <w:t xml:space="preserve">tvieglojumi attiecīgās pašvaldības iedzīvotājiem, kas tiek finansēti no </w:t>
      </w:r>
      <w:r w:rsidRPr="00674730" w:rsidR="00025611">
        <w:rPr>
          <w:rFonts w:ascii="Times New Roman" w:hAnsi="Times New Roman" w:cs="Times New Roman"/>
          <w:sz w:val="24"/>
          <w:szCs w:val="24"/>
        </w:rPr>
        <w:t xml:space="preserve">pašvaldības </w:t>
      </w:r>
      <w:r w:rsidRPr="00674730">
        <w:rPr>
          <w:rFonts w:ascii="Times New Roman" w:hAnsi="Times New Roman" w:cs="Times New Roman"/>
          <w:sz w:val="24"/>
          <w:szCs w:val="24"/>
        </w:rPr>
        <w:t xml:space="preserve">budžeta kā atlaide no tarifa (kompensācijas ar </w:t>
      </w:r>
      <w:r w:rsidRPr="00674730" w:rsidR="008F5E19">
        <w:rPr>
          <w:rFonts w:ascii="Times New Roman" w:hAnsi="Times New Roman" w:cs="Times New Roman"/>
          <w:sz w:val="24"/>
          <w:szCs w:val="24"/>
        </w:rPr>
        <w:t>pievienotās vērtības nodokli</w:t>
      </w:r>
      <w:r w:rsidRPr="00674730">
        <w:rPr>
          <w:rFonts w:ascii="Times New Roman" w:hAnsi="Times New Roman" w:cs="Times New Roman"/>
          <w:sz w:val="24"/>
          <w:szCs w:val="24"/>
        </w:rPr>
        <w:t xml:space="preserve">) </w:t>
      </w:r>
      <w:r w:rsidRPr="00674730">
        <w:rPr>
          <w:rFonts w:ascii="Times New Roman" w:hAnsi="Times New Roman" w:cs="Times New Roman"/>
          <w:sz w:val="24"/>
          <w:szCs w:val="24"/>
        </w:rPr>
        <w:t xml:space="preserve">vai noteikts samazināts tarifs (atvieglojums tiek iekļauts zaudējumu kompensācijā bez </w:t>
      </w:r>
      <w:r w:rsidRPr="00674730" w:rsidR="008F5E19">
        <w:rPr>
          <w:rFonts w:ascii="Times New Roman" w:hAnsi="Times New Roman" w:cs="Times New Roman"/>
          <w:sz w:val="24"/>
          <w:szCs w:val="24"/>
        </w:rPr>
        <w:t>pievienotās vērtības nodokļa</w:t>
      </w:r>
      <w:r w:rsidRPr="00674730">
        <w:rPr>
          <w:rFonts w:ascii="Times New Roman" w:hAnsi="Times New Roman" w:cs="Times New Roman"/>
          <w:sz w:val="24"/>
          <w:szCs w:val="24"/>
        </w:rPr>
        <w:t>)</w:t>
      </w:r>
      <w:r w:rsidRPr="00674730" w:rsidR="008F5E19">
        <w:rPr>
          <w:rFonts w:ascii="Times New Roman" w:hAnsi="Times New Roman" w:cs="Times New Roman"/>
          <w:sz w:val="24"/>
          <w:szCs w:val="24"/>
        </w:rPr>
        <w:t>;</w:t>
      </w:r>
    </w:p>
    <w:p w:rsidR="007E7F4E" w:rsidRPr="00674730" w:rsidP="00631723" w14:paraId="41983835" w14:textId="77777777">
      <w:pPr>
        <w:spacing w:after="0" w:line="276" w:lineRule="auto"/>
        <w:ind w:left="709" w:hanging="284"/>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2. </w:t>
      </w:r>
      <w:r w:rsidRPr="00674730" w:rsidR="008F5E19">
        <w:rPr>
          <w:rFonts w:ascii="Times New Roman" w:hAnsi="Times New Roman" w:cs="Times New Roman"/>
          <w:sz w:val="24"/>
          <w:szCs w:val="24"/>
        </w:rPr>
        <w:t xml:space="preserve">pašvaldību </w:t>
      </w:r>
      <w:r w:rsidRPr="00674730" w:rsidR="00AD4681">
        <w:rPr>
          <w:rFonts w:ascii="Times New Roman" w:hAnsi="Times New Roman" w:cs="Times New Roman"/>
          <w:sz w:val="24"/>
          <w:szCs w:val="24"/>
        </w:rPr>
        <w:t>A</w:t>
      </w:r>
      <w:r w:rsidRPr="00674730">
        <w:rPr>
          <w:rFonts w:ascii="Times New Roman" w:hAnsi="Times New Roman" w:cs="Times New Roman"/>
          <w:sz w:val="24"/>
          <w:szCs w:val="24"/>
        </w:rPr>
        <w:t xml:space="preserve">tvieglojumu uzskaite šobrīd netiek pietiekami nodrošināta, izņemot atsevišķas pašvaldības ar lokāli izstrādātām elektroniskas atvieglojumu uzskaites sistēmām, </w:t>
      </w:r>
      <w:r w:rsidRPr="00674730" w:rsidR="00BF10EC">
        <w:rPr>
          <w:rFonts w:ascii="Times New Roman" w:hAnsi="Times New Roman" w:cs="Times New Roman"/>
          <w:sz w:val="24"/>
          <w:szCs w:val="24"/>
        </w:rPr>
        <w:t xml:space="preserve">jo </w:t>
      </w:r>
      <w:r w:rsidRPr="00674730">
        <w:rPr>
          <w:rFonts w:ascii="Times New Roman" w:hAnsi="Times New Roman" w:cs="Times New Roman"/>
          <w:sz w:val="24"/>
          <w:szCs w:val="24"/>
        </w:rPr>
        <w:t>nelielām pašvaldībām, kas ir vairākumā, trūkst resursu un administratīvās kapacitātes uzskaites nodrošināšanai;</w:t>
      </w:r>
    </w:p>
    <w:p w:rsidR="007E7F4E" w:rsidRPr="00674730" w:rsidP="00631723" w14:paraId="07B11B9B" w14:textId="0C25C385">
      <w:pPr>
        <w:spacing w:after="0" w:line="276" w:lineRule="auto"/>
        <w:ind w:left="709" w:hanging="284"/>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3. </w:t>
      </w:r>
      <w:r w:rsidRPr="00674730" w:rsidR="008F5E19">
        <w:rPr>
          <w:rFonts w:ascii="Times New Roman" w:hAnsi="Times New Roman" w:cs="Times New Roman"/>
          <w:sz w:val="24"/>
          <w:szCs w:val="24"/>
        </w:rPr>
        <w:t xml:space="preserve">šobrīd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uzskaite ir grūti kontrolējama;</w:t>
      </w:r>
    </w:p>
    <w:p w:rsidR="007E7F4E" w:rsidRPr="00674730" w:rsidP="00631723" w14:paraId="307CAE53" w14:textId="1FCA86E2">
      <w:pPr>
        <w:spacing w:after="0" w:line="276" w:lineRule="auto"/>
        <w:ind w:left="709" w:hanging="284"/>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4. </w:t>
      </w:r>
      <w:r w:rsidRPr="00674730" w:rsidR="008F5E19">
        <w:rPr>
          <w:rFonts w:ascii="Times New Roman" w:hAnsi="Times New Roman" w:cs="Times New Roman"/>
          <w:sz w:val="24"/>
          <w:szCs w:val="24"/>
        </w:rPr>
        <w:t xml:space="preserve">nenotiek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uzskaite starp pašvaldībām, lai nodrošinātu budžeta līdzekļu saprātīgu izlietojumu;</w:t>
      </w:r>
    </w:p>
    <w:p w:rsidR="007E7F4E" w:rsidRPr="00674730" w:rsidP="00631723" w14:paraId="3A3875A7" w14:textId="77777777">
      <w:pPr>
        <w:spacing w:after="0" w:line="276" w:lineRule="auto"/>
        <w:ind w:left="709" w:hanging="284"/>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5. </w:t>
      </w:r>
      <w:r w:rsidRPr="00674730" w:rsidR="008F5E19">
        <w:rPr>
          <w:rFonts w:ascii="Times New Roman" w:hAnsi="Times New Roman" w:cs="Times New Roman"/>
          <w:sz w:val="24"/>
          <w:szCs w:val="24"/>
        </w:rPr>
        <w:t xml:space="preserve">uzskaites </w:t>
      </w:r>
      <w:r w:rsidRPr="00674730">
        <w:rPr>
          <w:rFonts w:ascii="Times New Roman" w:hAnsi="Times New Roman" w:cs="Times New Roman"/>
          <w:sz w:val="24"/>
          <w:szCs w:val="24"/>
        </w:rPr>
        <w:t>trūkums veicina ēnu ekonomiku. Uzskatāms piemērs ir pasažieru pārvadājumi</w:t>
      </w:r>
      <w:r w:rsidRPr="00674730" w:rsidR="008F5E19">
        <w:rPr>
          <w:rFonts w:ascii="Times New Roman" w:hAnsi="Times New Roman" w:cs="Times New Roman"/>
          <w:sz w:val="24"/>
          <w:szCs w:val="24"/>
        </w:rPr>
        <w:t xml:space="preserve"> </w:t>
      </w:r>
      <w:r w:rsidRPr="00674730">
        <w:rPr>
          <w:rFonts w:ascii="Times New Roman" w:hAnsi="Times New Roman" w:cs="Times New Roman"/>
          <w:sz w:val="24"/>
          <w:szCs w:val="24"/>
        </w:rPr>
        <w:t xml:space="preserve">- tiek ņemta samaksa, bet netiek izsniegtas biļetes, daudzi pārvadātāji atskaitēs norāda nepatiesus datus. </w:t>
      </w:r>
    </w:p>
    <w:p w:rsidR="0009653C" w:rsidRPr="00674730" w:rsidP="00631723" w14:paraId="230656CB" w14:textId="77777777">
      <w:pPr>
        <w:spacing w:after="0" w:line="276" w:lineRule="auto"/>
        <w:ind w:firstLine="720"/>
        <w:contextualSpacing/>
        <w:jc w:val="both"/>
        <w:rPr>
          <w:rFonts w:ascii="Times New Roman" w:hAnsi="Times New Roman" w:cs="Times New Roman"/>
          <w:sz w:val="24"/>
          <w:szCs w:val="24"/>
        </w:rPr>
      </w:pPr>
    </w:p>
    <w:p w:rsidR="006330E9" w:rsidRPr="00674730" w:rsidP="00E151C6" w14:paraId="453C7C64" w14:textId="37A55419">
      <w:pPr>
        <w:spacing w:line="276" w:lineRule="auto"/>
        <w:ind w:firstLine="720"/>
        <w:jc w:val="both"/>
        <w:rPr>
          <w:rFonts w:ascii="Times New Roman" w:hAnsi="Times New Roman"/>
          <w:sz w:val="24"/>
          <w:szCs w:val="24"/>
        </w:rPr>
      </w:pPr>
      <w:r w:rsidRPr="00674730">
        <w:rPr>
          <w:rFonts w:ascii="Times New Roman" w:hAnsi="Times New Roman"/>
          <w:sz w:val="24"/>
          <w:szCs w:val="24"/>
          <w:lang w:eastAsia="lv-LV"/>
        </w:rPr>
        <w:t xml:space="preserve">Vienlaikus norādām, ka </w:t>
      </w:r>
      <w:r w:rsidRPr="00674730">
        <w:rPr>
          <w:rFonts w:ascii="Times New Roman" w:hAnsi="Times New Roman"/>
          <w:sz w:val="24"/>
          <w:szCs w:val="24"/>
        </w:rPr>
        <w:t xml:space="preserve">Atvieglojumu uzskaites koplietošanas risinājums valsts un pašvaldību atvieglojumu administrēšanai, ko </w:t>
      </w:r>
      <w:r w:rsidRPr="00674730" w:rsidR="00F27FEB">
        <w:rPr>
          <w:rFonts w:ascii="Times New Roman" w:hAnsi="Times New Roman"/>
          <w:sz w:val="24"/>
          <w:szCs w:val="24"/>
        </w:rPr>
        <w:t>plānots</w:t>
      </w:r>
      <w:r w:rsidRPr="00674730">
        <w:rPr>
          <w:rFonts w:ascii="Times New Roman" w:hAnsi="Times New Roman"/>
          <w:sz w:val="24"/>
          <w:szCs w:val="24"/>
        </w:rPr>
        <w:t xml:space="preserve"> izstrādāt kā atvērtu koplietošanas risinājumu VRAA infrastruktūrā un kas ietvers Vienoto iedzīvotāju atvieglojumu karšu reģistru, Vienoto iedzīvotāju </w:t>
      </w:r>
      <w:r w:rsidRPr="00674730" w:rsidR="00CB72F7">
        <w:rPr>
          <w:rFonts w:ascii="Times New Roman" w:hAnsi="Times New Roman"/>
          <w:sz w:val="24"/>
          <w:szCs w:val="24"/>
        </w:rPr>
        <w:t xml:space="preserve">atvieglojumu </w:t>
      </w:r>
      <w:r w:rsidRPr="00674730">
        <w:rPr>
          <w:rFonts w:ascii="Times New Roman" w:hAnsi="Times New Roman"/>
          <w:sz w:val="24"/>
          <w:szCs w:val="24"/>
        </w:rPr>
        <w:t xml:space="preserve">reģistru un Atvieglojumu saņēmēju grupu savietotāju, </w:t>
      </w:r>
      <w:r w:rsidRPr="00674730">
        <w:rPr>
          <w:rFonts w:ascii="Times New Roman" w:hAnsi="Times New Roman"/>
          <w:sz w:val="24"/>
          <w:szCs w:val="24"/>
          <w:u w:val="single"/>
        </w:rPr>
        <w:t>netiek attiecināts uz valsts noteikto braukšanas maksas atvieglojumu saņēmēju administrēšanu valsts noteiktiem braukšanas maksas atvieglojumiem reģionālās nozīmes sabiedriskajā transportā</w:t>
      </w:r>
      <w:r w:rsidRPr="00674730">
        <w:rPr>
          <w:rFonts w:ascii="Times New Roman" w:hAnsi="Times New Roman"/>
          <w:sz w:val="24"/>
          <w:szCs w:val="24"/>
        </w:rPr>
        <w:t xml:space="preserve">. </w:t>
      </w:r>
    </w:p>
    <w:p w:rsidR="006330E9" w:rsidRPr="00674730" w:rsidP="006330E9" w14:paraId="3C7CEF94"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sz w:val="24"/>
          <w:szCs w:val="24"/>
        </w:rPr>
        <w:t>Sabiedriskā transporta pakalpojuma likuma 14.</w:t>
      </w:r>
      <w:r w:rsidRPr="00674730">
        <w:rPr>
          <w:rFonts w:ascii="Times New Roman" w:hAnsi="Times New Roman"/>
          <w:sz w:val="24"/>
          <w:szCs w:val="24"/>
          <w:vertAlign w:val="superscript"/>
        </w:rPr>
        <w:t xml:space="preserve">1 </w:t>
      </w:r>
      <w:r w:rsidRPr="00674730">
        <w:rPr>
          <w:rFonts w:ascii="Times New Roman" w:hAnsi="Times New Roman"/>
          <w:sz w:val="24"/>
          <w:szCs w:val="24"/>
        </w:rPr>
        <w:t>pants un Ministru kabineta 2017.gada 27.jūnija noteikumi Nr.371 “Braukšanas maksas atvieglojumu noteikumu”</w:t>
      </w:r>
      <w:r w:rsidRPr="00674730">
        <w:rPr>
          <w:rFonts w:ascii="Times New Roman" w:hAnsi="Times New Roman"/>
          <w:sz w:val="24"/>
          <w:szCs w:val="24"/>
          <w:lang w:eastAsia="lv-LV"/>
        </w:rPr>
        <w:t xml:space="preserve"> paredz uzdevumu </w:t>
      </w:r>
      <w:r w:rsidRPr="00674730">
        <w:rPr>
          <w:rFonts w:ascii="Times New Roman" w:hAnsi="Times New Roman"/>
          <w:sz w:val="24"/>
          <w:szCs w:val="24"/>
        </w:rPr>
        <w:t>Satiksmes ministrijai (Autotransporta direkcijai) šim mērķim piešķirtā valsts budžeta finansējuma ietvaros līdz 2018.gada 30.jūnijam izveidot braukšanas maksas atvieglojumu saņēmēju uzskaites valsts informācijas sistēmu un līdz 2019.gada 31.decembrim noteikt valsts noteikto braukšanas maksas atvieglojumu saņēmēju elektroniskās identifikācijas risinājumu un identifikācijas līdzekli reģionālās n</w:t>
      </w:r>
      <w:r w:rsidRPr="00674730" w:rsidR="00F27FEB">
        <w:rPr>
          <w:rFonts w:ascii="Times New Roman" w:hAnsi="Times New Roman"/>
          <w:sz w:val="24"/>
          <w:szCs w:val="24"/>
        </w:rPr>
        <w:t>ozīmes transportlīdzekļos.</w:t>
      </w:r>
    </w:p>
    <w:p w:rsidR="0090563E" w:rsidRPr="00674730" w:rsidP="00631723" w14:paraId="1FFFE625" w14:textId="77777777">
      <w:pPr>
        <w:spacing w:after="0" w:line="276" w:lineRule="auto"/>
        <w:ind w:firstLine="426"/>
        <w:jc w:val="both"/>
        <w:rPr>
          <w:rFonts w:ascii="Times New Roman" w:hAnsi="Times New Roman" w:cs="Times New Roman"/>
          <w:sz w:val="24"/>
          <w:szCs w:val="24"/>
        </w:rPr>
      </w:pPr>
      <w:r w:rsidRPr="00674730">
        <w:rPr>
          <w:rFonts w:ascii="Times New Roman" w:hAnsi="Times New Roman" w:cs="Times New Roman"/>
          <w:sz w:val="24"/>
          <w:szCs w:val="24"/>
        </w:rPr>
        <w:t>Vēršam uzmanību</w:t>
      </w:r>
      <w:r w:rsidRPr="00674730" w:rsidR="002203AC">
        <w:rPr>
          <w:rFonts w:ascii="Times New Roman" w:hAnsi="Times New Roman" w:cs="Times New Roman"/>
          <w:sz w:val="24"/>
          <w:szCs w:val="24"/>
        </w:rPr>
        <w:t xml:space="preserve">, ka Atvieglojumu uzskaites koplietošanas risinājumam tiks nodrošināta integrācijas iespēja ar </w:t>
      </w:r>
      <w:r w:rsidRPr="00674730">
        <w:rPr>
          <w:rFonts w:ascii="Times New Roman" w:hAnsi="Times New Roman"/>
          <w:sz w:val="24"/>
          <w:szCs w:val="24"/>
        </w:rPr>
        <w:t>Satiksmes ministrijas (</w:t>
      </w:r>
      <w:r w:rsidRPr="00674730" w:rsidR="002203AC">
        <w:rPr>
          <w:rFonts w:ascii="Times New Roman" w:hAnsi="Times New Roman" w:cs="Times New Roman"/>
          <w:sz w:val="24"/>
          <w:szCs w:val="24"/>
        </w:rPr>
        <w:t>Autotransporta direkcijas</w:t>
      </w:r>
      <w:r w:rsidRPr="00674730">
        <w:rPr>
          <w:rFonts w:ascii="Times New Roman" w:hAnsi="Times New Roman" w:cs="Times New Roman"/>
          <w:sz w:val="24"/>
          <w:szCs w:val="24"/>
        </w:rPr>
        <w:t>)</w:t>
      </w:r>
      <w:r w:rsidRPr="00674730" w:rsidR="002203AC">
        <w:rPr>
          <w:rFonts w:ascii="Times New Roman" w:hAnsi="Times New Roman" w:cs="Times New Roman"/>
          <w:sz w:val="24"/>
          <w:szCs w:val="24"/>
        </w:rPr>
        <w:t xml:space="preserve"> braukšanas maksas atvieglojumu saņēmēju uzskaites valsts informācijas sistēmu</w:t>
      </w:r>
      <w:r w:rsidRPr="00674730" w:rsidR="00BF10EC">
        <w:rPr>
          <w:rFonts w:ascii="Times New Roman" w:hAnsi="Times New Roman" w:cs="Times New Roman"/>
          <w:sz w:val="24"/>
          <w:szCs w:val="24"/>
        </w:rPr>
        <w:t>, jo tā</w:t>
      </w:r>
      <w:r w:rsidRPr="00674730">
        <w:rPr>
          <w:rFonts w:ascii="Times New Roman" w:hAnsi="Times New Roman" w:cs="Times New Roman"/>
          <w:sz w:val="24"/>
          <w:szCs w:val="24"/>
        </w:rPr>
        <w:t xml:space="preserve">s braukšanas maksas atvieglojumu saņēmēju identifikācijas un veikto braucienu uzskaites sistēmas risinājumu plānots realizēt uz </w:t>
      </w:r>
      <w:r w:rsidRPr="00674730" w:rsidR="002167F1">
        <w:rPr>
          <w:rFonts w:ascii="Times New Roman" w:hAnsi="Times New Roman" w:cs="Times New Roman"/>
          <w:sz w:val="24"/>
          <w:szCs w:val="24"/>
        </w:rPr>
        <w:t>VIS</w:t>
      </w:r>
      <w:r w:rsidRPr="00674730" w:rsidR="00BF10EC">
        <w:rPr>
          <w:rFonts w:ascii="Times New Roman" w:hAnsi="Times New Roman" w:cs="Times New Roman"/>
          <w:sz w:val="24"/>
          <w:szCs w:val="24"/>
        </w:rPr>
        <w:t>S</w:t>
      </w:r>
      <w:r w:rsidRPr="00674730">
        <w:rPr>
          <w:rFonts w:ascii="Times New Roman" w:hAnsi="Times New Roman" w:cs="Times New Roman"/>
          <w:sz w:val="24"/>
          <w:szCs w:val="24"/>
        </w:rPr>
        <w:t xml:space="preserve"> bāzes</w:t>
      </w:r>
      <w:r w:rsidRPr="00674730" w:rsidR="002203AC">
        <w:rPr>
          <w:rFonts w:ascii="Times New Roman" w:hAnsi="Times New Roman" w:cs="Times New Roman"/>
          <w:sz w:val="24"/>
          <w:szCs w:val="24"/>
        </w:rPr>
        <w:t>.</w:t>
      </w:r>
    </w:p>
    <w:p w:rsidR="002167F1" w:rsidRPr="00674730" w:rsidP="002167F1" w14:paraId="372CEA11" w14:textId="5C982307">
      <w:pPr>
        <w:spacing w:after="0" w:line="276" w:lineRule="auto"/>
        <w:ind w:firstLine="426"/>
        <w:jc w:val="both"/>
        <w:rPr>
          <w:rFonts w:ascii="Times New Roman" w:eastAsia="Calibri" w:hAnsi="Times New Roman" w:cs="Times New Roman"/>
          <w:sz w:val="24"/>
          <w:szCs w:val="24"/>
        </w:rPr>
      </w:pPr>
      <w:r w:rsidRPr="00674730">
        <w:rPr>
          <w:rFonts w:ascii="Times New Roman" w:eastAsia="Calibri" w:hAnsi="Times New Roman" w:cs="Times New Roman"/>
          <w:sz w:val="24"/>
          <w:szCs w:val="24"/>
        </w:rPr>
        <w:t>Centralizētā Atvieglojumu uzskaites koplietošanas risinājumu valsts un pašvaldību atvieglojumu administrēšanai ir piedāvāts izstrādāt atvērtu kā koplietošanas risinājumu, ar nosacījumu, ka koplietošanas risinājumam ir jānodrošina valsts un pašvaldību administrēto Atvieglojumu kopēja apstrāde. Koplietošanas risinājuma ietvaros jāizveido funkcionalitāte saskarnēm datu saņemšanai no valsts iestādēm un pašvaldībām, definējot atvieglojumus un to apmērus, kā arī datu nodošanu atvieglojumu devējiem, tai skaitā saskarni ar braukšanas maksas atvieglojumu saņēmēju uzskaites valsts informācijas sistēmu.</w:t>
      </w:r>
    </w:p>
    <w:p w:rsidR="009A6E96" w:rsidRPr="00674730" w:rsidP="00631723" w14:paraId="511C52BC" w14:textId="5F7AAD7D">
      <w:pPr>
        <w:spacing w:after="0" w:line="276" w:lineRule="auto"/>
        <w:ind w:firstLine="426"/>
        <w:jc w:val="both"/>
        <w:rPr>
          <w:rFonts w:ascii="Times New Roman" w:hAnsi="Times New Roman" w:cs="Times New Roman"/>
          <w:sz w:val="24"/>
          <w:szCs w:val="24"/>
        </w:rPr>
      </w:pPr>
      <w:r w:rsidRPr="00674730">
        <w:rPr>
          <w:rFonts w:ascii="Times New Roman" w:hAnsi="Times New Roman" w:cs="Times New Roman"/>
          <w:sz w:val="24"/>
          <w:szCs w:val="24"/>
        </w:rPr>
        <w:t>Kā</w:t>
      </w:r>
      <w:r w:rsidRPr="00674730" w:rsidR="0090563E">
        <w:rPr>
          <w:rFonts w:ascii="Times New Roman" w:hAnsi="Times New Roman" w:cs="Times New Roman"/>
          <w:sz w:val="24"/>
          <w:szCs w:val="24"/>
        </w:rPr>
        <w:t xml:space="preserve"> norādījusi Valsts kontrole 2017.gada revīzijas ziņojum</w:t>
      </w:r>
      <w:r w:rsidRPr="00674730" w:rsidR="002F537F">
        <w:rPr>
          <w:rFonts w:ascii="Times New Roman" w:hAnsi="Times New Roman" w:cs="Times New Roman"/>
          <w:sz w:val="24"/>
          <w:szCs w:val="24"/>
        </w:rPr>
        <w:t>a kopsavilkumā</w:t>
      </w:r>
      <w:r w:rsidRPr="00674730" w:rsidR="0090563E">
        <w:rPr>
          <w:rFonts w:ascii="Times New Roman" w:hAnsi="Times New Roman" w:cs="Times New Roman"/>
          <w:sz w:val="24"/>
          <w:szCs w:val="24"/>
        </w:rPr>
        <w:t xml:space="preserve"> “Vai valsts pārvalde efektīvi rīkojas ar uzkrāto informāciju?”</w:t>
      </w:r>
      <w:r>
        <w:rPr>
          <w:rStyle w:val="FootnoteReference"/>
          <w:rFonts w:ascii="Times New Roman" w:hAnsi="Times New Roman" w:cs="Times New Roman"/>
          <w:sz w:val="24"/>
          <w:szCs w:val="24"/>
        </w:rPr>
        <w:footnoteReference w:id="4"/>
      </w:r>
      <w:r w:rsidRPr="00674730" w:rsidR="0090563E">
        <w:rPr>
          <w:rFonts w:ascii="Times New Roman" w:hAnsi="Times New Roman" w:cs="Times New Roman"/>
          <w:sz w:val="24"/>
          <w:szCs w:val="24"/>
        </w:rPr>
        <w:t>, valsts pārvaldē turpina pieaugt dažādu citu veidu informācijas sistēmu savienojumu skaits, kuru integrācija VISS vēlāk būs jau sarežģītāka un dārgāka.</w:t>
      </w:r>
      <w:r w:rsidRPr="00674730">
        <w:rPr>
          <w:rFonts w:ascii="Times New Roman" w:hAnsi="Times New Roman" w:cs="Times New Roman"/>
          <w:sz w:val="24"/>
          <w:szCs w:val="24"/>
        </w:rPr>
        <w:t xml:space="preserve"> </w:t>
      </w:r>
    </w:p>
    <w:p w:rsidR="00471CF3" w:rsidRPr="00674730" w:rsidP="00631723" w14:paraId="469ED7DA" w14:textId="62048A0D">
      <w:pPr>
        <w:spacing w:after="0" w:line="276" w:lineRule="auto"/>
        <w:ind w:firstLine="426"/>
        <w:jc w:val="both"/>
        <w:rPr>
          <w:rFonts w:ascii="Times New Roman" w:hAnsi="Times New Roman" w:cs="Times New Roman"/>
          <w:sz w:val="24"/>
          <w:szCs w:val="24"/>
        </w:rPr>
      </w:pPr>
      <w:r w:rsidRPr="00674730">
        <w:rPr>
          <w:rFonts w:ascii="Times New Roman" w:hAnsi="Times New Roman" w:cs="Times New Roman"/>
          <w:sz w:val="24"/>
          <w:szCs w:val="24"/>
        </w:rPr>
        <w:t>VARAM</w:t>
      </w:r>
      <w:r w:rsidRPr="00674730">
        <w:rPr>
          <w:rFonts w:ascii="Times New Roman" w:hAnsi="Times New Roman" w:cs="Times New Roman"/>
          <w:sz w:val="24"/>
          <w:szCs w:val="24"/>
        </w:rPr>
        <w:t xml:space="preserve"> ir ņēmusi vērā Valsts kontroles ieteikumus un uzsākusi darbu, lai pilnveidotu un konkretizētu valsts politiku datu apmaiņas jomā; plānotu, uzraudzītu un standartizētu datu apmaiņas aktivitātes valsts pārvaldē kopumā, nosakot vienotu pieeju un principus datu apmaiņas organizēšanai un koordinējot iestāžu starpnozaru sadarbību, kā arī mērķtiecīgi pieslēdzot valsts informācijas sistēmas izveidotajai VISS datu apmaiņas platformai.</w:t>
      </w:r>
    </w:p>
    <w:p w:rsidR="001D6021" w:rsidRPr="00674730" w:rsidP="00631723" w14:paraId="0A4CAD69" w14:textId="77777777">
      <w:pPr>
        <w:spacing w:after="0" w:line="276" w:lineRule="auto"/>
        <w:ind w:firstLine="426"/>
        <w:jc w:val="both"/>
        <w:rPr>
          <w:rFonts w:ascii="Times New Roman" w:hAnsi="Times New Roman" w:cs="Times New Roman"/>
          <w:sz w:val="24"/>
          <w:szCs w:val="24"/>
        </w:rPr>
      </w:pPr>
    </w:p>
    <w:p w:rsidR="000E1231" w:rsidRPr="00674730" w:rsidP="00693576" w14:paraId="5FA16A17" w14:textId="77777777">
      <w:pPr>
        <w:pStyle w:val="Heading1"/>
        <w:rPr>
          <w:rFonts w:ascii="Times New Roman" w:hAnsi="Times New Roman" w:cs="Times New Roman"/>
          <w:b/>
          <w:color w:val="auto"/>
          <w:sz w:val="24"/>
          <w:szCs w:val="24"/>
        </w:rPr>
      </w:pPr>
      <w:bookmarkStart w:id="3" w:name="_Toc503453995"/>
      <w:r w:rsidRPr="00674730">
        <w:rPr>
          <w:rFonts w:ascii="Times New Roman" w:hAnsi="Times New Roman" w:cs="Times New Roman"/>
          <w:b/>
          <w:color w:val="auto"/>
          <w:sz w:val="24"/>
          <w:szCs w:val="24"/>
        </w:rPr>
        <w:t>2.</w:t>
      </w:r>
      <w:r w:rsidRPr="00674730">
        <w:rPr>
          <w:rFonts w:ascii="Times New Roman" w:hAnsi="Times New Roman" w:cs="Times New Roman"/>
          <w:b/>
          <w:color w:val="auto"/>
          <w:sz w:val="24"/>
          <w:szCs w:val="24"/>
        </w:rPr>
        <w:t>Risinājums un tā izstrādes mērķi</w:t>
      </w:r>
      <w:bookmarkEnd w:id="3"/>
    </w:p>
    <w:p w:rsidR="000E1231" w:rsidRPr="00674730" w:rsidP="00631723" w14:paraId="4E6FE92B" w14:textId="77777777">
      <w:pPr>
        <w:spacing w:after="0" w:line="276" w:lineRule="auto"/>
        <w:contextualSpacing/>
        <w:jc w:val="both"/>
        <w:rPr>
          <w:rFonts w:ascii="Times New Roman" w:hAnsi="Times New Roman" w:cs="Times New Roman"/>
          <w:sz w:val="12"/>
          <w:szCs w:val="24"/>
        </w:rPr>
      </w:pPr>
    </w:p>
    <w:p w:rsidR="000E1231" w:rsidRPr="00674730" w:rsidP="00631723" w14:paraId="3650F748" w14:textId="5384A0E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Risinājuma izstrādes mērķis ir izveidot tā lietotājiem ērtu, viegli saprotamu sistēmu, kas nodrošina precīzu Atvieglojumu saņēmēju identifikāciju un Atvieglojumu norādījumu izpildi. </w:t>
      </w:r>
      <w:r w:rsidRPr="00674730" w:rsidR="00844097">
        <w:rPr>
          <w:rFonts w:ascii="Times New Roman" w:hAnsi="Times New Roman" w:cs="Times New Roman"/>
          <w:sz w:val="24"/>
          <w:szCs w:val="24"/>
        </w:rPr>
        <w:t xml:space="preserve">Tādējādi nodrošinot iespēju veikt analīzi par esošās valsts un pašvaldību politikas realizāciju, sasniegtajiem mērķiem, vērtējot precīzus datus radot iespēju veikt secinājumus par nepieciešamajiem pilnveidojumiem. </w:t>
      </w:r>
      <w:r w:rsidRPr="00674730">
        <w:rPr>
          <w:rFonts w:ascii="Times New Roman" w:hAnsi="Times New Roman" w:cs="Times New Roman"/>
          <w:sz w:val="24"/>
          <w:szCs w:val="24"/>
        </w:rPr>
        <w:t xml:space="preserve">Lai ieviestu centralizētu Atvieglojumu uzskaites koplietošanas risinājumu valsts un pašvaldību atvieglojumu administrēšanai, ir piedāvāts izstrādāt atvērtu koplietošanas risinājumu </w:t>
      </w:r>
      <w:r w:rsidRPr="00674730" w:rsidR="005C58C1">
        <w:rPr>
          <w:rFonts w:ascii="Times New Roman" w:hAnsi="Times New Roman" w:cs="Times New Roman"/>
          <w:sz w:val="24"/>
          <w:szCs w:val="24"/>
        </w:rPr>
        <w:t>VRAA</w:t>
      </w:r>
      <w:r w:rsidRPr="00674730" w:rsidR="008F5E19">
        <w:rPr>
          <w:rFonts w:ascii="Times New Roman" w:hAnsi="Times New Roman" w:cs="Times New Roman"/>
          <w:sz w:val="24"/>
          <w:szCs w:val="24"/>
        </w:rPr>
        <w:t xml:space="preserve"> </w:t>
      </w:r>
      <w:r w:rsidRPr="00674730">
        <w:rPr>
          <w:rFonts w:ascii="Times New Roman" w:hAnsi="Times New Roman" w:cs="Times New Roman"/>
          <w:sz w:val="24"/>
          <w:szCs w:val="24"/>
        </w:rPr>
        <w:t xml:space="preserve">infrastruktūrā, kas ietver Vienoto iedzīvotāju atvieglojumu karšu reģistru, Vienoto iedzīvotāju </w:t>
      </w:r>
      <w:r w:rsidRPr="00674730" w:rsidR="00CB72F7">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reģistru un Atvieglojumu saņēmēju grupu savietotāju. </w:t>
      </w:r>
    </w:p>
    <w:p w:rsidR="00826FE5" w:rsidRPr="00674730" w:rsidP="00631723" w14:paraId="2D4C9B12" w14:textId="77777777">
      <w:pPr>
        <w:spacing w:after="0" w:line="276" w:lineRule="auto"/>
        <w:ind w:firstLine="720"/>
        <w:contextualSpacing/>
        <w:jc w:val="both"/>
        <w:rPr>
          <w:rFonts w:ascii="Times New Roman" w:hAnsi="Times New Roman" w:cs="Times New Roman"/>
          <w:sz w:val="14"/>
          <w:szCs w:val="24"/>
        </w:rPr>
      </w:pPr>
    </w:p>
    <w:p w:rsidR="000E1231" w:rsidRPr="00674730" w:rsidP="00631723" w14:paraId="25FA1B93"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Koplietošanas risinājuma ietvaros nepieciešams realizēt šādu funkcionalitāti:</w:t>
      </w:r>
    </w:p>
    <w:p w:rsidR="000E1231" w:rsidRPr="00674730" w:rsidP="00482086" w14:paraId="0700A05C" w14:textId="1BCA2322">
      <w:pPr>
        <w:pStyle w:val="ListParagraph"/>
        <w:numPr>
          <w:ilvl w:val="0"/>
          <w:numId w:val="2"/>
        </w:numPr>
        <w:spacing w:after="0" w:line="276" w:lineRule="auto"/>
        <w:ind w:left="709"/>
        <w:jc w:val="both"/>
        <w:rPr>
          <w:rFonts w:ascii="Times New Roman" w:hAnsi="Times New Roman" w:cs="Times New Roman"/>
          <w:sz w:val="24"/>
          <w:szCs w:val="24"/>
        </w:rPr>
      </w:pPr>
      <w:r w:rsidRPr="00674730">
        <w:rPr>
          <w:rFonts w:ascii="Times New Roman" w:hAnsi="Times New Roman" w:cs="Times New Roman"/>
          <w:sz w:val="24"/>
          <w:szCs w:val="24"/>
        </w:rPr>
        <w:t>“</w:t>
      </w:r>
      <w:bookmarkStart w:id="4" w:name="OLE_LINK1"/>
      <w:bookmarkStart w:id="5" w:name="OLE_LINK2"/>
      <w:r w:rsidRPr="00674730">
        <w:rPr>
          <w:rFonts w:ascii="Times New Roman" w:hAnsi="Times New Roman" w:cs="Times New Roman"/>
          <w:sz w:val="24"/>
          <w:szCs w:val="24"/>
        </w:rPr>
        <w:t>Vienotais iedzīvotāju atvieglojumu karšu reģistrs</w:t>
      </w:r>
      <w:bookmarkEnd w:id="4"/>
      <w:bookmarkEnd w:id="5"/>
      <w:r w:rsidRPr="00674730">
        <w:rPr>
          <w:rFonts w:ascii="Times New Roman" w:hAnsi="Times New Roman" w:cs="Times New Roman"/>
          <w:sz w:val="24"/>
          <w:szCs w:val="24"/>
        </w:rPr>
        <w:t xml:space="preserve">”, kurš saturētu Latvijas iedzīvotāju </w:t>
      </w:r>
      <w:r w:rsidRPr="00674730" w:rsidR="005B6E61">
        <w:rPr>
          <w:rFonts w:ascii="Times New Roman" w:hAnsi="Times New Roman" w:cs="Times New Roman"/>
          <w:sz w:val="24"/>
          <w:szCs w:val="24"/>
        </w:rPr>
        <w:t xml:space="preserve">reģistrētās </w:t>
      </w:r>
      <w:r w:rsidRPr="00674730">
        <w:rPr>
          <w:rFonts w:ascii="Times New Roman" w:hAnsi="Times New Roman" w:cs="Times New Roman"/>
          <w:sz w:val="24"/>
          <w:szCs w:val="24"/>
        </w:rPr>
        <w:t xml:space="preserve">kartes. </w:t>
      </w:r>
      <w:r w:rsidRPr="00674730" w:rsidR="00DF47FE">
        <w:rPr>
          <w:rFonts w:ascii="Times New Roman" w:hAnsi="Times New Roman" w:cs="Times New Roman"/>
          <w:sz w:val="24"/>
          <w:szCs w:val="24"/>
        </w:rPr>
        <w:t xml:space="preserve">Reģistrētās </w:t>
      </w:r>
      <w:r w:rsidRPr="00674730">
        <w:rPr>
          <w:rFonts w:ascii="Times New Roman" w:hAnsi="Times New Roman" w:cs="Times New Roman"/>
          <w:sz w:val="24"/>
          <w:szCs w:val="24"/>
        </w:rPr>
        <w:t xml:space="preserve">kartes izmanto </w:t>
      </w:r>
      <w:r w:rsidRPr="00674730" w:rsidR="00CB72F7">
        <w:rPr>
          <w:rFonts w:ascii="Times New Roman" w:hAnsi="Times New Roman" w:cs="Times New Roman"/>
          <w:sz w:val="24"/>
          <w:szCs w:val="24"/>
        </w:rPr>
        <w:t>atvieglojumu</w:t>
      </w:r>
      <w:r w:rsidRPr="00674730">
        <w:rPr>
          <w:rFonts w:ascii="Times New Roman" w:hAnsi="Times New Roman" w:cs="Times New Roman"/>
          <w:sz w:val="24"/>
          <w:szCs w:val="24"/>
        </w:rPr>
        <w:t xml:space="preserve"> saņemšanai, </w:t>
      </w:r>
      <w:r w:rsidRPr="00674730" w:rsidR="00CB72F7">
        <w:rPr>
          <w:rFonts w:ascii="Times New Roman" w:hAnsi="Times New Roman" w:cs="Times New Roman"/>
          <w:sz w:val="24"/>
          <w:szCs w:val="24"/>
        </w:rPr>
        <w:t xml:space="preserve">ēdināšanas pakalpojumu sniegšanā </w:t>
      </w:r>
      <w:r w:rsidRPr="00674730">
        <w:rPr>
          <w:rFonts w:ascii="Times New Roman" w:hAnsi="Times New Roman" w:cs="Times New Roman"/>
          <w:sz w:val="24"/>
          <w:szCs w:val="24"/>
        </w:rPr>
        <w:t>maznodrošinātajiem</w:t>
      </w:r>
      <w:r w:rsidRPr="00674730" w:rsidR="005B6E61">
        <w:rPr>
          <w:rFonts w:ascii="Times New Roman" w:hAnsi="Times New Roman" w:cs="Times New Roman"/>
          <w:sz w:val="24"/>
          <w:szCs w:val="24"/>
        </w:rPr>
        <w:t>, trūcīgajiem</w:t>
      </w:r>
      <w:r w:rsidRPr="00674730">
        <w:rPr>
          <w:rFonts w:ascii="Times New Roman" w:hAnsi="Times New Roman" w:cs="Times New Roman"/>
          <w:sz w:val="24"/>
          <w:szCs w:val="24"/>
        </w:rPr>
        <w:t xml:space="preserve"> un skolēniem, citās pašvaldības atlaižu un lojalitātes programmā</w:t>
      </w:r>
      <w:r w:rsidRPr="00674730" w:rsidR="00F50F7E">
        <w:rPr>
          <w:rFonts w:ascii="Times New Roman" w:hAnsi="Times New Roman" w:cs="Times New Roman"/>
          <w:sz w:val="24"/>
          <w:szCs w:val="24"/>
        </w:rPr>
        <w:t>s</w:t>
      </w:r>
      <w:r w:rsidRPr="00674730" w:rsidR="00C85235">
        <w:rPr>
          <w:rFonts w:ascii="Times New Roman" w:hAnsi="Times New Roman" w:cs="Times New Roman"/>
          <w:sz w:val="24"/>
          <w:szCs w:val="24"/>
        </w:rPr>
        <w:t>, kā arī integrējas ar braukšanas maksas atvieglojumiem sabiedriskajā transportā</w:t>
      </w:r>
      <w:r w:rsidRPr="00674730">
        <w:rPr>
          <w:rFonts w:ascii="Times New Roman" w:hAnsi="Times New Roman" w:cs="Times New Roman"/>
          <w:sz w:val="24"/>
          <w:szCs w:val="24"/>
        </w:rPr>
        <w:t xml:space="preserve">. Valsts pārvaldes pakalpojumu portālā </w:t>
      </w:r>
      <w:r w:rsidRPr="00674730" w:rsidR="007C7383">
        <w:rPr>
          <w:rFonts w:ascii="Times New Roman" w:hAnsi="Times New Roman" w:cs="Times New Roman"/>
          <w:sz w:val="24"/>
          <w:szCs w:val="24"/>
        </w:rPr>
        <w:t xml:space="preserve">nepieciešams </w:t>
      </w:r>
      <w:r w:rsidRPr="00674730">
        <w:rPr>
          <w:rFonts w:ascii="Times New Roman" w:hAnsi="Times New Roman" w:cs="Times New Roman"/>
          <w:sz w:val="24"/>
          <w:szCs w:val="24"/>
        </w:rPr>
        <w:t xml:space="preserve">izveidot e-pakalpojumu karšu reģistrācijai un tīmekļa </w:t>
      </w:r>
      <w:r w:rsidRPr="00674730" w:rsidR="00BC1C53">
        <w:rPr>
          <w:rFonts w:ascii="Times New Roman" w:hAnsi="Times New Roman" w:cs="Times New Roman"/>
          <w:sz w:val="24"/>
          <w:szCs w:val="24"/>
        </w:rPr>
        <w:t>pa</w:t>
      </w:r>
      <w:r w:rsidRPr="00674730" w:rsidR="00D86FB3">
        <w:rPr>
          <w:rFonts w:ascii="Times New Roman" w:hAnsi="Times New Roman" w:cs="Times New Roman"/>
          <w:sz w:val="24"/>
          <w:szCs w:val="24"/>
        </w:rPr>
        <w:t>kalpi</w:t>
      </w:r>
      <w:r w:rsidRPr="00674730">
        <w:rPr>
          <w:rFonts w:ascii="Times New Roman" w:hAnsi="Times New Roman" w:cs="Times New Roman"/>
          <w:sz w:val="24"/>
          <w:szCs w:val="24"/>
        </w:rPr>
        <w:t xml:space="preserve">, kas ļauj kartes reģistrēt no citiem portāliem, klātienē skolās, </w:t>
      </w:r>
      <w:r w:rsidRPr="00674730" w:rsidR="00D83379">
        <w:rPr>
          <w:rFonts w:ascii="Times New Roman" w:hAnsi="Times New Roman" w:cs="Times New Roman"/>
          <w:sz w:val="24"/>
          <w:szCs w:val="24"/>
        </w:rPr>
        <w:t xml:space="preserve">KAC </w:t>
      </w:r>
      <w:r w:rsidRPr="00674730">
        <w:rPr>
          <w:rFonts w:ascii="Times New Roman" w:hAnsi="Times New Roman" w:cs="Times New Roman"/>
          <w:sz w:val="24"/>
          <w:szCs w:val="24"/>
        </w:rPr>
        <w:t>vai publiskos interneta pieejas punktos. Risinājuma realizācijai jāpiesaista</w:t>
      </w:r>
      <w:r w:rsidRPr="00674730" w:rsidR="002E7E9D">
        <w:rPr>
          <w:rFonts w:ascii="Times New Roman" w:hAnsi="Times New Roman" w:cs="Times New Roman"/>
          <w:sz w:val="24"/>
          <w:szCs w:val="24"/>
        </w:rPr>
        <w:t xml:space="preserve"> </w:t>
      </w:r>
      <w:r w:rsidRPr="00674730">
        <w:rPr>
          <w:rFonts w:ascii="Times New Roman" w:hAnsi="Times New Roman" w:cs="Times New Roman"/>
          <w:sz w:val="24"/>
          <w:szCs w:val="24"/>
        </w:rPr>
        <w:t>PCI DSS</w:t>
      </w:r>
      <w:r w:rsidRPr="00674730" w:rsidR="002E7E9D">
        <w:rPr>
          <w:rFonts w:ascii="Times New Roman" w:hAnsi="Times New Roman" w:cs="Times New Roman"/>
          <w:sz w:val="24"/>
          <w:szCs w:val="24"/>
        </w:rPr>
        <w:t xml:space="preserve"> </w:t>
      </w:r>
      <w:r w:rsidRPr="00674730">
        <w:rPr>
          <w:rFonts w:ascii="Times New Roman" w:hAnsi="Times New Roman" w:cs="Times New Roman"/>
          <w:sz w:val="24"/>
          <w:szCs w:val="24"/>
        </w:rPr>
        <w:t xml:space="preserve">sertificēta institūcija, kas kā pakalpojumu veic maksājuma karšu numuru kodēšanu, lai nav jāveic </w:t>
      </w:r>
      <w:r w:rsidRPr="00674730" w:rsidR="005C58C1">
        <w:rPr>
          <w:rFonts w:ascii="Times New Roman" w:hAnsi="Times New Roman" w:cs="Times New Roman"/>
          <w:sz w:val="24"/>
          <w:szCs w:val="24"/>
        </w:rPr>
        <w:t>VRAA</w:t>
      </w:r>
      <w:r w:rsidRPr="00674730">
        <w:rPr>
          <w:rFonts w:ascii="Times New Roman" w:hAnsi="Times New Roman" w:cs="Times New Roman"/>
          <w:sz w:val="24"/>
          <w:szCs w:val="24"/>
        </w:rPr>
        <w:t xml:space="preserve"> vai servisa izsaucēja iestāžu PCI DSS sertificēšana (kartes numura ievade kā serviss). Nepieciešams iesaistīt arī maksājumu karšu operatoru vai bankas, kas ļautu pēc kartes numura pārbaudīt tās piederību kartes īpašniekam, lai nodrošinātu tikai personai piederīgas kartes reģistrēšanu. </w:t>
      </w:r>
    </w:p>
    <w:p w:rsidR="000E1231" w:rsidRPr="00674730" w:rsidP="00482086" w14:paraId="3E14A79D" w14:textId="670CF395">
      <w:pPr>
        <w:pStyle w:val="ListParagraph"/>
        <w:numPr>
          <w:ilvl w:val="0"/>
          <w:numId w:val="2"/>
        </w:numPr>
        <w:spacing w:after="0" w:line="276" w:lineRule="auto"/>
        <w:ind w:left="709"/>
        <w:jc w:val="both"/>
        <w:rPr>
          <w:rFonts w:ascii="Times New Roman" w:hAnsi="Times New Roman" w:cs="Times New Roman"/>
          <w:sz w:val="24"/>
          <w:szCs w:val="24"/>
        </w:rPr>
      </w:pPr>
      <w:r w:rsidRPr="00674730">
        <w:rPr>
          <w:rFonts w:ascii="Times New Roman" w:hAnsi="Times New Roman" w:cs="Times New Roman"/>
          <w:sz w:val="24"/>
          <w:szCs w:val="24"/>
        </w:rPr>
        <w:t>“Vienoto iedzīvotāju atlaižu reģistrs” VISS infrastruktūrā, kurš saturētu visiem Latvijas iedzīvotājiem piešķirtās atlaides no valsts vai savas pašvaldības.</w:t>
      </w:r>
    </w:p>
    <w:p w:rsidR="000E1231" w:rsidRPr="00674730" w:rsidP="00482086" w14:paraId="396F02BC" w14:textId="7D81980A">
      <w:pPr>
        <w:pStyle w:val="ListParagraph"/>
        <w:numPr>
          <w:ilvl w:val="0"/>
          <w:numId w:val="2"/>
        </w:numPr>
        <w:spacing w:after="0" w:line="276" w:lineRule="auto"/>
        <w:ind w:left="709"/>
        <w:jc w:val="both"/>
        <w:rPr>
          <w:rFonts w:ascii="Times New Roman" w:hAnsi="Times New Roman" w:cs="Times New Roman"/>
          <w:sz w:val="24"/>
          <w:szCs w:val="24"/>
        </w:rPr>
      </w:pPr>
      <w:r w:rsidRPr="00674730">
        <w:rPr>
          <w:rFonts w:ascii="Times New Roman" w:hAnsi="Times New Roman" w:cs="Times New Roman"/>
          <w:sz w:val="24"/>
          <w:szCs w:val="24"/>
        </w:rPr>
        <w:t>“Atvieglojumu saņēmēju grupu savietotājs”, realizēts VISS infrastruktūrā, kurš saturētu informāciju par atvieglojumu saņēmēj</w:t>
      </w:r>
      <w:r w:rsidRPr="00674730" w:rsidR="003C3464">
        <w:rPr>
          <w:rFonts w:ascii="Times New Roman" w:hAnsi="Times New Roman" w:cs="Times New Roman"/>
          <w:sz w:val="24"/>
          <w:szCs w:val="24"/>
        </w:rPr>
        <w:t>iem</w:t>
      </w:r>
      <w:r w:rsidRPr="00674730">
        <w:rPr>
          <w:rFonts w:ascii="Times New Roman" w:hAnsi="Times New Roman" w:cs="Times New Roman"/>
          <w:sz w:val="24"/>
          <w:szCs w:val="24"/>
        </w:rPr>
        <w:t>. Savietotāja datus izmantotu atvieglojum</w:t>
      </w:r>
      <w:r w:rsidRPr="00674730" w:rsidR="00357A5C">
        <w:rPr>
          <w:rFonts w:ascii="Times New Roman" w:hAnsi="Times New Roman" w:cs="Times New Roman"/>
          <w:sz w:val="24"/>
          <w:szCs w:val="24"/>
        </w:rPr>
        <w:t xml:space="preserve">u devēju informācijas sistēmas </w:t>
      </w:r>
      <w:r w:rsidRPr="00674730">
        <w:rPr>
          <w:rFonts w:ascii="Times New Roman" w:hAnsi="Times New Roman" w:cs="Times New Roman"/>
          <w:sz w:val="24"/>
          <w:szCs w:val="24"/>
        </w:rPr>
        <w:t xml:space="preserve">un </w:t>
      </w:r>
      <w:r w:rsidRPr="00674730" w:rsidR="004B02C7">
        <w:rPr>
          <w:rFonts w:ascii="Times New Roman" w:hAnsi="Times New Roman" w:cs="Times New Roman"/>
          <w:sz w:val="24"/>
          <w:szCs w:val="24"/>
        </w:rPr>
        <w:t>“</w:t>
      </w:r>
      <w:r w:rsidRPr="00674730">
        <w:rPr>
          <w:rFonts w:ascii="Times New Roman" w:hAnsi="Times New Roman" w:cs="Times New Roman"/>
          <w:sz w:val="24"/>
          <w:szCs w:val="24"/>
        </w:rPr>
        <w:t xml:space="preserve">Vienoto iedzīvotāju </w:t>
      </w:r>
      <w:r w:rsidRPr="00674730" w:rsidR="00CB72F7">
        <w:rPr>
          <w:rFonts w:ascii="Times New Roman" w:hAnsi="Times New Roman" w:cs="Times New Roman"/>
          <w:sz w:val="24"/>
          <w:szCs w:val="24"/>
        </w:rPr>
        <w:t xml:space="preserve">atvieglojumu </w:t>
      </w:r>
      <w:r w:rsidRPr="00674730">
        <w:rPr>
          <w:rFonts w:ascii="Times New Roman" w:hAnsi="Times New Roman" w:cs="Times New Roman"/>
          <w:sz w:val="24"/>
          <w:szCs w:val="24"/>
        </w:rPr>
        <w:t>reģistrs”.</w:t>
      </w:r>
    </w:p>
    <w:p w:rsidR="000E1231" w:rsidRPr="00674730" w:rsidP="00482086" w14:paraId="72C8B1D2" w14:textId="35B38466">
      <w:pPr>
        <w:pStyle w:val="ListParagraph"/>
        <w:numPr>
          <w:ilvl w:val="0"/>
          <w:numId w:val="2"/>
        </w:numPr>
        <w:spacing w:after="0" w:line="276" w:lineRule="auto"/>
        <w:ind w:left="709"/>
        <w:jc w:val="both"/>
        <w:rPr>
          <w:rFonts w:ascii="Times New Roman" w:hAnsi="Times New Roman" w:cs="Times New Roman"/>
          <w:sz w:val="24"/>
          <w:szCs w:val="24"/>
        </w:rPr>
      </w:pPr>
      <w:r w:rsidRPr="00674730">
        <w:rPr>
          <w:rFonts w:ascii="Times New Roman" w:hAnsi="Times New Roman" w:cs="Times New Roman"/>
          <w:sz w:val="24"/>
          <w:szCs w:val="24"/>
        </w:rPr>
        <w:t>Saskarnes datu saņemšanai no valsts iestādēm un pašvaldībām, kas definē atvieglojumu</w:t>
      </w:r>
      <w:r w:rsidRPr="00674730" w:rsidR="00F32A0F">
        <w:rPr>
          <w:rFonts w:ascii="Times New Roman" w:hAnsi="Times New Roman" w:cs="Times New Roman"/>
          <w:sz w:val="24"/>
          <w:szCs w:val="24"/>
        </w:rPr>
        <w:t xml:space="preserve"> </w:t>
      </w:r>
      <w:r w:rsidRPr="00674730">
        <w:rPr>
          <w:rFonts w:ascii="Times New Roman" w:hAnsi="Times New Roman" w:cs="Times New Roman"/>
          <w:sz w:val="24"/>
          <w:szCs w:val="24"/>
        </w:rPr>
        <w:t>s</w:t>
      </w:r>
      <w:r w:rsidRPr="00674730" w:rsidR="00F32A0F">
        <w:rPr>
          <w:rFonts w:ascii="Times New Roman" w:hAnsi="Times New Roman" w:cs="Times New Roman"/>
          <w:sz w:val="24"/>
          <w:szCs w:val="24"/>
        </w:rPr>
        <w:t>aņēmēju statusu un atvieglojumu apmēru</w:t>
      </w:r>
      <w:r w:rsidRPr="00674730">
        <w:rPr>
          <w:rFonts w:ascii="Times New Roman" w:hAnsi="Times New Roman" w:cs="Times New Roman"/>
          <w:sz w:val="24"/>
          <w:szCs w:val="24"/>
        </w:rPr>
        <w:t xml:space="preserve">. </w:t>
      </w:r>
      <w:r w:rsidRPr="00674730" w:rsidR="001D6021">
        <w:rPr>
          <w:rFonts w:ascii="Times New Roman" w:hAnsi="Times New Roman" w:cs="Times New Roman"/>
          <w:sz w:val="24"/>
          <w:szCs w:val="24"/>
        </w:rPr>
        <w:t xml:space="preserve">Lietojumprogrammu </w:t>
      </w:r>
      <w:r w:rsidRPr="00674730">
        <w:rPr>
          <w:rFonts w:ascii="Times New Roman" w:hAnsi="Times New Roman" w:cs="Times New Roman"/>
          <w:sz w:val="24"/>
          <w:szCs w:val="24"/>
        </w:rPr>
        <w:t>saskarne paredzēta, lai saņemtu no valsts un pašvaldīb</w:t>
      </w:r>
      <w:r w:rsidRPr="00674730" w:rsidR="00A55490">
        <w:rPr>
          <w:rFonts w:ascii="Times New Roman" w:hAnsi="Times New Roman" w:cs="Times New Roman"/>
          <w:sz w:val="24"/>
          <w:szCs w:val="24"/>
        </w:rPr>
        <w:t>u</w:t>
      </w:r>
      <w:r w:rsidRPr="00674730">
        <w:rPr>
          <w:rFonts w:ascii="Times New Roman" w:hAnsi="Times New Roman" w:cs="Times New Roman"/>
          <w:sz w:val="24"/>
          <w:szCs w:val="24"/>
        </w:rPr>
        <w:t xml:space="preserve"> iestādēm datus par iedzīvotājiem piešķirtajiem </w:t>
      </w:r>
      <w:r w:rsidRPr="00674730" w:rsidR="00AD4681">
        <w:rPr>
          <w:rFonts w:ascii="Times New Roman" w:hAnsi="Times New Roman" w:cs="Times New Roman"/>
          <w:sz w:val="24"/>
          <w:szCs w:val="24"/>
        </w:rPr>
        <w:t xml:space="preserve">Atvieglojumiem </w:t>
      </w:r>
      <w:r w:rsidRPr="00674730">
        <w:rPr>
          <w:rFonts w:ascii="Times New Roman" w:hAnsi="Times New Roman" w:cs="Times New Roman"/>
          <w:sz w:val="24"/>
          <w:szCs w:val="24"/>
        </w:rPr>
        <w:t>un nodotu šos datus uz</w:t>
      </w:r>
      <w:r w:rsidRPr="00674730" w:rsidR="00A55490">
        <w:rPr>
          <w:rFonts w:ascii="Times New Roman" w:hAnsi="Times New Roman" w:cs="Times New Roman"/>
          <w:sz w:val="24"/>
          <w:szCs w:val="24"/>
        </w:rPr>
        <w:t xml:space="preserve"> “</w:t>
      </w:r>
      <w:r w:rsidRPr="00674730">
        <w:rPr>
          <w:rFonts w:ascii="Times New Roman" w:hAnsi="Times New Roman" w:cs="Times New Roman"/>
          <w:sz w:val="24"/>
          <w:szCs w:val="24"/>
        </w:rPr>
        <w:t xml:space="preserve">Vienoto iedzīvotāju atlaižu reģistru”. Sistēmas </w:t>
      </w:r>
      <w:r w:rsidRPr="00674730" w:rsidR="001D6021">
        <w:rPr>
          <w:rFonts w:ascii="Times New Roman" w:hAnsi="Times New Roman" w:cs="Times New Roman"/>
          <w:sz w:val="24"/>
          <w:szCs w:val="24"/>
        </w:rPr>
        <w:t>lietojumprogrammu s</w:t>
      </w:r>
      <w:r w:rsidRPr="00674730">
        <w:rPr>
          <w:rFonts w:ascii="Times New Roman" w:hAnsi="Times New Roman" w:cs="Times New Roman"/>
          <w:sz w:val="24"/>
          <w:szCs w:val="24"/>
        </w:rPr>
        <w:t xml:space="preserve">askarne paredzēta Vienoto pašvaldību sistēmas (Autorizācija, </w:t>
      </w:r>
      <w:r w:rsidRPr="00674730" w:rsidR="00D83379">
        <w:rPr>
          <w:rFonts w:ascii="Times New Roman" w:hAnsi="Times New Roman" w:cs="Times New Roman"/>
          <w:sz w:val="24"/>
          <w:szCs w:val="24"/>
        </w:rPr>
        <w:t>Sociālās palīdzības administrēšanas lietojumprogramma (</w:t>
      </w:r>
      <w:r w:rsidRPr="00674730">
        <w:rPr>
          <w:rFonts w:ascii="Times New Roman" w:hAnsi="Times New Roman" w:cs="Times New Roman"/>
          <w:sz w:val="24"/>
          <w:szCs w:val="24"/>
        </w:rPr>
        <w:t>SOPA</w:t>
      </w:r>
      <w:r w:rsidRPr="00674730" w:rsidR="00D83379">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sidR="00D83379">
        <w:rPr>
          <w:rFonts w:ascii="Times New Roman" w:hAnsi="Times New Roman" w:cs="Times New Roman"/>
          <w:sz w:val="24"/>
          <w:szCs w:val="24"/>
        </w:rPr>
        <w:t>Iedzīvotāju uzskaite un dzīvesvietas reģistrācija (</w:t>
      </w:r>
      <w:r w:rsidRPr="00674730">
        <w:rPr>
          <w:rFonts w:ascii="Times New Roman" w:hAnsi="Times New Roman" w:cs="Times New Roman"/>
          <w:sz w:val="24"/>
          <w:szCs w:val="24"/>
        </w:rPr>
        <w:t>PERS</w:t>
      </w:r>
      <w:r w:rsidRPr="00674730" w:rsidR="00D83379">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sidR="00D83379">
        <w:rPr>
          <w:rFonts w:ascii="Times New Roman" w:hAnsi="Times New Roman" w:cs="Times New Roman"/>
          <w:sz w:val="24"/>
          <w:szCs w:val="24"/>
        </w:rPr>
        <w:t>Pašvaldību darbinieku uzskaites lietojumprogramma (</w:t>
      </w:r>
      <w:r w:rsidRPr="00674730">
        <w:rPr>
          <w:rFonts w:ascii="Times New Roman" w:hAnsi="Times New Roman" w:cs="Times New Roman"/>
          <w:sz w:val="24"/>
          <w:szCs w:val="24"/>
        </w:rPr>
        <w:t>KADRI</w:t>
      </w:r>
      <w:r w:rsidRPr="00674730" w:rsidR="00D83379">
        <w:rPr>
          <w:rFonts w:ascii="Times New Roman" w:hAnsi="Times New Roman" w:cs="Times New Roman"/>
          <w:sz w:val="24"/>
          <w:szCs w:val="24"/>
        </w:rPr>
        <w:t>)</w:t>
      </w:r>
      <w:r w:rsidRPr="00674730">
        <w:rPr>
          <w:rFonts w:ascii="Times New Roman" w:hAnsi="Times New Roman" w:cs="Times New Roman"/>
          <w:sz w:val="24"/>
          <w:szCs w:val="24"/>
        </w:rPr>
        <w:t xml:space="preserve">, u.c.), Iedzīvotāju Reģistra, VIIS, </w:t>
      </w:r>
      <w:r w:rsidRPr="00674730" w:rsidR="003A693D">
        <w:rPr>
          <w:rFonts w:ascii="Times New Roman" w:hAnsi="Times New Roman" w:cs="Times New Roman"/>
          <w:sz w:val="24"/>
          <w:szCs w:val="24"/>
          <w:shd w:val="clear" w:color="auto" w:fill="FFFFFF"/>
        </w:rPr>
        <w:t>Veselības un darbspēju ekspertīzes ārstu valsts komisijas</w:t>
      </w:r>
      <w:r w:rsidRPr="00674730">
        <w:rPr>
          <w:rFonts w:ascii="Times New Roman" w:hAnsi="Times New Roman" w:cs="Times New Roman"/>
          <w:sz w:val="24"/>
          <w:szCs w:val="24"/>
          <w:shd w:val="clear" w:color="auto" w:fill="FFFFFF"/>
        </w:rPr>
        <w:t xml:space="preserve"> </w:t>
      </w:r>
      <w:r w:rsidRPr="00674730" w:rsidR="00B66EC8">
        <w:rPr>
          <w:rFonts w:ascii="Times New Roman" w:hAnsi="Times New Roman" w:cs="Times New Roman"/>
          <w:sz w:val="24"/>
          <w:szCs w:val="24"/>
          <w:shd w:val="clear" w:color="auto" w:fill="FFFFFF"/>
        </w:rPr>
        <w:t>Invaliditātes informatīvā sistēmas</w:t>
      </w:r>
      <w:r w:rsidRPr="00674730">
        <w:rPr>
          <w:rFonts w:ascii="Times New Roman" w:hAnsi="Times New Roman" w:cs="Times New Roman"/>
          <w:sz w:val="24"/>
          <w:szCs w:val="24"/>
        </w:rPr>
        <w:t xml:space="preserve">, </w:t>
      </w:r>
      <w:r w:rsidRPr="00674730" w:rsidR="003A693D">
        <w:rPr>
          <w:rFonts w:ascii="Times New Roman" w:hAnsi="Times New Roman" w:cs="Times New Roman"/>
          <w:sz w:val="24"/>
          <w:szCs w:val="24"/>
        </w:rPr>
        <w:t xml:space="preserve">Valsts bērnu tiesību aizsardzības inspekcijas </w:t>
      </w:r>
      <w:r w:rsidRPr="00674730">
        <w:rPr>
          <w:rFonts w:ascii="Times New Roman" w:hAnsi="Times New Roman" w:cs="Times New Roman"/>
          <w:sz w:val="24"/>
          <w:szCs w:val="24"/>
        </w:rPr>
        <w:t>bāreņu reģistra u.c. datu saņemšanai un ievietošanai koplietošanas risinājumā.</w:t>
      </w:r>
    </w:p>
    <w:p w:rsidR="000E1231" w:rsidRPr="00674730" w:rsidP="00482086" w14:paraId="185AC917" w14:textId="77777777">
      <w:pPr>
        <w:pStyle w:val="ListParagraph"/>
        <w:numPr>
          <w:ilvl w:val="0"/>
          <w:numId w:val="2"/>
        </w:numPr>
        <w:spacing w:after="0" w:line="276" w:lineRule="auto"/>
        <w:ind w:left="709"/>
        <w:jc w:val="both"/>
        <w:rPr>
          <w:rFonts w:ascii="Times New Roman" w:hAnsi="Times New Roman" w:cs="Times New Roman"/>
          <w:sz w:val="24"/>
          <w:szCs w:val="24"/>
        </w:rPr>
      </w:pPr>
      <w:r w:rsidRPr="00674730">
        <w:rPr>
          <w:rFonts w:ascii="Times New Roman" w:hAnsi="Times New Roman" w:cs="Times New Roman"/>
          <w:sz w:val="24"/>
          <w:szCs w:val="24"/>
        </w:rPr>
        <w:t xml:space="preserve">Saskarnes datu nodošanai norēķinu operatoriem. Saskarnes mērķis ir veikt atlaižu aprēķina apstrādi, ņemot vērā iedzīvotājam piešķirto </w:t>
      </w:r>
      <w:r w:rsidRPr="00674730" w:rsidR="00AD4681">
        <w:rPr>
          <w:rFonts w:ascii="Times New Roman" w:hAnsi="Times New Roman" w:cs="Times New Roman"/>
          <w:sz w:val="24"/>
          <w:szCs w:val="24"/>
        </w:rPr>
        <w:t>Atvieglojumu</w:t>
      </w:r>
      <w:r w:rsidRPr="00674730">
        <w:rPr>
          <w:rFonts w:ascii="Times New Roman" w:hAnsi="Times New Roman" w:cs="Times New Roman"/>
          <w:sz w:val="24"/>
          <w:szCs w:val="24"/>
        </w:rPr>
        <w:t>. Dati tiek nosūtīti konkrētajām norēķinu sistēmām, kas nodrošina to tālāku apstrādi.</w:t>
      </w:r>
    </w:p>
    <w:p w:rsidR="006A4F95" w:rsidRPr="00674730" w:rsidP="00631723" w14:paraId="6DE13E4F" w14:textId="77777777">
      <w:pPr>
        <w:spacing w:after="0" w:line="276" w:lineRule="auto"/>
        <w:ind w:firstLine="720"/>
        <w:contextualSpacing/>
        <w:jc w:val="both"/>
        <w:rPr>
          <w:rFonts w:ascii="Times New Roman" w:hAnsi="Times New Roman" w:cs="Times New Roman"/>
          <w:sz w:val="16"/>
          <w:szCs w:val="24"/>
        </w:rPr>
      </w:pPr>
    </w:p>
    <w:p w:rsidR="000E1231" w:rsidRPr="00674730" w:rsidP="00631723" w14:paraId="75205D6C" w14:textId="5FCF3C2E">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Koplietošanas risinājumu varēs savietot gan ar jau esošiem pašvaldībās ieviestiem norēķinu sistēmu risinājumiem, kurās izmantota maksājumu administrēšanas infrastruktūra (banku infrastruktūr</w:t>
      </w:r>
      <w:r w:rsidRPr="00674730" w:rsidR="004B02C7">
        <w:rPr>
          <w:rFonts w:ascii="Times New Roman" w:hAnsi="Times New Roman" w:cs="Times New Roman"/>
          <w:sz w:val="24"/>
          <w:szCs w:val="24"/>
        </w:rPr>
        <w:t>a</w:t>
      </w:r>
      <w:r w:rsidRPr="00674730">
        <w:rPr>
          <w:rFonts w:ascii="Times New Roman" w:hAnsi="Times New Roman" w:cs="Times New Roman"/>
          <w:sz w:val="24"/>
          <w:szCs w:val="24"/>
        </w:rPr>
        <w:t>)</w:t>
      </w:r>
      <w:r w:rsidRPr="00674730" w:rsidR="004B02C7">
        <w:rPr>
          <w:rFonts w:ascii="Times New Roman" w:hAnsi="Times New Roman" w:cs="Times New Roman"/>
          <w:sz w:val="24"/>
          <w:szCs w:val="24"/>
        </w:rPr>
        <w:t>,</w:t>
      </w:r>
      <w:r w:rsidRPr="00674730">
        <w:rPr>
          <w:rFonts w:ascii="Times New Roman" w:hAnsi="Times New Roman" w:cs="Times New Roman"/>
          <w:sz w:val="24"/>
          <w:szCs w:val="24"/>
        </w:rPr>
        <w:t xml:space="preserve"> va</w:t>
      </w:r>
      <w:r w:rsidRPr="00674730" w:rsidR="00A41D2F">
        <w:rPr>
          <w:rFonts w:ascii="Times New Roman" w:hAnsi="Times New Roman" w:cs="Times New Roman"/>
          <w:sz w:val="24"/>
          <w:szCs w:val="24"/>
        </w:rPr>
        <w:t xml:space="preserve">i personificētām </w:t>
      </w:r>
      <w:r w:rsidRPr="00674730" w:rsidR="00A41D2F">
        <w:rPr>
          <w:rFonts w:ascii="Times New Roman" w:hAnsi="Times New Roman" w:cs="Times New Roman"/>
          <w:sz w:val="24"/>
          <w:szCs w:val="24"/>
        </w:rPr>
        <w:t>bezkontakta</w:t>
      </w:r>
      <w:r w:rsidRPr="00674730" w:rsidR="00A41D2F">
        <w:rPr>
          <w:rFonts w:ascii="Times New Roman" w:hAnsi="Times New Roman" w:cs="Times New Roman"/>
          <w:sz w:val="24"/>
          <w:szCs w:val="24"/>
        </w:rPr>
        <w:t xml:space="preserve"> ne</w:t>
      </w:r>
      <w:r w:rsidRPr="00674730">
        <w:rPr>
          <w:rFonts w:ascii="Times New Roman" w:hAnsi="Times New Roman" w:cs="Times New Roman"/>
          <w:sz w:val="24"/>
          <w:szCs w:val="24"/>
        </w:rPr>
        <w:t>banku kartēm,</w:t>
      </w:r>
      <w:r w:rsidRPr="00674730" w:rsidR="005E7EA7">
        <w:rPr>
          <w:rFonts w:ascii="Times New Roman" w:hAnsi="Times New Roman" w:cs="Times New Roman"/>
          <w:sz w:val="24"/>
          <w:szCs w:val="24"/>
        </w:rPr>
        <w:t xml:space="preserve"> gan identifikācijas līdzekļiem (</w:t>
      </w:r>
      <w:r w:rsidRPr="00674730" w:rsidR="001D6021">
        <w:rPr>
          <w:rFonts w:ascii="Times New Roman" w:hAnsi="Times New Roman" w:cs="Times New Roman"/>
          <w:sz w:val="24"/>
          <w:szCs w:val="24"/>
        </w:rPr>
        <w:t>piemēram, personas apliecību (</w:t>
      </w:r>
      <w:r w:rsidRPr="00674730" w:rsidR="005E7EA7">
        <w:rPr>
          <w:rFonts w:ascii="Times New Roman" w:hAnsi="Times New Roman" w:cs="Times New Roman"/>
          <w:sz w:val="24"/>
          <w:szCs w:val="24"/>
        </w:rPr>
        <w:t>eID</w:t>
      </w:r>
      <w:r w:rsidRPr="00674730" w:rsidR="001D6021">
        <w:rPr>
          <w:rFonts w:ascii="Times New Roman" w:hAnsi="Times New Roman" w:cs="Times New Roman"/>
          <w:sz w:val="24"/>
          <w:szCs w:val="24"/>
        </w:rPr>
        <w:t>)</w:t>
      </w:r>
      <w:r w:rsidRPr="00674730" w:rsidR="005E7EA7">
        <w:rPr>
          <w:rFonts w:ascii="Times New Roman" w:hAnsi="Times New Roman" w:cs="Times New Roman"/>
          <w:sz w:val="24"/>
          <w:szCs w:val="24"/>
        </w:rPr>
        <w:t>),</w:t>
      </w:r>
      <w:r w:rsidRPr="00674730">
        <w:rPr>
          <w:rFonts w:ascii="Times New Roman" w:hAnsi="Times New Roman" w:cs="Times New Roman"/>
          <w:sz w:val="24"/>
          <w:szCs w:val="24"/>
        </w:rPr>
        <w:t xml:space="preserve"> gan citiem norēķinu</w:t>
      </w:r>
      <w:r w:rsidRPr="00674730" w:rsidR="005E7EA7">
        <w:rPr>
          <w:rFonts w:ascii="Times New Roman" w:hAnsi="Times New Roman" w:cs="Times New Roman"/>
          <w:sz w:val="24"/>
          <w:szCs w:val="24"/>
        </w:rPr>
        <w:t xml:space="preserve"> un identifikācijas</w:t>
      </w:r>
      <w:r w:rsidRPr="00674730">
        <w:rPr>
          <w:rFonts w:ascii="Times New Roman" w:hAnsi="Times New Roman" w:cs="Times New Roman"/>
          <w:sz w:val="24"/>
          <w:szCs w:val="24"/>
        </w:rPr>
        <w:t xml:space="preserve"> risinājumiem, kas potenciāli varētu rasties.</w:t>
      </w:r>
    </w:p>
    <w:p w:rsidR="00A55490" w:rsidRPr="00674730" w:rsidP="00631723" w14:paraId="75ACFAD5" w14:textId="77777777">
      <w:pPr>
        <w:spacing w:after="0" w:line="276" w:lineRule="auto"/>
        <w:ind w:firstLine="720"/>
        <w:contextualSpacing/>
        <w:jc w:val="both"/>
        <w:rPr>
          <w:rFonts w:ascii="Times New Roman" w:hAnsi="Times New Roman" w:cs="Times New Roman"/>
          <w:sz w:val="24"/>
          <w:szCs w:val="24"/>
        </w:rPr>
      </w:pPr>
    </w:p>
    <w:p w:rsidR="000E1231" w:rsidRPr="00674730" w:rsidP="00631723" w14:paraId="081FAE4D"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Izstrādājot Atvieglojumu uzskaites koplietošanas risinājumu, ir jāņem vērā vismaz šādas prasības:</w:t>
      </w:r>
    </w:p>
    <w:p w:rsidR="000E1231" w:rsidRPr="00674730" w:rsidP="00482086" w14:paraId="426E6942" w14:textId="30B43485">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k</w:t>
      </w:r>
      <w:r w:rsidRPr="00674730">
        <w:rPr>
          <w:rFonts w:ascii="Times New Roman" w:hAnsi="Times New Roman" w:cs="Times New Roman"/>
          <w:sz w:val="24"/>
          <w:szCs w:val="24"/>
        </w:rPr>
        <w:t>oplietošanas risinājumam jābūt atvērtam, kas nozīmē, ka koplietošanas risinājumu var izmantot potenciāli jebkurš Atvieglojumu saņēmējiem ērts norēķinu</w:t>
      </w:r>
      <w:r w:rsidRPr="00674730" w:rsidR="005E7EA7">
        <w:rPr>
          <w:rFonts w:ascii="Times New Roman" w:hAnsi="Times New Roman" w:cs="Times New Roman"/>
          <w:sz w:val="24"/>
          <w:szCs w:val="24"/>
        </w:rPr>
        <w:t xml:space="preserve"> vai identifikācijas</w:t>
      </w:r>
      <w:r w:rsidRPr="00674730">
        <w:rPr>
          <w:rFonts w:ascii="Times New Roman" w:hAnsi="Times New Roman" w:cs="Times New Roman"/>
          <w:sz w:val="24"/>
          <w:szCs w:val="24"/>
        </w:rPr>
        <w:t xml:space="preserve"> risinājums, kurš, ievērojot normatīv</w:t>
      </w:r>
      <w:r w:rsidRPr="00674730" w:rsidR="00F4437E">
        <w:rPr>
          <w:rFonts w:ascii="Times New Roman" w:hAnsi="Times New Roman" w:cs="Times New Roman"/>
          <w:sz w:val="24"/>
          <w:szCs w:val="24"/>
        </w:rPr>
        <w:t>aj</w:t>
      </w:r>
      <w:r w:rsidRPr="00674730">
        <w:rPr>
          <w:rFonts w:ascii="Times New Roman" w:hAnsi="Times New Roman" w:cs="Times New Roman"/>
          <w:sz w:val="24"/>
          <w:szCs w:val="24"/>
        </w:rPr>
        <w:t>ā aktā noteiktus lietošanas nosacījumus, piedāvā</w:t>
      </w:r>
      <w:r w:rsidRPr="00674730" w:rsidR="00A41D2F">
        <w:rPr>
          <w:rFonts w:ascii="Times New Roman" w:hAnsi="Times New Roman" w:cs="Times New Roman"/>
          <w:sz w:val="24"/>
          <w:szCs w:val="24"/>
        </w:rPr>
        <w:t xml:space="preserve"> klientam Karti, </w:t>
      </w:r>
      <w:r w:rsidRPr="00674730" w:rsidR="00A41D2F">
        <w:rPr>
          <w:rFonts w:ascii="Times New Roman" w:hAnsi="Times New Roman" w:cs="Times New Roman"/>
          <w:sz w:val="24"/>
          <w:szCs w:val="24"/>
        </w:rPr>
        <w:t>bezkontakta</w:t>
      </w:r>
      <w:r w:rsidRPr="00674730" w:rsidR="00A41D2F">
        <w:rPr>
          <w:rFonts w:ascii="Times New Roman" w:hAnsi="Times New Roman" w:cs="Times New Roman"/>
          <w:sz w:val="24"/>
          <w:szCs w:val="24"/>
        </w:rPr>
        <w:t xml:space="preserve"> ne</w:t>
      </w:r>
      <w:r w:rsidRPr="00674730">
        <w:rPr>
          <w:rFonts w:ascii="Times New Roman" w:hAnsi="Times New Roman" w:cs="Times New Roman"/>
          <w:sz w:val="24"/>
          <w:szCs w:val="24"/>
        </w:rPr>
        <w:t>banku karti vai (nākotnē) arī</w:t>
      </w:r>
      <w:r w:rsidRPr="00674730" w:rsidR="003A693D">
        <w:rPr>
          <w:rFonts w:ascii="Times New Roman" w:hAnsi="Times New Roman" w:cs="Times New Roman"/>
          <w:sz w:val="24"/>
          <w:szCs w:val="24"/>
        </w:rPr>
        <w:t xml:space="preserve"> elektroniskās identifikācijas (</w:t>
      </w:r>
      <w:r w:rsidRPr="00674730" w:rsidR="003A693D">
        <w:rPr>
          <w:rFonts w:ascii="Times New Roman" w:hAnsi="Times New Roman" w:cs="Times New Roman"/>
          <w:sz w:val="24"/>
          <w:szCs w:val="24"/>
        </w:rPr>
        <w:t>eID</w:t>
      </w:r>
      <w:r w:rsidRPr="00674730" w:rsidR="003A693D">
        <w:rPr>
          <w:rFonts w:ascii="Times New Roman" w:hAnsi="Times New Roman" w:cs="Times New Roman"/>
          <w:sz w:val="24"/>
          <w:szCs w:val="24"/>
        </w:rPr>
        <w:t>)</w:t>
      </w:r>
      <w:r w:rsidRPr="00674730">
        <w:rPr>
          <w:rFonts w:ascii="Times New Roman" w:hAnsi="Times New Roman" w:cs="Times New Roman"/>
          <w:sz w:val="24"/>
          <w:szCs w:val="24"/>
        </w:rPr>
        <w:t xml:space="preserve"> karti;</w:t>
      </w:r>
    </w:p>
    <w:p w:rsidR="000E1231" w:rsidRPr="00674730" w:rsidP="00482086" w14:paraId="20C8E60A" w14:textId="77777777">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a</w:t>
      </w:r>
      <w:r w:rsidRPr="00674730" w:rsidR="000A1E5E">
        <w:rPr>
          <w:rFonts w:ascii="Times New Roman" w:hAnsi="Times New Roman" w:cs="Times New Roman"/>
          <w:sz w:val="24"/>
          <w:szCs w:val="24"/>
        </w:rPr>
        <w:t xml:space="preserve">tvieglojumus </w:t>
      </w:r>
      <w:r w:rsidRPr="00674730">
        <w:rPr>
          <w:rFonts w:ascii="Times New Roman" w:hAnsi="Times New Roman" w:cs="Times New Roman"/>
          <w:sz w:val="24"/>
          <w:szCs w:val="24"/>
        </w:rPr>
        <w:t>drīkst saņemt tikai personas, kam pienākas Atvieglojumi;</w:t>
      </w:r>
    </w:p>
    <w:p w:rsidR="000E1231" w:rsidRPr="00674730" w:rsidP="00482086" w14:paraId="562DD809" w14:textId="77777777">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valsts </w:t>
      </w:r>
      <w:r w:rsidRPr="00674730">
        <w:rPr>
          <w:rFonts w:ascii="Times New Roman" w:hAnsi="Times New Roman" w:cs="Times New Roman"/>
          <w:sz w:val="24"/>
          <w:szCs w:val="24"/>
        </w:rPr>
        <w:t xml:space="preserve">budžeta un pašvaldību līdzekļi norēķinu iestādēm netiek maksāti avansā; </w:t>
      </w:r>
    </w:p>
    <w:p w:rsidR="000E1231" w:rsidRPr="00674730" w:rsidP="00482086" w14:paraId="37C5B945" w14:textId="77777777">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tiek </w:t>
      </w:r>
      <w:r w:rsidRPr="00674730">
        <w:rPr>
          <w:rFonts w:ascii="Times New Roman" w:hAnsi="Times New Roman" w:cs="Times New Roman"/>
          <w:sz w:val="24"/>
          <w:szCs w:val="24"/>
        </w:rPr>
        <w:t>izveidota racionāla un tiesiska datu apmaiņa viena risinājuma ietvaros;</w:t>
      </w:r>
    </w:p>
    <w:p w:rsidR="000E1231" w:rsidRPr="00674730" w:rsidP="00482086" w14:paraId="37616A67" w14:textId="77777777">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koplietošanas </w:t>
      </w:r>
      <w:r w:rsidRPr="00674730">
        <w:rPr>
          <w:rFonts w:ascii="Times New Roman" w:hAnsi="Times New Roman" w:cs="Times New Roman"/>
          <w:sz w:val="24"/>
          <w:szCs w:val="24"/>
        </w:rPr>
        <w:t xml:space="preserve">risinājums ir jārealizē uz </w:t>
      </w:r>
      <w:r w:rsidRPr="00674730" w:rsidR="000F016D">
        <w:rPr>
          <w:rFonts w:ascii="Times New Roman" w:hAnsi="Times New Roman" w:cs="Times New Roman"/>
          <w:sz w:val="24"/>
          <w:szCs w:val="24"/>
        </w:rPr>
        <w:t>VISS</w:t>
      </w:r>
      <w:r w:rsidRPr="00674730">
        <w:rPr>
          <w:rFonts w:ascii="Times New Roman" w:hAnsi="Times New Roman" w:cs="Times New Roman"/>
          <w:sz w:val="24"/>
          <w:szCs w:val="24"/>
        </w:rPr>
        <w:t xml:space="preserve"> un valsts pārvaldes pakalpojumu portāla www.latvija.lv bāzes;</w:t>
      </w:r>
    </w:p>
    <w:p w:rsidR="000E1231" w:rsidRPr="00674730" w:rsidP="00482086" w14:paraId="2F3BBF32" w14:textId="77777777">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koplietošanas </w:t>
      </w:r>
      <w:r w:rsidRPr="00674730">
        <w:rPr>
          <w:rFonts w:ascii="Times New Roman" w:hAnsi="Times New Roman" w:cs="Times New Roman"/>
          <w:sz w:val="24"/>
          <w:szCs w:val="24"/>
        </w:rPr>
        <w:t>risinājumā ir jānodrošina valsts un pašvaldību administrēto Atvieglojumu kopēja apstrāde;</w:t>
      </w:r>
    </w:p>
    <w:p w:rsidR="000E1231" w:rsidRPr="00674730" w:rsidP="00B55B66" w14:paraId="2222A979" w14:textId="14103C60">
      <w:pPr>
        <w:pStyle w:val="ListParagraph"/>
        <w:numPr>
          <w:ilvl w:val="0"/>
          <w:numId w:val="1"/>
        </w:numPr>
        <w:spacing w:after="0" w:line="276" w:lineRule="auto"/>
        <w:ind w:left="851"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koplietošanas </w:t>
      </w:r>
      <w:r w:rsidRPr="00674730">
        <w:rPr>
          <w:rFonts w:ascii="Times New Roman" w:hAnsi="Times New Roman" w:cs="Times New Roman"/>
          <w:sz w:val="24"/>
          <w:szCs w:val="24"/>
        </w:rPr>
        <w:t>risinājumā ir jānodrošina fizisko personu datu aizsardzības prasību ievērošana.</w:t>
      </w:r>
    </w:p>
    <w:p w:rsidR="000A1E5E" w:rsidRPr="00674730" w:rsidP="00631723" w14:paraId="26CC454D" w14:textId="77777777">
      <w:pPr>
        <w:pStyle w:val="ListParagraph"/>
        <w:spacing w:after="0" w:line="276" w:lineRule="auto"/>
        <w:jc w:val="both"/>
        <w:rPr>
          <w:rFonts w:ascii="Times New Roman" w:hAnsi="Times New Roman" w:cs="Times New Roman"/>
          <w:sz w:val="24"/>
          <w:szCs w:val="24"/>
        </w:rPr>
      </w:pPr>
    </w:p>
    <w:p w:rsidR="000E1231" w:rsidRPr="00674730" w:rsidP="00631723" w14:paraId="058B533F" w14:textId="633C7DDD">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Ņemot vērā koplietošanas risinājuma atvērtību, t.i., to, ka ar to varēs integrēties dažādi norēķinu</w:t>
      </w:r>
      <w:r w:rsidRPr="00674730" w:rsidR="005E7EA7">
        <w:rPr>
          <w:rFonts w:ascii="Times New Roman" w:hAnsi="Times New Roman" w:cs="Times New Roman"/>
          <w:sz w:val="24"/>
          <w:szCs w:val="24"/>
        </w:rPr>
        <w:t xml:space="preserve"> un identifikācijas</w:t>
      </w:r>
      <w:r w:rsidRPr="00674730">
        <w:rPr>
          <w:rFonts w:ascii="Times New Roman" w:hAnsi="Times New Roman" w:cs="Times New Roman"/>
          <w:sz w:val="24"/>
          <w:szCs w:val="24"/>
        </w:rPr>
        <w:t xml:space="preserve"> risinājumi, valsts iedzīvotājiem un Tirgotājiem netiks radīts papildu administratīvais slogs, un nepieciešamo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saņemšanai personas varēs izmantot sev jau ierastos un ikdienā izmantotos maksāšanas līdzekļus. </w:t>
      </w:r>
      <w:r w:rsidRPr="00674730" w:rsidR="00E03452">
        <w:rPr>
          <w:rFonts w:ascii="Times New Roman" w:hAnsi="Times New Roman" w:cs="Times New Roman"/>
          <w:sz w:val="24"/>
          <w:szCs w:val="24"/>
        </w:rPr>
        <w:t xml:space="preserve">Risinājuma tehniskās prasības izstrādājamas kopā ar risinājuma darbību regulējošajiem Ministru kabineta noteikumiem. </w:t>
      </w:r>
      <w:r w:rsidRPr="00674730">
        <w:rPr>
          <w:rFonts w:ascii="Times New Roman" w:hAnsi="Times New Roman" w:cs="Times New Roman"/>
          <w:sz w:val="24"/>
          <w:szCs w:val="24"/>
        </w:rPr>
        <w:t>Vienlaikus attiecīgā risinājuma izmantošana nodrošina pilnīgu valsts un pašvaldību Atvieglojumu uzskaiti, tādējādi risinot pašvaldību savstarpējās sadarbības jautājumu. Koplietošanas risinājuma izstrāde arī nodrošina sensitīvo personas datu saglabāšanu valsts institūciju pārziņā, paredzot, ka nepieciešamās sasaistes starp valsts informācijas sistēmām tiek nodrošinātas centralizētā valsts pārziņā esošā koplietošanas platformā - VISS un vienotā valsts pakalpojumu portālā www.latvija.lv.</w:t>
      </w:r>
    </w:p>
    <w:p w:rsidR="000E1231" w:rsidRPr="00674730" w:rsidP="00631723" w14:paraId="4D055B2C" w14:textId="77777777">
      <w:pPr>
        <w:spacing w:after="0" w:line="276" w:lineRule="auto"/>
        <w:ind w:firstLine="720"/>
        <w:contextualSpacing/>
        <w:jc w:val="both"/>
        <w:rPr>
          <w:rFonts w:ascii="Times New Roman" w:hAnsi="Times New Roman" w:cs="Times New Roman"/>
          <w:sz w:val="24"/>
          <w:szCs w:val="24"/>
        </w:rPr>
      </w:pPr>
    </w:p>
    <w:p w:rsidR="000E1231" w:rsidRPr="00674730" w:rsidP="00631723" w14:paraId="6187852B" w14:textId="3C2EBAE5">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Risinājums ir atbilstošs šādiem Informācijas sabiedrības attīstības pamatnostādņu 2014. - 2020.gadam (apstiprinātas ar Ministru kabineta 2013.gada 14.oktobra rīkojum</w:t>
      </w:r>
      <w:r w:rsidRPr="00674730" w:rsidR="000A1E5E">
        <w:rPr>
          <w:rFonts w:ascii="Times New Roman" w:hAnsi="Times New Roman" w:cs="Times New Roman"/>
          <w:sz w:val="24"/>
          <w:szCs w:val="24"/>
        </w:rPr>
        <w:t>u</w:t>
      </w:r>
      <w:r w:rsidR="008F5542">
        <w:rPr>
          <w:rFonts w:ascii="Times New Roman" w:hAnsi="Times New Roman" w:cs="Times New Roman"/>
          <w:sz w:val="24"/>
          <w:szCs w:val="24"/>
        </w:rPr>
        <w:t xml:space="preserve"> Nr. 486) principa</w:t>
      </w:r>
      <w:r w:rsidRPr="00674730">
        <w:rPr>
          <w:rFonts w:ascii="Times New Roman" w:hAnsi="Times New Roman" w:cs="Times New Roman"/>
          <w:sz w:val="24"/>
          <w:szCs w:val="24"/>
        </w:rPr>
        <w:t>m un apakšv</w:t>
      </w:r>
      <w:r w:rsidR="008F5542">
        <w:rPr>
          <w:rFonts w:ascii="Times New Roman" w:hAnsi="Times New Roman" w:cs="Times New Roman"/>
          <w:sz w:val="24"/>
          <w:szCs w:val="24"/>
        </w:rPr>
        <w:t>irziena</w:t>
      </w:r>
      <w:r w:rsidRPr="00674730">
        <w:rPr>
          <w:rFonts w:ascii="Times New Roman" w:hAnsi="Times New Roman" w:cs="Times New Roman"/>
          <w:sz w:val="24"/>
          <w:szCs w:val="24"/>
        </w:rPr>
        <w:t xml:space="preserve">m: </w:t>
      </w:r>
    </w:p>
    <w:p w:rsidR="000E1231" w:rsidRPr="00674730" w:rsidP="00482086" w14:paraId="270CA8D3" w14:textId="77777777">
      <w:pPr>
        <w:pStyle w:val="ListParagraph"/>
        <w:numPr>
          <w:ilvl w:val="0"/>
          <w:numId w:val="6"/>
        </w:numPr>
        <w:spacing w:after="0" w:line="276" w:lineRule="auto"/>
        <w:ind w:left="1134"/>
        <w:jc w:val="both"/>
        <w:rPr>
          <w:rFonts w:ascii="Times New Roman" w:hAnsi="Times New Roman" w:cs="Times New Roman"/>
          <w:sz w:val="24"/>
          <w:szCs w:val="24"/>
        </w:rPr>
      </w:pPr>
      <w:r w:rsidRPr="00674730">
        <w:rPr>
          <w:rFonts w:ascii="Times New Roman" w:hAnsi="Times New Roman" w:cs="Times New Roman"/>
          <w:sz w:val="24"/>
          <w:szCs w:val="24"/>
        </w:rPr>
        <w:t xml:space="preserve">publiskās </w:t>
      </w:r>
      <w:r w:rsidRPr="00674730">
        <w:rPr>
          <w:rFonts w:ascii="Times New Roman" w:hAnsi="Times New Roman" w:cs="Times New Roman"/>
          <w:sz w:val="24"/>
          <w:szCs w:val="24"/>
        </w:rPr>
        <w:t>pārvaldes dati tautsaimniecības izaugsmei – viens no e-pārvaldes pamatprincipiem;</w:t>
      </w:r>
    </w:p>
    <w:p w:rsidR="000E1231" w:rsidRPr="00674730" w:rsidP="00482086" w14:paraId="2BB57734" w14:textId="77777777">
      <w:pPr>
        <w:pStyle w:val="ListParagraph"/>
        <w:numPr>
          <w:ilvl w:val="0"/>
          <w:numId w:val="6"/>
        </w:numPr>
        <w:spacing w:after="0" w:line="276" w:lineRule="auto"/>
        <w:ind w:left="1134"/>
        <w:jc w:val="both"/>
        <w:rPr>
          <w:rFonts w:ascii="Times New Roman" w:hAnsi="Times New Roman" w:cs="Times New Roman"/>
          <w:sz w:val="24"/>
          <w:szCs w:val="24"/>
        </w:rPr>
      </w:pPr>
      <w:r w:rsidRPr="00674730">
        <w:rPr>
          <w:rFonts w:ascii="Times New Roman" w:hAnsi="Times New Roman" w:cs="Times New Roman"/>
          <w:sz w:val="24"/>
          <w:szCs w:val="24"/>
        </w:rPr>
        <w:t xml:space="preserve">publiskās </w:t>
      </w:r>
      <w:r w:rsidRPr="00674730">
        <w:rPr>
          <w:rFonts w:ascii="Times New Roman" w:hAnsi="Times New Roman" w:cs="Times New Roman"/>
          <w:sz w:val="24"/>
          <w:szCs w:val="24"/>
        </w:rPr>
        <w:t>pārvaldes datu un transakciju pakalpojumu atvēršana citiem lietotājiem – viens no pamatnostādņu definētajiem apakšvirzieniem (daļa no rīcības virziena “E-pakalpojumi un digitālais saturs sabiedrībai”).</w:t>
      </w:r>
    </w:p>
    <w:p w:rsidR="003F1990" w:rsidRPr="00674730" w:rsidP="00844097" w14:paraId="111A2B5D" w14:textId="77777777">
      <w:pPr>
        <w:pStyle w:val="Heading1"/>
        <w:rPr>
          <w:rFonts w:ascii="Times New Roman" w:hAnsi="Times New Roman" w:cs="Times New Roman"/>
          <w:b/>
          <w:color w:val="auto"/>
          <w:sz w:val="24"/>
        </w:rPr>
      </w:pPr>
      <w:r w:rsidRPr="00674730">
        <w:rPr>
          <w:rFonts w:ascii="Times New Roman" w:hAnsi="Times New Roman" w:cs="Times New Roman"/>
          <w:b/>
          <w:color w:val="auto"/>
          <w:sz w:val="24"/>
        </w:rPr>
        <w:t xml:space="preserve">3. </w:t>
      </w:r>
      <w:bookmarkStart w:id="6" w:name="_Toc503453996"/>
      <w:r w:rsidRPr="00674730">
        <w:rPr>
          <w:rFonts w:ascii="Times New Roman" w:hAnsi="Times New Roman" w:cs="Times New Roman"/>
          <w:b/>
          <w:color w:val="auto"/>
          <w:sz w:val="24"/>
        </w:rPr>
        <w:t>Sasniedzamais rezultāts</w:t>
      </w:r>
      <w:bookmarkEnd w:id="6"/>
    </w:p>
    <w:p w:rsidR="003F1990" w:rsidRPr="00674730" w:rsidP="00631723" w14:paraId="33FE54FE" w14:textId="77777777">
      <w:pPr>
        <w:spacing w:after="0" w:line="276" w:lineRule="auto"/>
        <w:contextualSpacing/>
        <w:jc w:val="both"/>
        <w:rPr>
          <w:rFonts w:ascii="Times New Roman" w:hAnsi="Times New Roman" w:cs="Times New Roman"/>
          <w:sz w:val="14"/>
          <w:szCs w:val="24"/>
        </w:rPr>
      </w:pPr>
    </w:p>
    <w:p w:rsidR="003F1990" w:rsidRPr="00674730" w:rsidP="00631723" w14:paraId="3F0F75AE"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Realizējot Atvieglojumu uzskaites koplietošanas risinājumu, tiks nodrošināta šādu mērķu sasniegšana:</w:t>
      </w:r>
    </w:p>
    <w:p w:rsidR="003F1990" w:rsidRPr="00674730" w:rsidP="00E151C6" w14:paraId="4F227325"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valsts </w:t>
      </w:r>
      <w:r w:rsidRPr="00674730">
        <w:rPr>
          <w:rFonts w:ascii="Times New Roman" w:hAnsi="Times New Roman" w:cs="Times New Roman"/>
          <w:sz w:val="24"/>
          <w:szCs w:val="24"/>
        </w:rPr>
        <w:t xml:space="preserve">un pašvaldību Atvieglojumu saņēmēju kategoriju identifikācija, kas balstīta uz vienota un atvērta standarta, kurš būs brīvi pieejams visiem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devējiem un darījumu apstrādes centriem;</w:t>
      </w:r>
    </w:p>
    <w:p w:rsidR="003F1990" w:rsidRPr="00674730" w:rsidP="00E151C6" w14:paraId="77A83199"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precīza Atvieglojumu </w:t>
      </w:r>
      <w:r w:rsidRPr="00674730">
        <w:rPr>
          <w:rFonts w:ascii="Times New Roman" w:hAnsi="Times New Roman" w:cs="Times New Roman"/>
          <w:sz w:val="24"/>
          <w:szCs w:val="24"/>
        </w:rPr>
        <w:t>norādījumu piemērošana;</w:t>
      </w:r>
    </w:p>
    <w:p w:rsidR="003F1990" w:rsidRPr="00674730" w:rsidP="00E151C6" w14:paraId="0A83AEA6"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esošie </w:t>
      </w:r>
      <w:r w:rsidRPr="00674730">
        <w:rPr>
          <w:rFonts w:ascii="Times New Roman" w:hAnsi="Times New Roman" w:cs="Times New Roman"/>
          <w:sz w:val="24"/>
          <w:szCs w:val="24"/>
        </w:rPr>
        <w:t xml:space="preserve">norēķinu risinājumi netiek mainīti, bet koplietošanas risinājuma sniegto priekšrocību izmantošana ļauj nodrošināt precīzu </w:t>
      </w:r>
      <w:r w:rsidRPr="00674730">
        <w:rPr>
          <w:rFonts w:ascii="Times New Roman" w:hAnsi="Times New Roman" w:cs="Times New Roman"/>
          <w:sz w:val="24"/>
          <w:szCs w:val="24"/>
        </w:rPr>
        <w:t xml:space="preserve">Atvieglojumu </w:t>
      </w:r>
      <w:r w:rsidRPr="00674730">
        <w:rPr>
          <w:rFonts w:ascii="Times New Roman" w:hAnsi="Times New Roman" w:cs="Times New Roman"/>
          <w:sz w:val="24"/>
          <w:szCs w:val="24"/>
        </w:rPr>
        <w:t>saņēmēju uzskaiti, tādējādi racionāli izmantojot valsts un pašvaldību budžeta līdzekļus;</w:t>
      </w:r>
    </w:p>
    <w:p w:rsidR="003F1990" w:rsidRPr="00674730" w:rsidP="00E151C6" w14:paraId="78CFD7B7"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pašvaldības </w:t>
      </w:r>
      <w:r w:rsidRPr="00674730">
        <w:rPr>
          <w:rFonts w:ascii="Times New Roman" w:hAnsi="Times New Roman" w:cs="Times New Roman"/>
          <w:sz w:val="24"/>
          <w:szCs w:val="24"/>
        </w:rPr>
        <w:t xml:space="preserve">var nodrošināt saviem iedzīvotājiem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kompensēšanu arī par citu pašvaldību sniegtajiem pakalpojumiem;</w:t>
      </w:r>
    </w:p>
    <w:p w:rsidR="003F1990" w:rsidRPr="00674730" w:rsidP="00E151C6" w14:paraId="58937746"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universāla </w:t>
      </w:r>
      <w:r w:rsidRPr="00674730">
        <w:rPr>
          <w:rFonts w:ascii="Times New Roman" w:hAnsi="Times New Roman" w:cs="Times New Roman"/>
          <w:sz w:val="24"/>
          <w:szCs w:val="24"/>
        </w:rPr>
        <w:t>risinājuma izmantošana sniegs iespēju valsts iestādēm un pašvaldībām to pielietot dažādās nozarēs piemērojamām Atvieglojumu kategorijām;</w:t>
      </w:r>
    </w:p>
    <w:p w:rsidR="003C1F42" w:rsidRPr="00674730" w:rsidP="00E151C6" w14:paraId="2C539292"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nodrošināta Atvieglojumu </w:t>
      </w:r>
      <w:r w:rsidRPr="00674730" w:rsidR="003F1990">
        <w:rPr>
          <w:rFonts w:ascii="Times New Roman" w:hAnsi="Times New Roman" w:cs="Times New Roman"/>
          <w:sz w:val="24"/>
          <w:szCs w:val="24"/>
        </w:rPr>
        <w:t>saņēmēju personas datu drošība</w:t>
      </w:r>
      <w:r w:rsidRPr="00674730">
        <w:rPr>
          <w:rFonts w:ascii="Times New Roman" w:hAnsi="Times New Roman" w:cs="Times New Roman"/>
          <w:sz w:val="24"/>
          <w:szCs w:val="24"/>
        </w:rPr>
        <w:t>;</w:t>
      </w:r>
    </w:p>
    <w:p w:rsidR="000E1231" w:rsidRPr="00674730" w:rsidP="00E151C6" w14:paraId="1D2AB239" w14:textId="77777777">
      <w:pPr>
        <w:pStyle w:val="ListParagraph"/>
        <w:numPr>
          <w:ilvl w:val="0"/>
          <w:numId w:val="3"/>
        </w:numPr>
        <w:spacing w:after="0" w:line="276" w:lineRule="auto"/>
        <w:ind w:left="709" w:hanging="283"/>
        <w:jc w:val="both"/>
        <w:rPr>
          <w:rFonts w:ascii="Times New Roman" w:hAnsi="Times New Roman" w:cs="Times New Roman"/>
          <w:sz w:val="24"/>
          <w:szCs w:val="24"/>
        </w:rPr>
      </w:pPr>
      <w:r w:rsidRPr="00674730">
        <w:rPr>
          <w:rFonts w:ascii="Times New Roman" w:hAnsi="Times New Roman" w:cs="Times New Roman"/>
          <w:sz w:val="24"/>
          <w:szCs w:val="24"/>
        </w:rPr>
        <w:t>nodrošināta iespēja veikt analīzi par esošās valsts un pašvaldību politikas realizāciju, sasniegtajiem mērķiem, vērtējot precīzus datus un radot iespēju veikt secinājumus par nepieciešamajiem pilnveidojumiem</w:t>
      </w:r>
      <w:r w:rsidRPr="00674730" w:rsidR="003F1990">
        <w:rPr>
          <w:rFonts w:ascii="Times New Roman" w:hAnsi="Times New Roman" w:cs="Times New Roman"/>
          <w:sz w:val="24"/>
          <w:szCs w:val="24"/>
        </w:rPr>
        <w:t>.</w:t>
      </w:r>
    </w:p>
    <w:p w:rsidR="008A0525" w:rsidRPr="00674730" w:rsidP="00631723" w14:paraId="01FBB38A" w14:textId="77777777">
      <w:pPr>
        <w:spacing w:after="0" w:line="276" w:lineRule="auto"/>
        <w:ind w:left="567"/>
        <w:jc w:val="right"/>
        <w:rPr>
          <w:rFonts w:ascii="Times New Roman" w:hAnsi="Times New Roman" w:cs="Times New Roman"/>
          <w:sz w:val="24"/>
          <w:szCs w:val="24"/>
        </w:rPr>
      </w:pPr>
    </w:p>
    <w:p w:rsidR="0090563E" w:rsidRPr="00674730" w:rsidP="00631723" w14:paraId="56253FC2" w14:textId="77777777">
      <w:pPr>
        <w:spacing w:after="0" w:line="276" w:lineRule="auto"/>
        <w:ind w:left="567"/>
        <w:jc w:val="right"/>
        <w:rPr>
          <w:rFonts w:ascii="Times New Roman" w:hAnsi="Times New Roman" w:cs="Times New Roman"/>
          <w:sz w:val="24"/>
          <w:szCs w:val="24"/>
        </w:rPr>
      </w:pPr>
      <w:r w:rsidRPr="00674730">
        <w:rPr>
          <w:rFonts w:ascii="Times New Roman" w:hAnsi="Times New Roman" w:cs="Times New Roman"/>
          <w:sz w:val="24"/>
          <w:szCs w:val="24"/>
        </w:rPr>
        <w:t>1</w:t>
      </w:r>
      <w:r w:rsidRPr="00674730">
        <w:rPr>
          <w:rFonts w:ascii="Times New Roman" w:hAnsi="Times New Roman" w:cs="Times New Roman"/>
          <w:sz w:val="24"/>
          <w:szCs w:val="24"/>
        </w:rPr>
        <w:t>.attēls</w:t>
      </w:r>
    </w:p>
    <w:p w:rsidR="005123B4" w:rsidRPr="00674730" w:rsidP="00631723" w14:paraId="6E0BD981" w14:textId="77777777">
      <w:pPr>
        <w:spacing w:after="0" w:line="276" w:lineRule="auto"/>
        <w:jc w:val="center"/>
        <w:rPr>
          <w:rFonts w:ascii="Times New Roman" w:hAnsi="Times New Roman" w:cs="Times New Roman"/>
          <w:b/>
          <w:sz w:val="24"/>
          <w:szCs w:val="24"/>
        </w:rPr>
      </w:pPr>
      <w:r w:rsidRPr="00674730">
        <w:rPr>
          <w:rFonts w:ascii="Times New Roman" w:hAnsi="Times New Roman" w:cs="Times New Roman"/>
          <w:b/>
          <w:sz w:val="24"/>
          <w:szCs w:val="24"/>
        </w:rPr>
        <w:t>Koplietošanas risinājuma darbības shēma</w:t>
      </w:r>
    </w:p>
    <w:p w:rsidR="005123B4" w:rsidRPr="00674730" w:rsidP="00631723" w14:paraId="57A41682" w14:textId="77777777">
      <w:pPr>
        <w:spacing w:after="0" w:line="276" w:lineRule="auto"/>
        <w:jc w:val="both"/>
        <w:rPr>
          <w:rFonts w:ascii="Times New Roman" w:hAnsi="Times New Roman" w:cs="Times New Roman"/>
          <w:b/>
          <w:sz w:val="24"/>
          <w:szCs w:val="24"/>
        </w:rPr>
      </w:pPr>
      <w:r w:rsidRPr="00674730">
        <w:rPr>
          <w:rFonts w:ascii="Times New Roman" w:hAnsi="Times New Roman" w:cs="Times New Roman"/>
          <w:noProof/>
          <w:sz w:val="24"/>
          <w:szCs w:val="24"/>
          <w:lang w:eastAsia="lv-LV"/>
        </w:rPr>
        <w:drawing>
          <wp:inline distT="0" distB="0" distL="0" distR="0">
            <wp:extent cx="6029325" cy="3390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578611855" name="Picture 1"/>
                    <pic:cNvPicPr/>
                  </pic:nvPicPr>
                  <pic:blipFill>
                    <a:blip xmlns:r="http://schemas.openxmlformats.org/officeDocument/2006/relationships" r:embed="rId6"/>
                    <a:stretch>
                      <a:fillRect/>
                    </a:stretch>
                  </pic:blipFill>
                  <pic:spPr>
                    <a:xfrm>
                      <a:off x="0" y="0"/>
                      <a:ext cx="6029325" cy="3390900"/>
                    </a:xfrm>
                    <a:prstGeom prst="rect">
                      <a:avLst/>
                    </a:prstGeom>
                  </pic:spPr>
                </pic:pic>
              </a:graphicData>
            </a:graphic>
          </wp:inline>
        </w:drawing>
      </w:r>
    </w:p>
    <w:p w:rsidR="006A4F95" w:rsidRPr="00674730" w:rsidP="00631723" w14:paraId="4D0061C0" w14:textId="77777777">
      <w:pPr>
        <w:spacing w:after="0" w:line="276" w:lineRule="auto"/>
        <w:jc w:val="both"/>
        <w:rPr>
          <w:rFonts w:ascii="Times New Roman" w:hAnsi="Times New Roman" w:cs="Times New Roman"/>
          <w:i/>
          <w:sz w:val="24"/>
          <w:szCs w:val="24"/>
        </w:rPr>
      </w:pPr>
    </w:p>
    <w:p w:rsidR="00BC1C53" w:rsidRPr="00674730" w:rsidP="00631723" w14:paraId="22B2EB80" w14:textId="7986132E">
      <w:p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I</w:t>
      </w:r>
      <w:r w:rsidRPr="00674730" w:rsidR="005B6E61">
        <w:rPr>
          <w:rFonts w:ascii="Times New Roman" w:hAnsi="Times New Roman" w:cs="Times New Roman"/>
          <w:i/>
          <w:sz w:val="24"/>
          <w:szCs w:val="24"/>
        </w:rPr>
        <w:t>edzīvotājs piereģistrē K</w:t>
      </w:r>
      <w:r w:rsidRPr="00674730" w:rsidR="005123B4">
        <w:rPr>
          <w:rFonts w:ascii="Times New Roman" w:hAnsi="Times New Roman" w:cs="Times New Roman"/>
          <w:i/>
          <w:sz w:val="24"/>
          <w:szCs w:val="24"/>
        </w:rPr>
        <w:t>artes datus</w:t>
      </w:r>
      <w:r w:rsidRPr="00674730">
        <w:rPr>
          <w:rFonts w:ascii="Times New Roman" w:hAnsi="Times New Roman" w:cs="Times New Roman"/>
          <w:i/>
          <w:sz w:val="24"/>
          <w:szCs w:val="24"/>
        </w:rPr>
        <w:t xml:space="preserve"> portālā</w:t>
      </w:r>
      <w:r w:rsidRPr="00674730" w:rsidR="005123B4">
        <w:rPr>
          <w:rFonts w:ascii="Times New Roman" w:hAnsi="Times New Roman" w:cs="Times New Roman"/>
          <w:i/>
          <w:sz w:val="24"/>
          <w:szCs w:val="24"/>
        </w:rPr>
        <w:t xml:space="preserve"> Latvija.lv </w:t>
      </w:r>
      <w:r w:rsidRPr="00674730" w:rsidR="002630C9">
        <w:rPr>
          <w:rFonts w:ascii="Times New Roman" w:hAnsi="Times New Roman" w:cs="Times New Roman"/>
          <w:i/>
          <w:sz w:val="24"/>
          <w:szCs w:val="24"/>
        </w:rPr>
        <w:t xml:space="preserve">e-pakalpojumā, no kurienes tie tiek saglabāti </w:t>
      </w:r>
      <w:r w:rsidRPr="00674730">
        <w:rPr>
          <w:rFonts w:ascii="Times New Roman" w:hAnsi="Times New Roman" w:cs="Times New Roman"/>
          <w:i/>
          <w:sz w:val="24"/>
          <w:szCs w:val="24"/>
        </w:rPr>
        <w:t>Vienot</w:t>
      </w:r>
      <w:r w:rsidRPr="00674730" w:rsidR="002630C9">
        <w:rPr>
          <w:rFonts w:ascii="Times New Roman" w:hAnsi="Times New Roman" w:cs="Times New Roman"/>
          <w:i/>
          <w:sz w:val="24"/>
          <w:szCs w:val="24"/>
        </w:rPr>
        <w:t>ā</w:t>
      </w:r>
      <w:r w:rsidRPr="00674730">
        <w:rPr>
          <w:rFonts w:ascii="Times New Roman" w:hAnsi="Times New Roman" w:cs="Times New Roman"/>
          <w:i/>
          <w:sz w:val="24"/>
          <w:szCs w:val="24"/>
        </w:rPr>
        <w:t xml:space="preserve"> iedzīvotāju atvieglojumu karšu reģistrā, kurā atvieglojuma saņēmējs iesniedz datus par savu </w:t>
      </w:r>
      <w:r w:rsidRPr="00674730" w:rsidR="00A22D57">
        <w:rPr>
          <w:rFonts w:ascii="Times New Roman" w:hAnsi="Times New Roman" w:cs="Times New Roman"/>
          <w:i/>
          <w:sz w:val="24"/>
          <w:szCs w:val="24"/>
        </w:rPr>
        <w:t>K</w:t>
      </w:r>
      <w:r w:rsidRPr="00674730">
        <w:rPr>
          <w:rFonts w:ascii="Times New Roman" w:hAnsi="Times New Roman" w:cs="Times New Roman"/>
          <w:i/>
          <w:sz w:val="24"/>
          <w:szCs w:val="24"/>
        </w:rPr>
        <w:t>arti</w:t>
      </w:r>
      <w:r w:rsidRPr="00674730" w:rsidR="00B55C22">
        <w:rPr>
          <w:rFonts w:ascii="Times New Roman" w:hAnsi="Times New Roman" w:cs="Times New Roman"/>
          <w:i/>
          <w:sz w:val="24"/>
          <w:szCs w:val="24"/>
        </w:rPr>
        <w:t xml:space="preserve"> </w:t>
      </w:r>
      <w:r w:rsidRPr="00674730">
        <w:rPr>
          <w:rFonts w:ascii="Times New Roman" w:hAnsi="Times New Roman" w:cs="Times New Roman"/>
          <w:i/>
          <w:sz w:val="24"/>
          <w:szCs w:val="24"/>
        </w:rPr>
        <w:t>atvieglojumu saņemšanai (kartes dati, personas kods, vārds, uzvārds</w:t>
      </w:r>
      <w:r w:rsidRPr="00674730" w:rsidR="00155EBA">
        <w:rPr>
          <w:rFonts w:ascii="Times New Roman" w:hAnsi="Times New Roman" w:cs="Times New Roman"/>
          <w:i/>
          <w:sz w:val="24"/>
          <w:szCs w:val="24"/>
        </w:rPr>
        <w:t>)</w:t>
      </w:r>
      <w:r w:rsidRPr="00674730">
        <w:rPr>
          <w:rFonts w:ascii="Times New Roman" w:hAnsi="Times New Roman" w:cs="Times New Roman"/>
          <w:i/>
          <w:sz w:val="24"/>
          <w:szCs w:val="24"/>
        </w:rPr>
        <w:t>.</w:t>
      </w:r>
    </w:p>
    <w:p w:rsidR="005123B4" w:rsidRPr="00674730" w:rsidP="00631723" w14:paraId="450164CB" w14:textId="6C90A13D">
      <w:p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 xml:space="preserve">Atvieglojumu devējs slēdz līgumu ar </w:t>
      </w:r>
      <w:r w:rsidRPr="00674730">
        <w:rPr>
          <w:rFonts w:ascii="Times New Roman" w:hAnsi="Times New Roman" w:cs="Times New Roman"/>
          <w:i/>
          <w:sz w:val="24"/>
          <w:szCs w:val="24"/>
        </w:rPr>
        <w:t>izdevējbanku</w:t>
      </w:r>
      <w:r w:rsidRPr="00674730">
        <w:rPr>
          <w:rFonts w:ascii="Times New Roman" w:hAnsi="Times New Roman" w:cs="Times New Roman"/>
          <w:i/>
          <w:sz w:val="24"/>
          <w:szCs w:val="24"/>
        </w:rPr>
        <w:t xml:space="preserve"> vai </w:t>
      </w:r>
      <w:r w:rsidRPr="00674730">
        <w:rPr>
          <w:rFonts w:ascii="Times New Roman" w:hAnsi="Times New Roman" w:cs="Times New Roman"/>
          <w:i/>
          <w:sz w:val="24"/>
          <w:szCs w:val="24"/>
        </w:rPr>
        <w:t>pieņēmējbanku</w:t>
      </w:r>
      <w:r w:rsidRPr="00674730">
        <w:rPr>
          <w:rFonts w:ascii="Times New Roman" w:hAnsi="Times New Roman" w:cs="Times New Roman"/>
          <w:i/>
          <w:sz w:val="24"/>
          <w:szCs w:val="24"/>
        </w:rPr>
        <w:t xml:space="preserve">, tas nosaka kurā pusē notiek </w:t>
      </w:r>
      <w:r w:rsidRPr="00674730" w:rsidR="00E20E72">
        <w:rPr>
          <w:rFonts w:ascii="Times New Roman" w:hAnsi="Times New Roman" w:cs="Times New Roman"/>
          <w:i/>
          <w:sz w:val="24"/>
          <w:szCs w:val="24"/>
        </w:rPr>
        <w:t xml:space="preserve">atvieglojuma apmēra </w:t>
      </w:r>
      <w:r w:rsidRPr="00674730">
        <w:rPr>
          <w:rFonts w:ascii="Times New Roman" w:hAnsi="Times New Roman" w:cs="Times New Roman"/>
          <w:i/>
          <w:sz w:val="24"/>
          <w:szCs w:val="24"/>
        </w:rPr>
        <w:t>aprēķins</w:t>
      </w:r>
      <w:r w:rsidRPr="00674730" w:rsidR="00E20E72">
        <w:rPr>
          <w:rFonts w:ascii="Times New Roman" w:hAnsi="Times New Roman" w:cs="Times New Roman"/>
          <w:i/>
          <w:sz w:val="24"/>
          <w:szCs w:val="24"/>
        </w:rPr>
        <w:t>.</w:t>
      </w:r>
    </w:p>
    <w:p w:rsidR="005123B4" w:rsidRPr="00674730" w:rsidP="00631723" w14:paraId="61848AAC" w14:textId="77777777">
      <w:pPr>
        <w:spacing w:after="0" w:line="276" w:lineRule="auto"/>
        <w:jc w:val="both"/>
        <w:rPr>
          <w:rFonts w:ascii="Times New Roman" w:hAnsi="Times New Roman" w:cs="Times New Roman"/>
          <w:i/>
          <w:sz w:val="24"/>
          <w:szCs w:val="24"/>
        </w:rPr>
      </w:pPr>
    </w:p>
    <w:p w:rsidR="001D6021" w:rsidRPr="00674730" w:rsidP="00631723" w14:paraId="3AA53E95" w14:textId="77777777">
      <w:pPr>
        <w:spacing w:after="0" w:line="276" w:lineRule="auto"/>
        <w:jc w:val="both"/>
        <w:rPr>
          <w:rFonts w:ascii="Times New Roman" w:hAnsi="Times New Roman" w:cs="Times New Roman"/>
          <w:i/>
          <w:sz w:val="24"/>
          <w:szCs w:val="24"/>
        </w:rPr>
      </w:pPr>
    </w:p>
    <w:p w:rsidR="005123B4" w:rsidRPr="00674730" w:rsidP="00631723" w14:paraId="34C8DAE7" w14:textId="77777777">
      <w:p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 xml:space="preserve">Atvieglojuma </w:t>
      </w:r>
      <w:r w:rsidRPr="00674730">
        <w:rPr>
          <w:rFonts w:ascii="Times New Roman" w:hAnsi="Times New Roman" w:cs="Times New Roman"/>
          <w:i/>
          <w:sz w:val="24"/>
          <w:szCs w:val="24"/>
        </w:rPr>
        <w:t>apstrādes process:</w:t>
      </w:r>
    </w:p>
    <w:p w:rsidR="005123B4" w:rsidRPr="00674730" w:rsidP="002630C9" w14:paraId="18829168" w14:textId="03869B39">
      <w:pPr>
        <w:numPr>
          <w:ilvl w:val="0"/>
          <w:numId w:val="8"/>
        </w:num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 xml:space="preserve">Tirgotājs vai karšu </w:t>
      </w:r>
      <w:r w:rsidRPr="00674730">
        <w:rPr>
          <w:rFonts w:ascii="Times New Roman" w:hAnsi="Times New Roman" w:cs="Times New Roman"/>
          <w:i/>
          <w:sz w:val="24"/>
          <w:szCs w:val="24"/>
        </w:rPr>
        <w:t>izdevējbanka</w:t>
      </w:r>
      <w:r w:rsidRPr="00674730">
        <w:rPr>
          <w:rFonts w:ascii="Times New Roman" w:hAnsi="Times New Roman" w:cs="Times New Roman"/>
          <w:i/>
          <w:sz w:val="24"/>
          <w:szCs w:val="24"/>
        </w:rPr>
        <w:t xml:space="preserve"> </w:t>
      </w:r>
      <w:r w:rsidRPr="00674730" w:rsidR="00494ACE">
        <w:rPr>
          <w:rFonts w:ascii="Times New Roman" w:hAnsi="Times New Roman" w:cs="Times New Roman"/>
          <w:i/>
          <w:sz w:val="24"/>
          <w:szCs w:val="24"/>
        </w:rPr>
        <w:t>vēršas</w:t>
      </w:r>
      <w:r w:rsidRPr="00674730">
        <w:rPr>
          <w:rFonts w:ascii="Times New Roman" w:hAnsi="Times New Roman" w:cs="Times New Roman"/>
          <w:i/>
          <w:sz w:val="24"/>
          <w:szCs w:val="24"/>
        </w:rPr>
        <w:t xml:space="preserve"> pie </w:t>
      </w:r>
      <w:r w:rsidRPr="00674730" w:rsidR="002630C9">
        <w:rPr>
          <w:rFonts w:ascii="Times New Roman" w:hAnsi="Times New Roman" w:cs="Times New Roman"/>
          <w:i/>
          <w:sz w:val="24"/>
          <w:szCs w:val="24"/>
        </w:rPr>
        <w:t>Atvieglojumu saņēmēju grupu savietotāja</w:t>
      </w:r>
      <w:r w:rsidRPr="00674730">
        <w:rPr>
          <w:rFonts w:ascii="Times New Roman" w:hAnsi="Times New Roman" w:cs="Times New Roman"/>
          <w:i/>
          <w:sz w:val="24"/>
          <w:szCs w:val="24"/>
        </w:rPr>
        <w:t xml:space="preserve"> ar transakciju, kurai pienākas atlaide</w:t>
      </w:r>
      <w:r w:rsidRPr="00674730" w:rsidR="00A22D57">
        <w:rPr>
          <w:rFonts w:ascii="Times New Roman" w:hAnsi="Times New Roman" w:cs="Times New Roman"/>
          <w:i/>
          <w:sz w:val="24"/>
          <w:szCs w:val="24"/>
        </w:rPr>
        <w:t>;</w:t>
      </w:r>
    </w:p>
    <w:p w:rsidR="005123B4" w:rsidRPr="00674730" w:rsidP="00482086" w14:paraId="6411132D" w14:textId="5DFD8923">
      <w:pPr>
        <w:numPr>
          <w:ilvl w:val="0"/>
          <w:numId w:val="8"/>
        </w:num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Atvieglojumu saņēmēju grupu savietotājs</w:t>
      </w:r>
      <w:r w:rsidRPr="00674730">
        <w:rPr>
          <w:rFonts w:ascii="Times New Roman" w:hAnsi="Times New Roman" w:cs="Times New Roman"/>
          <w:i/>
          <w:sz w:val="24"/>
          <w:szCs w:val="24"/>
        </w:rPr>
        <w:t xml:space="preserve"> atbild ar piešķiramo </w:t>
      </w:r>
      <w:r w:rsidRPr="00674730" w:rsidR="00E20E72">
        <w:rPr>
          <w:rFonts w:ascii="Times New Roman" w:hAnsi="Times New Roman" w:cs="Times New Roman"/>
          <w:i/>
          <w:sz w:val="24"/>
          <w:szCs w:val="24"/>
        </w:rPr>
        <w:t xml:space="preserve">atvieglojumu </w:t>
      </w:r>
      <w:r w:rsidRPr="00674730">
        <w:rPr>
          <w:rFonts w:ascii="Times New Roman" w:hAnsi="Times New Roman" w:cs="Times New Roman"/>
          <w:i/>
          <w:sz w:val="24"/>
          <w:szCs w:val="24"/>
        </w:rPr>
        <w:t>kopsummu</w:t>
      </w:r>
      <w:r w:rsidRPr="00674730" w:rsidR="00A22D57">
        <w:rPr>
          <w:rFonts w:ascii="Times New Roman" w:hAnsi="Times New Roman" w:cs="Times New Roman"/>
          <w:i/>
          <w:sz w:val="24"/>
          <w:szCs w:val="24"/>
        </w:rPr>
        <w:t>;</w:t>
      </w:r>
    </w:p>
    <w:p w:rsidR="005123B4" w:rsidRPr="00674730" w:rsidP="002630C9" w14:paraId="7E19A1BA" w14:textId="68B33187">
      <w:pPr>
        <w:numPr>
          <w:ilvl w:val="0"/>
          <w:numId w:val="8"/>
        </w:num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 xml:space="preserve">Pēc veiksmīgas transakcijas </w:t>
      </w:r>
      <w:r w:rsidRPr="00674730" w:rsidR="002630C9">
        <w:rPr>
          <w:rFonts w:ascii="Times New Roman" w:hAnsi="Times New Roman" w:cs="Times New Roman"/>
          <w:i/>
          <w:sz w:val="24"/>
          <w:szCs w:val="24"/>
        </w:rPr>
        <w:t>Atvieglojumu saņēmēju grupu savietotājs</w:t>
      </w:r>
      <w:r w:rsidRPr="00674730">
        <w:rPr>
          <w:rFonts w:ascii="Times New Roman" w:hAnsi="Times New Roman" w:cs="Times New Roman"/>
          <w:i/>
          <w:sz w:val="24"/>
          <w:szCs w:val="24"/>
        </w:rPr>
        <w:t xml:space="preserve"> nodod </w:t>
      </w:r>
      <w:r w:rsidRPr="00674730" w:rsidR="00B14F56">
        <w:rPr>
          <w:rFonts w:ascii="Times New Roman" w:hAnsi="Times New Roman" w:cs="Times New Roman"/>
          <w:i/>
          <w:sz w:val="24"/>
          <w:szCs w:val="24"/>
        </w:rPr>
        <w:t>pieņēmējbankai</w:t>
      </w:r>
      <w:r w:rsidRPr="00674730">
        <w:rPr>
          <w:rFonts w:ascii="Times New Roman" w:hAnsi="Times New Roman" w:cs="Times New Roman"/>
          <w:i/>
          <w:sz w:val="24"/>
          <w:szCs w:val="24"/>
        </w:rPr>
        <w:t xml:space="preserve"> vai karšu </w:t>
      </w:r>
      <w:r w:rsidRPr="00674730">
        <w:rPr>
          <w:rFonts w:ascii="Times New Roman" w:hAnsi="Times New Roman" w:cs="Times New Roman"/>
          <w:i/>
          <w:sz w:val="24"/>
          <w:szCs w:val="24"/>
        </w:rPr>
        <w:t>izdevējbankai</w:t>
      </w:r>
      <w:r w:rsidRPr="00674730">
        <w:rPr>
          <w:rFonts w:ascii="Times New Roman" w:hAnsi="Times New Roman" w:cs="Times New Roman"/>
          <w:i/>
          <w:sz w:val="24"/>
          <w:szCs w:val="24"/>
        </w:rPr>
        <w:t xml:space="preserve"> </w:t>
      </w:r>
      <w:r w:rsidRPr="00674730" w:rsidR="00B14F56">
        <w:rPr>
          <w:rFonts w:ascii="Times New Roman" w:hAnsi="Times New Roman" w:cs="Times New Roman"/>
          <w:i/>
          <w:sz w:val="24"/>
          <w:szCs w:val="24"/>
        </w:rPr>
        <w:t>informāciju par kompensējamo summu, norēķinu veikšanai.</w:t>
      </w:r>
    </w:p>
    <w:p w:rsidR="005E7EA7" w:rsidRPr="00674730" w:rsidP="002630C9" w14:paraId="0C4D97AD" w14:textId="25A3A524">
      <w:pPr>
        <w:numPr>
          <w:ilvl w:val="0"/>
          <w:numId w:val="8"/>
        </w:numPr>
        <w:spacing w:after="0" w:line="276" w:lineRule="auto"/>
        <w:jc w:val="both"/>
        <w:rPr>
          <w:rFonts w:ascii="Times New Roman" w:hAnsi="Times New Roman" w:cs="Times New Roman"/>
          <w:i/>
          <w:sz w:val="24"/>
          <w:szCs w:val="24"/>
        </w:rPr>
      </w:pPr>
      <w:r w:rsidRPr="00674730">
        <w:rPr>
          <w:rFonts w:ascii="Times New Roman" w:hAnsi="Times New Roman" w:cs="Times New Roman"/>
          <w:i/>
          <w:sz w:val="24"/>
          <w:szCs w:val="24"/>
        </w:rPr>
        <w:t>Ja ir tikai identifikācija, tad sistēma ir pieejams identificēto darījumu saraksts, kas ir pieejams arī caur ārējām saskarnēm</w:t>
      </w:r>
    </w:p>
    <w:p w:rsidR="008A0525" w:rsidRPr="00674730" w:rsidP="00631723" w14:paraId="3023792B" w14:textId="77777777">
      <w:pPr>
        <w:spacing w:after="0" w:line="276" w:lineRule="auto"/>
        <w:ind w:firstLine="709"/>
        <w:contextualSpacing/>
        <w:jc w:val="both"/>
        <w:rPr>
          <w:rFonts w:ascii="Times New Roman" w:hAnsi="Times New Roman" w:cs="Times New Roman"/>
          <w:sz w:val="24"/>
          <w:szCs w:val="24"/>
        </w:rPr>
      </w:pPr>
    </w:p>
    <w:p w:rsidR="00731E4C" w:rsidRPr="00674730" w:rsidP="00631723" w14:paraId="145C893C" w14:textId="56921BC2">
      <w:pPr>
        <w:spacing w:after="0" w:line="276" w:lineRule="auto"/>
        <w:ind w:firstLine="709"/>
        <w:contextualSpacing/>
        <w:jc w:val="both"/>
        <w:rPr>
          <w:rFonts w:ascii="Times New Roman" w:hAnsi="Times New Roman" w:cs="Times New Roman"/>
          <w:sz w:val="24"/>
          <w:szCs w:val="24"/>
        </w:rPr>
      </w:pPr>
      <w:r w:rsidRPr="00674730">
        <w:rPr>
          <w:rFonts w:ascii="Times New Roman" w:hAnsi="Times New Roman" w:cs="Times New Roman"/>
          <w:sz w:val="24"/>
          <w:szCs w:val="24"/>
        </w:rPr>
        <w:t>Izstrādājamā sistēma ir jāb</w:t>
      </w:r>
      <w:r w:rsidRPr="00674730" w:rsidR="001D6021">
        <w:rPr>
          <w:rFonts w:ascii="Times New Roman" w:hAnsi="Times New Roman" w:cs="Times New Roman"/>
          <w:sz w:val="24"/>
          <w:szCs w:val="24"/>
        </w:rPr>
        <w:t>alsta uz atvērto datu</w:t>
      </w:r>
      <w:r w:rsidRPr="00674730">
        <w:rPr>
          <w:rFonts w:ascii="Times New Roman" w:hAnsi="Times New Roman" w:cs="Times New Roman"/>
          <w:sz w:val="24"/>
          <w:szCs w:val="24"/>
        </w:rPr>
        <w:t xml:space="preserve"> principiem, lai jebkurš </w:t>
      </w:r>
      <w:r w:rsidRPr="00674730" w:rsidR="00BC1C53">
        <w:rPr>
          <w:rFonts w:ascii="Times New Roman" w:hAnsi="Times New Roman" w:cs="Times New Roman"/>
          <w:sz w:val="24"/>
          <w:szCs w:val="24"/>
        </w:rPr>
        <w:t xml:space="preserve">varētu </w:t>
      </w:r>
      <w:r w:rsidRPr="00674730">
        <w:rPr>
          <w:rFonts w:ascii="Times New Roman" w:hAnsi="Times New Roman" w:cs="Times New Roman"/>
          <w:sz w:val="24"/>
          <w:szCs w:val="24"/>
        </w:rPr>
        <w:t>būt sistēmas dalībnieks. Ņemot vērā esošo situāciju</w:t>
      </w:r>
      <w:r w:rsidRPr="00674730" w:rsidR="00BC1C53">
        <w:rPr>
          <w:rFonts w:ascii="Times New Roman" w:hAnsi="Times New Roman" w:cs="Times New Roman"/>
          <w:sz w:val="24"/>
          <w:szCs w:val="24"/>
        </w:rPr>
        <w:t>, ka</w:t>
      </w:r>
      <w:r w:rsidRPr="00674730">
        <w:rPr>
          <w:rFonts w:ascii="Times New Roman" w:hAnsi="Times New Roman" w:cs="Times New Roman"/>
          <w:sz w:val="24"/>
          <w:szCs w:val="24"/>
        </w:rPr>
        <w:t xml:space="preserve"> vēsturiski </w:t>
      </w:r>
      <w:r w:rsidRPr="00674730" w:rsidR="00BC1C53">
        <w:rPr>
          <w:rFonts w:ascii="Times New Roman" w:hAnsi="Times New Roman" w:cs="Times New Roman"/>
          <w:sz w:val="24"/>
          <w:szCs w:val="24"/>
        </w:rPr>
        <w:t xml:space="preserve">ir </w:t>
      </w:r>
      <w:r w:rsidRPr="00674730">
        <w:rPr>
          <w:rFonts w:ascii="Times New Roman" w:hAnsi="Times New Roman" w:cs="Times New Roman"/>
          <w:sz w:val="24"/>
          <w:szCs w:val="24"/>
        </w:rPr>
        <w:t>veidojušās tiešas sadarbības sistēmas ar speciālām kartēm, kas strādā tikai speciālos terminālos</w:t>
      </w:r>
      <w:r w:rsidRPr="00674730" w:rsidR="00E05A1C">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sidR="00E05A1C">
        <w:rPr>
          <w:rFonts w:ascii="Times New Roman" w:hAnsi="Times New Roman" w:cs="Times New Roman"/>
          <w:sz w:val="24"/>
          <w:szCs w:val="24"/>
        </w:rPr>
        <w:t>A</w:t>
      </w:r>
      <w:r w:rsidRPr="00674730">
        <w:rPr>
          <w:rFonts w:ascii="Times New Roman" w:hAnsi="Times New Roman" w:cs="Times New Roman"/>
          <w:sz w:val="24"/>
          <w:szCs w:val="24"/>
        </w:rPr>
        <w:t>r šo sistēmas izstrādi nevar aizliegt tiešas sadarbības sistēmu attīstību, tāpēc risinājums atbalsta gan tiešo sadarbību, gan veicina atvērtu sistēmu izveidi.</w:t>
      </w:r>
    </w:p>
    <w:p w:rsidR="001D6021" w:rsidRPr="00674730" w:rsidP="00E151C6" w14:paraId="313EE39C" w14:textId="77777777">
      <w:pPr>
        <w:spacing w:after="0" w:line="276" w:lineRule="auto"/>
        <w:ind w:right="140" w:firstLine="720"/>
        <w:jc w:val="right"/>
        <w:rPr>
          <w:rFonts w:ascii="Times New Roman" w:hAnsi="Times New Roman" w:cs="Times New Roman"/>
          <w:sz w:val="24"/>
          <w:szCs w:val="24"/>
        </w:rPr>
      </w:pPr>
    </w:p>
    <w:p w:rsidR="00E151C6" w:rsidRPr="00674730" w:rsidP="00E151C6" w14:paraId="313BB3E2" w14:textId="77777777">
      <w:pPr>
        <w:spacing w:after="0" w:line="276" w:lineRule="auto"/>
        <w:ind w:right="140" w:firstLine="720"/>
        <w:jc w:val="right"/>
        <w:rPr>
          <w:rFonts w:ascii="Times New Roman" w:hAnsi="Times New Roman" w:cs="Times New Roman"/>
          <w:sz w:val="24"/>
          <w:szCs w:val="24"/>
        </w:rPr>
      </w:pPr>
      <w:r w:rsidRPr="00674730">
        <w:rPr>
          <w:rFonts w:ascii="Times New Roman" w:hAnsi="Times New Roman" w:cs="Times New Roman"/>
          <w:sz w:val="24"/>
          <w:szCs w:val="24"/>
        </w:rPr>
        <w:t>3.tabula</w:t>
      </w:r>
    </w:p>
    <w:p w:rsidR="00E151C6" w:rsidRPr="00674730" w:rsidP="00E151C6" w14:paraId="5A70C083" w14:textId="579BDD87">
      <w:pPr>
        <w:spacing w:after="0" w:line="276" w:lineRule="auto"/>
        <w:contextualSpacing/>
        <w:jc w:val="center"/>
        <w:rPr>
          <w:rFonts w:ascii="Times New Roman" w:hAnsi="Times New Roman" w:cs="Times New Roman"/>
          <w:b/>
          <w:sz w:val="24"/>
          <w:szCs w:val="24"/>
        </w:rPr>
      </w:pPr>
      <w:r w:rsidRPr="00674730">
        <w:rPr>
          <w:rFonts w:ascii="Times New Roman" w:hAnsi="Times New Roman" w:cs="Times New Roman"/>
          <w:b/>
          <w:sz w:val="24"/>
          <w:szCs w:val="24"/>
        </w:rPr>
        <w:t>Kopl</w:t>
      </w:r>
      <w:r w:rsidRPr="00674730" w:rsidR="001A70DC">
        <w:rPr>
          <w:rFonts w:ascii="Times New Roman" w:hAnsi="Times New Roman" w:cs="Times New Roman"/>
          <w:b/>
          <w:sz w:val="24"/>
          <w:szCs w:val="24"/>
        </w:rPr>
        <w:t>ietošanas risinājuma realizācijā</w:t>
      </w:r>
      <w:r w:rsidRPr="00674730">
        <w:rPr>
          <w:rFonts w:ascii="Times New Roman" w:hAnsi="Times New Roman" w:cs="Times New Roman"/>
          <w:b/>
          <w:sz w:val="24"/>
          <w:szCs w:val="24"/>
        </w:rPr>
        <w:t xml:space="preserve"> iesaistītās puses un to lomas risinājumā</w:t>
      </w:r>
    </w:p>
    <w:tbl>
      <w:tblPr>
        <w:tblStyle w:val="TableGrid"/>
        <w:tblW w:w="9464" w:type="dxa"/>
        <w:tblLook w:val="04A0"/>
      </w:tblPr>
      <w:tblGrid>
        <w:gridCol w:w="1980"/>
        <w:gridCol w:w="7484"/>
      </w:tblGrid>
      <w:tr w14:paraId="2172D291" w14:textId="77777777" w:rsidTr="003C7E0D">
        <w:tblPrEx>
          <w:tblW w:w="9464" w:type="dxa"/>
          <w:tblLook w:val="04A0"/>
        </w:tblPrEx>
        <w:tc>
          <w:tcPr>
            <w:tcW w:w="1980" w:type="dxa"/>
            <w:shd w:val="clear" w:color="auto" w:fill="F2F2F2" w:themeFill="background1" w:themeFillShade="F2"/>
          </w:tcPr>
          <w:p w:rsidR="00E151C6" w:rsidRPr="00674730" w:rsidP="009A1A65" w14:paraId="32965282" w14:textId="77777777">
            <w:pPr>
              <w:spacing w:line="276" w:lineRule="auto"/>
              <w:jc w:val="center"/>
              <w:rPr>
                <w:b/>
                <w:sz w:val="24"/>
                <w:szCs w:val="24"/>
              </w:rPr>
            </w:pPr>
            <w:r w:rsidRPr="00674730">
              <w:rPr>
                <w:b/>
                <w:sz w:val="24"/>
                <w:szCs w:val="24"/>
              </w:rPr>
              <w:t>Iesaistītā puse</w:t>
            </w:r>
          </w:p>
        </w:tc>
        <w:tc>
          <w:tcPr>
            <w:tcW w:w="7484" w:type="dxa"/>
            <w:shd w:val="clear" w:color="auto" w:fill="F2F2F2" w:themeFill="background1" w:themeFillShade="F2"/>
          </w:tcPr>
          <w:p w:rsidR="00E151C6" w:rsidRPr="00674730" w:rsidP="009A1A65" w14:paraId="4BE814CD" w14:textId="77777777">
            <w:pPr>
              <w:spacing w:line="276" w:lineRule="auto"/>
              <w:jc w:val="center"/>
              <w:rPr>
                <w:b/>
                <w:sz w:val="24"/>
                <w:szCs w:val="24"/>
              </w:rPr>
            </w:pPr>
            <w:r w:rsidRPr="00674730">
              <w:rPr>
                <w:b/>
                <w:sz w:val="24"/>
                <w:szCs w:val="24"/>
              </w:rPr>
              <w:t>Lomas, pienākumi risinājumā</w:t>
            </w:r>
          </w:p>
        </w:tc>
      </w:tr>
      <w:tr w14:paraId="0E1F4B86" w14:textId="77777777" w:rsidTr="00E151C6">
        <w:tblPrEx>
          <w:tblW w:w="9464" w:type="dxa"/>
          <w:tblLook w:val="04A0"/>
        </w:tblPrEx>
        <w:tc>
          <w:tcPr>
            <w:tcW w:w="1980" w:type="dxa"/>
          </w:tcPr>
          <w:p w:rsidR="00E151C6" w:rsidRPr="00674730" w:rsidP="009A1A65" w14:paraId="4D04D333" w14:textId="77777777">
            <w:pPr>
              <w:spacing w:line="276" w:lineRule="auto"/>
              <w:contextualSpacing/>
              <w:jc w:val="both"/>
              <w:rPr>
                <w:b/>
                <w:sz w:val="24"/>
                <w:szCs w:val="24"/>
              </w:rPr>
            </w:pPr>
            <w:r w:rsidRPr="00674730">
              <w:rPr>
                <w:b/>
                <w:sz w:val="24"/>
                <w:szCs w:val="24"/>
              </w:rPr>
              <w:t>Valsts reģionālās attīstības aģentūra</w:t>
            </w:r>
          </w:p>
        </w:tc>
        <w:tc>
          <w:tcPr>
            <w:tcW w:w="7484" w:type="dxa"/>
          </w:tcPr>
          <w:p w:rsidR="00E151C6" w:rsidRPr="00674730" w:rsidP="009A1A65" w14:paraId="4D273327" w14:textId="702014B7">
            <w:pPr>
              <w:spacing w:line="276" w:lineRule="auto"/>
              <w:contextualSpacing/>
              <w:jc w:val="both"/>
              <w:rPr>
                <w:sz w:val="24"/>
                <w:szCs w:val="24"/>
              </w:rPr>
            </w:pPr>
            <w:r w:rsidRPr="00674730">
              <w:rPr>
                <w:sz w:val="24"/>
                <w:szCs w:val="24"/>
              </w:rPr>
              <w:t xml:space="preserve">Ir plānots kā </w:t>
            </w:r>
            <w:r w:rsidRPr="00674730">
              <w:rPr>
                <w:b/>
                <w:sz w:val="24"/>
                <w:szCs w:val="24"/>
              </w:rPr>
              <w:t>Resursu turētājs</w:t>
            </w:r>
            <w:r w:rsidRPr="00674730">
              <w:rPr>
                <w:sz w:val="24"/>
                <w:szCs w:val="24"/>
              </w:rPr>
              <w:t xml:space="preserve"> šādām informācijas sistēm</w:t>
            </w:r>
            <w:r w:rsidRPr="00674730" w:rsidR="00D95293">
              <w:rPr>
                <w:sz w:val="24"/>
                <w:szCs w:val="24"/>
              </w:rPr>
              <w:t>as sastāvdaļām</w:t>
            </w:r>
            <w:r w:rsidRPr="00674730">
              <w:rPr>
                <w:sz w:val="24"/>
                <w:szCs w:val="24"/>
              </w:rPr>
              <w:t>:</w:t>
            </w:r>
          </w:p>
          <w:p w:rsidR="00E151C6" w:rsidRPr="00674730" w:rsidP="001A70DC" w14:paraId="73E24105" w14:textId="77777777">
            <w:pPr>
              <w:pStyle w:val="ListParagraph"/>
              <w:numPr>
                <w:ilvl w:val="0"/>
                <w:numId w:val="14"/>
              </w:numPr>
              <w:spacing w:line="256" w:lineRule="auto"/>
              <w:ind w:left="317"/>
              <w:jc w:val="both"/>
              <w:rPr>
                <w:sz w:val="24"/>
                <w:szCs w:val="24"/>
              </w:rPr>
            </w:pPr>
            <w:r w:rsidRPr="00674730">
              <w:rPr>
                <w:b/>
                <w:sz w:val="24"/>
                <w:szCs w:val="24"/>
              </w:rPr>
              <w:t xml:space="preserve">Atvieglojumu </w:t>
            </w:r>
            <w:r w:rsidRPr="00674730" w:rsidR="00E20E72">
              <w:rPr>
                <w:b/>
                <w:sz w:val="24"/>
                <w:szCs w:val="24"/>
              </w:rPr>
              <w:t xml:space="preserve">saņēmēju </w:t>
            </w:r>
            <w:r w:rsidRPr="00674730">
              <w:rPr>
                <w:b/>
                <w:sz w:val="24"/>
                <w:szCs w:val="24"/>
              </w:rPr>
              <w:t>grupu savietotājs</w:t>
            </w:r>
            <w:r w:rsidRPr="00674730">
              <w:rPr>
                <w:sz w:val="24"/>
                <w:szCs w:val="24"/>
              </w:rPr>
              <w:t xml:space="preserve"> (realizēts VISS) – </w:t>
            </w:r>
          </w:p>
          <w:p w:rsidR="00E151C6" w:rsidRPr="00674730" w:rsidP="009A1A65" w14:paraId="49E5658F" w14:textId="19C7B0FC">
            <w:pPr>
              <w:pStyle w:val="ListParagraph"/>
              <w:ind w:left="313"/>
              <w:jc w:val="both"/>
              <w:rPr>
                <w:sz w:val="24"/>
                <w:szCs w:val="24"/>
              </w:rPr>
            </w:pPr>
            <w:r w:rsidRPr="00674730">
              <w:rPr>
                <w:b/>
                <w:sz w:val="24"/>
                <w:szCs w:val="24"/>
              </w:rPr>
              <w:t>satur informāciju</w:t>
            </w:r>
            <w:r w:rsidRPr="00674730">
              <w:rPr>
                <w:sz w:val="24"/>
                <w:szCs w:val="24"/>
              </w:rPr>
              <w:t xml:space="preserve"> par </w:t>
            </w:r>
            <w:r w:rsidRPr="00674730" w:rsidR="00E20E72">
              <w:rPr>
                <w:sz w:val="24"/>
                <w:szCs w:val="24"/>
              </w:rPr>
              <w:t>atvieglojumu</w:t>
            </w:r>
            <w:r w:rsidRPr="00674730">
              <w:rPr>
                <w:sz w:val="24"/>
                <w:szCs w:val="24"/>
              </w:rPr>
              <w:t xml:space="preserve"> saņēmējiem – fiziskām personām un šo personu piederību</w:t>
            </w:r>
            <w:r w:rsidRPr="00674730" w:rsidR="00E20E72">
              <w:rPr>
                <w:sz w:val="24"/>
                <w:szCs w:val="24"/>
              </w:rPr>
              <w:t xml:space="preserve"> noteiktām</w:t>
            </w:r>
            <w:r w:rsidRPr="00674730">
              <w:rPr>
                <w:sz w:val="24"/>
                <w:szCs w:val="24"/>
              </w:rPr>
              <w:t xml:space="preserve"> atlaižu saņēmēju grupām;</w:t>
            </w:r>
          </w:p>
          <w:p w:rsidR="00E151C6" w:rsidRPr="00674730" w:rsidP="00E151C6" w14:paraId="00760BD3" w14:textId="1CDD7ACE">
            <w:pPr>
              <w:pStyle w:val="ListParagraph"/>
              <w:numPr>
                <w:ilvl w:val="0"/>
                <w:numId w:val="14"/>
              </w:numPr>
              <w:spacing w:line="256" w:lineRule="auto"/>
              <w:ind w:left="313"/>
              <w:jc w:val="both"/>
              <w:rPr>
                <w:sz w:val="24"/>
                <w:szCs w:val="24"/>
              </w:rPr>
            </w:pPr>
            <w:r w:rsidRPr="00674730">
              <w:rPr>
                <w:b/>
                <w:sz w:val="24"/>
                <w:szCs w:val="24"/>
              </w:rPr>
              <w:t xml:space="preserve">Vienotais iedzīvotāju </w:t>
            </w:r>
            <w:r w:rsidRPr="00674730" w:rsidR="00CD21F3">
              <w:rPr>
                <w:b/>
                <w:sz w:val="24"/>
                <w:szCs w:val="24"/>
              </w:rPr>
              <w:t>atvieglojumu</w:t>
            </w:r>
            <w:r w:rsidRPr="00674730">
              <w:rPr>
                <w:b/>
                <w:sz w:val="24"/>
                <w:szCs w:val="24"/>
              </w:rPr>
              <w:t xml:space="preserve"> reģistrs</w:t>
            </w:r>
            <w:r w:rsidRPr="00674730">
              <w:rPr>
                <w:sz w:val="24"/>
                <w:szCs w:val="24"/>
              </w:rPr>
              <w:t xml:space="preserve"> (realizēts VISS) –</w:t>
            </w:r>
          </w:p>
          <w:p w:rsidR="00E151C6" w:rsidRPr="00674730" w:rsidP="009A1A65" w14:paraId="4BB04E35" w14:textId="77777777">
            <w:pPr>
              <w:pStyle w:val="ListParagraph"/>
              <w:ind w:left="313"/>
              <w:jc w:val="both"/>
              <w:rPr>
                <w:sz w:val="24"/>
                <w:szCs w:val="24"/>
              </w:rPr>
            </w:pPr>
            <w:r w:rsidRPr="00674730">
              <w:rPr>
                <w:b/>
                <w:sz w:val="24"/>
                <w:szCs w:val="24"/>
              </w:rPr>
              <w:t xml:space="preserve">satur informāciju </w:t>
            </w:r>
            <w:r w:rsidRPr="00674730">
              <w:rPr>
                <w:sz w:val="24"/>
                <w:szCs w:val="24"/>
              </w:rPr>
              <w:t>par valsts un pašvaldības piešķirtajiem atvieglojumu veidiem un šo atvieglojumu piešķiršanas norādījumus fiziskām personām - identificē pakalpojuma saņēmēju, kompensētā pakalpojuma veidu, kompensācijas apjomu, atvieglojuma sniegšanas periodu un citus atvieglojuma sniegšanas nosacījumus;</w:t>
            </w:r>
          </w:p>
          <w:p w:rsidR="00E151C6" w:rsidRPr="00674730" w:rsidP="00E151C6" w14:paraId="45B515B4" w14:textId="77BD00B5">
            <w:pPr>
              <w:pStyle w:val="ListParagraph"/>
              <w:numPr>
                <w:ilvl w:val="0"/>
                <w:numId w:val="14"/>
              </w:numPr>
              <w:spacing w:line="256" w:lineRule="auto"/>
              <w:ind w:left="313"/>
              <w:jc w:val="both"/>
              <w:rPr>
                <w:sz w:val="24"/>
                <w:szCs w:val="24"/>
              </w:rPr>
            </w:pPr>
            <w:r w:rsidRPr="00674730">
              <w:rPr>
                <w:b/>
                <w:sz w:val="24"/>
                <w:szCs w:val="24"/>
              </w:rPr>
              <w:t>Vienotais iedzīvotāju at</w:t>
            </w:r>
            <w:r w:rsidRPr="00674730" w:rsidR="00CD21F3">
              <w:rPr>
                <w:b/>
                <w:sz w:val="24"/>
                <w:szCs w:val="24"/>
              </w:rPr>
              <w:t>vieglojumu</w:t>
            </w:r>
            <w:r w:rsidRPr="00674730">
              <w:rPr>
                <w:b/>
                <w:sz w:val="24"/>
                <w:szCs w:val="24"/>
              </w:rPr>
              <w:t xml:space="preserve"> karšu reģistrs</w:t>
            </w:r>
            <w:r w:rsidRPr="00674730">
              <w:rPr>
                <w:sz w:val="24"/>
                <w:szCs w:val="24"/>
              </w:rPr>
              <w:t xml:space="preserve"> (realizēts VISS un Latvija.lv) –</w:t>
            </w:r>
          </w:p>
          <w:p w:rsidR="00E151C6" w:rsidRPr="00674730" w:rsidP="00A22D57" w14:paraId="7B4B2D8C" w14:textId="34261092">
            <w:pPr>
              <w:ind w:left="317"/>
              <w:jc w:val="both"/>
              <w:rPr>
                <w:b/>
                <w:sz w:val="24"/>
                <w:szCs w:val="24"/>
              </w:rPr>
            </w:pPr>
            <w:r w:rsidRPr="00674730">
              <w:rPr>
                <w:b/>
                <w:sz w:val="24"/>
                <w:szCs w:val="24"/>
              </w:rPr>
              <w:t xml:space="preserve">satur informāciju </w:t>
            </w:r>
            <w:r w:rsidRPr="00674730">
              <w:rPr>
                <w:sz w:val="24"/>
                <w:szCs w:val="24"/>
              </w:rPr>
              <w:t xml:space="preserve">par fizisko personu viedkartēm (bankas norēķinu kartēm, </w:t>
            </w:r>
            <w:r w:rsidRPr="00674730">
              <w:rPr>
                <w:sz w:val="24"/>
                <w:szCs w:val="24"/>
              </w:rPr>
              <w:t>eID</w:t>
            </w:r>
            <w:r w:rsidRPr="00674730">
              <w:rPr>
                <w:sz w:val="24"/>
                <w:szCs w:val="24"/>
              </w:rPr>
              <w:t xml:space="preserve"> kartēm, Personificētiem e-taloniem), kuras pati persona vai valsts/pašvaldības iestāde reģistrē </w:t>
            </w:r>
            <w:r w:rsidRPr="00674730" w:rsidR="00D95293">
              <w:rPr>
                <w:sz w:val="24"/>
                <w:szCs w:val="24"/>
              </w:rPr>
              <w:t xml:space="preserve">e-pakalpojumā </w:t>
            </w:r>
            <w:r w:rsidRPr="00674730">
              <w:rPr>
                <w:sz w:val="24"/>
                <w:szCs w:val="24"/>
              </w:rPr>
              <w:t>kā personas atlaižu karti</w:t>
            </w:r>
            <w:r w:rsidRPr="00674730" w:rsidR="003B072E">
              <w:rPr>
                <w:sz w:val="24"/>
                <w:szCs w:val="24"/>
              </w:rPr>
              <w:t>.</w:t>
            </w:r>
          </w:p>
        </w:tc>
      </w:tr>
      <w:tr w14:paraId="3D2C64E3" w14:textId="77777777" w:rsidTr="00E151C6">
        <w:tblPrEx>
          <w:tblW w:w="9464" w:type="dxa"/>
          <w:tblLook w:val="04A0"/>
        </w:tblPrEx>
        <w:tc>
          <w:tcPr>
            <w:tcW w:w="1980" w:type="dxa"/>
          </w:tcPr>
          <w:p w:rsidR="00E151C6" w:rsidRPr="00674730" w:rsidP="009A1A65" w14:paraId="61A10A4D" w14:textId="77777777">
            <w:pPr>
              <w:spacing w:line="276" w:lineRule="auto"/>
              <w:contextualSpacing/>
              <w:jc w:val="both"/>
              <w:rPr>
                <w:b/>
                <w:sz w:val="24"/>
                <w:szCs w:val="24"/>
              </w:rPr>
            </w:pPr>
            <w:r w:rsidRPr="00674730">
              <w:rPr>
                <w:b/>
                <w:sz w:val="24"/>
                <w:szCs w:val="24"/>
              </w:rPr>
              <w:t>Atvieglojumu devēji – valsts, pašvaldību iestādes</w:t>
            </w:r>
          </w:p>
        </w:tc>
        <w:tc>
          <w:tcPr>
            <w:tcW w:w="7484" w:type="dxa"/>
          </w:tcPr>
          <w:p w:rsidR="00E151C6" w:rsidRPr="00674730" w:rsidP="009A1A65" w14:paraId="7A1515C5" w14:textId="6A2FCF7C">
            <w:pPr>
              <w:spacing w:line="276" w:lineRule="auto"/>
              <w:contextualSpacing/>
              <w:jc w:val="both"/>
              <w:rPr>
                <w:sz w:val="24"/>
                <w:szCs w:val="24"/>
              </w:rPr>
            </w:pPr>
            <w:r w:rsidRPr="00674730">
              <w:rPr>
                <w:b/>
                <w:sz w:val="24"/>
                <w:szCs w:val="24"/>
              </w:rPr>
              <w:t>Izmanto</w:t>
            </w:r>
            <w:r w:rsidRPr="00674730">
              <w:rPr>
                <w:sz w:val="24"/>
                <w:szCs w:val="24"/>
              </w:rPr>
              <w:t xml:space="preserve"> </w:t>
            </w:r>
            <w:r w:rsidRPr="00674730">
              <w:rPr>
                <w:b/>
                <w:sz w:val="24"/>
                <w:szCs w:val="24"/>
              </w:rPr>
              <w:t xml:space="preserve">Atvieglojumu </w:t>
            </w:r>
            <w:r w:rsidRPr="00674730" w:rsidR="00E20E72">
              <w:rPr>
                <w:b/>
                <w:sz w:val="24"/>
                <w:szCs w:val="24"/>
              </w:rPr>
              <w:t xml:space="preserve">saņēmēju </w:t>
            </w:r>
            <w:r w:rsidRPr="00674730">
              <w:rPr>
                <w:b/>
                <w:sz w:val="24"/>
                <w:szCs w:val="24"/>
              </w:rPr>
              <w:t xml:space="preserve">grupu savietotāja datus </w:t>
            </w:r>
            <w:r w:rsidRPr="00674730">
              <w:rPr>
                <w:sz w:val="24"/>
                <w:szCs w:val="24"/>
              </w:rPr>
              <w:t xml:space="preserve">(izmantojot </w:t>
            </w:r>
            <w:r w:rsidRPr="00674730" w:rsidR="00E20E72">
              <w:rPr>
                <w:sz w:val="24"/>
                <w:szCs w:val="24"/>
              </w:rPr>
              <w:t>Datu izplatīšanas tīkl</w:t>
            </w:r>
            <w:r w:rsidRPr="00674730" w:rsidR="00D95293">
              <w:rPr>
                <w:sz w:val="24"/>
                <w:szCs w:val="24"/>
              </w:rPr>
              <w:t>u</w:t>
            </w:r>
            <w:r w:rsidRPr="00674730" w:rsidR="00E20E72">
              <w:rPr>
                <w:sz w:val="24"/>
                <w:szCs w:val="24"/>
              </w:rPr>
              <w:t xml:space="preserve"> (</w:t>
            </w:r>
            <w:r w:rsidRPr="00674730">
              <w:rPr>
                <w:sz w:val="24"/>
                <w:szCs w:val="24"/>
              </w:rPr>
              <w:t>DIT)</w:t>
            </w:r>
            <w:r w:rsidRPr="00674730" w:rsidR="00D95293">
              <w:rPr>
                <w:sz w:val="24"/>
                <w:szCs w:val="24"/>
              </w:rPr>
              <w:t xml:space="preserve"> vai citu VISS risinājumu</w:t>
            </w:r>
            <w:r w:rsidRPr="00674730">
              <w:rPr>
                <w:sz w:val="24"/>
                <w:szCs w:val="24"/>
              </w:rPr>
              <w:t xml:space="preserve">, lai automatizētu atvieglojumu saņēmēju noteikšanas un atvieglojumu piešķiršanas, aktualizācijas procesu (t.sk. </w:t>
            </w:r>
            <w:r w:rsidRPr="00674730" w:rsidR="00D95293">
              <w:rPr>
                <w:sz w:val="24"/>
                <w:szCs w:val="24"/>
              </w:rPr>
              <w:t>Vienotā i</w:t>
            </w:r>
            <w:r w:rsidRPr="00674730">
              <w:rPr>
                <w:sz w:val="24"/>
                <w:szCs w:val="24"/>
              </w:rPr>
              <w:t xml:space="preserve">edzīvotāju </w:t>
            </w:r>
            <w:r w:rsidRPr="00674730" w:rsidR="00D95293">
              <w:rPr>
                <w:sz w:val="24"/>
                <w:szCs w:val="24"/>
              </w:rPr>
              <w:t xml:space="preserve">atvieglojumu </w:t>
            </w:r>
            <w:r w:rsidRPr="00674730">
              <w:rPr>
                <w:sz w:val="24"/>
                <w:szCs w:val="24"/>
              </w:rPr>
              <w:t>reģistra datu aizpildīšanai un aktualizācijai);</w:t>
            </w:r>
          </w:p>
          <w:p w:rsidR="00E151C6" w:rsidRPr="00674730" w:rsidP="009A1A65" w14:paraId="15F112B1" w14:textId="7ABBD7D0">
            <w:pPr>
              <w:spacing w:line="276" w:lineRule="auto"/>
              <w:contextualSpacing/>
              <w:jc w:val="both"/>
              <w:rPr>
                <w:sz w:val="24"/>
                <w:szCs w:val="24"/>
              </w:rPr>
            </w:pPr>
            <w:r w:rsidRPr="00674730">
              <w:rPr>
                <w:b/>
                <w:sz w:val="24"/>
                <w:szCs w:val="24"/>
              </w:rPr>
              <w:t>Rada informāciju Vienot</w:t>
            </w:r>
            <w:r w:rsidRPr="00674730" w:rsidR="00D95293">
              <w:rPr>
                <w:b/>
                <w:sz w:val="24"/>
                <w:szCs w:val="24"/>
              </w:rPr>
              <w:t>ajā</w:t>
            </w:r>
            <w:r w:rsidRPr="00674730">
              <w:rPr>
                <w:b/>
                <w:sz w:val="24"/>
                <w:szCs w:val="24"/>
              </w:rPr>
              <w:t xml:space="preserve"> iedzīvotāju at</w:t>
            </w:r>
            <w:r w:rsidRPr="00674730" w:rsidR="00CD21F3">
              <w:rPr>
                <w:b/>
                <w:sz w:val="24"/>
                <w:szCs w:val="24"/>
              </w:rPr>
              <w:t>vieglojumu</w:t>
            </w:r>
            <w:r w:rsidRPr="00674730">
              <w:rPr>
                <w:b/>
                <w:sz w:val="24"/>
                <w:szCs w:val="24"/>
              </w:rPr>
              <w:t xml:space="preserve"> reģistrā</w:t>
            </w:r>
            <w:r w:rsidRPr="00674730">
              <w:rPr>
                <w:sz w:val="24"/>
                <w:szCs w:val="24"/>
              </w:rPr>
              <w:t>, izmantojot reģistra starpsistēmu integrācijas saskarni;</w:t>
            </w:r>
          </w:p>
          <w:p w:rsidR="00E151C6" w:rsidRPr="00674730" w:rsidP="009A1A65" w14:paraId="5C66C7F9" w14:textId="0C0E6AD8">
            <w:pPr>
              <w:spacing w:line="276" w:lineRule="auto"/>
              <w:contextualSpacing/>
              <w:jc w:val="both"/>
              <w:rPr>
                <w:sz w:val="24"/>
                <w:szCs w:val="24"/>
              </w:rPr>
            </w:pPr>
            <w:r w:rsidRPr="00674730">
              <w:rPr>
                <w:b/>
                <w:sz w:val="24"/>
                <w:szCs w:val="24"/>
              </w:rPr>
              <w:t xml:space="preserve">Rada informāciju </w:t>
            </w:r>
            <w:r w:rsidRPr="00674730" w:rsidR="00D95293">
              <w:rPr>
                <w:b/>
                <w:sz w:val="24"/>
                <w:szCs w:val="24"/>
              </w:rPr>
              <w:t>Vienotajā iedzīvotāju</w:t>
            </w:r>
            <w:r w:rsidRPr="00674730" w:rsidR="00D95293">
              <w:rPr>
                <w:sz w:val="24"/>
                <w:szCs w:val="24"/>
              </w:rPr>
              <w:t xml:space="preserve"> </w:t>
            </w:r>
            <w:r w:rsidRPr="00674730" w:rsidR="00D95293">
              <w:rPr>
                <w:b/>
                <w:sz w:val="24"/>
                <w:szCs w:val="24"/>
              </w:rPr>
              <w:t>a</w:t>
            </w:r>
            <w:r w:rsidRPr="00674730">
              <w:rPr>
                <w:b/>
                <w:sz w:val="24"/>
                <w:szCs w:val="24"/>
              </w:rPr>
              <w:t>t</w:t>
            </w:r>
            <w:r w:rsidRPr="00674730" w:rsidR="00CD21F3">
              <w:rPr>
                <w:b/>
                <w:sz w:val="24"/>
                <w:szCs w:val="24"/>
              </w:rPr>
              <w:t>vieglojumu</w:t>
            </w:r>
            <w:r w:rsidRPr="00674730">
              <w:rPr>
                <w:b/>
                <w:sz w:val="24"/>
                <w:szCs w:val="24"/>
              </w:rPr>
              <w:t xml:space="preserve"> karšu reģistrā,</w:t>
            </w:r>
            <w:r w:rsidRPr="00674730">
              <w:rPr>
                <w:sz w:val="24"/>
                <w:szCs w:val="24"/>
              </w:rPr>
              <w:t xml:space="preserve"> izmantojot speciālu starpsistēmu saskarni gadījumos, kad nepieciešams nodrošināt </w:t>
            </w:r>
            <w:r w:rsidRPr="00674730" w:rsidR="00E20E72">
              <w:rPr>
                <w:sz w:val="24"/>
                <w:szCs w:val="24"/>
              </w:rPr>
              <w:t xml:space="preserve">atvieglojumus saņemšanai nepieciešamās </w:t>
            </w:r>
            <w:r w:rsidRPr="00674730">
              <w:rPr>
                <w:sz w:val="24"/>
                <w:szCs w:val="24"/>
              </w:rPr>
              <w:t>kartes reģistrāciju tiem iedzīvotājiem, kuriem nav pieejams latvija.lv portāls šīs darbības veikšanai.</w:t>
            </w:r>
          </w:p>
          <w:p w:rsidR="00E151C6" w:rsidRPr="00674730" w:rsidP="009A1A65" w14:paraId="6E1273B8" w14:textId="77777777">
            <w:pPr>
              <w:spacing w:line="276" w:lineRule="auto"/>
              <w:contextualSpacing/>
              <w:jc w:val="both"/>
              <w:rPr>
                <w:sz w:val="24"/>
                <w:szCs w:val="24"/>
              </w:rPr>
            </w:pPr>
            <w:r w:rsidRPr="00674730">
              <w:rPr>
                <w:b/>
                <w:sz w:val="24"/>
                <w:szCs w:val="24"/>
              </w:rPr>
              <w:t>Slēdz</w:t>
            </w:r>
            <w:r w:rsidRPr="00674730">
              <w:rPr>
                <w:sz w:val="24"/>
                <w:szCs w:val="24"/>
              </w:rPr>
              <w:t xml:space="preserve"> </w:t>
            </w:r>
            <w:r w:rsidRPr="00674730">
              <w:rPr>
                <w:b/>
                <w:sz w:val="24"/>
                <w:szCs w:val="24"/>
              </w:rPr>
              <w:t>līgumus</w:t>
            </w:r>
            <w:r w:rsidRPr="00674730">
              <w:rPr>
                <w:sz w:val="24"/>
                <w:szCs w:val="24"/>
              </w:rPr>
              <w:t xml:space="preserve"> ar Tirgotājiem vai bankām par kompensāciju maksājumu administrēšanu, izmantojot viņu infrastruktūru, kura atbalsta koplietošanas </w:t>
            </w:r>
            <w:r w:rsidRPr="00674730">
              <w:rPr>
                <w:sz w:val="24"/>
                <w:szCs w:val="24"/>
              </w:rPr>
              <w:t>risinājuma izmantošanu, par kompensāciju pēcapmaksu (tikai jā izmanto šādu risinājumu).</w:t>
            </w:r>
          </w:p>
          <w:p w:rsidR="00E151C6" w:rsidRPr="00674730" w:rsidP="009A1A65" w14:paraId="54EE58FF" w14:textId="20259F09">
            <w:pPr>
              <w:spacing w:line="276" w:lineRule="auto"/>
              <w:contextualSpacing/>
              <w:jc w:val="both"/>
              <w:rPr>
                <w:sz w:val="24"/>
                <w:szCs w:val="24"/>
              </w:rPr>
            </w:pPr>
            <w:r w:rsidRPr="00674730">
              <w:rPr>
                <w:b/>
                <w:sz w:val="24"/>
                <w:szCs w:val="24"/>
              </w:rPr>
              <w:t>Veic kompensēto pakalpojumu apmaksu Tirgotājiem</w:t>
            </w:r>
            <w:r w:rsidRPr="00674730">
              <w:rPr>
                <w:sz w:val="24"/>
                <w:szCs w:val="24"/>
              </w:rPr>
              <w:t>, balstoties uz veiktajiem</w:t>
            </w:r>
            <w:r w:rsidRPr="00674730" w:rsidR="00D95293">
              <w:rPr>
                <w:sz w:val="24"/>
                <w:szCs w:val="24"/>
              </w:rPr>
              <w:t xml:space="preserve"> </w:t>
            </w:r>
            <w:r w:rsidRPr="00674730" w:rsidR="00B61E45">
              <w:rPr>
                <w:sz w:val="24"/>
                <w:szCs w:val="24"/>
              </w:rPr>
              <w:t>atvieglojumu</w:t>
            </w:r>
            <w:r w:rsidRPr="00674730">
              <w:rPr>
                <w:sz w:val="24"/>
                <w:szCs w:val="24"/>
              </w:rPr>
              <w:t xml:space="preserve"> piešķiršanas darījumu pieprasījumu aprēķiniem – apmaksa varēs būt divejāda, atkarībā no </w:t>
            </w:r>
            <w:r w:rsidRPr="00674730">
              <w:rPr>
                <w:b/>
                <w:sz w:val="24"/>
                <w:szCs w:val="24"/>
                <w:u w:val="single"/>
              </w:rPr>
              <w:t>izmantotā atvieglojuma aprēķina risinājuma shēmas:</w:t>
            </w:r>
          </w:p>
          <w:p w:rsidR="00E151C6" w:rsidRPr="00674730" w:rsidP="009A1A65" w14:paraId="56D911EA" w14:textId="77777777">
            <w:pPr>
              <w:spacing w:line="276" w:lineRule="auto"/>
              <w:contextualSpacing/>
              <w:jc w:val="both"/>
              <w:rPr>
                <w:sz w:val="24"/>
                <w:szCs w:val="24"/>
              </w:rPr>
            </w:pPr>
            <w:r w:rsidRPr="00674730">
              <w:rPr>
                <w:sz w:val="24"/>
                <w:szCs w:val="24"/>
              </w:rPr>
              <w:t xml:space="preserve"> – ja </w:t>
            </w:r>
            <w:r w:rsidRPr="00674730">
              <w:rPr>
                <w:b/>
                <w:sz w:val="24"/>
                <w:szCs w:val="24"/>
              </w:rPr>
              <w:t xml:space="preserve">atvieglojuma aprēķina pieprasījums tiek veikts </w:t>
            </w:r>
            <w:r w:rsidRPr="00674730">
              <w:rPr>
                <w:b/>
                <w:sz w:val="24"/>
                <w:szCs w:val="24"/>
              </w:rPr>
              <w:t>Pieņēmējbankā</w:t>
            </w:r>
            <w:r w:rsidRPr="00674730">
              <w:rPr>
                <w:sz w:val="24"/>
                <w:szCs w:val="24"/>
              </w:rPr>
              <w:t>, tad Atvieglojuma devējs no koplietošanas risinājuma saņem kopsavilkumu par izmantotajām kompensācijām, uz kuru pamata veic regulārus kompensāciju pārskaitījumus Tirgotājam atbilstoši viņu starpā noslēgtajam līgumam,</w:t>
            </w:r>
          </w:p>
          <w:p w:rsidR="00E151C6" w:rsidRPr="00674730" w:rsidP="009A1A65" w14:paraId="609131B2" w14:textId="77777777">
            <w:pPr>
              <w:spacing w:line="276" w:lineRule="auto"/>
              <w:contextualSpacing/>
              <w:jc w:val="both"/>
              <w:rPr>
                <w:sz w:val="24"/>
                <w:szCs w:val="24"/>
              </w:rPr>
            </w:pPr>
            <w:r w:rsidRPr="00674730">
              <w:rPr>
                <w:sz w:val="24"/>
                <w:szCs w:val="24"/>
              </w:rPr>
              <w:t xml:space="preserve">– ja </w:t>
            </w:r>
            <w:r w:rsidRPr="00674730">
              <w:rPr>
                <w:b/>
                <w:sz w:val="24"/>
                <w:szCs w:val="24"/>
              </w:rPr>
              <w:t xml:space="preserve">atvieglojuma aprēķina pieprasījums tiek veikts </w:t>
            </w:r>
            <w:r w:rsidRPr="00674730">
              <w:rPr>
                <w:b/>
                <w:sz w:val="24"/>
                <w:szCs w:val="24"/>
              </w:rPr>
              <w:t>Izdevējbankā</w:t>
            </w:r>
            <w:r w:rsidRPr="00674730">
              <w:rPr>
                <w:sz w:val="24"/>
                <w:szCs w:val="24"/>
              </w:rPr>
              <w:t>, tad kompensācijas summa tiek aprēķināta darījuma brīdī un ieskaitīta Tirgotāja kontā kā parasts maksājums par preci/pakalpojumu no klienta savukārt atvieglojuma devējs no koplietošanas risinājuma saņem kopsavilkumu par veiktajiem kompensāciju pārskaitījumiem un to pamatojumiem no atvieglojuma devēja bankas konta (protams redzami arī atvieglojuma devēja konta izrakstā).</w:t>
            </w:r>
          </w:p>
        </w:tc>
      </w:tr>
      <w:tr w14:paraId="31836F7E" w14:textId="77777777" w:rsidTr="00E151C6">
        <w:tblPrEx>
          <w:tblW w:w="9464" w:type="dxa"/>
          <w:tblLook w:val="04A0"/>
        </w:tblPrEx>
        <w:tc>
          <w:tcPr>
            <w:tcW w:w="1980" w:type="dxa"/>
          </w:tcPr>
          <w:p w:rsidR="00E151C6" w:rsidRPr="00674730" w:rsidP="009A1A65" w14:paraId="6B272F87" w14:textId="77777777">
            <w:pPr>
              <w:spacing w:line="276" w:lineRule="auto"/>
              <w:contextualSpacing/>
              <w:jc w:val="both"/>
              <w:rPr>
                <w:b/>
                <w:sz w:val="24"/>
                <w:szCs w:val="24"/>
              </w:rPr>
            </w:pPr>
            <w:r w:rsidRPr="00674730">
              <w:rPr>
                <w:b/>
                <w:sz w:val="24"/>
                <w:szCs w:val="24"/>
              </w:rPr>
              <w:t>Maksājumu datu apstrādes operators - Banka vai elektroniskās naudas iestāde</w:t>
            </w:r>
          </w:p>
        </w:tc>
        <w:tc>
          <w:tcPr>
            <w:tcW w:w="7484" w:type="dxa"/>
          </w:tcPr>
          <w:p w:rsidR="00E151C6" w:rsidRPr="00674730" w:rsidP="009A1A65" w14:paraId="595750CB" w14:textId="77777777">
            <w:pPr>
              <w:spacing w:line="276" w:lineRule="auto"/>
              <w:contextualSpacing/>
              <w:jc w:val="both"/>
              <w:rPr>
                <w:sz w:val="24"/>
                <w:szCs w:val="24"/>
              </w:rPr>
            </w:pPr>
            <w:r w:rsidRPr="00674730">
              <w:rPr>
                <w:b/>
                <w:sz w:val="24"/>
                <w:szCs w:val="24"/>
              </w:rPr>
              <w:t xml:space="preserve">Slēdz līgumu </w:t>
            </w:r>
            <w:r w:rsidRPr="00674730">
              <w:rPr>
                <w:sz w:val="24"/>
                <w:szCs w:val="24"/>
              </w:rPr>
              <w:t>ar Atvieglojumu devēju, Tirgotāju par banku infrastruktūras izmantošanu atvieglojumu piemērošanas vajadzībām (secība un līgumu veids un skaits atkarīgs no izvēlētās atvieglojumu piemērošanas risinājuma izmantošanas shēmas).</w:t>
            </w:r>
          </w:p>
          <w:p w:rsidR="00E151C6" w:rsidRPr="00674730" w:rsidP="009A1A65" w14:paraId="05C3543E" w14:textId="77777777">
            <w:pPr>
              <w:jc w:val="both"/>
              <w:rPr>
                <w:sz w:val="24"/>
                <w:szCs w:val="24"/>
              </w:rPr>
            </w:pPr>
            <w:r w:rsidRPr="00674730">
              <w:rPr>
                <w:sz w:val="24"/>
                <w:szCs w:val="24"/>
              </w:rPr>
              <w:t>Savā maksājumu apstrādes risinājumā</w:t>
            </w:r>
            <w:r w:rsidRPr="00674730">
              <w:rPr>
                <w:b/>
                <w:sz w:val="24"/>
                <w:szCs w:val="24"/>
              </w:rPr>
              <w:t xml:space="preserve"> Izmanto koplietošanas risinājuma Atvieglojumu karšu identifikācijas un atvieglojumu kalkulācijas pieprasījumu servisus</w:t>
            </w:r>
            <w:r w:rsidRPr="00674730">
              <w:rPr>
                <w:sz w:val="24"/>
                <w:szCs w:val="24"/>
              </w:rPr>
              <w:t>, lai nodrošinātu nepieciešamo darījuma atvieglojumu apstrādi pirkuma brīdī;</w:t>
            </w:r>
          </w:p>
        </w:tc>
      </w:tr>
      <w:tr w14:paraId="48E8C11E" w14:textId="77777777" w:rsidTr="00E151C6">
        <w:tblPrEx>
          <w:tblW w:w="9464" w:type="dxa"/>
          <w:tblLook w:val="04A0"/>
        </w:tblPrEx>
        <w:tc>
          <w:tcPr>
            <w:tcW w:w="1980" w:type="dxa"/>
          </w:tcPr>
          <w:p w:rsidR="00E151C6" w:rsidRPr="00674730" w:rsidP="009A1A65" w14:paraId="1A590B9E" w14:textId="77777777">
            <w:pPr>
              <w:spacing w:line="276" w:lineRule="auto"/>
              <w:contextualSpacing/>
              <w:jc w:val="both"/>
              <w:rPr>
                <w:b/>
                <w:sz w:val="24"/>
                <w:szCs w:val="24"/>
              </w:rPr>
            </w:pPr>
            <w:r w:rsidRPr="00674730">
              <w:rPr>
                <w:b/>
                <w:sz w:val="24"/>
                <w:szCs w:val="24"/>
              </w:rPr>
              <w:t>Tirgotājs jeb pakalpojumu sniedzējs vai pārvadātājs</w:t>
            </w:r>
          </w:p>
        </w:tc>
        <w:tc>
          <w:tcPr>
            <w:tcW w:w="7484" w:type="dxa"/>
          </w:tcPr>
          <w:p w:rsidR="00E151C6" w:rsidRPr="00674730" w:rsidP="009A1A65" w14:paraId="651F73E1" w14:textId="77777777">
            <w:pPr>
              <w:spacing w:line="276" w:lineRule="auto"/>
              <w:contextualSpacing/>
              <w:jc w:val="both"/>
              <w:rPr>
                <w:sz w:val="24"/>
                <w:szCs w:val="24"/>
              </w:rPr>
            </w:pPr>
            <w:r w:rsidRPr="00674730">
              <w:rPr>
                <w:b/>
                <w:sz w:val="24"/>
                <w:szCs w:val="24"/>
              </w:rPr>
              <w:t xml:space="preserve">Slēdz līgumu </w:t>
            </w:r>
            <w:r w:rsidRPr="00674730">
              <w:rPr>
                <w:sz w:val="24"/>
                <w:szCs w:val="24"/>
              </w:rPr>
              <w:t>ar Atvieglojumu devēju un/vai banku (skaits un secība atkarīgi no izvēlētās risinājuma izmantošanas shēmas).</w:t>
            </w:r>
          </w:p>
          <w:p w:rsidR="00E151C6" w:rsidRPr="00674730" w:rsidP="009A1A65" w14:paraId="02AD6385" w14:textId="77777777">
            <w:pPr>
              <w:spacing w:line="276" w:lineRule="auto"/>
              <w:contextualSpacing/>
              <w:jc w:val="both"/>
              <w:rPr>
                <w:sz w:val="24"/>
                <w:szCs w:val="24"/>
              </w:rPr>
            </w:pPr>
            <w:r w:rsidRPr="00674730">
              <w:rPr>
                <w:b/>
                <w:sz w:val="24"/>
                <w:szCs w:val="24"/>
              </w:rPr>
              <w:t>Izmanto karšu apstrādes operatora sistēmu</w:t>
            </w:r>
            <w:r w:rsidRPr="00674730">
              <w:rPr>
                <w:sz w:val="24"/>
                <w:szCs w:val="24"/>
              </w:rPr>
              <w:t>, kura savukārt ir integrēta ar koplietošanas risinājumu.</w:t>
            </w:r>
          </w:p>
          <w:p w:rsidR="00E151C6" w:rsidRPr="00674730" w:rsidP="009A1A65" w14:paraId="50CFA48E" w14:textId="77777777">
            <w:pPr>
              <w:spacing w:line="276" w:lineRule="auto"/>
              <w:contextualSpacing/>
              <w:jc w:val="both"/>
              <w:rPr>
                <w:sz w:val="24"/>
                <w:szCs w:val="24"/>
              </w:rPr>
            </w:pPr>
            <w:r w:rsidRPr="00674730">
              <w:rPr>
                <w:b/>
                <w:sz w:val="24"/>
                <w:szCs w:val="24"/>
              </w:rPr>
              <w:t>Saņem kompensāciju pēcapmaksas maksājums no Atvieglojuma devēja</w:t>
            </w:r>
            <w:r w:rsidRPr="00674730">
              <w:rPr>
                <w:sz w:val="24"/>
                <w:szCs w:val="24"/>
              </w:rPr>
              <w:t xml:space="preserve">, ja tiek izmantota pieslēguma shēma risinājumam, kurā atvieglojums tiek aprēķināts </w:t>
            </w:r>
            <w:r w:rsidRPr="00674730">
              <w:rPr>
                <w:sz w:val="24"/>
                <w:szCs w:val="24"/>
              </w:rPr>
              <w:t>Pieņēmējbankas</w:t>
            </w:r>
            <w:r w:rsidRPr="00674730">
              <w:rPr>
                <w:sz w:val="24"/>
                <w:szCs w:val="24"/>
              </w:rPr>
              <w:t xml:space="preserve"> pusē.</w:t>
            </w:r>
          </w:p>
        </w:tc>
      </w:tr>
      <w:tr w14:paraId="61F6B37F" w14:textId="77777777" w:rsidTr="00E151C6">
        <w:tblPrEx>
          <w:tblW w:w="9464" w:type="dxa"/>
          <w:tblLook w:val="04A0"/>
        </w:tblPrEx>
        <w:tc>
          <w:tcPr>
            <w:tcW w:w="1980" w:type="dxa"/>
          </w:tcPr>
          <w:p w:rsidR="00E151C6" w:rsidRPr="00674730" w:rsidP="009A1A65" w14:paraId="24456B1A" w14:textId="77777777">
            <w:pPr>
              <w:spacing w:line="276" w:lineRule="auto"/>
              <w:contextualSpacing/>
              <w:jc w:val="both"/>
              <w:rPr>
                <w:b/>
                <w:sz w:val="24"/>
                <w:szCs w:val="24"/>
              </w:rPr>
            </w:pPr>
            <w:r w:rsidRPr="00674730">
              <w:rPr>
                <w:b/>
                <w:sz w:val="24"/>
                <w:szCs w:val="24"/>
              </w:rPr>
              <w:t>Atvieglojuma saņēmējs jeb Iedzīvotājs</w:t>
            </w:r>
          </w:p>
        </w:tc>
        <w:tc>
          <w:tcPr>
            <w:tcW w:w="7484" w:type="dxa"/>
          </w:tcPr>
          <w:p w:rsidR="00E151C6" w:rsidRPr="00674730" w:rsidP="009A1A65" w14:paraId="162A77B3" w14:textId="14665234">
            <w:pPr>
              <w:spacing w:line="276" w:lineRule="auto"/>
              <w:contextualSpacing/>
              <w:jc w:val="both"/>
              <w:rPr>
                <w:sz w:val="24"/>
                <w:szCs w:val="24"/>
              </w:rPr>
            </w:pPr>
            <w:r w:rsidRPr="00674730">
              <w:rPr>
                <w:b/>
                <w:sz w:val="24"/>
                <w:szCs w:val="24"/>
              </w:rPr>
              <w:t xml:space="preserve">Rada un aktualizē informāciju </w:t>
            </w:r>
            <w:r w:rsidRPr="00674730" w:rsidR="00D95293">
              <w:rPr>
                <w:b/>
                <w:sz w:val="24"/>
                <w:szCs w:val="24"/>
              </w:rPr>
              <w:t>Vienotajā iedzīvotāju</w:t>
            </w:r>
            <w:r w:rsidRPr="00674730" w:rsidR="00D95293">
              <w:rPr>
                <w:sz w:val="24"/>
                <w:szCs w:val="24"/>
              </w:rPr>
              <w:t xml:space="preserve"> </w:t>
            </w:r>
            <w:r w:rsidRPr="00674730" w:rsidR="00D95293">
              <w:rPr>
                <w:b/>
                <w:sz w:val="24"/>
                <w:szCs w:val="24"/>
              </w:rPr>
              <w:t>a</w:t>
            </w:r>
            <w:r w:rsidRPr="00674730">
              <w:rPr>
                <w:b/>
                <w:sz w:val="24"/>
                <w:szCs w:val="24"/>
              </w:rPr>
              <w:t xml:space="preserve">tvieglojumu </w:t>
            </w:r>
            <w:r w:rsidRPr="00674730" w:rsidR="00B61E45">
              <w:rPr>
                <w:b/>
                <w:sz w:val="24"/>
                <w:szCs w:val="24"/>
              </w:rPr>
              <w:t xml:space="preserve">saņēmēju </w:t>
            </w:r>
            <w:r w:rsidRPr="00674730">
              <w:rPr>
                <w:b/>
                <w:sz w:val="24"/>
                <w:szCs w:val="24"/>
              </w:rPr>
              <w:t>karšu reģistrā</w:t>
            </w:r>
            <w:r w:rsidRPr="00674730">
              <w:rPr>
                <w:sz w:val="24"/>
                <w:szCs w:val="24"/>
              </w:rPr>
              <w:t xml:space="preserve">, izmantojot latvija.lv e-pakalpojumu – fiziskas personas jeb atvieglojumu saņēmēji ar e-pakalpojuma „Manas </w:t>
            </w:r>
            <w:r w:rsidRPr="00674730" w:rsidR="00B61E45">
              <w:rPr>
                <w:sz w:val="24"/>
                <w:szCs w:val="24"/>
              </w:rPr>
              <w:t xml:space="preserve">atvieglojumu </w:t>
            </w:r>
            <w:r w:rsidRPr="00674730">
              <w:rPr>
                <w:sz w:val="24"/>
                <w:szCs w:val="24"/>
              </w:rPr>
              <w:t xml:space="preserve">kartes kompensētajiem pakalpojumiem” reģistrē savu (t.sk. savu nepilngadīgo bērnu) norēķinu karti, </w:t>
            </w:r>
            <w:r w:rsidRPr="00674730">
              <w:rPr>
                <w:sz w:val="24"/>
                <w:szCs w:val="24"/>
              </w:rPr>
              <w:t>eID</w:t>
            </w:r>
            <w:r w:rsidRPr="00674730">
              <w:rPr>
                <w:sz w:val="24"/>
                <w:szCs w:val="24"/>
              </w:rPr>
              <w:t xml:space="preserve"> karti vai personificēto e-talonu, kā </w:t>
            </w:r>
            <w:r w:rsidRPr="00674730" w:rsidR="00B61E45">
              <w:rPr>
                <w:sz w:val="24"/>
                <w:szCs w:val="24"/>
              </w:rPr>
              <w:t xml:space="preserve">atvieglojumu saņemšanas </w:t>
            </w:r>
            <w:r w:rsidRPr="00674730">
              <w:rPr>
                <w:sz w:val="24"/>
                <w:szCs w:val="24"/>
              </w:rPr>
              <w:t>karti un var veikt arī izmaiņas šo karšu sarakstā;</w:t>
            </w:r>
          </w:p>
          <w:p w:rsidR="00E151C6" w:rsidRPr="00674730" w:rsidP="009A1A65" w14:paraId="763ECACB" w14:textId="346C48D1">
            <w:pPr>
              <w:spacing w:line="276" w:lineRule="auto"/>
              <w:contextualSpacing/>
              <w:jc w:val="both"/>
              <w:rPr>
                <w:sz w:val="24"/>
                <w:szCs w:val="24"/>
              </w:rPr>
            </w:pPr>
            <w:r w:rsidRPr="00674730">
              <w:rPr>
                <w:sz w:val="24"/>
                <w:szCs w:val="24"/>
              </w:rPr>
              <w:t>Latvija.lv nepieejamības gadījumā Iedzīvotājs veic šīs pašas darbības ar iestādes vai pašvaldības KAC palīdzību</w:t>
            </w:r>
            <w:r w:rsidRPr="00674730" w:rsidR="00B61E45">
              <w:rPr>
                <w:sz w:val="24"/>
                <w:szCs w:val="24"/>
              </w:rPr>
              <w:t>.</w:t>
            </w:r>
          </w:p>
        </w:tc>
      </w:tr>
      <w:tr w14:paraId="4A5EDE3C" w14:textId="77777777" w:rsidTr="00E151C6">
        <w:tblPrEx>
          <w:tblW w:w="9464" w:type="dxa"/>
          <w:tblLook w:val="04A0"/>
        </w:tblPrEx>
        <w:tc>
          <w:tcPr>
            <w:tcW w:w="1980" w:type="dxa"/>
          </w:tcPr>
          <w:p w:rsidR="00E151C6" w:rsidRPr="00674730" w:rsidP="009A1A65" w14:paraId="505102C0" w14:textId="77777777">
            <w:pPr>
              <w:spacing w:line="276" w:lineRule="auto"/>
              <w:contextualSpacing/>
              <w:jc w:val="both"/>
              <w:rPr>
                <w:b/>
                <w:sz w:val="24"/>
                <w:szCs w:val="24"/>
              </w:rPr>
            </w:pPr>
            <w:r w:rsidRPr="00674730">
              <w:rPr>
                <w:b/>
                <w:sz w:val="24"/>
                <w:szCs w:val="24"/>
              </w:rPr>
              <w:t>PCI-DSS institūcija</w:t>
            </w:r>
          </w:p>
        </w:tc>
        <w:tc>
          <w:tcPr>
            <w:tcW w:w="7484" w:type="dxa"/>
          </w:tcPr>
          <w:p w:rsidR="00E151C6" w:rsidRPr="00674730" w:rsidP="009A1A65" w14:paraId="4EE36401" w14:textId="5A0F4005">
            <w:pPr>
              <w:spacing w:line="276" w:lineRule="auto"/>
              <w:contextualSpacing/>
              <w:jc w:val="both"/>
              <w:rPr>
                <w:b/>
                <w:sz w:val="24"/>
                <w:szCs w:val="24"/>
              </w:rPr>
            </w:pPr>
            <w:r w:rsidRPr="00674730">
              <w:rPr>
                <w:b/>
                <w:sz w:val="24"/>
                <w:szCs w:val="24"/>
              </w:rPr>
              <w:t>Izstrādā un nodrošina At</w:t>
            </w:r>
            <w:r w:rsidRPr="00674730" w:rsidR="00CD21F3">
              <w:rPr>
                <w:b/>
                <w:sz w:val="24"/>
                <w:szCs w:val="24"/>
              </w:rPr>
              <w:t>vieglojumu</w:t>
            </w:r>
            <w:r w:rsidRPr="00674730">
              <w:rPr>
                <w:b/>
                <w:sz w:val="24"/>
                <w:szCs w:val="24"/>
              </w:rPr>
              <w:t xml:space="preserve"> kartes (bankas kartes) reģistrācijas tīmekļa spraudni</w:t>
            </w:r>
            <w:r w:rsidRPr="00674730">
              <w:rPr>
                <w:sz w:val="24"/>
                <w:szCs w:val="24"/>
              </w:rPr>
              <w:t xml:space="preserve">, izmantošanai </w:t>
            </w:r>
            <w:r w:rsidRPr="00674730">
              <w:rPr>
                <w:b/>
                <w:sz w:val="24"/>
                <w:szCs w:val="24"/>
              </w:rPr>
              <w:t>Vienotajā iedzīvotāju a</w:t>
            </w:r>
            <w:r w:rsidRPr="00674730" w:rsidR="00CD21F3">
              <w:rPr>
                <w:b/>
                <w:sz w:val="24"/>
                <w:szCs w:val="24"/>
              </w:rPr>
              <w:t>tvieglojumu</w:t>
            </w:r>
            <w:r w:rsidRPr="00674730">
              <w:rPr>
                <w:b/>
                <w:sz w:val="24"/>
                <w:szCs w:val="24"/>
              </w:rPr>
              <w:t xml:space="preserve"> karšu reģistrā.</w:t>
            </w:r>
          </w:p>
          <w:p w:rsidR="00E151C6" w:rsidRPr="00674730" w:rsidP="009A1A65" w14:paraId="0480558E" w14:textId="77777777">
            <w:pPr>
              <w:spacing w:line="276" w:lineRule="auto"/>
              <w:contextualSpacing/>
              <w:jc w:val="both"/>
              <w:rPr>
                <w:sz w:val="24"/>
                <w:szCs w:val="24"/>
              </w:rPr>
            </w:pPr>
            <w:r w:rsidRPr="00674730">
              <w:rPr>
                <w:sz w:val="24"/>
                <w:szCs w:val="24"/>
              </w:rPr>
              <w:t>Spraudnis nodrošina norēķinu kartes īpašnieka un atlaižu kartes reģistrācijas pieteicēja atbilstības validācijas servisus.</w:t>
            </w:r>
          </w:p>
        </w:tc>
      </w:tr>
    </w:tbl>
    <w:p w:rsidR="00E151C6" w:rsidRPr="00674730" w:rsidP="00E151C6" w14:paraId="34807FBC" w14:textId="77777777">
      <w:pPr>
        <w:spacing w:after="0" w:line="276" w:lineRule="auto"/>
        <w:contextualSpacing/>
        <w:jc w:val="both"/>
        <w:rPr>
          <w:rFonts w:ascii="Times New Roman" w:hAnsi="Times New Roman" w:cs="Times New Roman"/>
          <w:sz w:val="24"/>
          <w:szCs w:val="24"/>
        </w:rPr>
      </w:pPr>
    </w:p>
    <w:p w:rsidR="006A4F95" w:rsidRPr="00674730" w:rsidP="006A4F95" w14:paraId="40B12444" w14:textId="0A458CDE">
      <w:pPr>
        <w:spacing w:after="0" w:line="276" w:lineRule="auto"/>
        <w:ind w:firstLine="709"/>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Atvērta sistēma nozīmē, ka var reģistrēt </w:t>
      </w:r>
      <w:r w:rsidRPr="00674730" w:rsidR="00AE607A">
        <w:rPr>
          <w:rFonts w:ascii="Times New Roman" w:hAnsi="Times New Roman" w:cs="Times New Roman"/>
          <w:sz w:val="24"/>
          <w:szCs w:val="24"/>
        </w:rPr>
        <w:t>jebkuru K</w:t>
      </w:r>
      <w:r w:rsidRPr="00674730">
        <w:rPr>
          <w:rFonts w:ascii="Times New Roman" w:hAnsi="Times New Roman" w:cs="Times New Roman"/>
          <w:sz w:val="24"/>
          <w:szCs w:val="24"/>
        </w:rPr>
        <w:t>arti, un, nemainot bankas norēķinu sistēmu, nodrošināt datu ielādi karšu pieņemšanas terminālos, tādā veidā, ka jebkura karte strādā pie jebkura pieņēmēja, kas ir pieslēgts šim risinājumam.</w:t>
      </w:r>
      <w:r w:rsidRPr="00674730">
        <w:rPr>
          <w:rFonts w:ascii="Times New Roman" w:hAnsi="Times New Roman" w:cs="Times New Roman"/>
          <w:sz w:val="24"/>
          <w:szCs w:val="24"/>
        </w:rPr>
        <w:t xml:space="preserve"> </w:t>
      </w:r>
    </w:p>
    <w:p w:rsidR="005123B4" w:rsidRPr="00674730" w:rsidP="006A4F95" w14:paraId="66C91DCA" w14:textId="77777777">
      <w:pPr>
        <w:spacing w:after="0" w:line="276" w:lineRule="auto"/>
        <w:ind w:firstLine="709"/>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Izstrādājamās sistēmas integrētajām bankām ir jānodrošina VISA/MasterCard atbalstu. Citas starptautiskās vai lokālās norēķinu sistēmas bankas var izmantot pēc saviem ieskatiem, tikai šādā gadījumā </w:t>
      </w:r>
      <w:r w:rsidRPr="00674730" w:rsidR="00B92B0A">
        <w:rPr>
          <w:rFonts w:ascii="Times New Roman" w:hAnsi="Times New Roman" w:cs="Times New Roman"/>
          <w:i/>
          <w:sz w:val="24"/>
          <w:szCs w:val="24"/>
        </w:rPr>
        <w:t>Atvieglojumu devējiem</w:t>
      </w:r>
      <w:r w:rsidRPr="00674730">
        <w:rPr>
          <w:rFonts w:ascii="Times New Roman" w:hAnsi="Times New Roman" w:cs="Times New Roman"/>
          <w:sz w:val="24"/>
          <w:szCs w:val="24"/>
        </w:rPr>
        <w:t xml:space="preserve"> un pakalpojumu saņēmējiem ir jāsaprot, ka risinājums darbosies tikai speciālos terminālos.</w:t>
      </w:r>
    </w:p>
    <w:p w:rsidR="00826FE5" w:rsidRPr="00674730" w:rsidP="006A4F95" w14:paraId="2B261338" w14:textId="77777777">
      <w:pPr>
        <w:spacing w:after="0" w:line="276" w:lineRule="auto"/>
        <w:ind w:firstLine="709"/>
        <w:contextualSpacing/>
        <w:jc w:val="both"/>
        <w:rPr>
          <w:rFonts w:ascii="Times New Roman" w:hAnsi="Times New Roman" w:cs="Times New Roman"/>
          <w:sz w:val="10"/>
          <w:szCs w:val="24"/>
        </w:rPr>
      </w:pPr>
    </w:p>
    <w:p w:rsidR="003F1990" w:rsidRPr="00674730" w:rsidP="00693576" w14:paraId="373F041B" w14:textId="77777777">
      <w:pPr>
        <w:pStyle w:val="Heading1"/>
        <w:rPr>
          <w:rFonts w:ascii="Times New Roman" w:hAnsi="Times New Roman" w:cs="Times New Roman"/>
          <w:b/>
          <w:color w:val="auto"/>
          <w:sz w:val="24"/>
          <w:szCs w:val="24"/>
        </w:rPr>
      </w:pPr>
      <w:bookmarkStart w:id="7" w:name="_Toc503453997"/>
      <w:r w:rsidRPr="00674730">
        <w:rPr>
          <w:rFonts w:ascii="Times New Roman" w:hAnsi="Times New Roman" w:cs="Times New Roman"/>
          <w:b/>
          <w:color w:val="auto"/>
          <w:sz w:val="24"/>
          <w:szCs w:val="24"/>
        </w:rPr>
        <w:t>4.</w:t>
      </w:r>
      <w:r w:rsidRPr="00674730">
        <w:rPr>
          <w:rFonts w:ascii="Times New Roman" w:hAnsi="Times New Roman" w:cs="Times New Roman"/>
          <w:b/>
          <w:color w:val="auto"/>
          <w:sz w:val="24"/>
          <w:szCs w:val="24"/>
        </w:rPr>
        <w:t>Risinājuma</w:t>
      </w:r>
      <w:r w:rsidRPr="00674730" w:rsidR="00484F71">
        <w:rPr>
          <w:rFonts w:ascii="Times New Roman" w:hAnsi="Times New Roman" w:cs="Times New Roman"/>
          <w:b/>
          <w:color w:val="auto"/>
          <w:sz w:val="24"/>
          <w:szCs w:val="24"/>
        </w:rPr>
        <w:t xml:space="preserve"> ieviešanas</w:t>
      </w:r>
      <w:r w:rsidRPr="00674730">
        <w:rPr>
          <w:rFonts w:ascii="Times New Roman" w:hAnsi="Times New Roman" w:cs="Times New Roman"/>
          <w:b/>
          <w:color w:val="auto"/>
          <w:sz w:val="24"/>
          <w:szCs w:val="24"/>
        </w:rPr>
        <w:t xml:space="preserve"> ietekme</w:t>
      </w:r>
      <w:r w:rsidRPr="00674730" w:rsidR="00693576">
        <w:rPr>
          <w:rFonts w:ascii="Times New Roman" w:hAnsi="Times New Roman" w:cs="Times New Roman"/>
          <w:b/>
          <w:color w:val="auto"/>
          <w:sz w:val="24"/>
          <w:szCs w:val="24"/>
        </w:rPr>
        <w:t xml:space="preserve"> uz valsts un pašvaldību budžetu</w:t>
      </w:r>
      <w:bookmarkEnd w:id="7"/>
    </w:p>
    <w:p w:rsidR="003F1990" w:rsidRPr="00674730" w:rsidP="00631723" w14:paraId="078D4A4B" w14:textId="77777777">
      <w:pPr>
        <w:spacing w:after="0" w:line="276" w:lineRule="auto"/>
        <w:rPr>
          <w:rFonts w:ascii="Times New Roman" w:hAnsi="Times New Roman" w:cs="Times New Roman"/>
          <w:sz w:val="24"/>
          <w:szCs w:val="24"/>
        </w:rPr>
      </w:pPr>
    </w:p>
    <w:p w:rsidR="00745722" w:rsidRPr="00674730" w:rsidP="00631723" w14:paraId="5267C17D" w14:textId="605595A2">
      <w:pPr>
        <w:spacing w:after="0" w:line="276" w:lineRule="auto"/>
        <w:ind w:firstLine="720"/>
        <w:jc w:val="both"/>
        <w:rPr>
          <w:rFonts w:ascii="Times New Roman" w:hAnsi="Times New Roman" w:cs="Times New Roman"/>
          <w:sz w:val="24"/>
          <w:szCs w:val="24"/>
        </w:rPr>
      </w:pPr>
      <w:r w:rsidRPr="00674730">
        <w:rPr>
          <w:rFonts w:ascii="Times New Roman" w:hAnsi="Times New Roman" w:cs="Times New Roman"/>
          <w:sz w:val="24"/>
          <w:szCs w:val="24"/>
        </w:rPr>
        <w:t>Koplietošanas risinājumu ieviešanas un uzturēšanas ind</w:t>
      </w:r>
      <w:r w:rsidRPr="00674730" w:rsidR="00005AC2">
        <w:rPr>
          <w:rFonts w:ascii="Times New Roman" w:hAnsi="Times New Roman" w:cs="Times New Roman"/>
          <w:sz w:val="24"/>
          <w:szCs w:val="24"/>
        </w:rPr>
        <w:t xml:space="preserve">ikatīvās izmaksas ir norādītas </w:t>
      </w:r>
      <w:r w:rsidRPr="00674730" w:rsidR="00115C50">
        <w:rPr>
          <w:rFonts w:ascii="Times New Roman" w:hAnsi="Times New Roman" w:cs="Times New Roman"/>
          <w:sz w:val="24"/>
          <w:szCs w:val="24"/>
        </w:rPr>
        <w:t>4</w:t>
      </w:r>
      <w:r w:rsidRPr="00674730">
        <w:rPr>
          <w:rFonts w:ascii="Times New Roman" w:hAnsi="Times New Roman" w:cs="Times New Roman"/>
          <w:sz w:val="24"/>
          <w:szCs w:val="24"/>
        </w:rPr>
        <w:t xml:space="preserve">.tabulā. </w:t>
      </w:r>
      <w:r w:rsidRPr="00674730">
        <w:rPr>
          <w:rFonts w:ascii="Times New Roman" w:hAnsi="Times New Roman" w:cs="Times New Roman"/>
          <w:sz w:val="24"/>
          <w:szCs w:val="24"/>
        </w:rPr>
        <w:t>Tās precizēsies pēc attiecīgo komponenšu iepirkumu procedūru rezultātā saņemto pretendentu piedāvājumu izvērtēšanas.</w:t>
      </w:r>
    </w:p>
    <w:p w:rsidR="00745722" w:rsidRPr="00674730" w:rsidP="00631723" w14:paraId="7176B29F" w14:textId="77777777">
      <w:pPr>
        <w:spacing w:after="0" w:line="276" w:lineRule="auto"/>
        <w:ind w:right="140" w:firstLine="720"/>
        <w:jc w:val="right"/>
        <w:rPr>
          <w:rFonts w:ascii="Times New Roman" w:hAnsi="Times New Roman" w:cs="Times New Roman"/>
          <w:sz w:val="24"/>
          <w:szCs w:val="24"/>
        </w:rPr>
      </w:pPr>
      <w:r w:rsidRPr="00674730">
        <w:rPr>
          <w:rFonts w:ascii="Times New Roman" w:hAnsi="Times New Roman" w:cs="Times New Roman"/>
          <w:sz w:val="24"/>
          <w:szCs w:val="24"/>
        </w:rPr>
        <w:t>4</w:t>
      </w:r>
      <w:r w:rsidRPr="00674730">
        <w:rPr>
          <w:rFonts w:ascii="Times New Roman" w:hAnsi="Times New Roman" w:cs="Times New Roman"/>
          <w:sz w:val="24"/>
          <w:szCs w:val="24"/>
        </w:rPr>
        <w:t>.tabula</w:t>
      </w:r>
    </w:p>
    <w:p w:rsidR="008A5F62" w:rsidRPr="00674730" w:rsidP="001D6021" w14:paraId="71AF7246" w14:textId="77777777">
      <w:pPr>
        <w:spacing w:after="0" w:line="276" w:lineRule="auto"/>
        <w:ind w:right="140"/>
        <w:jc w:val="center"/>
        <w:rPr>
          <w:rFonts w:ascii="Times New Roman" w:hAnsi="Times New Roman" w:cs="Times New Roman"/>
          <w:b/>
          <w:sz w:val="24"/>
          <w:szCs w:val="24"/>
        </w:rPr>
      </w:pPr>
      <w:r w:rsidRPr="00674730">
        <w:rPr>
          <w:rFonts w:ascii="Times New Roman" w:hAnsi="Times New Roman" w:cs="Times New Roman"/>
          <w:b/>
          <w:sz w:val="24"/>
          <w:szCs w:val="24"/>
        </w:rPr>
        <w:t>Atvieglojumu uzskaites koplietošanas risinājumu ieviešanas un uzturēšanas indikatīvās izmaksas</w:t>
      </w:r>
    </w:p>
    <w:tbl>
      <w:tblPr>
        <w:tblStyle w:val="TableGrid"/>
        <w:tblpPr w:leftFromText="180" w:rightFromText="180" w:vertAnchor="text" w:tblpXSpec="center" w:tblpY="1"/>
        <w:tblOverlap w:val="never"/>
        <w:tblW w:w="9491" w:type="dxa"/>
        <w:tblLook w:val="04A0"/>
      </w:tblPr>
      <w:tblGrid>
        <w:gridCol w:w="562"/>
        <w:gridCol w:w="3227"/>
        <w:gridCol w:w="2018"/>
        <w:gridCol w:w="2273"/>
        <w:gridCol w:w="1411"/>
      </w:tblGrid>
      <w:tr w14:paraId="48D009E0" w14:textId="77777777" w:rsidTr="001D6021">
        <w:tblPrEx>
          <w:tblW w:w="9491" w:type="dxa"/>
          <w:tblLook w:val="04A0"/>
        </w:tblPrEx>
        <w:tc>
          <w:tcPr>
            <w:tcW w:w="562" w:type="dxa"/>
            <w:shd w:val="clear" w:color="auto" w:fill="F2F2F2" w:themeFill="background1" w:themeFillShade="F2"/>
            <w:vAlign w:val="center"/>
          </w:tcPr>
          <w:p w:rsidR="00745722" w:rsidRPr="00674730" w:rsidP="00631723" w14:paraId="72BFD2A6" w14:textId="77777777">
            <w:pPr>
              <w:spacing w:line="276" w:lineRule="auto"/>
              <w:jc w:val="center"/>
              <w:rPr>
                <w:b/>
                <w:sz w:val="24"/>
                <w:szCs w:val="24"/>
              </w:rPr>
            </w:pPr>
            <w:r w:rsidRPr="00674730">
              <w:rPr>
                <w:b/>
                <w:sz w:val="24"/>
                <w:szCs w:val="24"/>
              </w:rPr>
              <w:t>Nr.</w:t>
            </w:r>
          </w:p>
        </w:tc>
        <w:tc>
          <w:tcPr>
            <w:tcW w:w="3227" w:type="dxa"/>
            <w:shd w:val="clear" w:color="auto" w:fill="F2F2F2" w:themeFill="background1" w:themeFillShade="F2"/>
            <w:vAlign w:val="center"/>
          </w:tcPr>
          <w:p w:rsidR="00745722" w:rsidRPr="00674730" w:rsidP="00631723" w14:paraId="440127CF" w14:textId="77777777">
            <w:pPr>
              <w:spacing w:line="276" w:lineRule="auto"/>
              <w:jc w:val="center"/>
              <w:rPr>
                <w:b/>
                <w:sz w:val="24"/>
                <w:szCs w:val="24"/>
              </w:rPr>
            </w:pPr>
            <w:r w:rsidRPr="00674730">
              <w:rPr>
                <w:b/>
                <w:sz w:val="24"/>
                <w:szCs w:val="24"/>
              </w:rPr>
              <w:t>Komponente</w:t>
            </w:r>
          </w:p>
        </w:tc>
        <w:tc>
          <w:tcPr>
            <w:tcW w:w="2018" w:type="dxa"/>
            <w:shd w:val="clear" w:color="auto" w:fill="F2F2F2" w:themeFill="background1" w:themeFillShade="F2"/>
            <w:vAlign w:val="center"/>
          </w:tcPr>
          <w:p w:rsidR="00745722" w:rsidRPr="00674730" w:rsidP="00631723" w14:paraId="7B6113A0" w14:textId="77777777">
            <w:pPr>
              <w:spacing w:line="276" w:lineRule="auto"/>
              <w:jc w:val="center"/>
              <w:rPr>
                <w:b/>
                <w:sz w:val="24"/>
                <w:szCs w:val="24"/>
              </w:rPr>
            </w:pPr>
            <w:r w:rsidRPr="00674730">
              <w:rPr>
                <w:b/>
                <w:sz w:val="24"/>
                <w:szCs w:val="24"/>
              </w:rPr>
              <w:t xml:space="preserve">Izstrāde un ieviešana EUR (finansējuma avots – </w:t>
            </w:r>
            <w:r w:rsidRPr="00674730" w:rsidR="00476F7D">
              <w:rPr>
                <w:b/>
                <w:sz w:val="24"/>
                <w:szCs w:val="24"/>
              </w:rPr>
              <w:t>ES fondu finansējums</w:t>
            </w:r>
            <w:r w:rsidRPr="00674730">
              <w:rPr>
                <w:b/>
                <w:sz w:val="24"/>
                <w:szCs w:val="24"/>
              </w:rPr>
              <w:t>)</w:t>
            </w:r>
          </w:p>
        </w:tc>
        <w:tc>
          <w:tcPr>
            <w:tcW w:w="2273" w:type="dxa"/>
            <w:shd w:val="clear" w:color="auto" w:fill="F2F2F2" w:themeFill="background1" w:themeFillShade="F2"/>
            <w:vAlign w:val="center"/>
          </w:tcPr>
          <w:p w:rsidR="00745722" w:rsidRPr="00674730" w:rsidP="00631723" w14:paraId="563AE2C0" w14:textId="77777777">
            <w:pPr>
              <w:spacing w:line="276" w:lineRule="auto"/>
              <w:jc w:val="center"/>
              <w:rPr>
                <w:b/>
                <w:sz w:val="24"/>
                <w:szCs w:val="24"/>
              </w:rPr>
            </w:pPr>
            <w:r w:rsidRPr="00674730">
              <w:rPr>
                <w:b/>
                <w:sz w:val="24"/>
                <w:szCs w:val="24"/>
              </w:rPr>
              <w:t>Uzturēšana EUR/gadā</w:t>
            </w:r>
          </w:p>
          <w:p w:rsidR="00745722" w:rsidRPr="00674730" w:rsidP="00B06443" w14:paraId="2C19C2E2" w14:textId="5CABC660">
            <w:pPr>
              <w:spacing w:line="276" w:lineRule="auto"/>
              <w:jc w:val="center"/>
              <w:rPr>
                <w:b/>
                <w:sz w:val="24"/>
                <w:szCs w:val="24"/>
              </w:rPr>
            </w:pPr>
            <w:r w:rsidRPr="00674730">
              <w:rPr>
                <w:b/>
                <w:sz w:val="24"/>
                <w:szCs w:val="24"/>
              </w:rPr>
              <w:t>(finansējums avots:</w:t>
            </w:r>
            <w:r w:rsidRPr="00674730">
              <w:rPr>
                <w:b/>
                <w:sz w:val="24"/>
                <w:szCs w:val="24"/>
              </w:rPr>
              <w:t xml:space="preserve"> valsts</w:t>
            </w:r>
            <w:r w:rsidRPr="00674730" w:rsidR="00B06443">
              <w:rPr>
                <w:b/>
                <w:sz w:val="24"/>
                <w:szCs w:val="24"/>
              </w:rPr>
              <w:t>/pašvaldību</w:t>
            </w:r>
            <w:r w:rsidRPr="00674730" w:rsidR="00794745">
              <w:rPr>
                <w:b/>
                <w:sz w:val="24"/>
                <w:szCs w:val="24"/>
              </w:rPr>
              <w:t>*</w:t>
            </w:r>
            <w:r w:rsidRPr="00674730">
              <w:rPr>
                <w:b/>
                <w:sz w:val="24"/>
                <w:szCs w:val="24"/>
              </w:rPr>
              <w:t xml:space="preserve"> budžets)</w:t>
            </w:r>
          </w:p>
        </w:tc>
        <w:tc>
          <w:tcPr>
            <w:tcW w:w="1411" w:type="dxa"/>
            <w:shd w:val="clear" w:color="auto" w:fill="F2F2F2" w:themeFill="background1" w:themeFillShade="F2"/>
            <w:vAlign w:val="center"/>
          </w:tcPr>
          <w:p w:rsidR="00745722" w:rsidRPr="00674730" w:rsidP="00631723" w14:paraId="7356177D" w14:textId="77777777">
            <w:pPr>
              <w:spacing w:line="276" w:lineRule="auto"/>
              <w:jc w:val="center"/>
              <w:rPr>
                <w:b/>
                <w:sz w:val="24"/>
                <w:szCs w:val="24"/>
              </w:rPr>
            </w:pPr>
            <w:r w:rsidRPr="00674730">
              <w:rPr>
                <w:b/>
                <w:sz w:val="24"/>
                <w:szCs w:val="24"/>
              </w:rPr>
              <w:t>Īstenošanas periods mēnešos</w:t>
            </w:r>
          </w:p>
        </w:tc>
      </w:tr>
      <w:tr w14:paraId="42B4763A" w14:textId="77777777" w:rsidTr="001D6021">
        <w:tblPrEx>
          <w:tblW w:w="9491" w:type="dxa"/>
          <w:tblLook w:val="04A0"/>
        </w:tblPrEx>
        <w:tc>
          <w:tcPr>
            <w:tcW w:w="562" w:type="dxa"/>
          </w:tcPr>
          <w:p w:rsidR="00C52ABA" w:rsidRPr="00674730" w:rsidP="00631723" w14:paraId="7017ACC4" w14:textId="77777777">
            <w:pPr>
              <w:spacing w:line="276" w:lineRule="auto"/>
              <w:jc w:val="right"/>
              <w:rPr>
                <w:sz w:val="24"/>
                <w:szCs w:val="24"/>
              </w:rPr>
            </w:pPr>
            <w:r w:rsidRPr="00674730">
              <w:rPr>
                <w:sz w:val="24"/>
                <w:szCs w:val="24"/>
              </w:rPr>
              <w:t>1.</w:t>
            </w:r>
          </w:p>
        </w:tc>
        <w:tc>
          <w:tcPr>
            <w:tcW w:w="3227" w:type="dxa"/>
          </w:tcPr>
          <w:p w:rsidR="00C52ABA" w:rsidRPr="00674730" w:rsidP="001D6021" w14:paraId="574BC59A" w14:textId="77777777">
            <w:pPr>
              <w:spacing w:line="264" w:lineRule="auto"/>
              <w:jc w:val="both"/>
              <w:rPr>
                <w:sz w:val="24"/>
                <w:szCs w:val="24"/>
              </w:rPr>
            </w:pPr>
            <w:r w:rsidRPr="00674730">
              <w:rPr>
                <w:sz w:val="24"/>
                <w:szCs w:val="24"/>
              </w:rPr>
              <w:t>Vienotais iedzīvotāju atvieglojumu karšu reģistrs</w:t>
            </w:r>
          </w:p>
        </w:tc>
        <w:tc>
          <w:tcPr>
            <w:tcW w:w="2018" w:type="dxa"/>
            <w:vAlign w:val="center"/>
          </w:tcPr>
          <w:p w:rsidR="00C52ABA" w:rsidRPr="00674730" w:rsidP="006A4F95" w14:paraId="10E87C17" w14:textId="77777777">
            <w:pPr>
              <w:spacing w:line="276" w:lineRule="auto"/>
              <w:jc w:val="center"/>
              <w:rPr>
                <w:sz w:val="24"/>
                <w:szCs w:val="24"/>
              </w:rPr>
            </w:pPr>
            <w:r w:rsidRPr="00674730">
              <w:rPr>
                <w:sz w:val="24"/>
                <w:szCs w:val="24"/>
              </w:rPr>
              <w:t>50 000</w:t>
            </w:r>
          </w:p>
        </w:tc>
        <w:tc>
          <w:tcPr>
            <w:tcW w:w="2273" w:type="dxa"/>
            <w:vAlign w:val="center"/>
          </w:tcPr>
          <w:p w:rsidR="00C52ABA" w:rsidRPr="00674730" w:rsidP="00631723" w14:paraId="41ED3B59" w14:textId="77777777">
            <w:pPr>
              <w:spacing w:line="276" w:lineRule="auto"/>
              <w:jc w:val="center"/>
              <w:rPr>
                <w:sz w:val="24"/>
                <w:szCs w:val="24"/>
              </w:rPr>
            </w:pPr>
            <w:r w:rsidRPr="00674730">
              <w:rPr>
                <w:sz w:val="24"/>
                <w:szCs w:val="24"/>
              </w:rPr>
              <w:t>5 000</w:t>
            </w:r>
          </w:p>
        </w:tc>
        <w:tc>
          <w:tcPr>
            <w:tcW w:w="1411" w:type="dxa"/>
            <w:vMerge w:val="restart"/>
            <w:vAlign w:val="center"/>
          </w:tcPr>
          <w:p w:rsidR="00C52ABA" w:rsidRPr="00674730" w:rsidP="00631723" w14:paraId="450A99A0" w14:textId="77777777">
            <w:pPr>
              <w:spacing w:line="276" w:lineRule="auto"/>
              <w:jc w:val="center"/>
              <w:rPr>
                <w:sz w:val="24"/>
                <w:szCs w:val="24"/>
              </w:rPr>
            </w:pPr>
            <w:r w:rsidRPr="00674730">
              <w:rPr>
                <w:sz w:val="24"/>
                <w:szCs w:val="24"/>
              </w:rPr>
              <w:t xml:space="preserve">Sistēmas izstrāde - </w:t>
            </w:r>
            <w:r w:rsidRPr="00674730" w:rsidR="00031433">
              <w:rPr>
                <w:sz w:val="24"/>
                <w:szCs w:val="24"/>
              </w:rPr>
              <w:t>25</w:t>
            </w:r>
            <w:r w:rsidRPr="00674730">
              <w:rPr>
                <w:sz w:val="24"/>
                <w:szCs w:val="24"/>
              </w:rPr>
              <w:t xml:space="preserve"> mēneši, sākot no atbilstoša normatīvā regulējuma spēkā stāšanās datuma</w:t>
            </w:r>
          </w:p>
        </w:tc>
      </w:tr>
      <w:tr w14:paraId="3A65D3B5" w14:textId="77777777" w:rsidTr="001D6021">
        <w:tblPrEx>
          <w:tblW w:w="9491" w:type="dxa"/>
          <w:tblLook w:val="04A0"/>
        </w:tblPrEx>
        <w:tc>
          <w:tcPr>
            <w:tcW w:w="562" w:type="dxa"/>
          </w:tcPr>
          <w:p w:rsidR="00C52ABA" w:rsidRPr="00674730" w:rsidP="00631723" w14:paraId="20286684" w14:textId="77777777">
            <w:pPr>
              <w:spacing w:line="276" w:lineRule="auto"/>
              <w:jc w:val="right"/>
              <w:rPr>
                <w:sz w:val="24"/>
                <w:szCs w:val="24"/>
              </w:rPr>
            </w:pPr>
            <w:r w:rsidRPr="00674730">
              <w:rPr>
                <w:sz w:val="24"/>
                <w:szCs w:val="24"/>
              </w:rPr>
              <w:t>2.</w:t>
            </w:r>
          </w:p>
        </w:tc>
        <w:tc>
          <w:tcPr>
            <w:tcW w:w="3227" w:type="dxa"/>
          </w:tcPr>
          <w:p w:rsidR="00C52ABA" w:rsidRPr="00674730" w:rsidP="001D6021" w14:paraId="48F18874" w14:textId="1617F6A8">
            <w:pPr>
              <w:spacing w:line="264" w:lineRule="auto"/>
              <w:jc w:val="both"/>
              <w:rPr>
                <w:sz w:val="24"/>
                <w:szCs w:val="24"/>
              </w:rPr>
            </w:pPr>
            <w:r w:rsidRPr="00674730">
              <w:rPr>
                <w:sz w:val="24"/>
                <w:szCs w:val="24"/>
              </w:rPr>
              <w:t>Vienotais iedzīvotāju at</w:t>
            </w:r>
            <w:r w:rsidRPr="00674730" w:rsidR="00CD21F3">
              <w:rPr>
                <w:sz w:val="24"/>
                <w:szCs w:val="24"/>
              </w:rPr>
              <w:t>vieglojumu</w:t>
            </w:r>
            <w:r w:rsidRPr="00674730">
              <w:rPr>
                <w:sz w:val="24"/>
                <w:szCs w:val="24"/>
              </w:rPr>
              <w:t xml:space="preserve"> reģistrs</w:t>
            </w:r>
          </w:p>
        </w:tc>
        <w:tc>
          <w:tcPr>
            <w:tcW w:w="2018" w:type="dxa"/>
            <w:vAlign w:val="center"/>
          </w:tcPr>
          <w:p w:rsidR="00C52ABA" w:rsidRPr="00674730" w:rsidP="006A4F95" w14:paraId="750CB450" w14:textId="77777777">
            <w:pPr>
              <w:spacing w:line="276" w:lineRule="auto"/>
              <w:jc w:val="center"/>
              <w:rPr>
                <w:sz w:val="24"/>
                <w:szCs w:val="24"/>
              </w:rPr>
            </w:pPr>
            <w:r w:rsidRPr="00674730">
              <w:rPr>
                <w:sz w:val="24"/>
                <w:szCs w:val="24"/>
              </w:rPr>
              <w:t>290 000</w:t>
            </w:r>
          </w:p>
        </w:tc>
        <w:tc>
          <w:tcPr>
            <w:tcW w:w="2273" w:type="dxa"/>
            <w:vAlign w:val="center"/>
          </w:tcPr>
          <w:p w:rsidR="00C52ABA" w:rsidRPr="00674730" w:rsidP="00631723" w14:paraId="036E49AB" w14:textId="77777777">
            <w:pPr>
              <w:spacing w:line="276" w:lineRule="auto"/>
              <w:jc w:val="center"/>
              <w:rPr>
                <w:sz w:val="24"/>
                <w:szCs w:val="24"/>
              </w:rPr>
            </w:pPr>
            <w:r w:rsidRPr="00674730">
              <w:rPr>
                <w:sz w:val="24"/>
                <w:szCs w:val="24"/>
              </w:rPr>
              <w:t>29 000</w:t>
            </w:r>
          </w:p>
        </w:tc>
        <w:tc>
          <w:tcPr>
            <w:tcW w:w="1411" w:type="dxa"/>
            <w:vMerge/>
          </w:tcPr>
          <w:p w:rsidR="00C52ABA" w:rsidRPr="00674730" w:rsidP="00631723" w14:paraId="390CC81D" w14:textId="77777777">
            <w:pPr>
              <w:spacing w:line="276" w:lineRule="auto"/>
              <w:jc w:val="both"/>
              <w:rPr>
                <w:sz w:val="24"/>
                <w:szCs w:val="24"/>
              </w:rPr>
            </w:pPr>
          </w:p>
        </w:tc>
      </w:tr>
      <w:tr w14:paraId="4ADC8DF3" w14:textId="77777777" w:rsidTr="001D6021">
        <w:tblPrEx>
          <w:tblW w:w="9491" w:type="dxa"/>
          <w:tblLook w:val="04A0"/>
        </w:tblPrEx>
        <w:tc>
          <w:tcPr>
            <w:tcW w:w="562" w:type="dxa"/>
          </w:tcPr>
          <w:p w:rsidR="00C52ABA" w:rsidRPr="00674730" w:rsidP="00631723" w14:paraId="6F77920E" w14:textId="77777777">
            <w:pPr>
              <w:spacing w:line="276" w:lineRule="auto"/>
              <w:jc w:val="right"/>
              <w:rPr>
                <w:sz w:val="24"/>
                <w:szCs w:val="24"/>
              </w:rPr>
            </w:pPr>
            <w:r w:rsidRPr="00674730">
              <w:rPr>
                <w:sz w:val="24"/>
                <w:szCs w:val="24"/>
              </w:rPr>
              <w:t>3.</w:t>
            </w:r>
          </w:p>
        </w:tc>
        <w:tc>
          <w:tcPr>
            <w:tcW w:w="3227" w:type="dxa"/>
          </w:tcPr>
          <w:p w:rsidR="00C52ABA" w:rsidRPr="00674730" w:rsidP="001D6021" w14:paraId="592B11FB" w14:textId="77777777">
            <w:pPr>
              <w:spacing w:line="264" w:lineRule="auto"/>
              <w:jc w:val="both"/>
              <w:rPr>
                <w:sz w:val="24"/>
                <w:szCs w:val="24"/>
              </w:rPr>
            </w:pPr>
            <w:r w:rsidRPr="00674730">
              <w:rPr>
                <w:sz w:val="24"/>
                <w:szCs w:val="24"/>
              </w:rPr>
              <w:t>Atvieglojumu saņēmēju grupu savietotājs</w:t>
            </w:r>
          </w:p>
        </w:tc>
        <w:tc>
          <w:tcPr>
            <w:tcW w:w="2018" w:type="dxa"/>
            <w:vAlign w:val="center"/>
          </w:tcPr>
          <w:p w:rsidR="00C52ABA" w:rsidRPr="00674730" w:rsidP="006A4F95" w14:paraId="645D9D6D" w14:textId="77777777">
            <w:pPr>
              <w:spacing w:line="276" w:lineRule="auto"/>
              <w:jc w:val="center"/>
              <w:rPr>
                <w:sz w:val="24"/>
                <w:szCs w:val="24"/>
              </w:rPr>
            </w:pPr>
            <w:r w:rsidRPr="00674730">
              <w:rPr>
                <w:sz w:val="24"/>
                <w:szCs w:val="24"/>
              </w:rPr>
              <w:t>60 000</w:t>
            </w:r>
          </w:p>
        </w:tc>
        <w:tc>
          <w:tcPr>
            <w:tcW w:w="2273" w:type="dxa"/>
            <w:vAlign w:val="center"/>
          </w:tcPr>
          <w:p w:rsidR="00C52ABA" w:rsidRPr="00674730" w:rsidP="00631723" w14:paraId="766D573B" w14:textId="77777777">
            <w:pPr>
              <w:spacing w:line="276" w:lineRule="auto"/>
              <w:jc w:val="center"/>
              <w:rPr>
                <w:sz w:val="24"/>
                <w:szCs w:val="24"/>
              </w:rPr>
            </w:pPr>
            <w:r w:rsidRPr="00674730">
              <w:rPr>
                <w:sz w:val="24"/>
                <w:szCs w:val="24"/>
              </w:rPr>
              <w:t>6 000</w:t>
            </w:r>
          </w:p>
        </w:tc>
        <w:tc>
          <w:tcPr>
            <w:tcW w:w="1411" w:type="dxa"/>
            <w:vMerge/>
          </w:tcPr>
          <w:p w:rsidR="00C52ABA" w:rsidRPr="00674730" w:rsidP="00631723" w14:paraId="5BB85D34" w14:textId="77777777">
            <w:pPr>
              <w:spacing w:line="276" w:lineRule="auto"/>
              <w:jc w:val="both"/>
              <w:rPr>
                <w:sz w:val="24"/>
                <w:szCs w:val="24"/>
              </w:rPr>
            </w:pPr>
          </w:p>
        </w:tc>
      </w:tr>
      <w:tr w14:paraId="578371EC" w14:textId="77777777" w:rsidTr="001D6021">
        <w:tblPrEx>
          <w:tblW w:w="9491" w:type="dxa"/>
          <w:tblLook w:val="04A0"/>
        </w:tblPrEx>
        <w:tc>
          <w:tcPr>
            <w:tcW w:w="562" w:type="dxa"/>
          </w:tcPr>
          <w:p w:rsidR="00C52ABA" w:rsidRPr="00674730" w:rsidP="00631723" w14:paraId="0A3E7900" w14:textId="77777777">
            <w:pPr>
              <w:spacing w:line="276" w:lineRule="auto"/>
              <w:jc w:val="right"/>
              <w:rPr>
                <w:sz w:val="24"/>
                <w:szCs w:val="24"/>
              </w:rPr>
            </w:pPr>
            <w:r w:rsidRPr="00674730">
              <w:rPr>
                <w:sz w:val="24"/>
                <w:szCs w:val="24"/>
              </w:rPr>
              <w:t>4.</w:t>
            </w:r>
          </w:p>
        </w:tc>
        <w:tc>
          <w:tcPr>
            <w:tcW w:w="3227" w:type="dxa"/>
          </w:tcPr>
          <w:p w:rsidR="00C52ABA" w:rsidRPr="00674730" w:rsidP="001D6021" w14:paraId="19B4A0B0" w14:textId="77777777">
            <w:pPr>
              <w:spacing w:line="264" w:lineRule="auto"/>
              <w:jc w:val="both"/>
              <w:rPr>
                <w:sz w:val="24"/>
                <w:szCs w:val="24"/>
              </w:rPr>
            </w:pPr>
            <w:r w:rsidRPr="00674730">
              <w:rPr>
                <w:sz w:val="24"/>
                <w:szCs w:val="24"/>
              </w:rPr>
              <w:t>Saskarnes atvieglojumu datu saņemšanai no pašvaldībām un valsts iestādēm</w:t>
            </w:r>
          </w:p>
        </w:tc>
        <w:tc>
          <w:tcPr>
            <w:tcW w:w="2018" w:type="dxa"/>
            <w:vAlign w:val="center"/>
          </w:tcPr>
          <w:p w:rsidR="00C52ABA" w:rsidRPr="00674730" w:rsidP="006A4F95" w14:paraId="41852F71" w14:textId="77777777">
            <w:pPr>
              <w:spacing w:line="276" w:lineRule="auto"/>
              <w:jc w:val="center"/>
              <w:rPr>
                <w:sz w:val="24"/>
                <w:szCs w:val="24"/>
              </w:rPr>
            </w:pPr>
            <w:r w:rsidRPr="00674730">
              <w:rPr>
                <w:sz w:val="24"/>
                <w:szCs w:val="24"/>
              </w:rPr>
              <w:t>110 000</w:t>
            </w:r>
          </w:p>
        </w:tc>
        <w:tc>
          <w:tcPr>
            <w:tcW w:w="2273" w:type="dxa"/>
            <w:vAlign w:val="center"/>
          </w:tcPr>
          <w:p w:rsidR="00C52ABA" w:rsidRPr="00674730" w:rsidP="00631723" w14:paraId="2D79E209" w14:textId="77777777">
            <w:pPr>
              <w:spacing w:line="276" w:lineRule="auto"/>
              <w:jc w:val="center"/>
              <w:rPr>
                <w:sz w:val="24"/>
                <w:szCs w:val="24"/>
              </w:rPr>
            </w:pPr>
            <w:r w:rsidRPr="00674730">
              <w:rPr>
                <w:sz w:val="24"/>
                <w:szCs w:val="24"/>
              </w:rPr>
              <w:t>11 000</w:t>
            </w:r>
          </w:p>
        </w:tc>
        <w:tc>
          <w:tcPr>
            <w:tcW w:w="1411" w:type="dxa"/>
            <w:vMerge/>
          </w:tcPr>
          <w:p w:rsidR="00C52ABA" w:rsidRPr="00674730" w:rsidP="00631723" w14:paraId="37E140E5" w14:textId="77777777">
            <w:pPr>
              <w:spacing w:line="276" w:lineRule="auto"/>
              <w:jc w:val="both"/>
              <w:rPr>
                <w:sz w:val="24"/>
                <w:szCs w:val="24"/>
              </w:rPr>
            </w:pPr>
          </w:p>
        </w:tc>
      </w:tr>
      <w:tr w14:paraId="353EEA2F" w14:textId="77777777" w:rsidTr="001D6021">
        <w:tblPrEx>
          <w:tblW w:w="9491" w:type="dxa"/>
          <w:tblLook w:val="04A0"/>
        </w:tblPrEx>
        <w:tc>
          <w:tcPr>
            <w:tcW w:w="562" w:type="dxa"/>
          </w:tcPr>
          <w:p w:rsidR="00C52ABA" w:rsidRPr="00674730" w:rsidP="00631723" w14:paraId="68B657AE" w14:textId="77777777">
            <w:pPr>
              <w:spacing w:line="276" w:lineRule="auto"/>
              <w:jc w:val="right"/>
              <w:rPr>
                <w:sz w:val="24"/>
                <w:szCs w:val="24"/>
              </w:rPr>
            </w:pPr>
            <w:r w:rsidRPr="00674730">
              <w:rPr>
                <w:sz w:val="24"/>
                <w:szCs w:val="24"/>
              </w:rPr>
              <w:t>5.</w:t>
            </w:r>
          </w:p>
        </w:tc>
        <w:tc>
          <w:tcPr>
            <w:tcW w:w="3227" w:type="dxa"/>
          </w:tcPr>
          <w:p w:rsidR="00C52ABA" w:rsidRPr="00674730" w:rsidP="001D6021" w14:paraId="364E8C19" w14:textId="77777777">
            <w:pPr>
              <w:spacing w:line="264" w:lineRule="auto"/>
              <w:jc w:val="both"/>
              <w:rPr>
                <w:sz w:val="24"/>
                <w:szCs w:val="24"/>
              </w:rPr>
            </w:pPr>
            <w:r w:rsidRPr="00674730">
              <w:rPr>
                <w:sz w:val="24"/>
                <w:szCs w:val="24"/>
              </w:rPr>
              <w:t>Saskarnes datu nodošanai norēķinu operatoriem</w:t>
            </w:r>
          </w:p>
        </w:tc>
        <w:tc>
          <w:tcPr>
            <w:tcW w:w="2018" w:type="dxa"/>
            <w:vAlign w:val="center"/>
          </w:tcPr>
          <w:p w:rsidR="00C52ABA" w:rsidRPr="00674730" w:rsidP="006A4F95" w14:paraId="7E616568" w14:textId="77777777">
            <w:pPr>
              <w:spacing w:line="276" w:lineRule="auto"/>
              <w:jc w:val="center"/>
              <w:rPr>
                <w:sz w:val="24"/>
                <w:szCs w:val="24"/>
              </w:rPr>
            </w:pPr>
            <w:r w:rsidRPr="00674730">
              <w:rPr>
                <w:sz w:val="24"/>
                <w:szCs w:val="24"/>
              </w:rPr>
              <w:t>140 000</w:t>
            </w:r>
          </w:p>
        </w:tc>
        <w:tc>
          <w:tcPr>
            <w:tcW w:w="2273" w:type="dxa"/>
            <w:vAlign w:val="center"/>
          </w:tcPr>
          <w:p w:rsidR="00C52ABA" w:rsidRPr="00674730" w:rsidP="00631723" w14:paraId="797C4E2C" w14:textId="77777777">
            <w:pPr>
              <w:spacing w:line="276" w:lineRule="auto"/>
              <w:jc w:val="center"/>
              <w:rPr>
                <w:sz w:val="24"/>
                <w:szCs w:val="24"/>
              </w:rPr>
            </w:pPr>
            <w:r w:rsidRPr="00674730">
              <w:rPr>
                <w:sz w:val="24"/>
                <w:szCs w:val="24"/>
              </w:rPr>
              <w:t>14 000</w:t>
            </w:r>
          </w:p>
        </w:tc>
        <w:tc>
          <w:tcPr>
            <w:tcW w:w="1411" w:type="dxa"/>
            <w:vMerge/>
          </w:tcPr>
          <w:p w:rsidR="00C52ABA" w:rsidRPr="00674730" w:rsidP="00631723" w14:paraId="30CFF6E1" w14:textId="77777777">
            <w:pPr>
              <w:spacing w:line="276" w:lineRule="auto"/>
              <w:jc w:val="both"/>
              <w:rPr>
                <w:sz w:val="24"/>
                <w:szCs w:val="24"/>
              </w:rPr>
            </w:pPr>
          </w:p>
        </w:tc>
      </w:tr>
      <w:tr w14:paraId="4BAEA294" w14:textId="77777777" w:rsidTr="001D6021">
        <w:tblPrEx>
          <w:tblW w:w="9491" w:type="dxa"/>
          <w:tblLook w:val="04A0"/>
        </w:tblPrEx>
        <w:tc>
          <w:tcPr>
            <w:tcW w:w="562" w:type="dxa"/>
          </w:tcPr>
          <w:p w:rsidR="00C52ABA" w:rsidRPr="00674730" w:rsidP="00631723" w14:paraId="49AADBC0" w14:textId="77777777">
            <w:pPr>
              <w:spacing w:line="276" w:lineRule="auto"/>
              <w:jc w:val="right"/>
              <w:rPr>
                <w:sz w:val="24"/>
                <w:szCs w:val="24"/>
              </w:rPr>
            </w:pPr>
            <w:r w:rsidRPr="00674730">
              <w:rPr>
                <w:sz w:val="24"/>
                <w:szCs w:val="24"/>
              </w:rPr>
              <w:t xml:space="preserve">6. </w:t>
            </w:r>
          </w:p>
        </w:tc>
        <w:tc>
          <w:tcPr>
            <w:tcW w:w="3227" w:type="dxa"/>
          </w:tcPr>
          <w:p w:rsidR="00C52ABA" w:rsidRPr="00674730" w:rsidP="001D6021" w14:paraId="3ABD23F3" w14:textId="77777777">
            <w:pPr>
              <w:spacing w:line="264" w:lineRule="auto"/>
              <w:jc w:val="both"/>
              <w:rPr>
                <w:sz w:val="24"/>
                <w:szCs w:val="24"/>
              </w:rPr>
            </w:pPr>
            <w:r w:rsidRPr="00674730">
              <w:rPr>
                <w:sz w:val="24"/>
                <w:szCs w:val="24"/>
              </w:rPr>
              <w:t>Centralizētā risinājuma augstas pieejamības tehniskās (serveru un serveru licenču) infrastruktūras izmaksas</w:t>
            </w:r>
          </w:p>
        </w:tc>
        <w:tc>
          <w:tcPr>
            <w:tcW w:w="2018" w:type="dxa"/>
            <w:vAlign w:val="center"/>
          </w:tcPr>
          <w:p w:rsidR="00C52ABA" w:rsidRPr="00674730" w:rsidP="006A4F95" w14:paraId="0518FAE5" w14:textId="77777777">
            <w:pPr>
              <w:spacing w:line="276" w:lineRule="auto"/>
              <w:jc w:val="center"/>
              <w:rPr>
                <w:sz w:val="24"/>
                <w:szCs w:val="24"/>
              </w:rPr>
            </w:pPr>
            <w:r w:rsidRPr="00674730">
              <w:rPr>
                <w:sz w:val="24"/>
                <w:szCs w:val="24"/>
              </w:rPr>
              <w:t>200 000</w:t>
            </w:r>
          </w:p>
        </w:tc>
        <w:tc>
          <w:tcPr>
            <w:tcW w:w="2273" w:type="dxa"/>
            <w:vAlign w:val="center"/>
          </w:tcPr>
          <w:p w:rsidR="00C52ABA" w:rsidRPr="00674730" w:rsidP="00631723" w14:paraId="2A5DDFF6" w14:textId="77777777">
            <w:pPr>
              <w:spacing w:line="276" w:lineRule="auto"/>
              <w:jc w:val="center"/>
              <w:rPr>
                <w:sz w:val="24"/>
                <w:szCs w:val="24"/>
              </w:rPr>
            </w:pPr>
            <w:r w:rsidRPr="00674730">
              <w:rPr>
                <w:sz w:val="24"/>
                <w:szCs w:val="24"/>
              </w:rPr>
              <w:t>20 000</w:t>
            </w:r>
          </w:p>
        </w:tc>
        <w:tc>
          <w:tcPr>
            <w:tcW w:w="1411" w:type="dxa"/>
            <w:vMerge/>
          </w:tcPr>
          <w:p w:rsidR="00C52ABA" w:rsidRPr="00674730" w:rsidP="00631723" w14:paraId="6E659FC1" w14:textId="77777777">
            <w:pPr>
              <w:spacing w:line="276" w:lineRule="auto"/>
              <w:jc w:val="both"/>
              <w:rPr>
                <w:sz w:val="24"/>
                <w:szCs w:val="24"/>
              </w:rPr>
            </w:pPr>
          </w:p>
        </w:tc>
      </w:tr>
      <w:tr w14:paraId="2C079FE2" w14:textId="77777777" w:rsidTr="001D6021">
        <w:tblPrEx>
          <w:tblW w:w="9491" w:type="dxa"/>
          <w:tblLook w:val="04A0"/>
        </w:tblPrEx>
        <w:tc>
          <w:tcPr>
            <w:tcW w:w="562" w:type="dxa"/>
          </w:tcPr>
          <w:p w:rsidR="00C52ABA" w:rsidRPr="00674730" w:rsidP="00631723" w14:paraId="059FDE29" w14:textId="77777777">
            <w:pPr>
              <w:spacing w:line="276" w:lineRule="auto"/>
              <w:jc w:val="right"/>
              <w:rPr>
                <w:sz w:val="24"/>
                <w:szCs w:val="24"/>
              </w:rPr>
            </w:pPr>
            <w:r w:rsidRPr="00674730">
              <w:rPr>
                <w:sz w:val="24"/>
                <w:szCs w:val="24"/>
              </w:rPr>
              <w:t>7.</w:t>
            </w:r>
          </w:p>
        </w:tc>
        <w:tc>
          <w:tcPr>
            <w:tcW w:w="3227" w:type="dxa"/>
          </w:tcPr>
          <w:p w:rsidR="00C52ABA" w:rsidRPr="00674730" w:rsidP="001D6021" w14:paraId="611A8EED" w14:textId="77777777">
            <w:pPr>
              <w:spacing w:line="264" w:lineRule="auto"/>
              <w:jc w:val="both"/>
              <w:rPr>
                <w:sz w:val="24"/>
                <w:szCs w:val="24"/>
              </w:rPr>
            </w:pPr>
            <w:r w:rsidRPr="00674730">
              <w:rPr>
                <w:rFonts w:eastAsia="Calibri"/>
                <w:sz w:val="24"/>
                <w:szCs w:val="24"/>
              </w:rPr>
              <w:t xml:space="preserve">Risinājuma </w:t>
            </w:r>
            <w:r w:rsidRPr="00674730" w:rsidR="00794745">
              <w:rPr>
                <w:rFonts w:eastAsia="Calibri"/>
                <w:sz w:val="24"/>
                <w:szCs w:val="24"/>
              </w:rPr>
              <w:t xml:space="preserve">izstrādes, </w:t>
            </w:r>
            <w:r w:rsidRPr="00674730">
              <w:rPr>
                <w:rFonts w:eastAsia="Calibri"/>
                <w:sz w:val="24"/>
                <w:szCs w:val="24"/>
              </w:rPr>
              <w:t xml:space="preserve">ieviešanas un uzturēšanas administratīvās izmaksas </w:t>
            </w:r>
            <w:r w:rsidRPr="00674730">
              <w:rPr>
                <w:rFonts w:eastAsia="Calibri"/>
                <w:sz w:val="24"/>
                <w:szCs w:val="24"/>
              </w:rPr>
              <w:t>(</w:t>
            </w:r>
            <w:r w:rsidRPr="00674730">
              <w:rPr>
                <w:rFonts w:eastAsia="Times New Roman"/>
                <w:sz w:val="24"/>
                <w:szCs w:val="24"/>
                <w:lang w:eastAsia="lv-LV"/>
              </w:rPr>
              <w:t>cilvēkresursu piesaiste ārpakalpojumā risinājuma izstrādes un ieviešanas laikā (</w:t>
            </w:r>
            <w:r w:rsidRPr="00674730" w:rsidR="00031433">
              <w:rPr>
                <w:rFonts w:eastAsia="Times New Roman"/>
                <w:sz w:val="24"/>
                <w:szCs w:val="24"/>
                <w:lang w:eastAsia="lv-LV"/>
              </w:rPr>
              <w:t>25</w:t>
            </w:r>
            <w:r w:rsidRPr="00674730">
              <w:rPr>
                <w:rFonts w:eastAsia="Times New Roman"/>
                <w:sz w:val="24"/>
                <w:szCs w:val="24"/>
                <w:lang w:eastAsia="lv-LV"/>
              </w:rPr>
              <w:t xml:space="preserve"> mēneši), risinājuma uzturēšana </w:t>
            </w:r>
            <w:r w:rsidRPr="00674730" w:rsidR="003F6D9F">
              <w:rPr>
                <w:rFonts w:eastAsia="Times New Roman"/>
                <w:sz w:val="24"/>
                <w:szCs w:val="24"/>
                <w:lang w:eastAsia="lv-LV"/>
              </w:rPr>
              <w:t>(</w:t>
            </w:r>
            <w:r w:rsidRPr="00674730">
              <w:rPr>
                <w:rFonts w:eastAsia="Times New Roman"/>
                <w:sz w:val="24"/>
                <w:szCs w:val="24"/>
                <w:lang w:eastAsia="lv-LV"/>
              </w:rPr>
              <w:t xml:space="preserve">ik gadu pēc risinājuma ieviešanas) </w:t>
            </w:r>
          </w:p>
        </w:tc>
        <w:tc>
          <w:tcPr>
            <w:tcW w:w="2018" w:type="dxa"/>
            <w:vAlign w:val="center"/>
          </w:tcPr>
          <w:p w:rsidR="00C52ABA" w:rsidRPr="00674730" w:rsidP="006A4F95" w14:paraId="52EA179A" w14:textId="77777777">
            <w:pPr>
              <w:spacing w:line="276" w:lineRule="auto"/>
              <w:jc w:val="center"/>
              <w:rPr>
                <w:sz w:val="24"/>
                <w:szCs w:val="24"/>
              </w:rPr>
            </w:pPr>
            <w:r w:rsidRPr="00674730">
              <w:rPr>
                <w:sz w:val="24"/>
                <w:szCs w:val="24"/>
              </w:rPr>
              <w:t>624 293</w:t>
            </w:r>
          </w:p>
        </w:tc>
        <w:tc>
          <w:tcPr>
            <w:tcW w:w="2273" w:type="dxa"/>
            <w:vAlign w:val="center"/>
          </w:tcPr>
          <w:p w:rsidR="00C52ABA" w:rsidRPr="00674730" w:rsidP="00631723" w14:paraId="7998524C" w14:textId="77777777">
            <w:pPr>
              <w:spacing w:line="276" w:lineRule="auto"/>
              <w:jc w:val="center"/>
              <w:rPr>
                <w:sz w:val="24"/>
                <w:szCs w:val="24"/>
              </w:rPr>
            </w:pPr>
            <w:r w:rsidRPr="00674730">
              <w:rPr>
                <w:sz w:val="24"/>
                <w:szCs w:val="24"/>
              </w:rPr>
              <w:t>96 874</w:t>
            </w:r>
          </w:p>
        </w:tc>
        <w:tc>
          <w:tcPr>
            <w:tcW w:w="1411" w:type="dxa"/>
            <w:vMerge/>
          </w:tcPr>
          <w:p w:rsidR="00C52ABA" w:rsidRPr="00674730" w:rsidP="00631723" w14:paraId="639A2844" w14:textId="77777777">
            <w:pPr>
              <w:spacing w:line="276" w:lineRule="auto"/>
              <w:jc w:val="both"/>
              <w:rPr>
                <w:sz w:val="24"/>
                <w:szCs w:val="24"/>
              </w:rPr>
            </w:pPr>
          </w:p>
        </w:tc>
      </w:tr>
      <w:tr w14:paraId="6C913908" w14:textId="77777777" w:rsidTr="001D6021">
        <w:tblPrEx>
          <w:tblW w:w="9491" w:type="dxa"/>
          <w:tblLook w:val="04A0"/>
        </w:tblPrEx>
        <w:trPr>
          <w:trHeight w:val="416"/>
        </w:trPr>
        <w:tc>
          <w:tcPr>
            <w:tcW w:w="3789" w:type="dxa"/>
            <w:gridSpan w:val="2"/>
            <w:vAlign w:val="center"/>
          </w:tcPr>
          <w:p w:rsidR="00745722" w:rsidRPr="00674730" w:rsidP="00631723" w14:paraId="3B8D5926" w14:textId="77777777">
            <w:pPr>
              <w:spacing w:line="276" w:lineRule="auto"/>
              <w:jc w:val="right"/>
              <w:rPr>
                <w:b/>
                <w:sz w:val="24"/>
                <w:szCs w:val="24"/>
              </w:rPr>
            </w:pPr>
            <w:r w:rsidRPr="00674730">
              <w:rPr>
                <w:b/>
                <w:sz w:val="24"/>
                <w:szCs w:val="24"/>
              </w:rPr>
              <w:t>Kopā:</w:t>
            </w:r>
          </w:p>
        </w:tc>
        <w:tc>
          <w:tcPr>
            <w:tcW w:w="2018" w:type="dxa"/>
            <w:vAlign w:val="center"/>
          </w:tcPr>
          <w:p w:rsidR="00745722" w:rsidRPr="00674730" w:rsidP="00794745" w14:paraId="38A1DB8D" w14:textId="77777777">
            <w:pPr>
              <w:spacing w:line="276" w:lineRule="auto"/>
              <w:jc w:val="center"/>
              <w:rPr>
                <w:b/>
                <w:sz w:val="24"/>
                <w:szCs w:val="24"/>
              </w:rPr>
            </w:pPr>
            <w:r w:rsidRPr="00674730">
              <w:rPr>
                <w:b/>
                <w:sz w:val="24"/>
                <w:szCs w:val="24"/>
              </w:rPr>
              <w:t>1</w:t>
            </w:r>
            <w:r w:rsidRPr="00674730" w:rsidR="00794745">
              <w:rPr>
                <w:b/>
                <w:sz w:val="24"/>
                <w:szCs w:val="24"/>
              </w:rPr>
              <w:t> 474 293</w:t>
            </w:r>
          </w:p>
        </w:tc>
        <w:tc>
          <w:tcPr>
            <w:tcW w:w="2273" w:type="dxa"/>
            <w:vAlign w:val="center"/>
          </w:tcPr>
          <w:p w:rsidR="00745722" w:rsidRPr="00674730" w:rsidP="00631723" w14:paraId="34707469" w14:textId="77777777">
            <w:pPr>
              <w:spacing w:line="276" w:lineRule="auto"/>
              <w:jc w:val="center"/>
              <w:rPr>
                <w:b/>
                <w:sz w:val="24"/>
                <w:szCs w:val="24"/>
              </w:rPr>
            </w:pPr>
            <w:r w:rsidRPr="00674730">
              <w:rPr>
                <w:b/>
                <w:sz w:val="24"/>
                <w:szCs w:val="24"/>
              </w:rPr>
              <w:t>181</w:t>
            </w:r>
            <w:r w:rsidRPr="00674730" w:rsidR="00D31203">
              <w:rPr>
                <w:b/>
                <w:sz w:val="24"/>
                <w:szCs w:val="24"/>
              </w:rPr>
              <w:t> </w:t>
            </w:r>
            <w:r w:rsidRPr="00674730">
              <w:rPr>
                <w:b/>
                <w:sz w:val="24"/>
                <w:szCs w:val="24"/>
              </w:rPr>
              <w:t xml:space="preserve">874 </w:t>
            </w:r>
          </w:p>
        </w:tc>
        <w:tc>
          <w:tcPr>
            <w:tcW w:w="1411" w:type="dxa"/>
          </w:tcPr>
          <w:p w:rsidR="00745722" w:rsidRPr="00674730" w:rsidP="00631723" w14:paraId="592E9EDC" w14:textId="77777777">
            <w:pPr>
              <w:spacing w:line="276" w:lineRule="auto"/>
              <w:jc w:val="both"/>
              <w:rPr>
                <w:sz w:val="24"/>
                <w:szCs w:val="24"/>
              </w:rPr>
            </w:pPr>
          </w:p>
        </w:tc>
      </w:tr>
    </w:tbl>
    <w:p w:rsidR="00794745" w:rsidRPr="00674730" w:rsidP="00794745" w14:paraId="1A45E351" w14:textId="77777777">
      <w:pPr>
        <w:spacing w:after="0" w:line="276" w:lineRule="auto"/>
        <w:jc w:val="both"/>
        <w:rPr>
          <w:rFonts w:ascii="Times New Roman" w:hAnsi="Times New Roman" w:cs="Times New Roman"/>
          <w:i/>
          <w:sz w:val="20"/>
          <w:szCs w:val="24"/>
        </w:rPr>
      </w:pPr>
      <w:r w:rsidRPr="00674730">
        <w:rPr>
          <w:rFonts w:ascii="Times New Roman" w:hAnsi="Times New Roman" w:cs="Times New Roman"/>
          <w:i/>
          <w:sz w:val="20"/>
          <w:szCs w:val="24"/>
        </w:rPr>
        <w:t xml:space="preserve">* tabulā nav iekļautas izmaksas, kas </w:t>
      </w:r>
      <w:r w:rsidRPr="00674730" w:rsidR="003E6B55">
        <w:rPr>
          <w:rFonts w:ascii="Times New Roman" w:hAnsi="Times New Roman" w:cs="Times New Roman"/>
          <w:i/>
          <w:sz w:val="20"/>
          <w:szCs w:val="24"/>
        </w:rPr>
        <w:t>iespējams var ra</w:t>
      </w:r>
      <w:r w:rsidRPr="00674730">
        <w:rPr>
          <w:rFonts w:ascii="Times New Roman" w:hAnsi="Times New Roman" w:cs="Times New Roman"/>
          <w:i/>
          <w:sz w:val="20"/>
          <w:szCs w:val="24"/>
        </w:rPr>
        <w:t>s</w:t>
      </w:r>
      <w:r w:rsidRPr="00674730" w:rsidR="003E6B55">
        <w:rPr>
          <w:rFonts w:ascii="Times New Roman" w:hAnsi="Times New Roman" w:cs="Times New Roman"/>
          <w:i/>
          <w:sz w:val="20"/>
          <w:szCs w:val="24"/>
        </w:rPr>
        <w:t>t</w:t>
      </w:r>
      <w:r w:rsidRPr="00674730">
        <w:rPr>
          <w:rFonts w:ascii="Times New Roman" w:hAnsi="Times New Roman" w:cs="Times New Roman"/>
          <w:i/>
          <w:sz w:val="20"/>
          <w:szCs w:val="24"/>
        </w:rPr>
        <w:t>ies pašvaldībām par sistēmu pielāgošanu datu apmaiņai.</w:t>
      </w:r>
    </w:p>
    <w:p w:rsidR="00794745" w:rsidRPr="00674730" w:rsidP="00631723" w14:paraId="3A60DDBA" w14:textId="116E6DB4">
      <w:pPr>
        <w:spacing w:after="0" w:line="276" w:lineRule="auto"/>
        <w:ind w:firstLine="720"/>
        <w:jc w:val="both"/>
        <w:rPr>
          <w:rFonts w:ascii="Times New Roman" w:eastAsia="Calibri" w:hAnsi="Times New Roman" w:cs="Times New Roman"/>
          <w:sz w:val="24"/>
          <w:szCs w:val="24"/>
        </w:rPr>
      </w:pPr>
      <w:r w:rsidRPr="00674730">
        <w:rPr>
          <w:rFonts w:ascii="Times New Roman" w:hAnsi="Times New Roman" w:cs="Times New Roman"/>
          <w:sz w:val="24"/>
          <w:szCs w:val="24"/>
        </w:rPr>
        <w:t xml:space="preserve">Risinājuma izstrādes, ieviešanas un uzturēšanas administratīvās izmaksas aprēķinātas, par pamatu ņemot vienas cilvēkdienas izmaksas </w:t>
      </w:r>
      <w:r w:rsidRPr="00674730">
        <w:rPr>
          <w:rFonts w:ascii="Times New Roman" w:eastAsia="Calibri" w:hAnsi="Times New Roman" w:cs="Times New Roman"/>
          <w:sz w:val="24"/>
          <w:szCs w:val="24"/>
        </w:rPr>
        <w:t xml:space="preserve">427 </w:t>
      </w:r>
      <w:r w:rsidRPr="00674730">
        <w:rPr>
          <w:rFonts w:ascii="Times New Roman" w:eastAsia="Calibri" w:hAnsi="Times New Roman" w:cs="Times New Roman"/>
          <w:i/>
          <w:sz w:val="24"/>
          <w:szCs w:val="24"/>
        </w:rPr>
        <w:t>euro</w:t>
      </w:r>
      <w:r w:rsidRPr="00674730">
        <w:rPr>
          <w:rFonts w:ascii="Times New Roman" w:eastAsia="Calibri" w:hAnsi="Times New Roman" w:cs="Times New Roman"/>
          <w:i/>
          <w:sz w:val="24"/>
          <w:szCs w:val="24"/>
        </w:rPr>
        <w:t xml:space="preserve"> </w:t>
      </w:r>
      <w:r w:rsidRPr="00674730">
        <w:rPr>
          <w:rFonts w:ascii="Times New Roman" w:eastAsia="Calibri" w:hAnsi="Times New Roman" w:cs="Times New Roman"/>
          <w:sz w:val="24"/>
          <w:szCs w:val="24"/>
        </w:rPr>
        <w:t>apmērā (vidējās izmaksas atbilstoši noslēgtajiem pakalpojumu līgumiem) ar PVN, ar kopējo izstrādei un ieviešanai nepieciešamo periodu 25 mēneši jeb 522 darba dienas</w:t>
      </w:r>
      <w:r w:rsidRPr="00674730" w:rsidR="00635784">
        <w:rPr>
          <w:rFonts w:ascii="Times New Roman" w:eastAsia="Calibri" w:hAnsi="Times New Roman" w:cs="Times New Roman"/>
          <w:sz w:val="24"/>
          <w:szCs w:val="24"/>
        </w:rPr>
        <w:t>, balstoties uz VRAA pieredzi līdzīgos izstrādes projektos. I</w:t>
      </w:r>
      <w:r w:rsidRPr="00674730">
        <w:rPr>
          <w:rFonts w:ascii="Times New Roman" w:eastAsia="Calibri" w:hAnsi="Times New Roman" w:cs="Times New Roman"/>
          <w:sz w:val="24"/>
          <w:szCs w:val="24"/>
        </w:rPr>
        <w:t xml:space="preserve">zstrādes un ieviešanas laikā nepieciešams piesaistīt četrus </w:t>
      </w:r>
      <w:r w:rsidRPr="00674730" w:rsidR="00E00B8C">
        <w:rPr>
          <w:rFonts w:ascii="Times New Roman" w:eastAsia="Calibri" w:hAnsi="Times New Roman" w:cs="Times New Roman"/>
          <w:sz w:val="24"/>
          <w:szCs w:val="24"/>
        </w:rPr>
        <w:t xml:space="preserve">darbiniekus uz </w:t>
      </w:r>
      <w:r w:rsidRPr="00674730">
        <w:rPr>
          <w:rFonts w:ascii="Times New Roman" w:eastAsia="Calibri" w:hAnsi="Times New Roman" w:cs="Times New Roman"/>
          <w:sz w:val="24"/>
          <w:szCs w:val="24"/>
        </w:rPr>
        <w:t xml:space="preserve">0,7 slodzi, savukārt risinājuma uzturēšanas periodā </w:t>
      </w:r>
      <w:r w:rsidRPr="00674730" w:rsidR="00E00B8C">
        <w:rPr>
          <w:rFonts w:ascii="Times New Roman" w:eastAsia="Calibri" w:hAnsi="Times New Roman" w:cs="Times New Roman"/>
          <w:sz w:val="24"/>
          <w:szCs w:val="24"/>
        </w:rPr>
        <w:t>-</w:t>
      </w:r>
      <w:r w:rsidRPr="00674730">
        <w:rPr>
          <w:rFonts w:ascii="Times New Roman" w:eastAsia="Calibri" w:hAnsi="Times New Roman" w:cs="Times New Roman"/>
          <w:sz w:val="24"/>
          <w:szCs w:val="24"/>
        </w:rPr>
        <w:t xml:space="preserve"> uz 0,3 slodzi</w:t>
      </w:r>
      <w:r w:rsidRPr="00674730" w:rsidR="00AE607A">
        <w:rPr>
          <w:rFonts w:ascii="Times New Roman" w:eastAsia="Calibri" w:hAnsi="Times New Roman" w:cs="Times New Roman"/>
          <w:sz w:val="24"/>
          <w:szCs w:val="24"/>
        </w:rPr>
        <w:t>.</w:t>
      </w:r>
    </w:p>
    <w:p w:rsidR="004158D0" w:rsidRPr="00674730" w:rsidP="00631723" w14:paraId="760D293F" w14:textId="6B509B6D">
      <w:pPr>
        <w:spacing w:after="0" w:line="276" w:lineRule="auto"/>
        <w:ind w:firstLine="720"/>
        <w:jc w:val="both"/>
        <w:rPr>
          <w:rFonts w:ascii="Times New Roman" w:hAnsi="Times New Roman"/>
          <w:sz w:val="24"/>
          <w:szCs w:val="24"/>
        </w:rPr>
      </w:pPr>
      <w:r w:rsidRPr="00674730">
        <w:rPr>
          <w:rFonts w:ascii="Times New Roman" w:hAnsi="Times New Roman"/>
          <w:sz w:val="24"/>
          <w:szCs w:val="24"/>
        </w:rPr>
        <w:t xml:space="preserve">Risinājuma ieviešana </w:t>
      </w:r>
      <w:r w:rsidRPr="00674730" w:rsidR="001D6021">
        <w:rPr>
          <w:rFonts w:ascii="Times New Roman" w:hAnsi="Times New Roman"/>
          <w:sz w:val="24"/>
          <w:szCs w:val="24"/>
        </w:rPr>
        <w:t xml:space="preserve">pašvaldībās un </w:t>
      </w:r>
      <w:r w:rsidRPr="00674730">
        <w:rPr>
          <w:rFonts w:ascii="Times New Roman" w:hAnsi="Times New Roman"/>
          <w:sz w:val="24"/>
          <w:szCs w:val="24"/>
        </w:rPr>
        <w:t xml:space="preserve">valsts pārvaldē notiek </w:t>
      </w:r>
      <w:r w:rsidRPr="00674730" w:rsidR="001D6021">
        <w:rPr>
          <w:rFonts w:ascii="Times New Roman" w:hAnsi="Times New Roman"/>
          <w:sz w:val="24"/>
          <w:szCs w:val="24"/>
        </w:rPr>
        <w:t>pakāpeniski, izvērtējot l</w:t>
      </w:r>
      <w:r w:rsidRPr="00674730" w:rsidR="001D6021">
        <w:rPr>
          <w:rFonts w:ascii="Times New Roman" w:hAnsi="Times New Roman" w:cs="Times New Roman"/>
          <w:sz w:val="24"/>
          <w:szCs w:val="24"/>
        </w:rPr>
        <w:t>ietojumprogrammu</w:t>
      </w:r>
      <w:r w:rsidRPr="00674730" w:rsidR="001D6021">
        <w:rPr>
          <w:rFonts w:ascii="Times New Roman" w:hAnsi="Times New Roman"/>
          <w:sz w:val="24"/>
          <w:szCs w:val="24"/>
        </w:rPr>
        <w:t xml:space="preserve"> </w:t>
      </w:r>
      <w:r w:rsidRPr="00674730">
        <w:rPr>
          <w:rFonts w:ascii="Times New Roman" w:hAnsi="Times New Roman"/>
          <w:sz w:val="24"/>
          <w:szCs w:val="24"/>
        </w:rPr>
        <w:t>s</w:t>
      </w:r>
      <w:r w:rsidRPr="00674730" w:rsidR="001D6021">
        <w:rPr>
          <w:rFonts w:ascii="Times New Roman" w:hAnsi="Times New Roman"/>
          <w:sz w:val="24"/>
          <w:szCs w:val="24"/>
        </w:rPr>
        <w:t>as</w:t>
      </w:r>
      <w:r w:rsidRPr="00674730">
        <w:rPr>
          <w:rFonts w:ascii="Times New Roman" w:hAnsi="Times New Roman"/>
          <w:sz w:val="24"/>
          <w:szCs w:val="24"/>
        </w:rPr>
        <w:t>karnes datu saņemšanas iespējamību un tehniskos risinājumus, atbilstoši pieejamajam finansējumam un iespējamajiem izpildes termiņiem, par katru pakalpojuma integrāciju, tiesisko regulējumu un izmaksu piesaisti lemj atsevišķi pakalpojuma turētājs un atbilstošais resors</w:t>
      </w:r>
      <w:r w:rsidRPr="00674730" w:rsidR="001D6021">
        <w:rPr>
          <w:rFonts w:ascii="Times New Roman" w:hAnsi="Times New Roman"/>
          <w:sz w:val="24"/>
          <w:szCs w:val="24"/>
        </w:rPr>
        <w:t>.</w:t>
      </w:r>
    </w:p>
    <w:p w:rsidR="001D6021" w:rsidRPr="00674730" w:rsidP="00631723" w14:paraId="70B7D1FB" w14:textId="3F3BDD0A">
      <w:pPr>
        <w:spacing w:after="0" w:line="276" w:lineRule="auto"/>
        <w:ind w:firstLine="720"/>
        <w:jc w:val="both"/>
        <w:rPr>
          <w:rFonts w:ascii="Times New Roman" w:hAnsi="Times New Roman"/>
          <w:sz w:val="24"/>
          <w:szCs w:val="24"/>
        </w:rPr>
      </w:pPr>
      <w:r w:rsidRPr="00674730">
        <w:rPr>
          <w:rFonts w:ascii="Times New Roman" w:hAnsi="Times New Roman"/>
          <w:sz w:val="24"/>
          <w:szCs w:val="24"/>
        </w:rPr>
        <w:t>Savukārt gadījumā, ja risinājuma izstrādes laikā tiks konstatēts, ka tā ieviešanai un pilnvērtīgai darbināšanai ir nepieciešams saņemt no Iedzīvotāju reģistra vairāk datu nekā šobrīd pieejami VRAA VISS koplietošanas infrastruktūrā, tad, izstrādājot Atvieglojumu uzskaites koplietošanas risinājuma tehnisko specifikāciju un tās ieviešanai nepieciešamos normatīvos aktus, risinājuma izstrādei nepieciešamais finansējums Iekšlietu ministrijai (Pilsonības un migrācijas lietu pārvaldei) tiks nodrošināts valsts budžeta līdzekļu ietvaros.</w:t>
      </w:r>
    </w:p>
    <w:p w:rsidR="003F1990" w:rsidRPr="00674730" w:rsidP="00631723" w14:paraId="40608A25" w14:textId="77777777">
      <w:pPr>
        <w:spacing w:after="0" w:line="276" w:lineRule="auto"/>
        <w:ind w:firstLine="720"/>
        <w:jc w:val="both"/>
        <w:rPr>
          <w:rFonts w:ascii="Times New Roman" w:hAnsi="Times New Roman" w:cs="Times New Roman"/>
          <w:sz w:val="24"/>
          <w:szCs w:val="24"/>
        </w:rPr>
      </w:pPr>
      <w:r w:rsidRPr="00674730">
        <w:rPr>
          <w:rFonts w:ascii="Times New Roman" w:hAnsi="Times New Roman" w:cs="Times New Roman"/>
          <w:sz w:val="24"/>
          <w:szCs w:val="24"/>
        </w:rPr>
        <w:t xml:space="preserve">Jelgavas pilsētā ieviestais lokālais norēķinu sistēmas risinājums ar maksājumu administrēšanas infrastruktūru (banku infrastruktūru) liecina, ka vienas pašvaldības ietvaros tika panākts ~20% izmaksu ietaupījums ēdināšanas pakalpojumu </w:t>
      </w:r>
      <w:r w:rsidRPr="00674730" w:rsidR="000A1E5E">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dotācijām pilsētas izglītības iestādēs un ~30% izmaksu ietaupījums transporta pakalpojumu </w:t>
      </w:r>
      <w:r w:rsidRPr="00674730" w:rsidR="000A1E5E">
        <w:rPr>
          <w:rFonts w:ascii="Times New Roman" w:hAnsi="Times New Roman" w:cs="Times New Roman"/>
          <w:sz w:val="24"/>
          <w:szCs w:val="24"/>
        </w:rPr>
        <w:t>A</w:t>
      </w:r>
      <w:r w:rsidRPr="00674730">
        <w:rPr>
          <w:rFonts w:ascii="Times New Roman" w:hAnsi="Times New Roman" w:cs="Times New Roman"/>
          <w:sz w:val="24"/>
          <w:szCs w:val="24"/>
        </w:rPr>
        <w:t>tvieglojumu dotācijām dažādām pilsētas iedzīvotāju kategorijām.</w:t>
      </w:r>
    </w:p>
    <w:p w:rsidR="00745722" w:rsidRPr="00674730" w:rsidP="00631723" w14:paraId="52A08448" w14:textId="77777777">
      <w:pPr>
        <w:spacing w:after="0" w:line="276" w:lineRule="auto"/>
        <w:ind w:firstLine="720"/>
        <w:jc w:val="both"/>
        <w:rPr>
          <w:rFonts w:ascii="Times New Roman" w:hAnsi="Times New Roman" w:cs="Times New Roman"/>
          <w:sz w:val="24"/>
          <w:szCs w:val="24"/>
        </w:rPr>
      </w:pPr>
    </w:p>
    <w:p w:rsidR="003F1990" w:rsidRPr="00674730" w:rsidP="00631723" w14:paraId="72FFAC00" w14:textId="77777777">
      <w:pPr>
        <w:spacing w:after="0" w:line="276" w:lineRule="auto"/>
        <w:ind w:firstLine="720"/>
        <w:jc w:val="both"/>
        <w:rPr>
          <w:rFonts w:ascii="Times New Roman" w:hAnsi="Times New Roman" w:cs="Times New Roman"/>
          <w:sz w:val="24"/>
          <w:szCs w:val="24"/>
        </w:rPr>
      </w:pPr>
      <w:r w:rsidRPr="00674730">
        <w:rPr>
          <w:rFonts w:ascii="Times New Roman" w:hAnsi="Times New Roman" w:cs="Times New Roman"/>
          <w:sz w:val="24"/>
          <w:szCs w:val="24"/>
        </w:rPr>
        <w:t>Izmaksu ietaupījuma galvenie cēloņi:</w:t>
      </w:r>
    </w:p>
    <w:p w:rsidR="003F1990" w:rsidRPr="00674730" w:rsidP="00482086" w14:paraId="557660C7" w14:textId="77777777">
      <w:pPr>
        <w:pStyle w:val="ListParagraph"/>
        <w:numPr>
          <w:ilvl w:val="0"/>
          <w:numId w:val="7"/>
        </w:numPr>
        <w:spacing w:after="0" w:line="276" w:lineRule="auto"/>
        <w:ind w:left="1134" w:hanging="283"/>
        <w:jc w:val="both"/>
        <w:rPr>
          <w:rFonts w:ascii="Times New Roman" w:hAnsi="Times New Roman" w:cs="Times New Roman"/>
          <w:sz w:val="24"/>
          <w:szCs w:val="24"/>
        </w:rPr>
      </w:pPr>
      <w:r w:rsidRPr="00674730">
        <w:rPr>
          <w:rFonts w:ascii="Times New Roman" w:hAnsi="Times New Roman" w:cs="Times New Roman"/>
          <w:sz w:val="24"/>
          <w:szCs w:val="24"/>
        </w:rPr>
        <w:t xml:space="preserve">krāpniecības risku būtiska samazināšana gan </w:t>
      </w:r>
      <w:r w:rsidRPr="00674730" w:rsidR="003A3249">
        <w:rPr>
          <w:rFonts w:ascii="Times New Roman" w:hAnsi="Times New Roman" w:cs="Times New Roman"/>
          <w:sz w:val="24"/>
          <w:szCs w:val="24"/>
        </w:rPr>
        <w:t xml:space="preserve">no </w:t>
      </w:r>
      <w:r w:rsidRPr="00674730">
        <w:rPr>
          <w:rFonts w:ascii="Times New Roman" w:hAnsi="Times New Roman" w:cs="Times New Roman"/>
          <w:sz w:val="24"/>
          <w:szCs w:val="24"/>
        </w:rPr>
        <w:t>pakalpojuma saņēmēju (iedzīvotāju), gan</w:t>
      </w:r>
      <w:r w:rsidRPr="00674730" w:rsidR="003A3249">
        <w:rPr>
          <w:rFonts w:ascii="Times New Roman" w:hAnsi="Times New Roman" w:cs="Times New Roman"/>
          <w:sz w:val="24"/>
          <w:szCs w:val="24"/>
        </w:rPr>
        <w:t xml:space="preserve"> no</w:t>
      </w:r>
      <w:r w:rsidRPr="00674730">
        <w:rPr>
          <w:rFonts w:ascii="Times New Roman" w:hAnsi="Times New Roman" w:cs="Times New Roman"/>
          <w:sz w:val="24"/>
          <w:szCs w:val="24"/>
        </w:rPr>
        <w:t xml:space="preserve"> pakalpojuma sniedzēju (pārvadātāju, ēdinātāju) pus</w:t>
      </w:r>
      <w:r w:rsidRPr="00674730" w:rsidR="003A3249">
        <w:rPr>
          <w:rFonts w:ascii="Times New Roman" w:hAnsi="Times New Roman" w:cs="Times New Roman"/>
          <w:sz w:val="24"/>
          <w:szCs w:val="24"/>
        </w:rPr>
        <w:t>es</w:t>
      </w:r>
      <w:r w:rsidRPr="00674730">
        <w:rPr>
          <w:rFonts w:ascii="Times New Roman" w:hAnsi="Times New Roman" w:cs="Times New Roman"/>
          <w:sz w:val="24"/>
          <w:szCs w:val="24"/>
        </w:rPr>
        <w:t xml:space="preserve"> – risku kontrole tiek veikta tieši maksājuma transakcijas veikšanas brīdī</w:t>
      </w:r>
      <w:r w:rsidRPr="00674730" w:rsidR="003A3249">
        <w:rPr>
          <w:rFonts w:ascii="Times New Roman" w:hAnsi="Times New Roman" w:cs="Times New Roman"/>
          <w:sz w:val="24"/>
          <w:szCs w:val="24"/>
        </w:rPr>
        <w:t>;</w:t>
      </w:r>
    </w:p>
    <w:p w:rsidR="003F1990" w:rsidRPr="00674730" w:rsidP="00482086" w14:paraId="396B97F9" w14:textId="77777777">
      <w:pPr>
        <w:pStyle w:val="ListParagraph"/>
        <w:numPr>
          <w:ilvl w:val="0"/>
          <w:numId w:val="7"/>
        </w:numPr>
        <w:spacing w:after="0" w:line="276" w:lineRule="auto"/>
        <w:ind w:left="1134" w:hanging="283"/>
        <w:jc w:val="both"/>
        <w:rPr>
          <w:rFonts w:ascii="Times New Roman" w:hAnsi="Times New Roman" w:cs="Times New Roman"/>
          <w:sz w:val="24"/>
          <w:szCs w:val="24"/>
        </w:rPr>
      </w:pPr>
      <w:r w:rsidRPr="00674730">
        <w:rPr>
          <w:rFonts w:ascii="Times New Roman" w:hAnsi="Times New Roman" w:cs="Times New Roman"/>
          <w:sz w:val="24"/>
          <w:szCs w:val="24"/>
        </w:rPr>
        <w:t>i</w:t>
      </w:r>
      <w:r w:rsidRPr="00674730">
        <w:rPr>
          <w:rFonts w:ascii="Times New Roman" w:hAnsi="Times New Roman" w:cs="Times New Roman"/>
          <w:sz w:val="24"/>
          <w:szCs w:val="24"/>
        </w:rPr>
        <w:t>espēja identificēt iepriekš neidentificētus krāpniecības riskus, jo katrs darījums un tā apstākļi ir identificējami</w:t>
      </w:r>
      <w:r w:rsidRPr="00674730">
        <w:rPr>
          <w:rFonts w:ascii="Times New Roman" w:hAnsi="Times New Roman" w:cs="Times New Roman"/>
          <w:sz w:val="24"/>
          <w:szCs w:val="24"/>
        </w:rPr>
        <w:t>;</w:t>
      </w:r>
    </w:p>
    <w:p w:rsidR="003F1990" w:rsidRPr="00674730" w:rsidP="00482086" w14:paraId="6FB1F196" w14:textId="77777777">
      <w:pPr>
        <w:pStyle w:val="ListParagraph"/>
        <w:numPr>
          <w:ilvl w:val="0"/>
          <w:numId w:val="7"/>
        </w:numPr>
        <w:spacing w:after="0" w:line="276" w:lineRule="auto"/>
        <w:ind w:left="1134" w:hanging="283"/>
        <w:jc w:val="both"/>
        <w:rPr>
          <w:rFonts w:ascii="Times New Roman" w:hAnsi="Times New Roman" w:cs="Times New Roman"/>
          <w:sz w:val="24"/>
          <w:szCs w:val="24"/>
        </w:rPr>
      </w:pPr>
      <w:r w:rsidRPr="00674730">
        <w:rPr>
          <w:rFonts w:ascii="Times New Roman" w:hAnsi="Times New Roman" w:cs="Times New Roman"/>
          <w:sz w:val="24"/>
          <w:szCs w:val="24"/>
        </w:rPr>
        <w:t>i</w:t>
      </w:r>
      <w:r w:rsidRPr="00674730">
        <w:rPr>
          <w:rFonts w:ascii="Times New Roman" w:hAnsi="Times New Roman" w:cs="Times New Roman"/>
          <w:sz w:val="24"/>
          <w:szCs w:val="24"/>
        </w:rPr>
        <w:t xml:space="preserve">espēja piešķirt </w:t>
      </w:r>
      <w:r w:rsidRPr="00674730" w:rsidR="00AD4681">
        <w:rPr>
          <w:rFonts w:ascii="Times New Roman" w:hAnsi="Times New Roman" w:cs="Times New Roman"/>
          <w:sz w:val="24"/>
          <w:szCs w:val="24"/>
        </w:rPr>
        <w:t>A</w:t>
      </w:r>
      <w:r w:rsidRPr="00674730">
        <w:rPr>
          <w:rFonts w:ascii="Times New Roman" w:hAnsi="Times New Roman" w:cs="Times New Roman"/>
          <w:sz w:val="24"/>
          <w:szCs w:val="24"/>
        </w:rPr>
        <w:t xml:space="preserve">tvieglojumu ar </w:t>
      </w:r>
      <w:r w:rsidRPr="00674730" w:rsidR="00716E2C">
        <w:rPr>
          <w:rFonts w:ascii="Times New Roman" w:hAnsi="Times New Roman" w:cs="Times New Roman"/>
          <w:sz w:val="24"/>
          <w:szCs w:val="24"/>
        </w:rPr>
        <w:t xml:space="preserve">Atvieglojuma </w:t>
      </w:r>
      <w:r w:rsidRPr="00674730">
        <w:rPr>
          <w:rFonts w:ascii="Times New Roman" w:hAnsi="Times New Roman" w:cs="Times New Roman"/>
          <w:sz w:val="24"/>
          <w:szCs w:val="24"/>
        </w:rPr>
        <w:t>saņēmēja līdzfinansējumu (</w:t>
      </w:r>
      <w:r w:rsidRPr="00674730" w:rsidR="00716E2C">
        <w:rPr>
          <w:rFonts w:ascii="Times New Roman" w:hAnsi="Times New Roman" w:cs="Times New Roman"/>
          <w:sz w:val="24"/>
          <w:szCs w:val="24"/>
        </w:rPr>
        <w:t xml:space="preserve">Atvieglojums </w:t>
      </w:r>
      <w:r w:rsidRPr="00674730">
        <w:rPr>
          <w:rFonts w:ascii="Times New Roman" w:hAnsi="Times New Roman" w:cs="Times New Roman"/>
          <w:sz w:val="24"/>
          <w:szCs w:val="24"/>
        </w:rPr>
        <w:t xml:space="preserve">mazāks par 100 procentiem, piemēram, 90% vai 50%) – tas praktiski pilnībā novērš riskus, kad savu </w:t>
      </w:r>
      <w:r w:rsidRPr="00674730" w:rsidR="00716E2C">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karti </w:t>
      </w:r>
      <w:r w:rsidRPr="00674730" w:rsidR="00716E2C">
        <w:rPr>
          <w:rFonts w:ascii="Times New Roman" w:hAnsi="Times New Roman" w:cs="Times New Roman"/>
          <w:sz w:val="24"/>
          <w:szCs w:val="24"/>
        </w:rPr>
        <w:t xml:space="preserve">Atvieglojuma </w:t>
      </w:r>
      <w:r w:rsidRPr="00674730">
        <w:rPr>
          <w:rFonts w:ascii="Times New Roman" w:hAnsi="Times New Roman" w:cs="Times New Roman"/>
          <w:sz w:val="24"/>
          <w:szCs w:val="24"/>
        </w:rPr>
        <w:t xml:space="preserve">saņēmējs ļauj izmantot citām personām </w:t>
      </w:r>
      <w:r w:rsidRPr="00674730" w:rsidR="00716E2C">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saņemšanai (piemēram, 100% </w:t>
      </w:r>
      <w:r w:rsidRPr="00674730" w:rsidR="00716E2C">
        <w:rPr>
          <w:rFonts w:ascii="Times New Roman" w:hAnsi="Times New Roman" w:cs="Times New Roman"/>
          <w:sz w:val="24"/>
          <w:szCs w:val="24"/>
        </w:rPr>
        <w:t xml:space="preserve">Atvieglojumu </w:t>
      </w:r>
      <w:r w:rsidRPr="00674730">
        <w:rPr>
          <w:rFonts w:ascii="Times New Roman" w:hAnsi="Times New Roman" w:cs="Times New Roman"/>
          <w:sz w:val="24"/>
          <w:szCs w:val="24"/>
        </w:rPr>
        <w:t>saņemšanai).</w:t>
      </w:r>
    </w:p>
    <w:p w:rsidR="003F1990" w:rsidRPr="00674730" w:rsidP="00631723" w14:paraId="188E084C" w14:textId="3A435BA3">
      <w:pPr>
        <w:spacing w:after="0" w:line="276" w:lineRule="auto"/>
        <w:ind w:firstLine="720"/>
        <w:jc w:val="both"/>
        <w:rPr>
          <w:rFonts w:ascii="Times New Roman" w:hAnsi="Times New Roman" w:cs="Times New Roman"/>
          <w:sz w:val="24"/>
          <w:szCs w:val="24"/>
        </w:rPr>
      </w:pPr>
      <w:r w:rsidRPr="00674730">
        <w:rPr>
          <w:rFonts w:ascii="Times New Roman" w:hAnsi="Times New Roman" w:cs="Times New Roman"/>
          <w:sz w:val="24"/>
          <w:szCs w:val="24"/>
        </w:rPr>
        <w:t>Kā liecina 2</w:t>
      </w:r>
      <w:r w:rsidRPr="00674730" w:rsidR="00906B32">
        <w:rPr>
          <w:rFonts w:ascii="Times New Roman" w:hAnsi="Times New Roman" w:cs="Times New Roman"/>
          <w:sz w:val="24"/>
          <w:szCs w:val="24"/>
        </w:rPr>
        <w:t>.</w:t>
      </w:r>
      <w:r w:rsidRPr="00674730">
        <w:rPr>
          <w:rFonts w:ascii="Times New Roman" w:hAnsi="Times New Roman" w:cs="Times New Roman"/>
          <w:sz w:val="24"/>
          <w:szCs w:val="24"/>
        </w:rPr>
        <w:t>tab</w:t>
      </w:r>
      <w:r w:rsidRPr="00674730" w:rsidR="00E42F08">
        <w:rPr>
          <w:rFonts w:ascii="Times New Roman" w:hAnsi="Times New Roman" w:cs="Times New Roman"/>
          <w:sz w:val="24"/>
          <w:szCs w:val="24"/>
        </w:rPr>
        <w:t>ulā norādītā informācija, 2016.</w:t>
      </w:r>
      <w:r w:rsidRPr="00674730">
        <w:rPr>
          <w:rFonts w:ascii="Times New Roman" w:hAnsi="Times New Roman" w:cs="Times New Roman"/>
          <w:sz w:val="24"/>
          <w:szCs w:val="24"/>
        </w:rPr>
        <w:t xml:space="preserve">gadā pašvaldības </w:t>
      </w:r>
      <w:r w:rsidRPr="00674730" w:rsidR="0008067F">
        <w:rPr>
          <w:rFonts w:ascii="Times New Roman" w:hAnsi="Times New Roman" w:cs="Times New Roman"/>
          <w:sz w:val="24"/>
          <w:szCs w:val="24"/>
        </w:rPr>
        <w:t xml:space="preserve">sniedzot  atvieglojumus </w:t>
      </w:r>
      <w:r w:rsidRPr="00674730">
        <w:rPr>
          <w:rFonts w:ascii="Times New Roman" w:hAnsi="Times New Roman" w:cs="Times New Roman"/>
          <w:sz w:val="24"/>
          <w:szCs w:val="24"/>
        </w:rPr>
        <w:t>ir izmaksājušas atbalstu ēdināšanas pakalpojumu kompensācijai</w:t>
      </w:r>
      <w:r w:rsidRPr="00674730" w:rsidR="00A5116E">
        <w:rPr>
          <w:rFonts w:ascii="Times New Roman" w:hAnsi="Times New Roman" w:cs="Times New Roman"/>
          <w:sz w:val="24"/>
          <w:szCs w:val="24"/>
        </w:rPr>
        <w:t xml:space="preserve"> izglītības iestāžu audzēkņiem</w:t>
      </w:r>
      <w:r w:rsidRPr="00674730">
        <w:rPr>
          <w:rFonts w:ascii="Times New Roman" w:hAnsi="Times New Roman" w:cs="Times New Roman"/>
          <w:sz w:val="24"/>
          <w:szCs w:val="24"/>
        </w:rPr>
        <w:t xml:space="preserve"> aptuveni </w:t>
      </w:r>
      <w:r w:rsidRPr="00674730" w:rsidR="00A5116E">
        <w:rPr>
          <w:rFonts w:ascii="Times New Roman" w:hAnsi="Times New Roman" w:cs="Times New Roman"/>
          <w:sz w:val="24"/>
          <w:szCs w:val="24"/>
        </w:rPr>
        <w:t>0,94</w:t>
      </w:r>
      <w:r w:rsidRPr="00674730">
        <w:rPr>
          <w:rFonts w:ascii="Times New Roman" w:hAnsi="Times New Roman" w:cs="Times New Roman"/>
          <w:sz w:val="24"/>
          <w:szCs w:val="24"/>
        </w:rPr>
        <w:t xml:space="preserve"> milj. EUR un transporta pakalpojumu kompensācijai aptuveni </w:t>
      </w:r>
      <w:r w:rsidRPr="00674730" w:rsidR="00115C50">
        <w:rPr>
          <w:rFonts w:ascii="Times New Roman" w:hAnsi="Times New Roman" w:cs="Times New Roman"/>
          <w:sz w:val="24"/>
          <w:szCs w:val="24"/>
        </w:rPr>
        <w:t>2,18</w:t>
      </w:r>
      <w:r w:rsidRPr="00674730">
        <w:rPr>
          <w:rFonts w:ascii="Times New Roman" w:hAnsi="Times New Roman" w:cs="Times New Roman"/>
          <w:sz w:val="24"/>
          <w:szCs w:val="24"/>
        </w:rPr>
        <w:t xml:space="preserve"> milj. EUR. </w:t>
      </w:r>
    </w:p>
    <w:p w:rsidR="00A60755" w:rsidRPr="00674730" w:rsidP="00A5116E" w14:paraId="1BE10861" w14:textId="4DF6D519">
      <w:pPr>
        <w:ind w:firstLine="720"/>
        <w:jc w:val="both"/>
        <w:rPr>
          <w:rFonts w:ascii="Times New Roman" w:hAnsi="Times New Roman" w:cs="Times New Roman"/>
          <w:sz w:val="24"/>
          <w:szCs w:val="24"/>
        </w:rPr>
      </w:pPr>
      <w:r w:rsidRPr="00674730">
        <w:rPr>
          <w:rFonts w:ascii="Times New Roman" w:hAnsi="Times New Roman" w:cs="Times New Roman"/>
          <w:sz w:val="24"/>
          <w:szCs w:val="24"/>
        </w:rPr>
        <w:t xml:space="preserve">Līdz ar to var secināt, ka indikatīvais plānotais finanšu līdzekļu ietaupījums, ieviešot šādu </w:t>
      </w:r>
      <w:r w:rsidRPr="00674730" w:rsidR="00716E2C">
        <w:rPr>
          <w:rFonts w:ascii="Times New Roman" w:hAnsi="Times New Roman" w:cs="Times New Roman"/>
          <w:sz w:val="24"/>
          <w:szCs w:val="24"/>
        </w:rPr>
        <w:t>A</w:t>
      </w:r>
      <w:r w:rsidRPr="00674730">
        <w:rPr>
          <w:rFonts w:ascii="Times New Roman" w:hAnsi="Times New Roman" w:cs="Times New Roman"/>
          <w:sz w:val="24"/>
          <w:szCs w:val="24"/>
        </w:rPr>
        <w:t>tvieglojumu norēķinu sistēmu tikai piešķirto ēdināšanas un transporta pakalpojumu apmaksai</w:t>
      </w:r>
      <w:r w:rsidRPr="00674730" w:rsidR="003A3249">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sidR="00A5116E">
        <w:rPr>
          <w:rFonts w:ascii="Times New Roman" w:hAnsi="Times New Roman" w:cs="Times New Roman"/>
          <w:sz w:val="24"/>
          <w:szCs w:val="24"/>
        </w:rPr>
        <w:t xml:space="preserve">kā piemēru vērtējot Jelgavas pieredzi, kas ietaupījusi 20%, kopējais pašvaldību ietaupījums varētu būt indikatīvi 15% t.i. 140 400 EUR </w:t>
      </w:r>
      <w:r w:rsidRPr="00674730">
        <w:rPr>
          <w:rFonts w:ascii="Times New Roman" w:hAnsi="Times New Roman" w:cs="Times New Roman"/>
          <w:sz w:val="24"/>
          <w:szCs w:val="24"/>
        </w:rPr>
        <w:t>gadā</w:t>
      </w:r>
      <w:r w:rsidRPr="00674730" w:rsidR="00A5116E">
        <w:rPr>
          <w:rFonts w:ascii="Times New Roman" w:hAnsi="Times New Roman" w:cs="Times New Roman"/>
          <w:sz w:val="24"/>
          <w:szCs w:val="24"/>
        </w:rPr>
        <w:t xml:space="preserve"> (vērtējot Lielo pilsētu asociācijas datus par 2016.gadu)</w:t>
      </w:r>
      <w:r w:rsidRPr="00674730">
        <w:rPr>
          <w:rFonts w:ascii="Times New Roman" w:hAnsi="Times New Roman" w:cs="Times New Roman"/>
          <w:sz w:val="24"/>
          <w:szCs w:val="24"/>
        </w:rPr>
        <w:t xml:space="preserve">. </w:t>
      </w:r>
      <w:r w:rsidRPr="00674730" w:rsidR="00501F34">
        <w:rPr>
          <w:rFonts w:ascii="Times New Roman" w:hAnsi="Times New Roman" w:cs="Times New Roman"/>
          <w:sz w:val="24"/>
          <w:szCs w:val="24"/>
        </w:rPr>
        <w:t>Tas samazinātu, piemēram, negodprātīgu ēdināšanas pakalpojumu sniedzēju iespējamo datu pārveidošanu, jo veicot maksājumu reģistrēšan</w:t>
      </w:r>
      <w:r w:rsidRPr="00674730" w:rsidR="00C85235">
        <w:rPr>
          <w:rFonts w:ascii="Times New Roman" w:hAnsi="Times New Roman" w:cs="Times New Roman"/>
          <w:sz w:val="24"/>
          <w:szCs w:val="24"/>
        </w:rPr>
        <w:t>u elektroniski, to dati tiks fiksēti</w:t>
      </w:r>
      <w:r w:rsidRPr="00674730" w:rsidR="00501F34">
        <w:rPr>
          <w:rFonts w:ascii="Times New Roman" w:hAnsi="Times New Roman" w:cs="Times New Roman"/>
          <w:sz w:val="24"/>
          <w:szCs w:val="24"/>
        </w:rPr>
        <w:t xml:space="preserve"> par </w:t>
      </w:r>
      <w:r w:rsidRPr="00674730" w:rsidR="00C85235">
        <w:rPr>
          <w:rFonts w:ascii="Times New Roman" w:hAnsi="Times New Roman" w:cs="Times New Roman"/>
          <w:sz w:val="24"/>
          <w:szCs w:val="24"/>
        </w:rPr>
        <w:t>reāli notikušajiem ēdināšanas pakalpojumiem</w:t>
      </w:r>
      <w:r w:rsidRPr="00674730" w:rsidR="00501F34">
        <w:rPr>
          <w:rFonts w:ascii="Times New Roman" w:hAnsi="Times New Roman" w:cs="Times New Roman"/>
          <w:sz w:val="24"/>
          <w:szCs w:val="24"/>
        </w:rPr>
        <w:t xml:space="preserve">. </w:t>
      </w:r>
    </w:p>
    <w:p w:rsidR="003F1990" w:rsidRPr="00674730" w:rsidP="00A5116E" w14:paraId="7F555D96" w14:textId="6CBD5472">
      <w:pPr>
        <w:spacing w:after="0" w:line="276" w:lineRule="auto"/>
        <w:ind w:firstLine="720"/>
        <w:jc w:val="both"/>
        <w:rPr>
          <w:rFonts w:ascii="Times New Roman" w:hAnsi="Times New Roman" w:cs="Times New Roman"/>
          <w:sz w:val="24"/>
          <w:szCs w:val="24"/>
        </w:rPr>
      </w:pPr>
      <w:r w:rsidRPr="00674730">
        <w:rPr>
          <w:rFonts w:ascii="Times New Roman" w:hAnsi="Times New Roman" w:cs="Times New Roman"/>
          <w:sz w:val="24"/>
          <w:szCs w:val="24"/>
        </w:rPr>
        <w:t xml:space="preserve">Mainot </w:t>
      </w:r>
      <w:r w:rsidRPr="00674730" w:rsidR="00716E2C">
        <w:rPr>
          <w:rFonts w:ascii="Times New Roman" w:hAnsi="Times New Roman" w:cs="Times New Roman"/>
          <w:sz w:val="24"/>
          <w:szCs w:val="24"/>
        </w:rPr>
        <w:t xml:space="preserve">Atvieglojumu </w:t>
      </w:r>
      <w:r w:rsidRPr="00674730">
        <w:rPr>
          <w:rFonts w:ascii="Times New Roman" w:hAnsi="Times New Roman" w:cs="Times New Roman"/>
          <w:sz w:val="24"/>
          <w:szCs w:val="24"/>
        </w:rPr>
        <w:t xml:space="preserve">piešķiršanas sistēmu par labu elektroniskai </w:t>
      </w:r>
      <w:r w:rsidRPr="00674730" w:rsidR="00716E2C">
        <w:rPr>
          <w:rFonts w:ascii="Times New Roman" w:hAnsi="Times New Roman" w:cs="Times New Roman"/>
          <w:sz w:val="24"/>
          <w:szCs w:val="24"/>
        </w:rPr>
        <w:t xml:space="preserve">Atvieglojumu </w:t>
      </w:r>
      <w:r w:rsidRPr="00674730">
        <w:rPr>
          <w:rFonts w:ascii="Times New Roman" w:hAnsi="Times New Roman" w:cs="Times New Roman"/>
          <w:sz w:val="24"/>
          <w:szCs w:val="24"/>
        </w:rPr>
        <w:t>kartei pārējiem sniegt</w:t>
      </w:r>
      <w:r w:rsidRPr="00674730" w:rsidR="00A5116E">
        <w:rPr>
          <w:rFonts w:ascii="Times New Roman" w:hAnsi="Times New Roman" w:cs="Times New Roman"/>
          <w:sz w:val="24"/>
          <w:szCs w:val="24"/>
        </w:rPr>
        <w:t>aj</w:t>
      </w:r>
      <w:r w:rsidRPr="00674730">
        <w:rPr>
          <w:rFonts w:ascii="Times New Roman" w:hAnsi="Times New Roman" w:cs="Times New Roman"/>
          <w:sz w:val="24"/>
          <w:szCs w:val="24"/>
        </w:rPr>
        <w:t xml:space="preserve">iem </w:t>
      </w:r>
      <w:r w:rsidRPr="00674730" w:rsidR="00716E2C">
        <w:rPr>
          <w:rFonts w:ascii="Times New Roman" w:hAnsi="Times New Roman" w:cs="Times New Roman"/>
          <w:sz w:val="24"/>
          <w:szCs w:val="24"/>
        </w:rPr>
        <w:t>Atvieglojumiem</w:t>
      </w:r>
      <w:r w:rsidRPr="00674730">
        <w:rPr>
          <w:rFonts w:ascii="Times New Roman" w:hAnsi="Times New Roman" w:cs="Times New Roman"/>
          <w:sz w:val="24"/>
          <w:szCs w:val="24"/>
        </w:rPr>
        <w:t xml:space="preserve">, ir iespējams veidot vēl vismaz indikatīvi EUR 1 000 000 </w:t>
      </w:r>
      <w:r w:rsidRPr="00674730">
        <w:rPr>
          <w:rFonts w:ascii="Times New Roman" w:hAnsi="Times New Roman" w:cs="Times New Roman"/>
          <w:sz w:val="24"/>
          <w:szCs w:val="24"/>
        </w:rPr>
        <w:t>papildu ietaupījumu gadā pašvaldību budžetos.</w:t>
      </w:r>
      <w:r w:rsidRPr="00674730" w:rsidR="008A0525">
        <w:rPr>
          <w:rFonts w:ascii="Times New Roman" w:hAnsi="Times New Roman" w:cs="Times New Roman"/>
          <w:sz w:val="24"/>
          <w:szCs w:val="24"/>
        </w:rPr>
        <w:t xml:space="preserve"> </w:t>
      </w:r>
      <w:r w:rsidRPr="00674730">
        <w:rPr>
          <w:rFonts w:ascii="Times New Roman" w:hAnsi="Times New Roman" w:cs="Times New Roman"/>
          <w:sz w:val="24"/>
          <w:szCs w:val="24"/>
        </w:rPr>
        <w:t>Finanšu ietaupījuma aprēķinos nav ņemtas vērā pašvaldību dotācijas un subsīdijas transporta, ēdināšanas pakalpojumu sniedzējiem, kas piešķirtas bez izvērtēšanas.</w:t>
      </w:r>
    </w:p>
    <w:p w:rsidR="00826FE5" w:rsidRPr="00674730" w:rsidP="00826FE5" w14:paraId="6EBC03C3" w14:textId="77777777">
      <w:pPr>
        <w:spacing w:after="0" w:line="276" w:lineRule="auto"/>
        <w:jc w:val="both"/>
        <w:rPr>
          <w:rFonts w:ascii="Times New Roman" w:hAnsi="Times New Roman" w:cs="Times New Roman"/>
          <w:sz w:val="24"/>
          <w:szCs w:val="24"/>
        </w:rPr>
      </w:pPr>
    </w:p>
    <w:p w:rsidR="003F1990" w:rsidRPr="00674730" w:rsidP="00826FE5" w14:paraId="1D4EBB6B" w14:textId="77777777">
      <w:pPr>
        <w:spacing w:after="0" w:line="276" w:lineRule="auto"/>
        <w:ind w:firstLine="720"/>
        <w:jc w:val="both"/>
        <w:rPr>
          <w:rFonts w:ascii="Times New Roman" w:hAnsi="Times New Roman" w:cs="Times New Roman"/>
          <w:sz w:val="24"/>
          <w:szCs w:val="24"/>
        </w:rPr>
      </w:pPr>
      <w:r w:rsidRPr="00674730">
        <w:rPr>
          <w:rFonts w:ascii="Times New Roman" w:hAnsi="Times New Roman" w:cs="Times New Roman"/>
          <w:sz w:val="24"/>
          <w:szCs w:val="24"/>
        </w:rPr>
        <w:t xml:space="preserve">Koplietošanas risinājuma ieviešanas un uzturēšanas iespējamie finansēšanas </w:t>
      </w:r>
      <w:r w:rsidRPr="00674730" w:rsidR="00293EB4">
        <w:rPr>
          <w:rFonts w:ascii="Times New Roman" w:hAnsi="Times New Roman" w:cs="Times New Roman"/>
          <w:sz w:val="24"/>
          <w:szCs w:val="24"/>
        </w:rPr>
        <w:t>modeļi</w:t>
      </w:r>
      <w:r w:rsidRPr="00674730">
        <w:rPr>
          <w:rFonts w:ascii="Times New Roman" w:hAnsi="Times New Roman" w:cs="Times New Roman"/>
          <w:sz w:val="24"/>
          <w:szCs w:val="24"/>
        </w:rPr>
        <w:t>:</w:t>
      </w:r>
    </w:p>
    <w:p w:rsidR="003F1990" w:rsidRPr="00674730" w:rsidP="00631723" w14:paraId="7078ACC5" w14:textId="77777777">
      <w:pPr>
        <w:pStyle w:val="ListParagraph"/>
        <w:spacing w:after="0" w:line="276" w:lineRule="auto"/>
        <w:jc w:val="both"/>
        <w:rPr>
          <w:rFonts w:ascii="Times New Roman" w:hAnsi="Times New Roman" w:cs="Times New Roman"/>
          <w:sz w:val="16"/>
          <w:szCs w:val="24"/>
        </w:rPr>
      </w:pPr>
    </w:p>
    <w:p w:rsidR="00D417FC" w:rsidRPr="00674730" w:rsidP="00482086" w14:paraId="6088E48C" w14:textId="0BAB0140">
      <w:pPr>
        <w:pStyle w:val="ListParagraph"/>
        <w:numPr>
          <w:ilvl w:val="0"/>
          <w:numId w:val="4"/>
        </w:numPr>
        <w:spacing w:after="0" w:line="276" w:lineRule="auto"/>
        <w:ind w:left="0" w:firstLine="720"/>
        <w:jc w:val="both"/>
        <w:rPr>
          <w:rFonts w:ascii="Times New Roman" w:hAnsi="Times New Roman" w:cs="Times New Roman"/>
          <w:sz w:val="24"/>
          <w:szCs w:val="24"/>
        </w:rPr>
      </w:pPr>
      <w:r w:rsidRPr="00674730">
        <w:rPr>
          <w:rFonts w:ascii="Times New Roman" w:hAnsi="Times New Roman" w:cs="Times New Roman"/>
          <w:sz w:val="24"/>
          <w:szCs w:val="24"/>
        </w:rPr>
        <w:t xml:space="preserve">ERAF </w:t>
      </w:r>
      <w:r w:rsidRPr="00674730" w:rsidR="003F1990">
        <w:rPr>
          <w:rFonts w:ascii="Times New Roman" w:hAnsi="Times New Roman" w:cs="Times New Roman"/>
          <w:sz w:val="24"/>
          <w:szCs w:val="24"/>
        </w:rPr>
        <w:t xml:space="preserve">Darbības programmas "Izaugsme un nodarbinātība" 2.2.1. specifiskā atbalsta mērķa "Nodrošināt publisko datu </w:t>
      </w:r>
      <w:r w:rsidRPr="00674730" w:rsidR="003F1990">
        <w:rPr>
          <w:rFonts w:ascii="Times New Roman" w:hAnsi="Times New Roman" w:cs="Times New Roman"/>
          <w:sz w:val="24"/>
          <w:szCs w:val="24"/>
        </w:rPr>
        <w:t>atkalizmantošanas</w:t>
      </w:r>
      <w:r w:rsidRPr="00674730" w:rsidR="003F1990">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finanšu līdzekļi </w:t>
      </w:r>
      <w:r w:rsidRPr="00674730" w:rsidR="00BC1C53">
        <w:rPr>
          <w:rFonts w:ascii="Times New Roman" w:hAnsi="Times New Roman" w:cs="Times New Roman"/>
          <w:sz w:val="24"/>
          <w:szCs w:val="24"/>
        </w:rPr>
        <w:t xml:space="preserve">koplietošanas risinājuma </w:t>
      </w:r>
      <w:r w:rsidRPr="00674730" w:rsidR="003F1990">
        <w:rPr>
          <w:rFonts w:ascii="Times New Roman" w:hAnsi="Times New Roman" w:cs="Times New Roman"/>
          <w:sz w:val="24"/>
          <w:szCs w:val="24"/>
        </w:rPr>
        <w:t>ieviešanai un valsts</w:t>
      </w:r>
      <w:r w:rsidRPr="00674730" w:rsidR="00AD4681">
        <w:rPr>
          <w:rFonts w:ascii="Times New Roman" w:hAnsi="Times New Roman" w:cs="Times New Roman"/>
          <w:sz w:val="24"/>
          <w:szCs w:val="24"/>
        </w:rPr>
        <w:t xml:space="preserve"> un </w:t>
      </w:r>
      <w:r w:rsidRPr="00674730" w:rsidR="003F1990">
        <w:rPr>
          <w:rFonts w:ascii="Times New Roman" w:hAnsi="Times New Roman" w:cs="Times New Roman"/>
          <w:sz w:val="24"/>
          <w:szCs w:val="24"/>
        </w:rPr>
        <w:t xml:space="preserve">pašvaldību budžeta līdzekļi </w:t>
      </w:r>
      <w:r w:rsidRPr="00674730" w:rsidR="00BC1C53">
        <w:rPr>
          <w:rFonts w:ascii="Times New Roman" w:hAnsi="Times New Roman" w:cs="Times New Roman"/>
          <w:sz w:val="24"/>
          <w:szCs w:val="24"/>
        </w:rPr>
        <w:t xml:space="preserve">koplietošanas risinājuma </w:t>
      </w:r>
      <w:r w:rsidRPr="00674730" w:rsidR="003F1990">
        <w:rPr>
          <w:rFonts w:ascii="Times New Roman" w:hAnsi="Times New Roman" w:cs="Times New Roman"/>
          <w:sz w:val="24"/>
          <w:szCs w:val="24"/>
        </w:rPr>
        <w:t>uzturēšanai</w:t>
      </w:r>
      <w:r w:rsidRPr="00674730" w:rsidR="00AF0993">
        <w:rPr>
          <w:rFonts w:ascii="Times New Roman" w:hAnsi="Times New Roman" w:cs="Times New Roman"/>
          <w:sz w:val="24"/>
          <w:szCs w:val="24"/>
        </w:rPr>
        <w:t xml:space="preserve">. Plānoto projektu ir iespējams īstenot 2.2.1.1.pasākuma ietvaros, ja projekta iesniegums atbildīs 2.2.1.1.pasākuma projektu iesniegumu vērtēšanas kritērijiem un Ministru kabineta 2015.gada 17.novembra noteikumos Nr.653 “Darbības programmas “Izaugsme un nodarbinātība” 2.2.1. specifiskā atbalsta mērķa “Nodrošināt publisko datu </w:t>
      </w:r>
      <w:r w:rsidRPr="00674730" w:rsidR="00AF0993">
        <w:rPr>
          <w:rFonts w:ascii="Times New Roman" w:hAnsi="Times New Roman" w:cs="Times New Roman"/>
          <w:sz w:val="24"/>
          <w:szCs w:val="24"/>
        </w:rPr>
        <w:t>atkalizmantošanas</w:t>
      </w:r>
      <w:r w:rsidRPr="00674730" w:rsidR="00AF0993">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w:t>
      </w:r>
      <w:r w:rsidRPr="00674730" w:rsidR="00CE3915">
        <w:rPr>
          <w:rFonts w:ascii="Times New Roman" w:hAnsi="Times New Roman" w:cs="Times New Roman"/>
          <w:sz w:val="24"/>
          <w:szCs w:val="24"/>
        </w:rPr>
        <w:t>, VARAM īstenojamajā ERAF līdzfinansētajā projektā „Publiskās pārvaldes informācijas un komunikācijas tehnoloģiju arhitektūras pārvaldības sistēma, 2. kārta” (PIKTAPS 2. kārta)</w:t>
      </w:r>
      <w:r w:rsidRPr="00674730" w:rsidR="00AF0993">
        <w:rPr>
          <w:rFonts w:ascii="Times New Roman" w:hAnsi="Times New Roman" w:cs="Times New Roman"/>
          <w:sz w:val="24"/>
          <w:szCs w:val="24"/>
        </w:rPr>
        <w:t xml:space="preserve"> ietvertajiem nosacījumiem</w:t>
      </w:r>
      <w:r w:rsidRPr="00674730" w:rsidR="00A608A4">
        <w:rPr>
          <w:rFonts w:ascii="Times New Roman" w:hAnsi="Times New Roman" w:cs="Times New Roman"/>
          <w:sz w:val="24"/>
          <w:szCs w:val="24"/>
        </w:rPr>
        <w:t xml:space="preserve"> un plānotajam finansējuma apjomam</w:t>
      </w:r>
      <w:r w:rsidRPr="00674730" w:rsidR="00AF0993">
        <w:rPr>
          <w:rFonts w:ascii="Times New Roman" w:hAnsi="Times New Roman" w:cs="Times New Roman"/>
          <w:sz w:val="24"/>
          <w:szCs w:val="24"/>
        </w:rPr>
        <w:t>.</w:t>
      </w:r>
      <w:r w:rsidRPr="00674730" w:rsidR="00584195">
        <w:rPr>
          <w:rFonts w:ascii="Times New Roman" w:hAnsi="Times New Roman" w:cs="Times New Roman"/>
          <w:sz w:val="24"/>
          <w:szCs w:val="24"/>
        </w:rPr>
        <w:t xml:space="preserve"> </w:t>
      </w:r>
    </w:p>
    <w:p w:rsidR="00E03452" w:rsidRPr="00674730" w:rsidP="00482086" w14:paraId="7EB4A6BF" w14:textId="77777777">
      <w:pPr>
        <w:pStyle w:val="ListParagraph"/>
        <w:numPr>
          <w:ilvl w:val="0"/>
          <w:numId w:val="4"/>
        </w:numPr>
        <w:spacing w:after="0" w:line="276" w:lineRule="auto"/>
        <w:ind w:left="0" w:firstLine="720"/>
        <w:jc w:val="both"/>
        <w:rPr>
          <w:rFonts w:ascii="Times New Roman" w:hAnsi="Times New Roman" w:cs="Times New Roman"/>
          <w:sz w:val="24"/>
          <w:szCs w:val="24"/>
        </w:rPr>
      </w:pPr>
      <w:r w:rsidRPr="00674730">
        <w:rPr>
          <w:rFonts w:ascii="Times New Roman" w:hAnsi="Times New Roman" w:cs="Times New Roman"/>
          <w:sz w:val="24"/>
          <w:szCs w:val="24"/>
        </w:rPr>
        <w:t>k</w:t>
      </w:r>
      <w:r w:rsidRPr="00674730" w:rsidR="003F1990">
        <w:rPr>
          <w:rFonts w:ascii="Times New Roman" w:hAnsi="Times New Roman" w:cs="Times New Roman"/>
          <w:sz w:val="24"/>
          <w:szCs w:val="24"/>
        </w:rPr>
        <w:t xml:space="preserve">oplietošanas risinājumu ir iespējams realizēt publiskās un privātās partnerības </w:t>
      </w:r>
      <w:r w:rsidRPr="00674730" w:rsidR="00F16493">
        <w:rPr>
          <w:rFonts w:ascii="Times New Roman" w:hAnsi="Times New Roman" w:cs="Times New Roman"/>
          <w:sz w:val="24"/>
          <w:szCs w:val="24"/>
        </w:rPr>
        <w:t xml:space="preserve">(PPP) </w:t>
      </w:r>
      <w:r w:rsidRPr="00674730" w:rsidR="003F1990">
        <w:rPr>
          <w:rFonts w:ascii="Times New Roman" w:hAnsi="Times New Roman" w:cs="Times New Roman"/>
          <w:sz w:val="24"/>
          <w:szCs w:val="24"/>
        </w:rPr>
        <w:t>ietvaro</w:t>
      </w:r>
      <w:r w:rsidRPr="00674730" w:rsidR="00770F25">
        <w:rPr>
          <w:rFonts w:ascii="Times New Roman" w:hAnsi="Times New Roman" w:cs="Times New Roman"/>
          <w:sz w:val="24"/>
          <w:szCs w:val="24"/>
        </w:rPr>
        <w:t>s.</w:t>
      </w:r>
    </w:p>
    <w:p w:rsidR="0090563E" w:rsidRPr="00674730" w:rsidP="00631723" w14:paraId="736DF00F" w14:textId="77777777">
      <w:pPr>
        <w:pStyle w:val="ListParagraph"/>
        <w:spacing w:after="0" w:line="276" w:lineRule="auto"/>
        <w:jc w:val="right"/>
        <w:rPr>
          <w:rFonts w:ascii="Times New Roman" w:hAnsi="Times New Roman" w:cs="Times New Roman"/>
          <w:sz w:val="24"/>
          <w:szCs w:val="24"/>
        </w:rPr>
      </w:pPr>
      <w:r w:rsidRPr="00674730">
        <w:rPr>
          <w:rFonts w:ascii="Times New Roman" w:hAnsi="Times New Roman" w:cs="Times New Roman"/>
          <w:sz w:val="24"/>
          <w:szCs w:val="24"/>
        </w:rPr>
        <w:t>5</w:t>
      </w:r>
      <w:r w:rsidRPr="00674730">
        <w:rPr>
          <w:rFonts w:ascii="Times New Roman" w:hAnsi="Times New Roman" w:cs="Times New Roman"/>
          <w:sz w:val="24"/>
          <w:szCs w:val="24"/>
        </w:rPr>
        <w:t>.tabula</w:t>
      </w:r>
    </w:p>
    <w:p w:rsidR="003846EB" w:rsidRPr="00674730" w:rsidP="00631723" w14:paraId="5B9F6742" w14:textId="77777777">
      <w:pPr>
        <w:pStyle w:val="ListParagraph"/>
        <w:spacing w:after="0" w:line="276" w:lineRule="auto"/>
        <w:ind w:left="0"/>
        <w:jc w:val="center"/>
        <w:rPr>
          <w:rFonts w:ascii="Times New Roman" w:hAnsi="Times New Roman" w:cs="Times New Roman"/>
          <w:sz w:val="24"/>
          <w:szCs w:val="24"/>
        </w:rPr>
      </w:pPr>
      <w:r w:rsidRPr="00674730">
        <w:rPr>
          <w:rFonts w:ascii="Times New Roman" w:hAnsi="Times New Roman" w:cs="Times New Roman"/>
          <w:b/>
          <w:sz w:val="24"/>
          <w:szCs w:val="24"/>
        </w:rPr>
        <w:t>Koplietošanas risinājuma ieviešanas, uzturēšanas iespējamie finansēšanas modeļu salīdzinājums</w:t>
      </w:r>
    </w:p>
    <w:tbl>
      <w:tblPr>
        <w:tblStyle w:val="TableGrid"/>
        <w:tblW w:w="9498" w:type="dxa"/>
        <w:tblInd w:w="-147" w:type="dxa"/>
        <w:tblLook w:val="04A0"/>
      </w:tblPr>
      <w:tblGrid>
        <w:gridCol w:w="1560"/>
        <w:gridCol w:w="4111"/>
        <w:gridCol w:w="3827"/>
      </w:tblGrid>
      <w:tr w14:paraId="20B8BDEA" w14:textId="77777777" w:rsidTr="00D31203">
        <w:tblPrEx>
          <w:tblW w:w="9498" w:type="dxa"/>
          <w:tblInd w:w="-147" w:type="dxa"/>
          <w:tblLook w:val="04A0"/>
        </w:tblPrEx>
        <w:trPr>
          <w:trHeight w:val="442"/>
          <w:tblHeader/>
        </w:trPr>
        <w:tc>
          <w:tcPr>
            <w:tcW w:w="1560" w:type="dxa"/>
            <w:shd w:val="clear" w:color="auto" w:fill="D9D9D9" w:themeFill="background1" w:themeFillShade="D9"/>
          </w:tcPr>
          <w:p w:rsidR="00E03452" w:rsidRPr="00674730" w:rsidP="00631723" w14:paraId="0D4939E7" w14:textId="77777777">
            <w:pPr>
              <w:pStyle w:val="PAMATTEKSTS"/>
              <w:keepLines/>
              <w:spacing w:after="120" w:line="276" w:lineRule="auto"/>
              <w:ind w:firstLine="0"/>
              <w:jc w:val="center"/>
              <w:rPr>
                <w:szCs w:val="24"/>
                <w:lang w:val="lv-LV"/>
              </w:rPr>
            </w:pPr>
            <w:r w:rsidRPr="00674730">
              <w:rPr>
                <w:b/>
                <w:szCs w:val="24"/>
                <w:lang w:val="lv-LV"/>
              </w:rPr>
              <w:t>Finansējuma veids</w:t>
            </w:r>
          </w:p>
        </w:tc>
        <w:tc>
          <w:tcPr>
            <w:tcW w:w="4111" w:type="dxa"/>
            <w:shd w:val="clear" w:color="auto" w:fill="D9D9D9" w:themeFill="background1" w:themeFillShade="D9"/>
          </w:tcPr>
          <w:p w:rsidR="00E03452" w:rsidRPr="00674730" w:rsidP="00631723" w14:paraId="4D3F0E1C" w14:textId="77777777">
            <w:pPr>
              <w:pStyle w:val="PAMATTEKSTS"/>
              <w:keepLines/>
              <w:spacing w:after="120" w:line="276" w:lineRule="auto"/>
              <w:ind w:firstLine="0"/>
              <w:jc w:val="both"/>
              <w:rPr>
                <w:b/>
                <w:szCs w:val="24"/>
                <w:lang w:val="lv-LV"/>
              </w:rPr>
            </w:pPr>
            <w:r w:rsidRPr="00674730">
              <w:rPr>
                <w:b/>
                <w:szCs w:val="24"/>
                <w:lang w:val="lv-LV"/>
              </w:rPr>
              <w:t>Priekšrocības</w:t>
            </w:r>
          </w:p>
        </w:tc>
        <w:tc>
          <w:tcPr>
            <w:tcW w:w="3827" w:type="dxa"/>
            <w:shd w:val="clear" w:color="auto" w:fill="D9D9D9" w:themeFill="background1" w:themeFillShade="D9"/>
          </w:tcPr>
          <w:p w:rsidR="00E03452" w:rsidRPr="00674730" w:rsidP="00631723" w14:paraId="070D350C" w14:textId="77777777">
            <w:pPr>
              <w:pStyle w:val="PAMATTEKSTS"/>
              <w:keepLines/>
              <w:spacing w:after="120" w:line="276" w:lineRule="auto"/>
              <w:ind w:firstLine="0"/>
              <w:jc w:val="both"/>
              <w:rPr>
                <w:b/>
                <w:szCs w:val="24"/>
                <w:lang w:val="lv-LV"/>
              </w:rPr>
            </w:pPr>
            <w:r w:rsidRPr="00674730">
              <w:rPr>
                <w:b/>
                <w:szCs w:val="24"/>
                <w:lang w:val="lv-LV"/>
              </w:rPr>
              <w:t>Trūkumi</w:t>
            </w:r>
          </w:p>
        </w:tc>
      </w:tr>
      <w:tr w14:paraId="15F95F44" w14:textId="77777777" w:rsidTr="00D31203">
        <w:tblPrEx>
          <w:tblW w:w="9498" w:type="dxa"/>
          <w:tblInd w:w="-147" w:type="dxa"/>
          <w:tblLook w:val="04A0"/>
        </w:tblPrEx>
        <w:trPr>
          <w:trHeight w:val="442"/>
        </w:trPr>
        <w:tc>
          <w:tcPr>
            <w:tcW w:w="1560" w:type="dxa"/>
          </w:tcPr>
          <w:p w:rsidR="00E03452" w:rsidRPr="00674730" w:rsidP="00631723" w14:paraId="6A5A8875" w14:textId="77777777">
            <w:pPr>
              <w:pStyle w:val="PAMATTEKSTS"/>
              <w:keepLines/>
              <w:spacing w:after="120" w:line="276" w:lineRule="auto"/>
              <w:ind w:firstLine="0"/>
              <w:jc w:val="both"/>
              <w:rPr>
                <w:b/>
                <w:szCs w:val="24"/>
                <w:lang w:val="lv-LV"/>
              </w:rPr>
            </w:pPr>
            <w:r w:rsidRPr="00674730">
              <w:rPr>
                <w:b/>
                <w:szCs w:val="24"/>
                <w:lang w:val="lv-LV"/>
              </w:rPr>
              <w:t>ERAF projekts</w:t>
            </w:r>
          </w:p>
        </w:tc>
        <w:tc>
          <w:tcPr>
            <w:tcW w:w="4111" w:type="dxa"/>
          </w:tcPr>
          <w:p w:rsidR="00E03452" w:rsidRPr="00674730" w:rsidP="00631723" w14:paraId="2E31D12A" w14:textId="77777777">
            <w:pPr>
              <w:pStyle w:val="ListParagraph"/>
              <w:tabs>
                <w:tab w:val="left" w:pos="1134"/>
                <w:tab w:val="left" w:pos="2127"/>
                <w:tab w:val="left" w:pos="6096"/>
              </w:tabs>
              <w:spacing w:line="276" w:lineRule="auto"/>
              <w:ind w:left="0" w:firstLine="33"/>
              <w:jc w:val="both"/>
              <w:rPr>
                <w:sz w:val="24"/>
                <w:szCs w:val="24"/>
              </w:rPr>
            </w:pPr>
            <w:r w:rsidRPr="00674730">
              <w:rPr>
                <w:sz w:val="24"/>
                <w:szCs w:val="24"/>
              </w:rPr>
              <w:t xml:space="preserve">- atbilstošākais </w:t>
            </w:r>
            <w:r w:rsidRPr="00674730" w:rsidR="00BD2D1D">
              <w:rPr>
                <w:sz w:val="24"/>
                <w:szCs w:val="24"/>
              </w:rPr>
              <w:t>risinājuma</w:t>
            </w:r>
            <w:r w:rsidRPr="00674730">
              <w:rPr>
                <w:sz w:val="24"/>
                <w:szCs w:val="24"/>
              </w:rPr>
              <w:t xml:space="preserve"> turētājs, ja </w:t>
            </w:r>
            <w:r w:rsidRPr="00674730" w:rsidR="00BD2D1D">
              <w:rPr>
                <w:sz w:val="24"/>
                <w:szCs w:val="24"/>
              </w:rPr>
              <w:t xml:space="preserve">risinājums tiek ieviests dažādās </w:t>
            </w:r>
            <w:r w:rsidRPr="00674730">
              <w:rPr>
                <w:sz w:val="24"/>
                <w:szCs w:val="24"/>
              </w:rPr>
              <w:t>nozarēs;</w:t>
            </w:r>
          </w:p>
          <w:p w:rsidR="00E03452" w:rsidRPr="00674730" w:rsidP="00631723" w14:paraId="4831F7DF" w14:textId="77777777">
            <w:pPr>
              <w:pStyle w:val="ListParagraph"/>
              <w:tabs>
                <w:tab w:val="left" w:pos="1134"/>
                <w:tab w:val="left" w:pos="2127"/>
                <w:tab w:val="left" w:pos="6096"/>
              </w:tabs>
              <w:spacing w:line="276" w:lineRule="auto"/>
              <w:ind w:left="0" w:firstLine="33"/>
              <w:jc w:val="both"/>
              <w:rPr>
                <w:sz w:val="24"/>
                <w:szCs w:val="24"/>
              </w:rPr>
            </w:pPr>
            <w:r w:rsidRPr="00674730">
              <w:rPr>
                <w:sz w:val="24"/>
                <w:szCs w:val="24"/>
              </w:rPr>
              <w:t xml:space="preserve">- VIS turētājiem </w:t>
            </w:r>
            <w:r w:rsidRPr="00674730">
              <w:rPr>
                <w:sz w:val="24"/>
                <w:szCs w:val="24"/>
              </w:rPr>
              <w:t>nav jāpielāgo savas informācijas sistēmas datu saņemšanai no trešās personas (starpnieka);</w:t>
            </w:r>
          </w:p>
          <w:p w:rsidR="00E03452" w:rsidRPr="00674730" w:rsidP="00631723" w14:paraId="3FFF0805" w14:textId="77777777">
            <w:pPr>
              <w:pStyle w:val="ListParagraph"/>
              <w:tabs>
                <w:tab w:val="left" w:pos="1134"/>
                <w:tab w:val="left" w:pos="2127"/>
                <w:tab w:val="left" w:pos="6096"/>
              </w:tabs>
              <w:spacing w:line="276" w:lineRule="auto"/>
              <w:ind w:left="0"/>
              <w:jc w:val="both"/>
              <w:rPr>
                <w:sz w:val="24"/>
                <w:szCs w:val="24"/>
              </w:rPr>
            </w:pPr>
            <w:r w:rsidRPr="00674730">
              <w:rPr>
                <w:sz w:val="24"/>
                <w:szCs w:val="24"/>
              </w:rPr>
              <w:t>- lielāka uzticamība personas datu apstrādē, jo konfidencialitātes jautājumi ir atrunāti normatīvajos aktos;</w:t>
            </w:r>
          </w:p>
          <w:p w:rsidR="00E03452" w:rsidRPr="00674730" w:rsidP="00631723" w14:paraId="35E371C6" w14:textId="77777777">
            <w:pPr>
              <w:pStyle w:val="ListParagraph"/>
              <w:tabs>
                <w:tab w:val="left" w:pos="1134"/>
                <w:tab w:val="left" w:pos="2127"/>
                <w:tab w:val="left" w:pos="6096"/>
              </w:tabs>
              <w:spacing w:line="276" w:lineRule="auto"/>
              <w:ind w:left="0"/>
              <w:jc w:val="both"/>
              <w:rPr>
                <w:sz w:val="24"/>
                <w:szCs w:val="24"/>
              </w:rPr>
            </w:pPr>
            <w:r w:rsidRPr="00674730">
              <w:rPr>
                <w:sz w:val="24"/>
                <w:szCs w:val="24"/>
              </w:rPr>
              <w:t>- informācijas iegūšanas un apmaiņas process starp valsts iestādēm ir bezmaksas un vairākumā gadījumu iestādēm jau ir noslēgti savstarpēji līgumi par datu izmantošanu normatīvajos aktos noteikto funkciju izpildei, kas būtu tikai jāpapildina;</w:t>
            </w:r>
          </w:p>
          <w:p w:rsidR="00E03452" w:rsidRPr="00674730" w:rsidP="00631723" w14:paraId="7190771E" w14:textId="77777777">
            <w:pPr>
              <w:pStyle w:val="ListParagraph"/>
              <w:tabs>
                <w:tab w:val="left" w:pos="1134"/>
                <w:tab w:val="left" w:pos="2127"/>
                <w:tab w:val="left" w:pos="6096"/>
              </w:tabs>
              <w:spacing w:line="276" w:lineRule="auto"/>
              <w:ind w:left="0"/>
              <w:jc w:val="both"/>
              <w:rPr>
                <w:b/>
                <w:sz w:val="24"/>
                <w:szCs w:val="24"/>
              </w:rPr>
            </w:pPr>
            <w:r w:rsidRPr="00674730">
              <w:rPr>
                <w:sz w:val="24"/>
                <w:szCs w:val="24"/>
              </w:rPr>
              <w:t>- lielāka uzticamība datu patiesumam un korektumam.</w:t>
            </w:r>
          </w:p>
        </w:tc>
        <w:tc>
          <w:tcPr>
            <w:tcW w:w="3827" w:type="dxa"/>
          </w:tcPr>
          <w:p w:rsidR="00E03452" w:rsidRPr="00674730" w:rsidP="00631723" w14:paraId="4E36B0F5" w14:textId="77777777">
            <w:pPr>
              <w:pStyle w:val="ListParagraph"/>
              <w:tabs>
                <w:tab w:val="left" w:pos="720"/>
                <w:tab w:val="left" w:pos="851"/>
                <w:tab w:val="left" w:pos="1276"/>
                <w:tab w:val="left" w:pos="2127"/>
                <w:tab w:val="left" w:pos="6096"/>
              </w:tabs>
              <w:spacing w:line="276" w:lineRule="auto"/>
              <w:ind w:left="0"/>
              <w:jc w:val="both"/>
              <w:rPr>
                <w:sz w:val="24"/>
                <w:szCs w:val="24"/>
              </w:rPr>
            </w:pPr>
            <w:r w:rsidRPr="00674730">
              <w:rPr>
                <w:sz w:val="24"/>
                <w:szCs w:val="24"/>
              </w:rPr>
              <w:t>- riski ar publisko līdzekļu pieejamību sistēmas turpmākai pilnveidošanai;</w:t>
            </w:r>
          </w:p>
          <w:p w:rsidR="00E03452" w:rsidRPr="00674730" w:rsidP="00631723" w14:paraId="232F98F9"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izmaiņu veikšana sistēmā ir sarežģīts un darbietilpīgs process;</w:t>
            </w:r>
          </w:p>
          <w:p w:rsidR="001D6021" w:rsidRPr="00674730" w:rsidP="00631723" w14:paraId="68492287" w14:textId="1E209539">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papildus finansējuma nepieciešamības riski.</w:t>
            </w:r>
          </w:p>
          <w:p w:rsidR="001D6021" w:rsidRPr="00674730" w:rsidP="00631723" w14:paraId="7A190650" w14:textId="77777777">
            <w:pPr>
              <w:pStyle w:val="ListParagraph"/>
              <w:tabs>
                <w:tab w:val="left" w:pos="720"/>
                <w:tab w:val="left" w:pos="1276"/>
                <w:tab w:val="left" w:pos="2127"/>
                <w:tab w:val="left" w:pos="6096"/>
              </w:tabs>
              <w:spacing w:line="276" w:lineRule="auto"/>
              <w:ind w:left="0"/>
              <w:jc w:val="both"/>
              <w:rPr>
                <w:sz w:val="24"/>
                <w:szCs w:val="24"/>
              </w:rPr>
            </w:pPr>
          </w:p>
          <w:p w:rsidR="00E03452" w:rsidRPr="00674730" w:rsidP="00631723" w14:paraId="740C467F" w14:textId="77777777">
            <w:pPr>
              <w:pStyle w:val="ListParagraph"/>
              <w:tabs>
                <w:tab w:val="left" w:pos="720"/>
                <w:tab w:val="left" w:pos="1276"/>
                <w:tab w:val="left" w:pos="2127"/>
                <w:tab w:val="left" w:pos="6096"/>
              </w:tabs>
              <w:spacing w:line="276" w:lineRule="auto"/>
              <w:ind w:left="0"/>
              <w:jc w:val="both"/>
              <w:rPr>
                <w:sz w:val="24"/>
                <w:szCs w:val="24"/>
              </w:rPr>
            </w:pPr>
          </w:p>
        </w:tc>
      </w:tr>
      <w:tr w14:paraId="4465DD9E" w14:textId="77777777" w:rsidTr="00D31203">
        <w:tblPrEx>
          <w:tblW w:w="9498" w:type="dxa"/>
          <w:tblInd w:w="-147" w:type="dxa"/>
          <w:tblLook w:val="04A0"/>
        </w:tblPrEx>
        <w:trPr>
          <w:trHeight w:val="442"/>
        </w:trPr>
        <w:tc>
          <w:tcPr>
            <w:tcW w:w="1560" w:type="dxa"/>
          </w:tcPr>
          <w:p w:rsidR="00E03452" w:rsidRPr="00674730" w:rsidP="00631723" w14:paraId="1AC86130" w14:textId="77777777">
            <w:pPr>
              <w:pStyle w:val="PAMATTEKSTS"/>
              <w:keepLines/>
              <w:spacing w:after="120" w:line="276" w:lineRule="auto"/>
              <w:ind w:firstLine="0"/>
              <w:jc w:val="both"/>
              <w:rPr>
                <w:b/>
                <w:szCs w:val="24"/>
                <w:lang w:val="lv-LV"/>
              </w:rPr>
            </w:pPr>
            <w:r w:rsidRPr="00674730">
              <w:rPr>
                <w:b/>
                <w:szCs w:val="24"/>
                <w:lang w:val="lv-LV"/>
              </w:rPr>
              <w:t>PPP</w:t>
            </w:r>
          </w:p>
        </w:tc>
        <w:tc>
          <w:tcPr>
            <w:tcW w:w="4111" w:type="dxa"/>
          </w:tcPr>
          <w:p w:rsidR="00E03452" w:rsidRPr="00674730" w:rsidP="00631723" w14:paraId="14452BBB" w14:textId="77777777">
            <w:pPr>
              <w:tabs>
                <w:tab w:val="left" w:pos="720"/>
                <w:tab w:val="left" w:pos="1276"/>
                <w:tab w:val="left" w:pos="2127"/>
                <w:tab w:val="left" w:pos="6096"/>
              </w:tabs>
              <w:spacing w:line="276" w:lineRule="auto"/>
              <w:jc w:val="both"/>
              <w:rPr>
                <w:sz w:val="24"/>
                <w:szCs w:val="24"/>
              </w:rPr>
            </w:pPr>
            <w:r w:rsidRPr="00674730">
              <w:rPr>
                <w:sz w:val="24"/>
                <w:szCs w:val="24"/>
              </w:rPr>
              <w:t>- ātras pielāgošanās spējas;</w:t>
            </w:r>
          </w:p>
          <w:p w:rsidR="00E03452" w:rsidRPr="00674730" w:rsidP="00631723" w14:paraId="3CAB6EBD" w14:textId="77777777">
            <w:pPr>
              <w:tabs>
                <w:tab w:val="left" w:pos="720"/>
                <w:tab w:val="left" w:pos="1276"/>
                <w:tab w:val="left" w:pos="2127"/>
                <w:tab w:val="left" w:pos="6096"/>
              </w:tabs>
              <w:spacing w:line="276" w:lineRule="auto"/>
              <w:jc w:val="both"/>
              <w:rPr>
                <w:sz w:val="24"/>
                <w:szCs w:val="24"/>
              </w:rPr>
            </w:pPr>
            <w:r w:rsidRPr="00674730">
              <w:rPr>
                <w:sz w:val="24"/>
                <w:szCs w:val="24"/>
              </w:rPr>
              <w:t xml:space="preserve">- elastīgāka pieeja funkcionālākā un efektīvākā risinājuma ieviešanā, nav ierobežots ar publiskā iepirkuma procedūru; </w:t>
            </w:r>
          </w:p>
        </w:tc>
        <w:tc>
          <w:tcPr>
            <w:tcW w:w="3827" w:type="dxa"/>
          </w:tcPr>
          <w:p w:rsidR="00E03452" w:rsidRPr="00674730" w:rsidP="00631723" w14:paraId="17C41F48"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xml:space="preserve">- </w:t>
            </w:r>
            <w:r w:rsidRPr="00674730" w:rsidR="003026C1">
              <w:rPr>
                <w:sz w:val="24"/>
                <w:szCs w:val="24"/>
              </w:rPr>
              <w:t xml:space="preserve">personu </w:t>
            </w:r>
            <w:r w:rsidRPr="00674730">
              <w:rPr>
                <w:sz w:val="24"/>
                <w:szCs w:val="24"/>
              </w:rPr>
              <w:t>datu aizsardzības un neaizskaramības jautājumi;</w:t>
            </w:r>
          </w:p>
          <w:p w:rsidR="00E03452" w:rsidRPr="00674730" w:rsidP="00631723" w14:paraId="59F0BFBB"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datu ticamības nodrošināšana;</w:t>
            </w:r>
          </w:p>
          <w:p w:rsidR="00E03452" w:rsidRPr="00674730" w:rsidP="00631723" w14:paraId="03F85A14"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komercinformācijas izpaušanas risks;</w:t>
            </w:r>
          </w:p>
          <w:p w:rsidR="00E03452" w:rsidRPr="00674730" w:rsidP="00631723" w14:paraId="69A46F61"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maksātnespējas pastāvēšanas risks;</w:t>
            </w:r>
          </w:p>
          <w:p w:rsidR="00E03452" w:rsidRPr="00674730" w:rsidP="00631723" w14:paraId="6451CC54"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papildus resursu nepieciešamība valsts pusē deleģētās funkcijas uzraudzībai;</w:t>
            </w:r>
          </w:p>
          <w:p w:rsidR="00E03452" w:rsidRPr="00674730" w:rsidP="00631723" w14:paraId="3118A887"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w:t>
            </w:r>
            <w:r w:rsidRPr="00674730">
              <w:rPr>
                <w:sz w:val="24"/>
                <w:szCs w:val="24"/>
              </w:rPr>
              <w:t xml:space="preserve"> papildus finansējuma nepieciešamības riski;</w:t>
            </w:r>
          </w:p>
          <w:p w:rsidR="00E03452" w:rsidRPr="00674730" w:rsidP="00631723" w14:paraId="1A06201B"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papildus nepieciešami resursi valsts informācijas sistēmu pusē, datu izmantošanai un analīzes veikšanai;</w:t>
            </w:r>
          </w:p>
          <w:p w:rsidR="00E03452" w:rsidRPr="00674730" w:rsidP="00631723" w14:paraId="780A7636" w14:textId="77777777">
            <w:pPr>
              <w:pStyle w:val="ListParagraph"/>
              <w:tabs>
                <w:tab w:val="left" w:pos="720"/>
                <w:tab w:val="left" w:pos="1276"/>
                <w:tab w:val="left" w:pos="2127"/>
                <w:tab w:val="left" w:pos="6096"/>
              </w:tabs>
              <w:spacing w:line="276" w:lineRule="auto"/>
              <w:ind w:left="0"/>
              <w:jc w:val="both"/>
              <w:rPr>
                <w:sz w:val="24"/>
                <w:szCs w:val="24"/>
              </w:rPr>
            </w:pPr>
            <w:r w:rsidRPr="00674730">
              <w:rPr>
                <w:sz w:val="24"/>
                <w:szCs w:val="24"/>
              </w:rPr>
              <w:t>- jābūt kontroles mehānismam par darbībām ar datiem.</w:t>
            </w:r>
          </w:p>
        </w:tc>
      </w:tr>
    </w:tbl>
    <w:p w:rsidR="00E03452" w:rsidRPr="00674730" w:rsidP="00631723" w14:paraId="12F3D4BC" w14:textId="77777777">
      <w:pPr>
        <w:spacing w:after="0" w:line="276" w:lineRule="auto"/>
        <w:jc w:val="both"/>
        <w:rPr>
          <w:rFonts w:ascii="Times New Roman" w:hAnsi="Times New Roman" w:cs="Times New Roman"/>
          <w:sz w:val="24"/>
          <w:szCs w:val="24"/>
        </w:rPr>
      </w:pPr>
    </w:p>
    <w:p w:rsidR="00BD2D1D" w:rsidRPr="00674730" w:rsidP="00631723" w14:paraId="2F34FE13" w14:textId="46537731">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Ņemot vērā norādīto risku analīzi, jādod priekšroka pirmajam risi</w:t>
      </w:r>
      <w:r w:rsidRPr="00674730" w:rsidR="00F660A3">
        <w:rPr>
          <w:rFonts w:ascii="Times New Roman" w:hAnsi="Times New Roman" w:cs="Times New Roman"/>
          <w:sz w:val="24"/>
          <w:szCs w:val="24"/>
        </w:rPr>
        <w:t xml:space="preserve">nājuma izstrādes </w:t>
      </w:r>
      <w:r w:rsidRPr="00674730" w:rsidR="00BC1C53">
        <w:rPr>
          <w:rFonts w:ascii="Times New Roman" w:hAnsi="Times New Roman" w:cs="Times New Roman"/>
          <w:sz w:val="24"/>
          <w:szCs w:val="24"/>
        </w:rPr>
        <w:t xml:space="preserve">finansēšanas </w:t>
      </w:r>
      <w:r w:rsidRPr="00674730" w:rsidR="00293EB4">
        <w:rPr>
          <w:rFonts w:ascii="Times New Roman" w:hAnsi="Times New Roman" w:cs="Times New Roman"/>
          <w:sz w:val="24"/>
          <w:szCs w:val="24"/>
        </w:rPr>
        <w:t>modelim</w:t>
      </w:r>
      <w:r w:rsidRPr="00674730" w:rsidR="005C627C">
        <w:rPr>
          <w:rFonts w:ascii="Times New Roman" w:hAnsi="Times New Roman" w:cs="Times New Roman"/>
          <w:sz w:val="24"/>
          <w:szCs w:val="24"/>
        </w:rPr>
        <w:t>.</w:t>
      </w:r>
    </w:p>
    <w:p w:rsidR="00E00B8C" w:rsidRPr="00674730" w:rsidP="00E00B8C" w14:paraId="1F03E736" w14:textId="77777777">
      <w:pPr>
        <w:spacing w:after="0" w:line="276" w:lineRule="auto"/>
        <w:ind w:firstLine="720"/>
        <w:jc w:val="both"/>
        <w:rPr>
          <w:rFonts w:ascii="Times New Roman" w:eastAsia="Calibri" w:hAnsi="Times New Roman" w:cs="Times New Roman"/>
          <w:sz w:val="24"/>
          <w:szCs w:val="24"/>
        </w:rPr>
      </w:pPr>
      <w:r w:rsidRPr="00674730">
        <w:rPr>
          <w:rFonts w:ascii="Times New Roman" w:hAnsi="Times New Roman" w:cs="Times New Roman"/>
          <w:sz w:val="24"/>
          <w:szCs w:val="24"/>
        </w:rPr>
        <w:t xml:space="preserve">Koplietošanas </w:t>
      </w:r>
      <w:r w:rsidRPr="00674730">
        <w:rPr>
          <w:rFonts w:ascii="Times New Roman" w:eastAsia="Calibri" w:hAnsi="Times New Roman" w:cs="Times New Roman"/>
          <w:sz w:val="24"/>
          <w:szCs w:val="24"/>
        </w:rPr>
        <w:t xml:space="preserve">risinājuma ieviešanai nepieciešamās uzturēšanas izmaksas tiks atkārtoti vērtētas 2018.gadā, kad tiks pieņemts lēmums, vai risinājumu iespējams īstenot Darbības programmas "Izaugsme un nodarbinātība" 2.2.1.specifiskā atbalsta mērķa "Nodrošināt publisko datu </w:t>
      </w:r>
      <w:r w:rsidRPr="00674730">
        <w:rPr>
          <w:rFonts w:ascii="Times New Roman" w:eastAsia="Calibri" w:hAnsi="Times New Roman" w:cs="Times New Roman"/>
          <w:sz w:val="24"/>
          <w:szCs w:val="24"/>
        </w:rPr>
        <w:t>atkalizmantošanas</w:t>
      </w:r>
      <w:r w:rsidRPr="00674730">
        <w:rPr>
          <w:rFonts w:ascii="Times New Roman" w:eastAsia="Calibri"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VARAM īstenojamajā ERAF līdzfinansētajā projektā „Publiskās pārvaldes informācijas un komunikācijas tehnoloģiju arhitektūras pārvaldības sistēma, 2. kārta” (PIKTAPS 2. kārta).</w:t>
      </w:r>
    </w:p>
    <w:p w:rsidR="00E00B8C" w:rsidRPr="00674730" w:rsidP="00E00B8C" w14:paraId="73C9C0F4" w14:textId="77777777">
      <w:pPr>
        <w:spacing w:after="0" w:line="276" w:lineRule="auto"/>
        <w:ind w:firstLine="720"/>
        <w:jc w:val="right"/>
        <w:rPr>
          <w:rFonts w:ascii="Times New Roman" w:eastAsia="Calibri" w:hAnsi="Times New Roman" w:cs="Times New Roman"/>
        </w:rPr>
      </w:pPr>
    </w:p>
    <w:p w:rsidR="0090563E" w:rsidRPr="00674730" w:rsidP="00E00B8C" w14:paraId="1DFC55A4" w14:textId="77777777">
      <w:pPr>
        <w:spacing w:after="0" w:line="276" w:lineRule="auto"/>
        <w:ind w:firstLine="720"/>
        <w:jc w:val="right"/>
        <w:rPr>
          <w:rFonts w:ascii="Times New Roman" w:hAnsi="Times New Roman" w:cs="Times New Roman"/>
          <w:sz w:val="24"/>
          <w:szCs w:val="24"/>
        </w:rPr>
      </w:pPr>
      <w:r w:rsidRPr="00674730">
        <w:rPr>
          <w:rFonts w:ascii="Times New Roman" w:hAnsi="Times New Roman" w:cs="Times New Roman"/>
          <w:sz w:val="24"/>
          <w:szCs w:val="24"/>
        </w:rPr>
        <w:t>6</w:t>
      </w:r>
      <w:r w:rsidRPr="00674730">
        <w:rPr>
          <w:rFonts w:ascii="Times New Roman" w:hAnsi="Times New Roman" w:cs="Times New Roman"/>
          <w:sz w:val="24"/>
          <w:szCs w:val="24"/>
        </w:rPr>
        <w:t>.tabula</w:t>
      </w:r>
    </w:p>
    <w:p w:rsidR="00527268" w:rsidRPr="00674730" w:rsidP="00631723" w14:paraId="746E37F0" w14:textId="749870B1">
      <w:pPr>
        <w:spacing w:after="0" w:line="276" w:lineRule="auto"/>
        <w:contextualSpacing/>
        <w:jc w:val="center"/>
        <w:rPr>
          <w:rStyle w:val="FontStyle60"/>
          <w:rFonts w:eastAsiaTheme="minorEastAsia"/>
          <w:b/>
          <w:sz w:val="24"/>
          <w:szCs w:val="24"/>
          <w:lang w:eastAsia="lv-LV" w:bidi="lo-LA"/>
        </w:rPr>
      </w:pPr>
      <w:r w:rsidRPr="00674730">
        <w:rPr>
          <w:rFonts w:ascii="Times New Roman" w:hAnsi="Times New Roman" w:cs="Times New Roman"/>
          <w:b/>
          <w:sz w:val="24"/>
          <w:szCs w:val="24"/>
        </w:rPr>
        <w:t xml:space="preserve">Provizoriskais </w:t>
      </w:r>
      <w:r w:rsidRPr="00674730">
        <w:rPr>
          <w:rStyle w:val="FontStyle60"/>
          <w:rFonts w:eastAsiaTheme="minorEastAsia"/>
          <w:b/>
          <w:sz w:val="24"/>
          <w:szCs w:val="24"/>
          <w:lang w:eastAsia="lv-LV" w:bidi="lo-LA"/>
        </w:rPr>
        <w:t>Atvieglojumu uzskaites koplietošanas risinājuma ieviešan</w:t>
      </w:r>
      <w:r w:rsidRPr="00674730" w:rsidR="00484F71">
        <w:rPr>
          <w:rStyle w:val="FontStyle60"/>
          <w:rFonts w:eastAsiaTheme="minorEastAsia"/>
          <w:b/>
          <w:sz w:val="24"/>
          <w:szCs w:val="24"/>
          <w:lang w:eastAsia="lv-LV" w:bidi="lo-LA"/>
        </w:rPr>
        <w:t>as laika grafiks</w:t>
      </w:r>
      <w:r w:rsidRPr="00674730">
        <w:rPr>
          <w:rStyle w:val="FontStyle60"/>
          <w:rFonts w:eastAsiaTheme="minorEastAsia"/>
          <w:b/>
          <w:sz w:val="24"/>
          <w:szCs w:val="24"/>
          <w:lang w:eastAsia="lv-LV" w:bidi="lo-LA"/>
        </w:rPr>
        <w:t xml:space="preserve"> valsts un pašvaldību atvieglojumu administrēšanai</w:t>
      </w:r>
      <w:r w:rsidRPr="00674730" w:rsidR="007055D3">
        <w:rPr>
          <w:rStyle w:val="FontStyle60"/>
          <w:rFonts w:eastAsiaTheme="minorEastAsia"/>
          <w:b/>
          <w:sz w:val="24"/>
          <w:szCs w:val="24"/>
          <w:lang w:eastAsia="lv-LV" w:bidi="lo-LA"/>
        </w:rPr>
        <w:t xml:space="preserve">, </w:t>
      </w:r>
      <w:r w:rsidRPr="00674730" w:rsidR="007055D3">
        <w:rPr>
          <w:rFonts w:ascii="Times New Roman" w:hAnsi="Times New Roman" w:cs="Times New Roman"/>
          <w:b/>
          <w:sz w:val="24"/>
          <w:szCs w:val="24"/>
        </w:rPr>
        <w:t>sākot no atbilstoša normatīvā regulējuma spēkā stāšanās datuma</w:t>
      </w:r>
    </w:p>
    <w:p w:rsidR="00527268" w:rsidRPr="00674730" w:rsidP="00631723" w14:paraId="4364D757" w14:textId="77777777">
      <w:pPr>
        <w:spacing w:after="0" w:line="276" w:lineRule="auto"/>
        <w:contextualSpacing/>
        <w:jc w:val="center"/>
        <w:rPr>
          <w:rStyle w:val="FontStyle60"/>
          <w:rFonts w:eastAsiaTheme="minorEastAsia"/>
          <w:sz w:val="24"/>
          <w:szCs w:val="24"/>
          <w:lang w:eastAsia="lv-LV" w:bidi="lo-LA"/>
        </w:rPr>
      </w:pPr>
    </w:p>
    <w:tbl>
      <w:tblPr>
        <w:tblStyle w:val="TableGrid"/>
        <w:tblW w:w="0" w:type="auto"/>
        <w:tblLook w:val="04A0"/>
      </w:tblPr>
      <w:tblGrid>
        <w:gridCol w:w="7933"/>
        <w:gridCol w:w="1411"/>
      </w:tblGrid>
      <w:tr w14:paraId="32DFD223" w14:textId="77777777" w:rsidTr="0057204C">
        <w:tblPrEx>
          <w:tblW w:w="0" w:type="auto"/>
          <w:tblLook w:val="04A0"/>
        </w:tblPrEx>
        <w:tc>
          <w:tcPr>
            <w:tcW w:w="7933" w:type="dxa"/>
            <w:shd w:val="clear" w:color="auto" w:fill="D9D9D9" w:themeFill="background1" w:themeFillShade="D9"/>
          </w:tcPr>
          <w:p w:rsidR="00527268" w:rsidRPr="00674730" w:rsidP="00631723" w14:paraId="0EA606D7" w14:textId="77777777">
            <w:pPr>
              <w:spacing w:line="276" w:lineRule="auto"/>
              <w:contextualSpacing/>
              <w:jc w:val="center"/>
              <w:rPr>
                <w:b/>
                <w:sz w:val="24"/>
                <w:szCs w:val="24"/>
              </w:rPr>
            </w:pPr>
            <w:r w:rsidRPr="00674730">
              <w:rPr>
                <w:b/>
                <w:sz w:val="24"/>
                <w:szCs w:val="24"/>
              </w:rPr>
              <w:t>Ieviešanas posms</w:t>
            </w:r>
          </w:p>
        </w:tc>
        <w:tc>
          <w:tcPr>
            <w:tcW w:w="1411" w:type="dxa"/>
            <w:shd w:val="clear" w:color="auto" w:fill="D9D9D9" w:themeFill="background1" w:themeFillShade="D9"/>
          </w:tcPr>
          <w:p w:rsidR="00527268" w:rsidRPr="00674730" w:rsidP="00631723" w14:paraId="12611E9B" w14:textId="77777777">
            <w:pPr>
              <w:spacing w:line="276" w:lineRule="auto"/>
              <w:contextualSpacing/>
              <w:jc w:val="center"/>
              <w:rPr>
                <w:b/>
                <w:sz w:val="24"/>
                <w:szCs w:val="24"/>
              </w:rPr>
            </w:pPr>
            <w:r w:rsidRPr="00674730">
              <w:rPr>
                <w:b/>
                <w:sz w:val="24"/>
                <w:szCs w:val="24"/>
              </w:rPr>
              <w:t>Termiņš</w:t>
            </w:r>
            <w:r w:rsidRPr="00674730" w:rsidR="00F1575F">
              <w:rPr>
                <w:b/>
                <w:sz w:val="24"/>
                <w:szCs w:val="24"/>
              </w:rPr>
              <w:t>*</w:t>
            </w:r>
            <w:r w:rsidRPr="00674730">
              <w:rPr>
                <w:b/>
                <w:sz w:val="24"/>
                <w:szCs w:val="24"/>
              </w:rPr>
              <w:t xml:space="preserve"> </w:t>
            </w:r>
          </w:p>
        </w:tc>
      </w:tr>
      <w:tr w14:paraId="5B1392D3" w14:textId="77777777" w:rsidTr="0090563E">
        <w:tblPrEx>
          <w:tblW w:w="0" w:type="auto"/>
          <w:tblLook w:val="04A0"/>
        </w:tblPrEx>
        <w:trPr>
          <w:trHeight w:val="650"/>
        </w:trPr>
        <w:tc>
          <w:tcPr>
            <w:tcW w:w="7933" w:type="dxa"/>
          </w:tcPr>
          <w:p w:rsidR="0090563E" w:rsidRPr="00674730" w:rsidP="00482086" w14:paraId="4F8D5A89" w14:textId="77777777">
            <w:pPr>
              <w:pStyle w:val="ListParagraph"/>
              <w:numPr>
                <w:ilvl w:val="0"/>
                <w:numId w:val="10"/>
              </w:numPr>
              <w:spacing w:line="276" w:lineRule="auto"/>
              <w:ind w:left="454"/>
              <w:rPr>
                <w:sz w:val="24"/>
                <w:szCs w:val="24"/>
              </w:rPr>
            </w:pPr>
            <w:r w:rsidRPr="00674730">
              <w:rPr>
                <w:rStyle w:val="FontStyle60"/>
                <w:rFonts w:eastAsiaTheme="minorEastAsia"/>
                <w:sz w:val="24"/>
                <w:szCs w:val="24"/>
                <w:lang w:eastAsia="lv-LV"/>
              </w:rPr>
              <w:t>Tehniskās specifikācijas izstrāde un iepirkuma dokumentācijas izstrāde atvieglojumu uzskaites risinājuma izstrādei</w:t>
            </w:r>
          </w:p>
        </w:tc>
        <w:tc>
          <w:tcPr>
            <w:tcW w:w="1411" w:type="dxa"/>
          </w:tcPr>
          <w:p w:rsidR="0090563E" w:rsidRPr="00674730" w:rsidP="00631723" w14:paraId="7CD72118" w14:textId="77777777">
            <w:pPr>
              <w:spacing w:line="276" w:lineRule="auto"/>
              <w:contextualSpacing/>
              <w:jc w:val="center"/>
              <w:rPr>
                <w:sz w:val="24"/>
                <w:szCs w:val="24"/>
              </w:rPr>
            </w:pPr>
          </w:p>
          <w:p w:rsidR="0090563E" w:rsidRPr="00674730" w:rsidP="00631723" w14:paraId="641D8210" w14:textId="77777777">
            <w:pPr>
              <w:spacing w:line="276" w:lineRule="auto"/>
              <w:contextualSpacing/>
              <w:jc w:val="center"/>
              <w:rPr>
                <w:sz w:val="24"/>
                <w:szCs w:val="24"/>
              </w:rPr>
            </w:pPr>
            <w:r w:rsidRPr="00674730">
              <w:rPr>
                <w:sz w:val="24"/>
                <w:szCs w:val="24"/>
              </w:rPr>
              <w:t>6 mēneši</w:t>
            </w:r>
          </w:p>
        </w:tc>
      </w:tr>
      <w:tr w14:paraId="416757FE" w14:textId="77777777" w:rsidTr="0057204C">
        <w:tblPrEx>
          <w:tblW w:w="0" w:type="auto"/>
          <w:tblLook w:val="04A0"/>
        </w:tblPrEx>
        <w:tc>
          <w:tcPr>
            <w:tcW w:w="7933" w:type="dxa"/>
          </w:tcPr>
          <w:p w:rsidR="00031433" w:rsidRPr="00674730" w:rsidP="00482086" w14:paraId="18F4A1E4" w14:textId="77777777">
            <w:pPr>
              <w:pStyle w:val="ListParagraph"/>
              <w:numPr>
                <w:ilvl w:val="0"/>
                <w:numId w:val="10"/>
              </w:numPr>
              <w:spacing w:line="276" w:lineRule="auto"/>
              <w:ind w:left="454"/>
              <w:rPr>
                <w:rStyle w:val="FontStyle60"/>
                <w:rFonts w:eastAsiaTheme="minorEastAsia"/>
                <w:sz w:val="24"/>
                <w:szCs w:val="24"/>
                <w:lang w:eastAsia="lv-LV"/>
              </w:rPr>
            </w:pPr>
            <w:r w:rsidRPr="00674730">
              <w:rPr>
                <w:rStyle w:val="FontStyle60"/>
                <w:rFonts w:eastAsiaTheme="minorEastAsia"/>
                <w:sz w:val="24"/>
                <w:szCs w:val="24"/>
                <w:lang w:eastAsia="lv-LV"/>
              </w:rPr>
              <w:t>Iepirkuma procedūras atvieglojuma uzskaites risinājuma izstrādei izsludināšana</w:t>
            </w:r>
            <w:r w:rsidRPr="00674730" w:rsidR="00583EED">
              <w:rPr>
                <w:rStyle w:val="FontStyle60"/>
                <w:rFonts w:eastAsiaTheme="minorEastAsia"/>
                <w:sz w:val="24"/>
                <w:szCs w:val="24"/>
                <w:lang w:eastAsia="lv-LV"/>
              </w:rPr>
              <w:t xml:space="preserve"> (atklāts konkurss, virs ES sliekšņa)</w:t>
            </w:r>
            <w:r w:rsidRPr="00674730">
              <w:rPr>
                <w:rStyle w:val="FontStyle60"/>
                <w:rFonts w:eastAsiaTheme="minorEastAsia"/>
                <w:sz w:val="24"/>
                <w:szCs w:val="24"/>
                <w:lang w:eastAsia="lv-LV"/>
              </w:rPr>
              <w:t>, saņemto piedāvājumu vērtēšana, lēmuma pieņemšana, līguma slēgšana</w:t>
            </w:r>
          </w:p>
        </w:tc>
        <w:tc>
          <w:tcPr>
            <w:tcW w:w="1411" w:type="dxa"/>
          </w:tcPr>
          <w:p w:rsidR="00031433" w:rsidRPr="00674730" w:rsidP="00631723" w14:paraId="7BF35741" w14:textId="77777777">
            <w:pPr>
              <w:spacing w:line="276" w:lineRule="auto"/>
              <w:contextualSpacing/>
              <w:jc w:val="center"/>
              <w:rPr>
                <w:sz w:val="24"/>
                <w:szCs w:val="24"/>
              </w:rPr>
            </w:pPr>
            <w:r w:rsidRPr="00674730">
              <w:rPr>
                <w:sz w:val="24"/>
                <w:szCs w:val="24"/>
              </w:rPr>
              <w:t>7 mēneši</w:t>
            </w:r>
          </w:p>
        </w:tc>
      </w:tr>
      <w:tr w14:paraId="3690CD74" w14:textId="77777777" w:rsidTr="0057204C">
        <w:tblPrEx>
          <w:tblW w:w="0" w:type="auto"/>
          <w:tblLook w:val="04A0"/>
        </w:tblPrEx>
        <w:tc>
          <w:tcPr>
            <w:tcW w:w="7933" w:type="dxa"/>
          </w:tcPr>
          <w:p w:rsidR="00527268" w:rsidRPr="00674730" w:rsidP="00357A5C" w14:paraId="34A77D05" w14:textId="17281EFA">
            <w:pPr>
              <w:pStyle w:val="ListParagraph"/>
              <w:numPr>
                <w:ilvl w:val="0"/>
                <w:numId w:val="10"/>
              </w:numPr>
              <w:spacing w:line="276" w:lineRule="auto"/>
              <w:ind w:left="454"/>
              <w:rPr>
                <w:sz w:val="24"/>
                <w:szCs w:val="24"/>
              </w:rPr>
            </w:pPr>
            <w:r w:rsidRPr="00674730">
              <w:rPr>
                <w:rStyle w:val="FontStyle60"/>
                <w:rFonts w:eastAsiaTheme="minorEastAsia"/>
                <w:sz w:val="24"/>
                <w:szCs w:val="24"/>
                <w:lang w:eastAsia="lv-LV"/>
              </w:rPr>
              <w:t>Atvieglojumu uzskaites koplietošanas risinājuma ieviešanas valsts un pašvaldību atvieglojumu administrēšanai sistēmas izstrāde, testēšana un ieviešana</w:t>
            </w:r>
          </w:p>
        </w:tc>
        <w:tc>
          <w:tcPr>
            <w:tcW w:w="1411" w:type="dxa"/>
          </w:tcPr>
          <w:p w:rsidR="00527268" w:rsidRPr="00674730" w:rsidP="00631723" w14:paraId="1874092D" w14:textId="77777777">
            <w:pPr>
              <w:spacing w:line="276" w:lineRule="auto"/>
              <w:contextualSpacing/>
              <w:jc w:val="center"/>
              <w:rPr>
                <w:sz w:val="24"/>
                <w:szCs w:val="24"/>
              </w:rPr>
            </w:pPr>
            <w:r w:rsidRPr="00674730">
              <w:rPr>
                <w:sz w:val="24"/>
                <w:szCs w:val="24"/>
              </w:rPr>
              <w:t>1</w:t>
            </w:r>
            <w:r w:rsidRPr="00674730" w:rsidR="00F1575F">
              <w:rPr>
                <w:sz w:val="24"/>
                <w:szCs w:val="24"/>
              </w:rPr>
              <w:t>2</w:t>
            </w:r>
            <w:r w:rsidRPr="00674730">
              <w:rPr>
                <w:sz w:val="24"/>
                <w:szCs w:val="24"/>
              </w:rPr>
              <w:t xml:space="preserve"> mēneši</w:t>
            </w:r>
          </w:p>
        </w:tc>
      </w:tr>
      <w:tr w14:paraId="6DC54307" w14:textId="77777777" w:rsidTr="0057204C">
        <w:tblPrEx>
          <w:tblW w:w="0" w:type="auto"/>
          <w:tblLook w:val="04A0"/>
        </w:tblPrEx>
        <w:tc>
          <w:tcPr>
            <w:tcW w:w="7933" w:type="dxa"/>
          </w:tcPr>
          <w:p w:rsidR="00527268" w:rsidRPr="00674730" w:rsidP="00357A5C" w14:paraId="6C26A744" w14:textId="79392D37">
            <w:pPr>
              <w:pStyle w:val="ListParagraph"/>
              <w:spacing w:line="276" w:lineRule="auto"/>
              <w:ind w:left="454" w:hanging="283"/>
              <w:rPr>
                <w:sz w:val="24"/>
                <w:szCs w:val="24"/>
              </w:rPr>
            </w:pPr>
            <w:r w:rsidRPr="00674730">
              <w:rPr>
                <w:sz w:val="24"/>
                <w:szCs w:val="24"/>
              </w:rPr>
              <w:t xml:space="preserve">Kopējais </w:t>
            </w:r>
            <w:r w:rsidRPr="00674730">
              <w:rPr>
                <w:rStyle w:val="FontStyle60"/>
                <w:rFonts w:eastAsiaTheme="minorEastAsia"/>
                <w:sz w:val="24"/>
                <w:szCs w:val="24"/>
                <w:lang w:eastAsia="lv-LV"/>
              </w:rPr>
              <w:t>Atvieglojumu uzskaites koplietošanas risinājuma ieviešanas valsts un pašvaldību atvieglojumu administrēšanai izstrādes periods</w:t>
            </w:r>
          </w:p>
        </w:tc>
        <w:tc>
          <w:tcPr>
            <w:tcW w:w="1411" w:type="dxa"/>
          </w:tcPr>
          <w:p w:rsidR="00527268" w:rsidRPr="00674730" w:rsidP="00631723" w14:paraId="21EBCA86" w14:textId="77777777">
            <w:pPr>
              <w:spacing w:line="276" w:lineRule="auto"/>
              <w:contextualSpacing/>
              <w:jc w:val="center"/>
              <w:rPr>
                <w:sz w:val="24"/>
                <w:szCs w:val="24"/>
              </w:rPr>
            </w:pPr>
            <w:r w:rsidRPr="00674730">
              <w:rPr>
                <w:sz w:val="24"/>
                <w:szCs w:val="24"/>
              </w:rPr>
              <w:t>2</w:t>
            </w:r>
            <w:r w:rsidRPr="00674730" w:rsidR="00031433">
              <w:rPr>
                <w:sz w:val="24"/>
                <w:szCs w:val="24"/>
              </w:rPr>
              <w:t>5</w:t>
            </w:r>
            <w:r w:rsidRPr="00674730" w:rsidR="00B23AEA">
              <w:rPr>
                <w:sz w:val="24"/>
                <w:szCs w:val="24"/>
              </w:rPr>
              <w:t xml:space="preserve"> </w:t>
            </w:r>
            <w:r w:rsidRPr="00674730">
              <w:rPr>
                <w:sz w:val="24"/>
                <w:szCs w:val="24"/>
              </w:rPr>
              <w:t>mēneši</w:t>
            </w:r>
          </w:p>
        </w:tc>
      </w:tr>
      <w:tr w14:paraId="69EC1170" w14:textId="77777777" w:rsidTr="0057204C">
        <w:tblPrEx>
          <w:tblW w:w="0" w:type="auto"/>
          <w:tblLook w:val="04A0"/>
        </w:tblPrEx>
        <w:tc>
          <w:tcPr>
            <w:tcW w:w="7933" w:type="dxa"/>
          </w:tcPr>
          <w:p w:rsidR="00527268" w:rsidRPr="00674730" w:rsidP="00482086" w14:paraId="43A96744" w14:textId="77777777">
            <w:pPr>
              <w:pStyle w:val="ListParagraph"/>
              <w:numPr>
                <w:ilvl w:val="0"/>
                <w:numId w:val="10"/>
              </w:numPr>
              <w:spacing w:line="276" w:lineRule="auto"/>
              <w:ind w:left="454"/>
              <w:rPr>
                <w:sz w:val="24"/>
                <w:szCs w:val="24"/>
              </w:rPr>
            </w:pPr>
            <w:r w:rsidRPr="00674730">
              <w:rPr>
                <w:sz w:val="24"/>
                <w:szCs w:val="24"/>
              </w:rPr>
              <w:t>P</w:t>
            </w:r>
            <w:r w:rsidRPr="00674730" w:rsidR="003026C1">
              <w:rPr>
                <w:sz w:val="24"/>
                <w:szCs w:val="24"/>
              </w:rPr>
              <w:t>ā</w:t>
            </w:r>
            <w:r w:rsidRPr="00674730">
              <w:rPr>
                <w:sz w:val="24"/>
                <w:szCs w:val="24"/>
              </w:rPr>
              <w:t>rejas periods iesaistītajām pusēm</w:t>
            </w:r>
          </w:p>
        </w:tc>
        <w:tc>
          <w:tcPr>
            <w:tcW w:w="1411" w:type="dxa"/>
          </w:tcPr>
          <w:p w:rsidR="00527268" w:rsidRPr="00674730" w:rsidP="00631723" w14:paraId="54EB8221" w14:textId="77777777">
            <w:pPr>
              <w:spacing w:line="276" w:lineRule="auto"/>
              <w:contextualSpacing/>
              <w:jc w:val="center"/>
              <w:rPr>
                <w:sz w:val="24"/>
                <w:szCs w:val="24"/>
              </w:rPr>
            </w:pPr>
            <w:r w:rsidRPr="00674730">
              <w:rPr>
                <w:sz w:val="24"/>
                <w:szCs w:val="24"/>
              </w:rPr>
              <w:t>6 mēneši</w:t>
            </w:r>
          </w:p>
        </w:tc>
      </w:tr>
    </w:tbl>
    <w:p w:rsidR="00527268" w:rsidRPr="00674730" w:rsidP="00631723" w14:paraId="2065F3A5" w14:textId="77777777">
      <w:pPr>
        <w:spacing w:after="0" w:line="276" w:lineRule="auto"/>
        <w:rPr>
          <w:rFonts w:ascii="Times New Roman" w:hAnsi="Times New Roman" w:cs="Times New Roman"/>
          <w:i/>
          <w:sz w:val="24"/>
          <w:szCs w:val="24"/>
        </w:rPr>
      </w:pPr>
      <w:r w:rsidRPr="00674730">
        <w:rPr>
          <w:rFonts w:ascii="Times New Roman" w:hAnsi="Times New Roman" w:cs="Times New Roman"/>
          <w:i/>
          <w:sz w:val="24"/>
          <w:szCs w:val="24"/>
        </w:rPr>
        <w:t xml:space="preserve">*Ieviešanas posmu termiņi norādīti indikatīvi </w:t>
      </w:r>
    </w:p>
    <w:p w:rsidR="00DF47FE" w:rsidRPr="00674730" w:rsidP="00631723" w14:paraId="0240C162" w14:textId="77777777">
      <w:pPr>
        <w:spacing w:after="0" w:line="276" w:lineRule="auto"/>
        <w:contextualSpacing/>
        <w:jc w:val="both"/>
        <w:rPr>
          <w:rFonts w:ascii="Times New Roman" w:hAnsi="Times New Roman" w:cs="Times New Roman"/>
          <w:i/>
          <w:sz w:val="24"/>
          <w:szCs w:val="24"/>
        </w:rPr>
      </w:pPr>
    </w:p>
    <w:p w:rsidR="00DF47FE" w:rsidRPr="00674730" w:rsidP="006A4F95" w14:paraId="0947882C" w14:textId="77777777">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Darbu pie</w:t>
      </w:r>
      <w:r w:rsidRPr="00674730" w:rsidR="00031433">
        <w:rPr>
          <w:rFonts w:ascii="Times New Roman" w:hAnsi="Times New Roman" w:cs="Times New Roman"/>
          <w:sz w:val="24"/>
          <w:szCs w:val="24"/>
        </w:rPr>
        <w:t xml:space="preserve"> Atvieglojuma</w:t>
      </w:r>
      <w:r w:rsidRPr="00674730">
        <w:rPr>
          <w:rFonts w:ascii="Times New Roman" w:hAnsi="Times New Roman" w:cs="Times New Roman"/>
          <w:sz w:val="24"/>
          <w:szCs w:val="24"/>
        </w:rPr>
        <w:t xml:space="preserve"> koplietošanas risinājuma komponenšu tehniskās specifikācijas projekta izstrādes ir iespējams uzsākt</w:t>
      </w:r>
      <w:r w:rsidRPr="00674730" w:rsidR="00031433">
        <w:rPr>
          <w:rFonts w:ascii="Times New Roman" w:hAnsi="Times New Roman" w:cs="Times New Roman"/>
          <w:sz w:val="24"/>
          <w:szCs w:val="24"/>
        </w:rPr>
        <w:t xml:space="preserve"> pēc attiecīgā</w:t>
      </w:r>
      <w:r w:rsidRPr="00674730" w:rsidR="00F1575F">
        <w:rPr>
          <w:rFonts w:ascii="Times New Roman" w:hAnsi="Times New Roman" w:cs="Times New Roman"/>
          <w:sz w:val="24"/>
          <w:szCs w:val="24"/>
        </w:rPr>
        <w:t xml:space="preserve"> normatīvā regulējuma stāšanās spēkā</w:t>
      </w:r>
      <w:r w:rsidRPr="00674730" w:rsidR="00031433">
        <w:rPr>
          <w:rFonts w:ascii="Times New Roman" w:hAnsi="Times New Roman" w:cs="Times New Roman"/>
          <w:sz w:val="24"/>
          <w:szCs w:val="24"/>
        </w:rPr>
        <w:t xml:space="preserve"> </w:t>
      </w:r>
      <w:r w:rsidRPr="00674730" w:rsidR="00F1575F">
        <w:rPr>
          <w:rFonts w:ascii="Times New Roman" w:hAnsi="Times New Roman" w:cs="Times New Roman"/>
          <w:sz w:val="24"/>
          <w:szCs w:val="24"/>
        </w:rPr>
        <w:t>un ir pieejams atbilstošs finansējuma apjoms.</w:t>
      </w:r>
    </w:p>
    <w:p w:rsidR="003B072E" w:rsidRPr="00674730" w:rsidP="003B072E" w14:paraId="37EA79F4" w14:textId="696107C8">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 xml:space="preserve">Lai nodrošinātu normatīvo regulējumu VARAM priekšlikums </w:t>
      </w:r>
      <w:r w:rsidRPr="00674730" w:rsidR="00D83379">
        <w:rPr>
          <w:rFonts w:ascii="Times New Roman" w:hAnsi="Times New Roman" w:cs="Times New Roman"/>
          <w:sz w:val="24"/>
          <w:szCs w:val="24"/>
        </w:rPr>
        <w:t xml:space="preserve">ir </w:t>
      </w:r>
      <w:r w:rsidRPr="00674730">
        <w:rPr>
          <w:rFonts w:ascii="Times New Roman" w:hAnsi="Times New Roman" w:cs="Times New Roman"/>
          <w:sz w:val="24"/>
          <w:szCs w:val="24"/>
        </w:rPr>
        <w:t>veikt grozījumus likumā “Par pašvaldībām”</w:t>
      </w:r>
      <w:r w:rsidRPr="00674730" w:rsidR="000405B7">
        <w:rPr>
          <w:rFonts w:ascii="Times New Roman" w:hAnsi="Times New Roman" w:cs="Times New Roman"/>
          <w:sz w:val="24"/>
          <w:szCs w:val="24"/>
        </w:rPr>
        <w:t xml:space="preserve"> – “</w:t>
      </w:r>
      <w:r w:rsidRPr="00674730" w:rsidR="00D83379">
        <w:rPr>
          <w:rFonts w:ascii="Times New Roman" w:hAnsi="Times New Roman" w:cs="Times New Roman"/>
          <w:sz w:val="24"/>
          <w:szCs w:val="24"/>
        </w:rPr>
        <w:t>98. pant</w:t>
      </w:r>
      <w:r w:rsidRPr="00674730" w:rsidR="000405B7">
        <w:rPr>
          <w:rFonts w:ascii="Times New Roman" w:hAnsi="Times New Roman" w:cs="Times New Roman"/>
          <w:sz w:val="24"/>
          <w:szCs w:val="24"/>
        </w:rPr>
        <w:t xml:space="preserve">ā. </w:t>
      </w:r>
      <w:r w:rsidRPr="00674730">
        <w:rPr>
          <w:rFonts w:ascii="Times New Roman" w:hAnsi="Times New Roman" w:cs="Times New Roman"/>
          <w:sz w:val="24"/>
          <w:szCs w:val="24"/>
        </w:rPr>
        <w:t xml:space="preserve">Pašvaldībām, kuru pārziņā nav nepieciešamo infrastruktūras objektu, ir pienākums slēgt līgumus ar citām pašvaldībām, lai nodrošinātu likumā paredzēto funkciju izpildi. </w:t>
      </w:r>
      <w:r w:rsidRPr="00674730">
        <w:rPr>
          <w:rFonts w:ascii="Times New Roman" w:hAnsi="Times New Roman" w:cs="Times New Roman"/>
          <w:sz w:val="24"/>
          <w:szCs w:val="24"/>
          <w:u w:val="single"/>
        </w:rPr>
        <w:t>Pašvaldībām ir tiesības izmantot centralizētus koplietošanas risinājumus likumā paredzēto funkciju izpildi.</w:t>
      </w:r>
      <w:r w:rsidRPr="00674730">
        <w:rPr>
          <w:rFonts w:ascii="Times New Roman" w:hAnsi="Times New Roman" w:cs="Times New Roman"/>
          <w:sz w:val="24"/>
          <w:szCs w:val="24"/>
        </w:rPr>
        <w:t xml:space="preserve"> Pašvaldību savstarpējo norēķinu kārtību un kārtību kādā tiek izmantoti centralizēti koplietošanas risinājumi nosaka Ministru kabinets. “</w:t>
      </w:r>
    </w:p>
    <w:p w:rsidR="00A41D2F" w:rsidRPr="00674730" w:rsidP="006A4F95" w14:paraId="183FC2FA" w14:textId="2851FB81">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Vienlaikus vēršam uzmanību, ka VARAM ir apzinājusi ERAF projekta partnerus (pašvaldības), kuras ir gatavas iesaistīties gan Atvieglojuma koplietošanas risinājuma prasību definēšanā, testēšanā, gan arī sistēmas lietošanā uzreiz pēc tās ieviešanas produktīvajā darbībā, kā arī lietos izstrādāto risinājumu pēc ERAF projekta beigām.</w:t>
      </w:r>
    </w:p>
    <w:p w:rsidR="0090563E" w:rsidRPr="00674730" w:rsidP="00631723" w14:paraId="6127A3C3" w14:textId="77777777">
      <w:pPr>
        <w:spacing w:after="0" w:line="276" w:lineRule="auto"/>
        <w:contextualSpacing/>
        <w:jc w:val="both"/>
        <w:rPr>
          <w:rFonts w:ascii="Times New Roman" w:hAnsi="Times New Roman" w:cs="Times New Roman"/>
          <w:sz w:val="24"/>
          <w:szCs w:val="24"/>
        </w:rPr>
      </w:pPr>
    </w:p>
    <w:p w:rsidR="00416414" w:rsidRPr="00674730" w:rsidP="00693576" w14:paraId="48C24E36" w14:textId="77777777">
      <w:pPr>
        <w:pStyle w:val="Heading1"/>
        <w:rPr>
          <w:rFonts w:ascii="Times New Roman" w:hAnsi="Times New Roman" w:cs="Times New Roman"/>
          <w:b/>
          <w:color w:val="auto"/>
          <w:sz w:val="24"/>
          <w:szCs w:val="24"/>
        </w:rPr>
      </w:pPr>
      <w:bookmarkStart w:id="8" w:name="_Toc503453998"/>
      <w:r w:rsidRPr="00674730">
        <w:rPr>
          <w:rFonts w:ascii="Times New Roman" w:hAnsi="Times New Roman" w:cs="Times New Roman"/>
          <w:b/>
          <w:color w:val="auto"/>
          <w:sz w:val="24"/>
          <w:szCs w:val="24"/>
        </w:rPr>
        <w:t>5.</w:t>
      </w:r>
      <w:r w:rsidRPr="00674730" w:rsidR="00B06443">
        <w:rPr>
          <w:rFonts w:ascii="Times New Roman" w:hAnsi="Times New Roman" w:cs="Times New Roman"/>
          <w:b/>
          <w:color w:val="auto"/>
          <w:sz w:val="24"/>
          <w:szCs w:val="24"/>
        </w:rPr>
        <w:t xml:space="preserve"> N</w:t>
      </w:r>
      <w:r w:rsidRPr="00674730">
        <w:rPr>
          <w:rFonts w:ascii="Times New Roman" w:hAnsi="Times New Roman" w:cs="Times New Roman"/>
          <w:b/>
          <w:color w:val="auto"/>
          <w:sz w:val="24"/>
          <w:szCs w:val="24"/>
        </w:rPr>
        <w:t>osacījumi projekta īstenošanas uzsākšanai un uzturēšanas nodrošināšanai</w:t>
      </w:r>
      <w:bookmarkEnd w:id="8"/>
    </w:p>
    <w:p w:rsidR="00416414" w:rsidRPr="00674730" w:rsidP="00631723" w14:paraId="613F5205" w14:textId="77777777">
      <w:pPr>
        <w:spacing w:after="0" w:line="276" w:lineRule="auto"/>
        <w:contextualSpacing/>
        <w:jc w:val="both"/>
        <w:rPr>
          <w:rFonts w:ascii="Times New Roman" w:hAnsi="Times New Roman" w:cs="Times New Roman"/>
          <w:b/>
          <w:sz w:val="24"/>
          <w:szCs w:val="24"/>
        </w:rPr>
      </w:pPr>
    </w:p>
    <w:p w:rsidR="00416414" w:rsidRPr="00674730" w:rsidP="00631723" w14:paraId="553A72F1" w14:textId="650767AC">
      <w:pPr>
        <w:spacing w:after="0" w:line="276" w:lineRule="auto"/>
        <w:ind w:firstLine="720"/>
        <w:contextualSpacing/>
        <w:jc w:val="both"/>
        <w:rPr>
          <w:rFonts w:ascii="Times New Roman" w:hAnsi="Times New Roman" w:cs="Times New Roman"/>
          <w:sz w:val="24"/>
          <w:szCs w:val="24"/>
        </w:rPr>
      </w:pPr>
      <w:r w:rsidRPr="00674730">
        <w:rPr>
          <w:rFonts w:ascii="Times New Roman" w:hAnsi="Times New Roman" w:cs="Times New Roman"/>
          <w:sz w:val="24"/>
          <w:szCs w:val="24"/>
        </w:rPr>
        <w:t>Lai nodrošinātu Atvieglojumu uzskaites koplietošanas risinājuma izstrādi</w:t>
      </w:r>
      <w:r w:rsidRPr="00674730" w:rsidR="00716E2C">
        <w:rPr>
          <w:rFonts w:ascii="Times New Roman" w:hAnsi="Times New Roman" w:cs="Times New Roman"/>
          <w:sz w:val="24"/>
          <w:szCs w:val="24"/>
        </w:rPr>
        <w:t>,</w:t>
      </w:r>
      <w:r w:rsidRPr="00674730">
        <w:rPr>
          <w:rFonts w:ascii="Times New Roman" w:hAnsi="Times New Roman" w:cs="Times New Roman"/>
          <w:sz w:val="24"/>
          <w:szCs w:val="24"/>
        </w:rPr>
        <w:t xml:space="preserve"> </w:t>
      </w:r>
      <w:r w:rsidRPr="00674730" w:rsidR="00B06443">
        <w:rPr>
          <w:rFonts w:ascii="Times New Roman" w:hAnsi="Times New Roman" w:cs="Times New Roman"/>
          <w:sz w:val="24"/>
          <w:szCs w:val="24"/>
        </w:rPr>
        <w:t xml:space="preserve">garantējot tā izmantošanu, </w:t>
      </w:r>
      <w:r w:rsidRPr="00674730" w:rsidR="008A0525">
        <w:rPr>
          <w:rFonts w:ascii="Times New Roman" w:hAnsi="Times New Roman" w:cs="Times New Roman"/>
          <w:sz w:val="24"/>
          <w:szCs w:val="24"/>
        </w:rPr>
        <w:t>pastāv šādi priekšnosacījumi</w:t>
      </w:r>
      <w:r w:rsidRPr="00674730">
        <w:rPr>
          <w:rFonts w:ascii="Times New Roman" w:hAnsi="Times New Roman" w:cs="Times New Roman"/>
          <w:sz w:val="24"/>
          <w:szCs w:val="24"/>
        </w:rPr>
        <w:t>:</w:t>
      </w:r>
    </w:p>
    <w:p w:rsidR="00B05662" w:rsidRPr="00674730" w:rsidP="00482086" w14:paraId="3E585B52" w14:textId="77777777">
      <w:pPr>
        <w:pStyle w:val="ListParagraph"/>
        <w:numPr>
          <w:ilvl w:val="0"/>
          <w:numId w:val="5"/>
        </w:numPr>
        <w:spacing w:after="0" w:line="276" w:lineRule="auto"/>
        <w:ind w:left="851" w:hanging="284"/>
        <w:jc w:val="both"/>
        <w:rPr>
          <w:rFonts w:ascii="Times New Roman" w:hAnsi="Times New Roman" w:cs="Times New Roman"/>
          <w:sz w:val="24"/>
          <w:szCs w:val="24"/>
        </w:rPr>
      </w:pPr>
      <w:r w:rsidRPr="00674730">
        <w:rPr>
          <w:rFonts w:ascii="Times New Roman" w:hAnsi="Times New Roman" w:cs="Times New Roman"/>
          <w:sz w:val="24"/>
          <w:szCs w:val="24"/>
        </w:rPr>
        <w:t xml:space="preserve">pieņemti </w:t>
      </w:r>
      <w:r w:rsidRPr="00674730" w:rsidR="00416414">
        <w:rPr>
          <w:rFonts w:ascii="Times New Roman" w:hAnsi="Times New Roman" w:cs="Times New Roman"/>
          <w:sz w:val="24"/>
          <w:szCs w:val="24"/>
        </w:rPr>
        <w:t xml:space="preserve">Ministru kabineta noteikumi, kas nosaka </w:t>
      </w:r>
      <w:r w:rsidRPr="00674730" w:rsidR="00AD4681">
        <w:rPr>
          <w:rFonts w:ascii="Times New Roman" w:hAnsi="Times New Roman" w:cs="Times New Roman"/>
          <w:sz w:val="24"/>
          <w:szCs w:val="24"/>
        </w:rPr>
        <w:t xml:space="preserve">Atvieglojuma </w:t>
      </w:r>
      <w:r w:rsidRPr="00674730" w:rsidR="00416414">
        <w:rPr>
          <w:rFonts w:ascii="Times New Roman" w:hAnsi="Times New Roman" w:cs="Times New Roman"/>
          <w:sz w:val="24"/>
          <w:szCs w:val="24"/>
        </w:rPr>
        <w:t>koplietošanas risinājuma biznesa pārziņ</w:t>
      </w:r>
      <w:r w:rsidRPr="00674730" w:rsidR="00AD4681">
        <w:rPr>
          <w:rFonts w:ascii="Times New Roman" w:hAnsi="Times New Roman" w:cs="Times New Roman"/>
          <w:sz w:val="24"/>
          <w:szCs w:val="24"/>
        </w:rPr>
        <w:t>a</w:t>
      </w:r>
      <w:r w:rsidRPr="00674730" w:rsidR="00416414">
        <w:rPr>
          <w:rFonts w:ascii="Times New Roman" w:hAnsi="Times New Roman" w:cs="Times New Roman"/>
          <w:sz w:val="24"/>
          <w:szCs w:val="24"/>
        </w:rPr>
        <w:t xml:space="preserve"> tiesības, pienākumus un atbildību, kā arī risinājuma turētāja tiesības, pienākumus un atbildību un risinājuma lietotājus, to tiesības, pienākumus un atbildību</w:t>
      </w:r>
      <w:r w:rsidRPr="00674730" w:rsidR="00A608A4">
        <w:rPr>
          <w:rFonts w:ascii="Times New Roman" w:hAnsi="Times New Roman" w:cs="Times New Roman"/>
          <w:sz w:val="24"/>
          <w:szCs w:val="24"/>
        </w:rPr>
        <w:t xml:space="preserve">, kā arī ir pieejami finanšu resursi </w:t>
      </w:r>
      <w:r w:rsidRPr="00674730" w:rsidR="00C4743F">
        <w:rPr>
          <w:rFonts w:ascii="Times New Roman" w:hAnsi="Times New Roman" w:cs="Times New Roman"/>
          <w:sz w:val="24"/>
          <w:szCs w:val="24"/>
        </w:rPr>
        <w:t>Atvieglojuma koplietošanas risinājuma komponenšu izstrādei</w:t>
      </w:r>
      <w:r w:rsidRPr="00674730" w:rsidR="00416414">
        <w:rPr>
          <w:rFonts w:ascii="Times New Roman" w:hAnsi="Times New Roman" w:cs="Times New Roman"/>
          <w:sz w:val="24"/>
          <w:szCs w:val="24"/>
        </w:rPr>
        <w:t xml:space="preserve">. </w:t>
      </w:r>
      <w:r w:rsidRPr="00674730">
        <w:rPr>
          <w:rFonts w:ascii="Times New Roman" w:hAnsi="Times New Roman" w:cs="Times New Roman"/>
          <w:sz w:val="24"/>
          <w:szCs w:val="24"/>
        </w:rPr>
        <w:t xml:space="preserve">Ministru kabineta </w:t>
      </w:r>
      <w:r w:rsidRPr="00674730" w:rsidR="00416414">
        <w:rPr>
          <w:rFonts w:ascii="Times New Roman" w:hAnsi="Times New Roman" w:cs="Times New Roman"/>
          <w:sz w:val="24"/>
          <w:szCs w:val="24"/>
        </w:rPr>
        <w:t xml:space="preserve">noteikumos ir jānosaka arī pienākums Atvieglojumu devējiem izmantot izveidoto </w:t>
      </w:r>
      <w:r w:rsidRPr="00674730" w:rsidR="00AD4681">
        <w:rPr>
          <w:rFonts w:ascii="Times New Roman" w:hAnsi="Times New Roman" w:cs="Times New Roman"/>
          <w:sz w:val="24"/>
          <w:szCs w:val="24"/>
        </w:rPr>
        <w:t xml:space="preserve">Atvieglojuma </w:t>
      </w:r>
      <w:r w:rsidRPr="00674730" w:rsidR="00416414">
        <w:rPr>
          <w:rFonts w:ascii="Times New Roman" w:hAnsi="Times New Roman" w:cs="Times New Roman"/>
          <w:sz w:val="24"/>
          <w:szCs w:val="24"/>
        </w:rPr>
        <w:t>koplietošanas risinājumu, neveidojot alternatīvus risinājumus, ja VISS koplietošanas infrastruktūrā tāds jau eksistē</w:t>
      </w:r>
      <w:r w:rsidRPr="00674730" w:rsidR="00AD4681">
        <w:rPr>
          <w:rFonts w:ascii="Times New Roman" w:hAnsi="Times New Roman" w:cs="Times New Roman"/>
          <w:sz w:val="24"/>
          <w:szCs w:val="24"/>
        </w:rPr>
        <w:t>;</w:t>
      </w:r>
    </w:p>
    <w:p w:rsidR="00E03452" w:rsidRPr="00674730" w:rsidP="00482086" w14:paraId="5EB43579" w14:textId="77777777">
      <w:pPr>
        <w:pStyle w:val="ListParagraph"/>
        <w:numPr>
          <w:ilvl w:val="0"/>
          <w:numId w:val="5"/>
        </w:numPr>
        <w:spacing w:after="0" w:line="276" w:lineRule="auto"/>
        <w:ind w:left="851" w:hanging="284"/>
        <w:jc w:val="both"/>
        <w:rPr>
          <w:rFonts w:ascii="Times New Roman" w:hAnsi="Times New Roman" w:cs="Times New Roman"/>
          <w:sz w:val="24"/>
          <w:szCs w:val="24"/>
        </w:rPr>
      </w:pPr>
      <w:r w:rsidRPr="00674730">
        <w:rPr>
          <w:rFonts w:ascii="Times New Roman" w:hAnsi="Times New Roman" w:cs="Times New Roman"/>
          <w:sz w:val="24"/>
          <w:szCs w:val="24"/>
        </w:rPr>
        <w:t>n</w:t>
      </w:r>
      <w:r w:rsidRPr="00674730" w:rsidR="00416414">
        <w:rPr>
          <w:rFonts w:ascii="Times New Roman" w:hAnsi="Times New Roman" w:cs="Times New Roman"/>
          <w:sz w:val="24"/>
          <w:szCs w:val="24"/>
        </w:rPr>
        <w:t xml:space="preserve">epieciešamo finanšu resursu piesaiste koplietošanas risinājuma izstrādei, tai skaitā, </w:t>
      </w:r>
      <w:r w:rsidRPr="00674730" w:rsidR="00BC1C53">
        <w:rPr>
          <w:rFonts w:ascii="Times New Roman" w:eastAsia="Times New Roman" w:hAnsi="Times New Roman" w:cs="Times New Roman"/>
          <w:sz w:val="24"/>
          <w:szCs w:val="24"/>
          <w:lang w:eastAsia="lv-LV"/>
        </w:rPr>
        <w:t>cilvēkresursu piesaistei ārpakalpojumā</w:t>
      </w:r>
      <w:r w:rsidRPr="00674730" w:rsidR="00BC1C53">
        <w:rPr>
          <w:rFonts w:ascii="Times New Roman" w:hAnsi="Times New Roman" w:cs="Times New Roman"/>
          <w:sz w:val="24"/>
          <w:szCs w:val="24"/>
        </w:rPr>
        <w:t xml:space="preserve"> </w:t>
      </w:r>
      <w:r w:rsidRPr="00674730" w:rsidR="00BC1C53">
        <w:rPr>
          <w:rFonts w:ascii="Times New Roman" w:eastAsia="Times New Roman" w:hAnsi="Times New Roman" w:cs="Times New Roman"/>
          <w:sz w:val="24"/>
          <w:szCs w:val="24"/>
          <w:lang w:eastAsia="lv-LV"/>
        </w:rPr>
        <w:t xml:space="preserve">projektā plānotā </w:t>
      </w:r>
      <w:r w:rsidRPr="00674730" w:rsidR="00416414">
        <w:rPr>
          <w:rFonts w:ascii="Times New Roman" w:hAnsi="Times New Roman" w:cs="Times New Roman"/>
          <w:sz w:val="24"/>
          <w:szCs w:val="24"/>
        </w:rPr>
        <w:t>koplietošanas risinājuma ieviešan</w:t>
      </w:r>
      <w:r w:rsidRPr="00674730" w:rsidR="00BC1C53">
        <w:rPr>
          <w:rFonts w:ascii="Times New Roman" w:hAnsi="Times New Roman" w:cs="Times New Roman"/>
          <w:sz w:val="24"/>
          <w:szCs w:val="24"/>
        </w:rPr>
        <w:t>ai</w:t>
      </w:r>
      <w:r w:rsidRPr="00674730" w:rsidR="00B92028">
        <w:rPr>
          <w:rFonts w:ascii="Times New Roman" w:hAnsi="Times New Roman" w:cs="Times New Roman"/>
          <w:sz w:val="24"/>
          <w:szCs w:val="24"/>
        </w:rPr>
        <w:t xml:space="preserve"> </w:t>
      </w:r>
      <w:r w:rsidRPr="00674730" w:rsidR="00BC1C53">
        <w:rPr>
          <w:rFonts w:ascii="Times New Roman" w:hAnsi="Times New Roman" w:cs="Times New Roman"/>
          <w:sz w:val="24"/>
          <w:szCs w:val="24"/>
        </w:rPr>
        <w:t xml:space="preserve">25 </w:t>
      </w:r>
      <w:r w:rsidRPr="00674730" w:rsidR="00B92028">
        <w:rPr>
          <w:rFonts w:ascii="Times New Roman" w:hAnsi="Times New Roman" w:cs="Times New Roman"/>
          <w:sz w:val="24"/>
          <w:szCs w:val="24"/>
        </w:rPr>
        <w:t>mēnešu periodā</w:t>
      </w:r>
      <w:r w:rsidRPr="00674730" w:rsidR="00416414">
        <w:rPr>
          <w:rFonts w:ascii="Times New Roman" w:hAnsi="Times New Roman" w:cs="Times New Roman"/>
          <w:sz w:val="24"/>
          <w:szCs w:val="24"/>
        </w:rPr>
        <w:t xml:space="preserve"> </w:t>
      </w:r>
      <w:r w:rsidRPr="00674730" w:rsidR="00B92028">
        <w:rPr>
          <w:rFonts w:ascii="Times New Roman" w:eastAsia="Calibri" w:hAnsi="Times New Roman" w:cs="Times New Roman"/>
          <w:sz w:val="24"/>
          <w:szCs w:val="24"/>
        </w:rPr>
        <w:t xml:space="preserve">ar kopējo </w:t>
      </w:r>
      <w:r w:rsidRPr="00674730" w:rsidR="0090563E">
        <w:rPr>
          <w:rFonts w:ascii="Times New Roman" w:eastAsia="Calibri" w:hAnsi="Times New Roman" w:cs="Times New Roman"/>
          <w:sz w:val="24"/>
          <w:szCs w:val="24"/>
        </w:rPr>
        <w:t>budžetu</w:t>
      </w:r>
      <w:r w:rsidRPr="00674730" w:rsidR="00B92028">
        <w:rPr>
          <w:rFonts w:ascii="Times New Roman" w:eastAsia="Calibri" w:hAnsi="Times New Roman" w:cs="Times New Roman"/>
          <w:sz w:val="24"/>
          <w:szCs w:val="24"/>
        </w:rPr>
        <w:t> </w:t>
      </w:r>
      <w:r w:rsidRPr="00674730" w:rsidR="00B06443">
        <w:rPr>
          <w:rFonts w:ascii="Times New Roman" w:eastAsia="Calibri" w:hAnsi="Times New Roman" w:cs="Times New Roman"/>
          <w:sz w:val="24"/>
          <w:szCs w:val="24"/>
        </w:rPr>
        <w:t>(indikatīvi) </w:t>
      </w:r>
      <w:r w:rsidRPr="00674730" w:rsidR="00794745">
        <w:rPr>
          <w:rFonts w:ascii="Times New Roman" w:eastAsia="Calibri" w:hAnsi="Times New Roman" w:cs="Times New Roman"/>
          <w:sz w:val="24"/>
          <w:szCs w:val="24"/>
        </w:rPr>
        <w:t>624 293</w:t>
      </w:r>
      <w:r w:rsidRPr="00674730" w:rsidR="00B92028">
        <w:rPr>
          <w:rFonts w:ascii="Times New Roman" w:eastAsia="Calibri" w:hAnsi="Times New Roman" w:cs="Times New Roman"/>
          <w:sz w:val="24"/>
          <w:szCs w:val="24"/>
        </w:rPr>
        <w:t xml:space="preserve"> EUR</w:t>
      </w:r>
      <w:r w:rsidRPr="00674730" w:rsidR="00B06443">
        <w:rPr>
          <w:rFonts w:ascii="Times New Roman" w:eastAsia="Calibri" w:hAnsi="Times New Roman" w:cs="Times New Roman"/>
          <w:sz w:val="24"/>
          <w:szCs w:val="24"/>
        </w:rPr>
        <w:t xml:space="preserve"> apmērā</w:t>
      </w:r>
      <w:r w:rsidRPr="00674730" w:rsidR="00416414">
        <w:rPr>
          <w:rFonts w:ascii="Times New Roman" w:hAnsi="Times New Roman" w:cs="Times New Roman"/>
          <w:sz w:val="24"/>
          <w:szCs w:val="24"/>
        </w:rPr>
        <w:t>;</w:t>
      </w:r>
    </w:p>
    <w:p w:rsidR="00416414" w:rsidRPr="00674730" w:rsidP="00482086" w14:paraId="4274573F" w14:textId="77777777">
      <w:pPr>
        <w:pStyle w:val="ListParagraph"/>
        <w:numPr>
          <w:ilvl w:val="0"/>
          <w:numId w:val="5"/>
        </w:numPr>
        <w:spacing w:after="0" w:line="276" w:lineRule="auto"/>
        <w:ind w:left="851" w:hanging="284"/>
        <w:jc w:val="both"/>
        <w:rPr>
          <w:rFonts w:ascii="Times New Roman" w:hAnsi="Times New Roman" w:cs="Times New Roman"/>
          <w:sz w:val="24"/>
          <w:szCs w:val="24"/>
        </w:rPr>
      </w:pPr>
      <w:r w:rsidRPr="00674730">
        <w:rPr>
          <w:rFonts w:ascii="Times New Roman" w:hAnsi="Times New Roman" w:cs="Times New Roman"/>
          <w:sz w:val="24"/>
          <w:szCs w:val="24"/>
        </w:rPr>
        <w:t xml:space="preserve">pēc projekta īstenošanas </w:t>
      </w:r>
      <w:r w:rsidRPr="00674730" w:rsidR="00716E2C">
        <w:rPr>
          <w:rFonts w:ascii="Times New Roman" w:hAnsi="Times New Roman" w:cs="Times New Roman"/>
          <w:sz w:val="24"/>
          <w:szCs w:val="24"/>
        </w:rPr>
        <w:t xml:space="preserve">nodrošināti </w:t>
      </w:r>
      <w:r w:rsidRPr="00674730">
        <w:rPr>
          <w:rFonts w:ascii="Times New Roman" w:hAnsi="Times New Roman" w:cs="Times New Roman"/>
          <w:sz w:val="24"/>
          <w:szCs w:val="24"/>
        </w:rPr>
        <w:t xml:space="preserve">finanšu līdzekļi koplietošanas risinājuma uzturēšanai, tai skaitā, </w:t>
      </w:r>
      <w:r w:rsidRPr="00674730" w:rsidR="00BC1C53">
        <w:rPr>
          <w:rFonts w:ascii="Times New Roman" w:eastAsia="Times New Roman" w:hAnsi="Times New Roman" w:cs="Times New Roman"/>
          <w:sz w:val="24"/>
          <w:szCs w:val="24"/>
          <w:lang w:eastAsia="lv-LV"/>
        </w:rPr>
        <w:t>cilvēkresursu piesaistei ārpakalpojumā</w:t>
      </w:r>
      <w:r w:rsidRPr="00674730" w:rsidR="00BC1C53">
        <w:rPr>
          <w:rFonts w:ascii="Times New Roman" w:hAnsi="Times New Roman" w:cs="Times New Roman"/>
          <w:sz w:val="24"/>
          <w:szCs w:val="24"/>
        </w:rPr>
        <w:t xml:space="preserve"> </w:t>
      </w:r>
      <w:r w:rsidRPr="00674730" w:rsidR="00BC1C53">
        <w:rPr>
          <w:rFonts w:ascii="Times New Roman" w:eastAsia="Times New Roman" w:hAnsi="Times New Roman" w:cs="Times New Roman"/>
          <w:sz w:val="24"/>
          <w:szCs w:val="24"/>
          <w:lang w:eastAsia="lv-LV"/>
        </w:rPr>
        <w:t xml:space="preserve">projektā izstrādātā koplietošanas risinājuma </w:t>
      </w:r>
      <w:r w:rsidRPr="00674730">
        <w:rPr>
          <w:rFonts w:ascii="Times New Roman" w:hAnsi="Times New Roman" w:cs="Times New Roman"/>
          <w:sz w:val="24"/>
          <w:szCs w:val="24"/>
        </w:rPr>
        <w:t xml:space="preserve">uzturēšanai </w:t>
      </w:r>
      <w:r w:rsidRPr="00674730" w:rsidR="00012A47">
        <w:rPr>
          <w:rFonts w:ascii="Times New Roman" w:hAnsi="Times New Roman" w:cs="Times New Roman"/>
          <w:sz w:val="24"/>
          <w:szCs w:val="24"/>
        </w:rPr>
        <w:t xml:space="preserve">ar kopējo budžetu </w:t>
      </w:r>
      <w:r w:rsidRPr="00674730">
        <w:rPr>
          <w:rFonts w:ascii="Times New Roman" w:eastAsia="Calibri" w:hAnsi="Times New Roman" w:cs="Times New Roman"/>
          <w:sz w:val="24"/>
          <w:szCs w:val="24"/>
        </w:rPr>
        <w:t>(indikatīvi) </w:t>
      </w:r>
      <w:r w:rsidRPr="00674730" w:rsidR="00012A47">
        <w:rPr>
          <w:rFonts w:ascii="Times New Roman" w:hAnsi="Times New Roman" w:cs="Times New Roman"/>
          <w:sz w:val="24"/>
          <w:szCs w:val="24"/>
        </w:rPr>
        <w:t>96 874 EUR</w:t>
      </w:r>
      <w:r w:rsidRPr="00674730">
        <w:rPr>
          <w:rFonts w:ascii="Times New Roman" w:hAnsi="Times New Roman" w:cs="Times New Roman"/>
          <w:sz w:val="24"/>
          <w:szCs w:val="24"/>
        </w:rPr>
        <w:t xml:space="preserve"> apmērā</w:t>
      </w:r>
      <w:r w:rsidRPr="00674730" w:rsidR="003A693D">
        <w:rPr>
          <w:rFonts w:ascii="Times New Roman" w:hAnsi="Times New Roman" w:cs="Times New Roman"/>
          <w:sz w:val="24"/>
          <w:szCs w:val="24"/>
        </w:rPr>
        <w:t>;</w:t>
      </w:r>
    </w:p>
    <w:p w:rsidR="00416414" w:rsidRPr="00674730" w:rsidP="00482086" w14:paraId="0443E222" w14:textId="77777777">
      <w:pPr>
        <w:pStyle w:val="ListParagraph"/>
        <w:numPr>
          <w:ilvl w:val="0"/>
          <w:numId w:val="5"/>
        </w:numPr>
        <w:spacing w:after="0" w:line="276" w:lineRule="auto"/>
        <w:ind w:left="851" w:hanging="284"/>
        <w:jc w:val="both"/>
        <w:rPr>
          <w:rFonts w:ascii="Times New Roman" w:hAnsi="Times New Roman" w:cs="Times New Roman"/>
          <w:sz w:val="24"/>
          <w:szCs w:val="24"/>
        </w:rPr>
      </w:pPr>
      <w:r w:rsidRPr="00674730">
        <w:rPr>
          <w:rFonts w:ascii="Times New Roman" w:hAnsi="Times New Roman" w:cs="Times New Roman"/>
          <w:sz w:val="24"/>
          <w:szCs w:val="24"/>
        </w:rPr>
        <w:t>i</w:t>
      </w:r>
      <w:r w:rsidRPr="00674730">
        <w:rPr>
          <w:rFonts w:ascii="Times New Roman" w:hAnsi="Times New Roman" w:cs="Times New Roman"/>
          <w:sz w:val="24"/>
          <w:szCs w:val="24"/>
        </w:rPr>
        <w:t xml:space="preserve">nformatīvo un publicitātes pasākumu nodrošināšana no </w:t>
      </w:r>
      <w:r w:rsidRPr="00674730" w:rsidR="00AD4681">
        <w:rPr>
          <w:rFonts w:ascii="Times New Roman" w:hAnsi="Times New Roman" w:cs="Times New Roman"/>
          <w:sz w:val="24"/>
          <w:szCs w:val="24"/>
        </w:rPr>
        <w:t xml:space="preserve">Atvieglojumu </w:t>
      </w:r>
      <w:r w:rsidRPr="00674730">
        <w:rPr>
          <w:rFonts w:ascii="Times New Roman" w:hAnsi="Times New Roman" w:cs="Times New Roman"/>
          <w:sz w:val="24"/>
          <w:szCs w:val="24"/>
        </w:rPr>
        <w:t>koplietošanas risinājuma izmantotāju puses.</w:t>
      </w:r>
    </w:p>
    <w:p w:rsidR="00C0340B" w:rsidRPr="00674730" w:rsidP="00631723" w14:paraId="2A50632A" w14:textId="77777777">
      <w:pPr>
        <w:spacing w:after="0" w:line="276" w:lineRule="auto"/>
        <w:contextualSpacing/>
        <w:jc w:val="both"/>
        <w:rPr>
          <w:rFonts w:ascii="Times New Roman" w:hAnsi="Times New Roman" w:cs="Times New Roman"/>
          <w:sz w:val="24"/>
          <w:szCs w:val="24"/>
        </w:rPr>
      </w:pPr>
    </w:p>
    <w:p w:rsidR="000E1231" w:rsidRPr="00674730" w:rsidP="00631723" w14:paraId="68F8FE7F" w14:textId="77777777">
      <w:pPr>
        <w:tabs>
          <w:tab w:val="left" w:pos="915"/>
          <w:tab w:val="left" w:pos="7935"/>
        </w:tabs>
        <w:spacing w:after="0" w:line="276" w:lineRule="auto"/>
        <w:contextualSpacing/>
        <w:jc w:val="both"/>
        <w:rPr>
          <w:rFonts w:ascii="Times New Roman" w:hAnsi="Times New Roman" w:cs="Times New Roman"/>
          <w:sz w:val="24"/>
          <w:szCs w:val="24"/>
        </w:rPr>
      </w:pPr>
      <w:r w:rsidRPr="00674730">
        <w:rPr>
          <w:rFonts w:ascii="Times New Roman" w:hAnsi="Times New Roman" w:cs="Times New Roman"/>
          <w:sz w:val="24"/>
          <w:szCs w:val="24"/>
        </w:rPr>
        <w:t>V</w:t>
      </w:r>
      <w:r w:rsidRPr="00674730" w:rsidR="00716E2C">
        <w:rPr>
          <w:rFonts w:ascii="Times New Roman" w:hAnsi="Times New Roman" w:cs="Times New Roman"/>
          <w:sz w:val="24"/>
          <w:szCs w:val="24"/>
        </w:rPr>
        <w:t>ides aizsardzības un reģionālās</w:t>
      </w:r>
      <w:r w:rsidRPr="00674730" w:rsidR="00C0340B">
        <w:rPr>
          <w:rFonts w:ascii="Times New Roman" w:hAnsi="Times New Roman" w:cs="Times New Roman"/>
          <w:sz w:val="24"/>
          <w:szCs w:val="24"/>
        </w:rPr>
        <w:t xml:space="preserve"> attīstības ministrs</w:t>
      </w:r>
      <w:r w:rsidRPr="00674730" w:rsidR="00C0340B">
        <w:rPr>
          <w:rFonts w:ascii="Times New Roman" w:hAnsi="Times New Roman" w:cs="Times New Roman"/>
          <w:sz w:val="24"/>
          <w:szCs w:val="24"/>
        </w:rPr>
        <w:tab/>
        <w:t>K.Gerhards</w:t>
      </w:r>
    </w:p>
    <w:p w:rsidR="00145B90" w:rsidRPr="00674730" w:rsidP="00631723" w14:paraId="33484FD7" w14:textId="77777777">
      <w:pPr>
        <w:spacing w:after="0" w:line="276" w:lineRule="auto"/>
        <w:contextualSpacing/>
        <w:jc w:val="both"/>
        <w:rPr>
          <w:rStyle w:val="FontStyle60"/>
          <w:sz w:val="24"/>
          <w:szCs w:val="24"/>
        </w:rPr>
      </w:pPr>
    </w:p>
    <w:p w:rsidR="007679F3" w:rsidRPr="00674730" w:rsidP="00631723" w14:paraId="782BAEB0" w14:textId="77777777">
      <w:pPr>
        <w:spacing w:after="0" w:line="276" w:lineRule="auto"/>
        <w:contextualSpacing/>
        <w:jc w:val="both"/>
        <w:rPr>
          <w:rStyle w:val="FontStyle60"/>
          <w:sz w:val="24"/>
          <w:szCs w:val="24"/>
        </w:rPr>
      </w:pPr>
    </w:p>
    <w:p w:rsidR="00D86FB3" w:rsidRPr="00674730" w:rsidP="00631723" w14:paraId="3ED98FFF" w14:textId="77777777">
      <w:pPr>
        <w:spacing w:after="0" w:line="276" w:lineRule="auto"/>
        <w:rPr>
          <w:rFonts w:ascii="Times New Roman" w:eastAsia="Times New Roman" w:hAnsi="Times New Roman" w:cs="Times New Roman"/>
          <w:sz w:val="24"/>
          <w:szCs w:val="24"/>
          <w:lang w:eastAsia="lv-LV"/>
        </w:rPr>
      </w:pPr>
      <w:r w:rsidRPr="00674730">
        <w:rPr>
          <w:rFonts w:ascii="Times New Roman" w:eastAsia="Times New Roman" w:hAnsi="Times New Roman" w:cs="Times New Roman"/>
          <w:sz w:val="24"/>
          <w:szCs w:val="24"/>
        </w:rPr>
        <w:t>Vīza:</w:t>
      </w:r>
    </w:p>
    <w:p w:rsidR="00D86FB3" w:rsidRPr="00674730" w:rsidP="00631723" w14:paraId="3B75FF6E" w14:textId="77777777">
      <w:pPr>
        <w:tabs>
          <w:tab w:val="left" w:pos="6521"/>
          <w:tab w:val="right" w:pos="8820"/>
        </w:tabs>
        <w:spacing w:after="0" w:line="276" w:lineRule="auto"/>
        <w:rPr>
          <w:rFonts w:ascii="Times New Roman" w:eastAsia="Times New Roman" w:hAnsi="Times New Roman" w:cs="Times New Roman"/>
          <w:sz w:val="24"/>
          <w:szCs w:val="24"/>
        </w:rPr>
      </w:pPr>
      <w:r w:rsidRPr="00674730">
        <w:rPr>
          <w:rFonts w:ascii="Times New Roman" w:eastAsia="Times New Roman" w:hAnsi="Times New Roman" w:cs="Times New Roman"/>
          <w:sz w:val="24"/>
          <w:szCs w:val="24"/>
        </w:rPr>
        <w:t xml:space="preserve">valsts sekretārs </w:t>
      </w:r>
      <w:r w:rsidRPr="00674730">
        <w:rPr>
          <w:rFonts w:ascii="Times New Roman" w:eastAsia="Times New Roman" w:hAnsi="Times New Roman" w:cs="Times New Roman"/>
          <w:sz w:val="24"/>
          <w:szCs w:val="24"/>
        </w:rPr>
        <w:tab/>
      </w:r>
      <w:r w:rsidRPr="00674730">
        <w:rPr>
          <w:rFonts w:ascii="Times New Roman" w:eastAsia="Times New Roman" w:hAnsi="Times New Roman" w:cs="Times New Roman"/>
          <w:sz w:val="24"/>
          <w:szCs w:val="24"/>
        </w:rPr>
        <w:tab/>
        <w:t>R. Muciņš</w:t>
      </w:r>
    </w:p>
    <w:p w:rsidR="00D86FB3" w:rsidRPr="00674730" w:rsidP="00631723" w14:paraId="38D4F7FA" w14:textId="77777777">
      <w:pPr>
        <w:tabs>
          <w:tab w:val="left" w:pos="6521"/>
          <w:tab w:val="right" w:pos="8820"/>
        </w:tabs>
        <w:spacing w:after="0" w:line="276" w:lineRule="auto"/>
        <w:rPr>
          <w:rFonts w:ascii="Times New Roman" w:eastAsia="Times New Roman" w:hAnsi="Times New Roman" w:cs="Times New Roman"/>
          <w:sz w:val="24"/>
          <w:szCs w:val="24"/>
        </w:rPr>
      </w:pPr>
    </w:p>
    <w:p w:rsidR="000405B7" w:rsidRPr="00674730" w:rsidP="00631723" w14:paraId="2FBC2055" w14:textId="77777777">
      <w:pPr>
        <w:tabs>
          <w:tab w:val="left" w:pos="6521"/>
          <w:tab w:val="right" w:pos="8820"/>
        </w:tabs>
        <w:spacing w:after="0" w:line="276" w:lineRule="auto"/>
        <w:rPr>
          <w:rFonts w:ascii="Times New Roman" w:eastAsia="Times New Roman" w:hAnsi="Times New Roman" w:cs="Times New Roman"/>
          <w:sz w:val="24"/>
          <w:szCs w:val="24"/>
        </w:rPr>
      </w:pPr>
    </w:p>
    <w:p w:rsidR="00E73CBA" w:rsidRPr="00674730" w:rsidP="00631723" w14:paraId="5D65CD5F" w14:textId="77777777">
      <w:pPr>
        <w:spacing w:after="0" w:line="276" w:lineRule="auto"/>
        <w:rPr>
          <w:rFonts w:ascii="Times New Roman" w:eastAsia="Times New Roman" w:hAnsi="Times New Roman" w:cs="Times New Roman"/>
          <w:sz w:val="20"/>
          <w:szCs w:val="24"/>
        </w:rPr>
      </w:pPr>
      <w:r w:rsidRPr="00674730">
        <w:rPr>
          <w:rFonts w:ascii="Times New Roman" w:eastAsia="Times New Roman" w:hAnsi="Times New Roman" w:cs="Times New Roman"/>
          <w:sz w:val="20"/>
          <w:szCs w:val="24"/>
        </w:rPr>
        <w:t>I.Sniega-Sniedziņa, 67026493</w:t>
      </w:r>
    </w:p>
    <w:p w:rsidR="00D31203" w:rsidRPr="00674730" w:rsidP="00631723" w14:paraId="2584A801" w14:textId="77777777">
      <w:pPr>
        <w:spacing w:after="0" w:line="276" w:lineRule="auto"/>
        <w:rPr>
          <w:rStyle w:val="Hyperlink"/>
          <w:rFonts w:ascii="Times New Roman" w:eastAsia="Times New Roman" w:hAnsi="Times New Roman" w:cs="Times New Roman"/>
          <w:color w:val="auto"/>
          <w:sz w:val="20"/>
          <w:szCs w:val="24"/>
        </w:rPr>
      </w:pPr>
      <w:r>
        <w:fldChar w:fldCharType="begin"/>
      </w:r>
      <w:r>
        <w:instrText xml:space="preserve"> HYPERLINK "mailto:ilze.sniega@varam.gov.lv" </w:instrText>
      </w:r>
      <w:r>
        <w:fldChar w:fldCharType="separate"/>
      </w:r>
      <w:r w:rsidRPr="00674730" w:rsidR="00E73CBA">
        <w:rPr>
          <w:rStyle w:val="Hyperlink"/>
          <w:rFonts w:ascii="Times New Roman" w:eastAsia="Times New Roman" w:hAnsi="Times New Roman" w:cs="Times New Roman"/>
          <w:color w:val="auto"/>
          <w:sz w:val="20"/>
          <w:szCs w:val="24"/>
        </w:rPr>
        <w:t>ilze.sniega@varam.gov.lv</w:t>
      </w:r>
      <w:r>
        <w:fldChar w:fldCharType="end"/>
      </w:r>
    </w:p>
    <w:p w:rsidR="00E73CBA" w:rsidRPr="00674730" w:rsidP="00631723" w14:paraId="1762A292" w14:textId="77777777">
      <w:pPr>
        <w:spacing w:after="0" w:line="276" w:lineRule="auto"/>
        <w:rPr>
          <w:rFonts w:ascii="Times New Roman" w:hAnsi="Times New Roman" w:cs="Times New Roman"/>
          <w:sz w:val="20"/>
          <w:szCs w:val="24"/>
          <w:lang w:eastAsia="lv-LV"/>
        </w:rPr>
      </w:pPr>
      <w:r w:rsidRPr="00674730">
        <w:rPr>
          <w:rFonts w:ascii="Times New Roman" w:eastAsia="Times New Roman" w:hAnsi="Times New Roman" w:cs="Times New Roman"/>
          <w:sz w:val="20"/>
          <w:szCs w:val="24"/>
        </w:rPr>
        <w:t xml:space="preserve">Z.Grūbe, </w:t>
      </w:r>
      <w:r w:rsidRPr="00674730">
        <w:rPr>
          <w:rFonts w:ascii="Times New Roman" w:hAnsi="Times New Roman" w:cs="Times New Roman"/>
          <w:sz w:val="20"/>
          <w:szCs w:val="24"/>
          <w:lang w:eastAsia="lv-LV"/>
        </w:rPr>
        <w:t>66164662</w:t>
      </w:r>
    </w:p>
    <w:p w:rsidR="00E73CBA" w:rsidRPr="00674730" w:rsidP="00B10D1D" w14:paraId="34BD9847" w14:textId="7011A479">
      <w:pPr>
        <w:spacing w:after="0" w:line="276" w:lineRule="auto"/>
        <w:rPr>
          <w:rStyle w:val="Hyperlink"/>
          <w:rFonts w:ascii="Times New Roman" w:eastAsia="Times New Roman" w:hAnsi="Times New Roman" w:cs="Times New Roman"/>
          <w:color w:val="auto"/>
          <w:sz w:val="20"/>
          <w:szCs w:val="24"/>
        </w:rPr>
      </w:pPr>
      <w:r>
        <w:fldChar w:fldCharType="begin"/>
      </w:r>
      <w:r>
        <w:instrText xml:space="preserve"> HYPERLINK "mailto:vards.uzvards@vraa.gov.lv" </w:instrText>
      </w:r>
      <w:r>
        <w:fldChar w:fldCharType="separate"/>
      </w:r>
      <w:r w:rsidRPr="00674730">
        <w:rPr>
          <w:rStyle w:val="Hyperlink"/>
          <w:rFonts w:ascii="Times New Roman" w:eastAsia="Times New Roman" w:hAnsi="Times New Roman" w:cs="Times New Roman"/>
          <w:color w:val="auto"/>
          <w:sz w:val="20"/>
          <w:szCs w:val="24"/>
        </w:rPr>
        <w:t>zigmars.grube@vraa.gov.lv</w:t>
      </w:r>
      <w:r>
        <w:fldChar w:fldCharType="end"/>
      </w:r>
    </w:p>
    <w:sectPr w:rsidSect="00826FE5">
      <w:footerReference w:type="default" r:id="rId7"/>
      <w:footerReference w:type="first" r:id="rId8"/>
      <w:pgSz w:w="11906" w:h="16838" w:code="9"/>
      <w:pgMar w:top="964" w:right="907" w:bottom="964" w:left="1531" w:header="624" w:footer="3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9241677"/>
      <w:docPartObj>
        <w:docPartGallery w:val="Page Numbers (Bottom of Page)"/>
        <w:docPartUnique/>
      </w:docPartObj>
    </w:sdtPr>
    <w:sdtEndPr>
      <w:rPr>
        <w:noProof/>
      </w:rPr>
    </w:sdtEndPr>
    <w:sdtContent>
      <w:p w:rsidR="00B55B66" w14:paraId="2BD8E4F3" w14:textId="77777777">
        <w:pPr>
          <w:pStyle w:val="Footer"/>
          <w:jc w:val="center"/>
        </w:pPr>
        <w:r w:rsidRPr="006330E9">
          <w:rPr>
            <w:rFonts w:ascii="Times New Roman" w:hAnsi="Times New Roman" w:cs="Times New Roman"/>
          </w:rPr>
          <w:fldChar w:fldCharType="begin"/>
        </w:r>
        <w:r w:rsidRPr="006330E9">
          <w:rPr>
            <w:rFonts w:ascii="Times New Roman" w:hAnsi="Times New Roman" w:cs="Times New Roman"/>
          </w:rPr>
          <w:instrText xml:space="preserve"> PAGE   \* MERGEFORMAT </w:instrText>
        </w:r>
        <w:r w:rsidRPr="006330E9">
          <w:rPr>
            <w:rFonts w:ascii="Times New Roman" w:hAnsi="Times New Roman" w:cs="Times New Roman"/>
          </w:rPr>
          <w:fldChar w:fldCharType="separate"/>
        </w:r>
        <w:r w:rsidR="00D81F0C">
          <w:rPr>
            <w:rFonts w:ascii="Times New Roman" w:hAnsi="Times New Roman" w:cs="Times New Roman"/>
            <w:noProof/>
          </w:rPr>
          <w:t>16</w:t>
        </w:r>
        <w:r w:rsidRPr="006330E9">
          <w:rPr>
            <w:rFonts w:ascii="Times New Roman" w:hAnsi="Times New Roman" w:cs="Times New Roman"/>
            <w:noProof/>
          </w:rPr>
          <w:fldChar w:fldCharType="end"/>
        </w:r>
      </w:p>
    </w:sdtContent>
  </w:sdt>
  <w:p w:rsidR="00B55B66" w:rsidRPr="00E00584" w:rsidP="00DE5E29" w14:paraId="3AD41652" w14:textId="3988BAE0">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VARAMinfozin_Atviegl_060318; Informatīvais ziņojums </w:t>
    </w:r>
    <w:r w:rsidRPr="00E37311">
      <w:rPr>
        <w:rFonts w:ascii="Times New Roman" w:hAnsi="Times New Roman" w:cs="Times New Roman"/>
        <w:sz w:val="20"/>
        <w:szCs w:val="20"/>
      </w:rPr>
      <w:t>“Par Atvieglojumu uzskaites koplietošanas risinājuma ieviešanu valsts un pašvaldību atvieglojumu administrēšanai“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B66" w:rsidRPr="00E00584" w:rsidP="00193F73" w14:paraId="40DEC034" w14:textId="641B83AC">
    <w:pPr>
      <w:pStyle w:val="Footer"/>
      <w:jc w:val="both"/>
      <w:rPr>
        <w:rFonts w:ascii="Times New Roman" w:hAnsi="Times New Roman" w:cs="Times New Roman"/>
        <w:sz w:val="20"/>
        <w:szCs w:val="20"/>
      </w:rPr>
    </w:pPr>
    <w:r>
      <w:rPr>
        <w:rFonts w:ascii="Times New Roman" w:hAnsi="Times New Roman" w:cs="Times New Roman"/>
        <w:sz w:val="20"/>
        <w:szCs w:val="20"/>
      </w:rPr>
      <w:t xml:space="preserve">VARAMinfozin_Atviegl_060318; Informatīvais ziņojums </w:t>
    </w:r>
    <w:r w:rsidRPr="00E37311">
      <w:rPr>
        <w:rFonts w:ascii="Times New Roman" w:hAnsi="Times New Roman" w:cs="Times New Roman"/>
        <w:sz w:val="20"/>
        <w:szCs w:val="20"/>
      </w:rPr>
      <w:t>“Par Atvieglojumu uzskaites koplietošanas risinājuma ieviešanu valsts un pašvaldību atvieglojumu</w:t>
    </w:r>
    <w:r>
      <w:rPr>
        <w:rFonts w:ascii="Times New Roman" w:hAnsi="Times New Roman" w:cs="Times New Roman"/>
        <w:sz w:val="20"/>
        <w:szCs w:val="20"/>
      </w:rPr>
      <w:t xml:space="preserve"> </w:t>
    </w:r>
    <w:r w:rsidRPr="00E37311">
      <w:rPr>
        <w:rFonts w:ascii="Times New Roman" w:hAnsi="Times New Roman" w:cs="Times New Roman"/>
        <w:sz w:val="20"/>
        <w:szCs w:val="20"/>
      </w:rPr>
      <w:t>administrēšanai“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B66" w:rsidP="004E1E83" w14:paraId="15EA7EC3" w14:textId="77777777">
      <w:pPr>
        <w:spacing w:after="0" w:line="240" w:lineRule="auto"/>
      </w:pPr>
      <w:r>
        <w:separator/>
      </w:r>
    </w:p>
  </w:footnote>
  <w:footnote w:type="continuationSeparator" w:id="1">
    <w:p w:rsidR="00B55B66" w:rsidP="004E1E83" w14:paraId="0C361FCC" w14:textId="77777777">
      <w:pPr>
        <w:spacing w:after="0" w:line="240" w:lineRule="auto"/>
      </w:pPr>
      <w:r>
        <w:continuationSeparator/>
      </w:r>
    </w:p>
  </w:footnote>
  <w:footnote w:type="continuationNotice" w:id="2">
    <w:p w:rsidR="00B55B66" w14:paraId="1169A074" w14:textId="77777777">
      <w:pPr>
        <w:spacing w:after="0" w:line="240" w:lineRule="auto"/>
      </w:pPr>
    </w:p>
  </w:footnote>
  <w:footnote w:id="3">
    <w:p w:rsidR="00B55B66" w14:paraId="46446561" w14:textId="597D6B69">
      <w:pPr>
        <w:pStyle w:val="FootnoteText"/>
      </w:pPr>
      <w:r>
        <w:rPr>
          <w:rStyle w:val="FootnoteReference"/>
        </w:rPr>
        <w:footnoteRef/>
      </w:r>
      <w:r>
        <w:t xml:space="preserve"> </w:t>
      </w:r>
      <w:r>
        <w:fldChar w:fldCharType="begin"/>
      </w:r>
      <w:r>
        <w:instrText xml:space="preserve"> HYPERLINK "http://www.lrvk.gov.lv/uploads/2017/07/valsts-paarvaldes-riiciiba-ar-uzkraato-informaaciju_05072017.pdf" </w:instrText>
      </w:r>
      <w:r>
        <w:fldChar w:fldCharType="separate"/>
      </w:r>
      <w:r w:rsidRPr="001B1C1C">
        <w:rPr>
          <w:rStyle w:val="Hyperlink"/>
        </w:rPr>
        <w:t>http://www.lrvk.gov.lv/uploads/2017/07/valsts-paarvaldes-riiciiba-ar-uzkraato-informaaciju_05072017.pdf</w:t>
      </w:r>
      <w:r>
        <w:fldChar w:fldCharType="end"/>
      </w:r>
      <w:r>
        <w:t xml:space="preserve"> , 8.lpp., 2017.gada jūlijs.</w:t>
      </w:r>
    </w:p>
  </w:footnote>
  <w:footnote w:id="4">
    <w:p w:rsidR="00B55B66" w14:paraId="54AE68C5" w14:textId="3F719EB4">
      <w:pPr>
        <w:pStyle w:val="FootnoteText"/>
      </w:pPr>
      <w:r>
        <w:rPr>
          <w:rStyle w:val="FootnoteReference"/>
        </w:rPr>
        <w:footnoteRef/>
      </w:r>
      <w:r>
        <w:t xml:space="preserve"> </w:t>
      </w:r>
      <w:r>
        <w:fldChar w:fldCharType="begin"/>
      </w:r>
      <w:r>
        <w:instrText xml:space="preserve"> HYPERLINK "http://www.lrvk.gov.lv/uploads/2017/07/valsts-paarvaldes-riiciiba-ar-uzkraato-informaaciju_05072017.pdf" </w:instrText>
      </w:r>
      <w:r>
        <w:fldChar w:fldCharType="separate"/>
      </w:r>
      <w:r w:rsidRPr="001B1C1C">
        <w:rPr>
          <w:rStyle w:val="Hyperlink"/>
        </w:rPr>
        <w:t>http://www.lrvk.gov.lv/uploads/2017/07/valsts-paarvaldes-riiciiba-ar-uzkraato-informaaciju_05072017.pdf</w:t>
      </w:r>
      <w:r>
        <w:fldChar w:fldCharType="end"/>
      </w:r>
      <w:r>
        <w:t xml:space="preserve"> , 9.lpp., 2017.gada jūlijs.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835821"/>
    <w:multiLevelType w:val="hybridMultilevel"/>
    <w:tmpl w:val="9CE81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1">
    <w:nsid w:val="0CB525AB"/>
    <w:multiLevelType w:val="hybridMultilevel"/>
    <w:tmpl w:val="CF185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1">
    <w:nsid w:val="0D4B31B6"/>
    <w:multiLevelType w:val="hybridMultilevel"/>
    <w:tmpl w:val="C4D22B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883250"/>
    <w:multiLevelType w:val="hybridMultilevel"/>
    <w:tmpl w:val="E82A35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4715BCC"/>
    <w:multiLevelType w:val="hybridMultilevel"/>
    <w:tmpl w:val="D8A6E3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B230C90"/>
    <w:multiLevelType w:val="hybridMultilevel"/>
    <w:tmpl w:val="F968A3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86F4B77"/>
    <w:multiLevelType w:val="hybridMultilevel"/>
    <w:tmpl w:val="CFEE79A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1">
    <w:nsid w:val="3C095CAE"/>
    <w:multiLevelType w:val="hybridMultilevel"/>
    <w:tmpl w:val="A1688F9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bullet"/>
      <w:lvlText w:val=""/>
      <w:lvlJc w:val="left"/>
      <w:pPr>
        <w:ind w:left="2586" w:hanging="180"/>
      </w:pPr>
      <w:rPr>
        <w:rFonts w:ascii="Wingdings" w:hAnsi="Wingding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 w15:restartNumberingAfterBreak="1">
    <w:nsid w:val="40177496"/>
    <w:multiLevelType w:val="hybridMultilevel"/>
    <w:tmpl w:val="3A982AF6"/>
    <w:lvl w:ilvl="0">
      <w:start w:val="1"/>
      <w:numFmt w:val="decimal"/>
      <w:lvlText w:val="%1)"/>
      <w:lvlJc w:val="left"/>
      <w:pPr>
        <w:ind w:left="144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1">
    <w:nsid w:val="43030138"/>
    <w:multiLevelType w:val="hybridMultilevel"/>
    <w:tmpl w:val="F33E2E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96B5D8E"/>
    <w:multiLevelType w:val="hybridMultilevel"/>
    <w:tmpl w:val="9B36EB3E"/>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2" w15:restartNumberingAfterBreak="1">
    <w:nsid w:val="54212D03"/>
    <w:multiLevelType w:val="hybridMultilevel"/>
    <w:tmpl w:val="075498FA"/>
    <w:lvl w:ilvl="0">
      <w:start w:val="1"/>
      <w:numFmt w:val="decimal"/>
      <w:lvlText w:val="%1)"/>
      <w:lvlJc w:val="left"/>
      <w:pPr>
        <w:ind w:left="1778" w:hanging="360"/>
      </w:p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3" w15:restartNumberingAfterBreak="1">
    <w:nsid w:val="6B7A0720"/>
    <w:multiLevelType w:val="hybridMultilevel"/>
    <w:tmpl w:val="1A3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1">
    <w:nsid w:val="7A252C66"/>
    <w:multiLevelType w:val="hybridMultilevel"/>
    <w:tmpl w:val="F62C8244"/>
    <w:lvl w:ilvl="0">
      <w:start w:val="1"/>
      <w:numFmt w:val="lowerLetter"/>
      <w:lvlText w:val="%1)"/>
      <w:lvlJc w:val="left"/>
      <w:pPr>
        <w:ind w:left="1495" w:hanging="360"/>
      </w:pPr>
      <w:rPr>
        <w:rFonts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15" w15:restartNumberingAfterBreak="1">
    <w:nsid w:val="7DB13FED"/>
    <w:multiLevelType w:val="hybridMultilevel"/>
    <w:tmpl w:val="3704265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2"/>
  </w:num>
  <w:num w:numId="2">
    <w:abstractNumId w:val="10"/>
  </w:num>
  <w:num w:numId="3">
    <w:abstractNumId w:val="11"/>
  </w:num>
  <w:num w:numId="4">
    <w:abstractNumId w:val="9"/>
  </w:num>
  <w:num w:numId="5">
    <w:abstractNumId w:val="4"/>
  </w:num>
  <w:num w:numId="6">
    <w:abstractNumId w:val="7"/>
  </w:num>
  <w:num w:numId="7">
    <w:abstractNumId w:val="14"/>
  </w:num>
  <w:num w:numId="8">
    <w:abstractNumId w:val="13"/>
  </w:num>
  <w:num w:numId="9">
    <w:abstractNumId w:val="15"/>
  </w:num>
  <w:num w:numId="10">
    <w:abstractNumId w:val="5"/>
  </w:num>
  <w:num w:numId="11">
    <w:abstractNumId w:val="8"/>
  </w:num>
  <w:num w:numId="12">
    <w:abstractNumId w:val="1"/>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0C"/>
    <w:rsid w:val="0000532A"/>
    <w:rsid w:val="00005AC2"/>
    <w:rsid w:val="00012A47"/>
    <w:rsid w:val="00013DA4"/>
    <w:rsid w:val="00013DEA"/>
    <w:rsid w:val="00023EC8"/>
    <w:rsid w:val="00025611"/>
    <w:rsid w:val="00031433"/>
    <w:rsid w:val="0003582B"/>
    <w:rsid w:val="000405B7"/>
    <w:rsid w:val="0006430D"/>
    <w:rsid w:val="00077368"/>
    <w:rsid w:val="0008067F"/>
    <w:rsid w:val="000835FE"/>
    <w:rsid w:val="000872FC"/>
    <w:rsid w:val="00091309"/>
    <w:rsid w:val="00095CE9"/>
    <w:rsid w:val="0009653C"/>
    <w:rsid w:val="000A1E5E"/>
    <w:rsid w:val="000A5643"/>
    <w:rsid w:val="000B2927"/>
    <w:rsid w:val="000B4ABA"/>
    <w:rsid w:val="000C4CB5"/>
    <w:rsid w:val="000E1231"/>
    <w:rsid w:val="000F016D"/>
    <w:rsid w:val="00103788"/>
    <w:rsid w:val="00107D20"/>
    <w:rsid w:val="001120D1"/>
    <w:rsid w:val="00115C50"/>
    <w:rsid w:val="00117C55"/>
    <w:rsid w:val="00130704"/>
    <w:rsid w:val="00132112"/>
    <w:rsid w:val="00145B90"/>
    <w:rsid w:val="001524F9"/>
    <w:rsid w:val="00155EBA"/>
    <w:rsid w:val="00177E8D"/>
    <w:rsid w:val="00185A6F"/>
    <w:rsid w:val="00193F73"/>
    <w:rsid w:val="001A70DC"/>
    <w:rsid w:val="001B071C"/>
    <w:rsid w:val="001B1C1C"/>
    <w:rsid w:val="001B320C"/>
    <w:rsid w:val="001B5958"/>
    <w:rsid w:val="001C226C"/>
    <w:rsid w:val="001C37B6"/>
    <w:rsid w:val="001C61F5"/>
    <w:rsid w:val="001D260D"/>
    <w:rsid w:val="001D52BB"/>
    <w:rsid w:val="001D6021"/>
    <w:rsid w:val="001D69C3"/>
    <w:rsid w:val="001F7D7D"/>
    <w:rsid w:val="002028B1"/>
    <w:rsid w:val="002057BB"/>
    <w:rsid w:val="002167F1"/>
    <w:rsid w:val="002203AC"/>
    <w:rsid w:val="00220854"/>
    <w:rsid w:val="0023011E"/>
    <w:rsid w:val="00246422"/>
    <w:rsid w:val="00246989"/>
    <w:rsid w:val="00254767"/>
    <w:rsid w:val="00255BA8"/>
    <w:rsid w:val="00260631"/>
    <w:rsid w:val="002630C9"/>
    <w:rsid w:val="0026574D"/>
    <w:rsid w:val="00266144"/>
    <w:rsid w:val="0026662D"/>
    <w:rsid w:val="00273E4E"/>
    <w:rsid w:val="0027790C"/>
    <w:rsid w:val="00283B2A"/>
    <w:rsid w:val="00285D54"/>
    <w:rsid w:val="00293EB4"/>
    <w:rsid w:val="002B02B2"/>
    <w:rsid w:val="002B21CD"/>
    <w:rsid w:val="002C0253"/>
    <w:rsid w:val="002C1380"/>
    <w:rsid w:val="002D326C"/>
    <w:rsid w:val="002E2154"/>
    <w:rsid w:val="002E395A"/>
    <w:rsid w:val="002E7662"/>
    <w:rsid w:val="002E7E9D"/>
    <w:rsid w:val="002F2585"/>
    <w:rsid w:val="002F537F"/>
    <w:rsid w:val="003018C3"/>
    <w:rsid w:val="003026C1"/>
    <w:rsid w:val="00303054"/>
    <w:rsid w:val="0031092C"/>
    <w:rsid w:val="00353348"/>
    <w:rsid w:val="00357A5C"/>
    <w:rsid w:val="00364283"/>
    <w:rsid w:val="00377558"/>
    <w:rsid w:val="003846EB"/>
    <w:rsid w:val="003909DA"/>
    <w:rsid w:val="003933FC"/>
    <w:rsid w:val="00395D0B"/>
    <w:rsid w:val="003A1AD2"/>
    <w:rsid w:val="003A3249"/>
    <w:rsid w:val="003A693D"/>
    <w:rsid w:val="003B072E"/>
    <w:rsid w:val="003B2969"/>
    <w:rsid w:val="003C0A6E"/>
    <w:rsid w:val="003C1F42"/>
    <w:rsid w:val="003C3464"/>
    <w:rsid w:val="003C7E0D"/>
    <w:rsid w:val="003D7738"/>
    <w:rsid w:val="003E6B55"/>
    <w:rsid w:val="003F1990"/>
    <w:rsid w:val="003F4A7C"/>
    <w:rsid w:val="003F6D9F"/>
    <w:rsid w:val="00404703"/>
    <w:rsid w:val="00410A37"/>
    <w:rsid w:val="004158D0"/>
    <w:rsid w:val="00416414"/>
    <w:rsid w:val="00424793"/>
    <w:rsid w:val="0044262F"/>
    <w:rsid w:val="00451517"/>
    <w:rsid w:val="00457993"/>
    <w:rsid w:val="00461146"/>
    <w:rsid w:val="00464186"/>
    <w:rsid w:val="00471CF3"/>
    <w:rsid w:val="00473EE3"/>
    <w:rsid w:val="00476F7D"/>
    <w:rsid w:val="00481652"/>
    <w:rsid w:val="00482086"/>
    <w:rsid w:val="00484F71"/>
    <w:rsid w:val="00493206"/>
    <w:rsid w:val="00494ACE"/>
    <w:rsid w:val="004B02C7"/>
    <w:rsid w:val="004C50D4"/>
    <w:rsid w:val="004C6DB5"/>
    <w:rsid w:val="004D4C67"/>
    <w:rsid w:val="004D5194"/>
    <w:rsid w:val="004E1E83"/>
    <w:rsid w:val="004F1A54"/>
    <w:rsid w:val="004F3DA5"/>
    <w:rsid w:val="004F6BE7"/>
    <w:rsid w:val="00501F34"/>
    <w:rsid w:val="005047C2"/>
    <w:rsid w:val="005123B4"/>
    <w:rsid w:val="00517F0D"/>
    <w:rsid w:val="005205A0"/>
    <w:rsid w:val="00525AF7"/>
    <w:rsid w:val="00527268"/>
    <w:rsid w:val="00545DD5"/>
    <w:rsid w:val="0055689E"/>
    <w:rsid w:val="0056427E"/>
    <w:rsid w:val="0057204C"/>
    <w:rsid w:val="00572978"/>
    <w:rsid w:val="00572C0E"/>
    <w:rsid w:val="00583EED"/>
    <w:rsid w:val="00584195"/>
    <w:rsid w:val="005A1596"/>
    <w:rsid w:val="005A1853"/>
    <w:rsid w:val="005A421D"/>
    <w:rsid w:val="005A7596"/>
    <w:rsid w:val="005B6932"/>
    <w:rsid w:val="005B6E61"/>
    <w:rsid w:val="005C1969"/>
    <w:rsid w:val="005C4B8A"/>
    <w:rsid w:val="005C58C1"/>
    <w:rsid w:val="005C627C"/>
    <w:rsid w:val="005D1534"/>
    <w:rsid w:val="005D302D"/>
    <w:rsid w:val="005D5FC0"/>
    <w:rsid w:val="005D6DB0"/>
    <w:rsid w:val="005E7EA7"/>
    <w:rsid w:val="005F2612"/>
    <w:rsid w:val="005F4F34"/>
    <w:rsid w:val="006072B3"/>
    <w:rsid w:val="006125A9"/>
    <w:rsid w:val="00617DAA"/>
    <w:rsid w:val="00625F29"/>
    <w:rsid w:val="00631723"/>
    <w:rsid w:val="00631FE5"/>
    <w:rsid w:val="0063302C"/>
    <w:rsid w:val="006330E9"/>
    <w:rsid w:val="00635481"/>
    <w:rsid w:val="00635784"/>
    <w:rsid w:val="00647FA3"/>
    <w:rsid w:val="00652239"/>
    <w:rsid w:val="0065288C"/>
    <w:rsid w:val="00654E26"/>
    <w:rsid w:val="006659E9"/>
    <w:rsid w:val="00667701"/>
    <w:rsid w:val="00674666"/>
    <w:rsid w:val="00674730"/>
    <w:rsid w:val="00677E4D"/>
    <w:rsid w:val="00693576"/>
    <w:rsid w:val="00693F86"/>
    <w:rsid w:val="006A29A1"/>
    <w:rsid w:val="006A4F95"/>
    <w:rsid w:val="006A6479"/>
    <w:rsid w:val="006C3497"/>
    <w:rsid w:val="006C5A18"/>
    <w:rsid w:val="006D6706"/>
    <w:rsid w:val="006D794B"/>
    <w:rsid w:val="007055D3"/>
    <w:rsid w:val="00716E2C"/>
    <w:rsid w:val="007237D0"/>
    <w:rsid w:val="00726432"/>
    <w:rsid w:val="00731E4C"/>
    <w:rsid w:val="00732EB6"/>
    <w:rsid w:val="0073500A"/>
    <w:rsid w:val="007404DE"/>
    <w:rsid w:val="00745722"/>
    <w:rsid w:val="007457C1"/>
    <w:rsid w:val="00754402"/>
    <w:rsid w:val="00760E40"/>
    <w:rsid w:val="007679F3"/>
    <w:rsid w:val="00770EAE"/>
    <w:rsid w:val="00770F25"/>
    <w:rsid w:val="00773FFE"/>
    <w:rsid w:val="00777635"/>
    <w:rsid w:val="00794745"/>
    <w:rsid w:val="007A54ED"/>
    <w:rsid w:val="007C3AD6"/>
    <w:rsid w:val="007C7383"/>
    <w:rsid w:val="007E51B4"/>
    <w:rsid w:val="007E53EC"/>
    <w:rsid w:val="007E6F03"/>
    <w:rsid w:val="007E7F4E"/>
    <w:rsid w:val="007F685E"/>
    <w:rsid w:val="00805B0B"/>
    <w:rsid w:val="008172DC"/>
    <w:rsid w:val="00826FE5"/>
    <w:rsid w:val="008336B9"/>
    <w:rsid w:val="00844097"/>
    <w:rsid w:val="00844FC1"/>
    <w:rsid w:val="0085314A"/>
    <w:rsid w:val="008535A6"/>
    <w:rsid w:val="0085647A"/>
    <w:rsid w:val="008652F1"/>
    <w:rsid w:val="00867FB2"/>
    <w:rsid w:val="0088184E"/>
    <w:rsid w:val="00881D6D"/>
    <w:rsid w:val="00882042"/>
    <w:rsid w:val="00893CAD"/>
    <w:rsid w:val="008973C7"/>
    <w:rsid w:val="008A0525"/>
    <w:rsid w:val="008A3690"/>
    <w:rsid w:val="008A5A64"/>
    <w:rsid w:val="008A5F62"/>
    <w:rsid w:val="008B6437"/>
    <w:rsid w:val="008C658A"/>
    <w:rsid w:val="008E54A1"/>
    <w:rsid w:val="008F02DE"/>
    <w:rsid w:val="008F408D"/>
    <w:rsid w:val="008F417F"/>
    <w:rsid w:val="008F5542"/>
    <w:rsid w:val="008F5E19"/>
    <w:rsid w:val="00900D76"/>
    <w:rsid w:val="0090271D"/>
    <w:rsid w:val="00902AD1"/>
    <w:rsid w:val="0090563E"/>
    <w:rsid w:val="00906B32"/>
    <w:rsid w:val="009131DB"/>
    <w:rsid w:val="009246B7"/>
    <w:rsid w:val="009254A9"/>
    <w:rsid w:val="00926C61"/>
    <w:rsid w:val="00927424"/>
    <w:rsid w:val="00943294"/>
    <w:rsid w:val="00943AAC"/>
    <w:rsid w:val="0094414A"/>
    <w:rsid w:val="00971681"/>
    <w:rsid w:val="00973EF9"/>
    <w:rsid w:val="009744C7"/>
    <w:rsid w:val="00985AB9"/>
    <w:rsid w:val="00985E4B"/>
    <w:rsid w:val="0099323F"/>
    <w:rsid w:val="00994A62"/>
    <w:rsid w:val="009A13C5"/>
    <w:rsid w:val="009A15B4"/>
    <w:rsid w:val="009A1A65"/>
    <w:rsid w:val="009A3377"/>
    <w:rsid w:val="009A4ED9"/>
    <w:rsid w:val="009A58E6"/>
    <w:rsid w:val="009A6E96"/>
    <w:rsid w:val="009B112C"/>
    <w:rsid w:val="009B1C13"/>
    <w:rsid w:val="009B4728"/>
    <w:rsid w:val="009B75F3"/>
    <w:rsid w:val="00A22D57"/>
    <w:rsid w:val="00A3685D"/>
    <w:rsid w:val="00A401C5"/>
    <w:rsid w:val="00A41D2F"/>
    <w:rsid w:val="00A5116E"/>
    <w:rsid w:val="00A55490"/>
    <w:rsid w:val="00A55924"/>
    <w:rsid w:val="00A60755"/>
    <w:rsid w:val="00A608A4"/>
    <w:rsid w:val="00A65435"/>
    <w:rsid w:val="00A66651"/>
    <w:rsid w:val="00A802ED"/>
    <w:rsid w:val="00A9023D"/>
    <w:rsid w:val="00AA2112"/>
    <w:rsid w:val="00AB06C6"/>
    <w:rsid w:val="00AB7542"/>
    <w:rsid w:val="00AC0187"/>
    <w:rsid w:val="00AC27C3"/>
    <w:rsid w:val="00AC61B7"/>
    <w:rsid w:val="00AD4681"/>
    <w:rsid w:val="00AE00A9"/>
    <w:rsid w:val="00AE607A"/>
    <w:rsid w:val="00AF0993"/>
    <w:rsid w:val="00B016EC"/>
    <w:rsid w:val="00B05662"/>
    <w:rsid w:val="00B06443"/>
    <w:rsid w:val="00B103AD"/>
    <w:rsid w:val="00B10AE3"/>
    <w:rsid w:val="00B10D1D"/>
    <w:rsid w:val="00B1256E"/>
    <w:rsid w:val="00B14F56"/>
    <w:rsid w:val="00B23AEA"/>
    <w:rsid w:val="00B25BD4"/>
    <w:rsid w:val="00B33B38"/>
    <w:rsid w:val="00B35055"/>
    <w:rsid w:val="00B35FBE"/>
    <w:rsid w:val="00B36C6C"/>
    <w:rsid w:val="00B55B66"/>
    <w:rsid w:val="00B55C22"/>
    <w:rsid w:val="00B5781B"/>
    <w:rsid w:val="00B578A0"/>
    <w:rsid w:val="00B61E45"/>
    <w:rsid w:val="00B653C8"/>
    <w:rsid w:val="00B66EC8"/>
    <w:rsid w:val="00B70697"/>
    <w:rsid w:val="00B721D6"/>
    <w:rsid w:val="00B738A8"/>
    <w:rsid w:val="00B76682"/>
    <w:rsid w:val="00B76AED"/>
    <w:rsid w:val="00B875F3"/>
    <w:rsid w:val="00B92028"/>
    <w:rsid w:val="00B92B0A"/>
    <w:rsid w:val="00BB6EDD"/>
    <w:rsid w:val="00BC1C53"/>
    <w:rsid w:val="00BD2AFA"/>
    <w:rsid w:val="00BD2D1D"/>
    <w:rsid w:val="00BF10EC"/>
    <w:rsid w:val="00C0340B"/>
    <w:rsid w:val="00C1179C"/>
    <w:rsid w:val="00C1527D"/>
    <w:rsid w:val="00C166F9"/>
    <w:rsid w:val="00C2474E"/>
    <w:rsid w:val="00C45473"/>
    <w:rsid w:val="00C4743F"/>
    <w:rsid w:val="00C52ABA"/>
    <w:rsid w:val="00C61C34"/>
    <w:rsid w:val="00C64C98"/>
    <w:rsid w:val="00C85235"/>
    <w:rsid w:val="00C870F5"/>
    <w:rsid w:val="00CB321A"/>
    <w:rsid w:val="00CB72F7"/>
    <w:rsid w:val="00CC23C8"/>
    <w:rsid w:val="00CC3F0B"/>
    <w:rsid w:val="00CC5CF2"/>
    <w:rsid w:val="00CD2196"/>
    <w:rsid w:val="00CD21F3"/>
    <w:rsid w:val="00CD46A5"/>
    <w:rsid w:val="00CE3915"/>
    <w:rsid w:val="00CE4F8C"/>
    <w:rsid w:val="00CE55BB"/>
    <w:rsid w:val="00CF2C70"/>
    <w:rsid w:val="00CF6826"/>
    <w:rsid w:val="00D268FD"/>
    <w:rsid w:val="00D31203"/>
    <w:rsid w:val="00D327CE"/>
    <w:rsid w:val="00D334E5"/>
    <w:rsid w:val="00D3465A"/>
    <w:rsid w:val="00D37065"/>
    <w:rsid w:val="00D37C73"/>
    <w:rsid w:val="00D417FC"/>
    <w:rsid w:val="00D4535F"/>
    <w:rsid w:val="00D70B4D"/>
    <w:rsid w:val="00D81F0C"/>
    <w:rsid w:val="00D83379"/>
    <w:rsid w:val="00D86FB3"/>
    <w:rsid w:val="00D90945"/>
    <w:rsid w:val="00D95293"/>
    <w:rsid w:val="00D9550A"/>
    <w:rsid w:val="00D97E2D"/>
    <w:rsid w:val="00DA7455"/>
    <w:rsid w:val="00DC1300"/>
    <w:rsid w:val="00DC2FFC"/>
    <w:rsid w:val="00DE5E29"/>
    <w:rsid w:val="00DF47FE"/>
    <w:rsid w:val="00E00584"/>
    <w:rsid w:val="00E00B8C"/>
    <w:rsid w:val="00E03452"/>
    <w:rsid w:val="00E05A1C"/>
    <w:rsid w:val="00E10452"/>
    <w:rsid w:val="00E11460"/>
    <w:rsid w:val="00E151C6"/>
    <w:rsid w:val="00E20265"/>
    <w:rsid w:val="00E20E72"/>
    <w:rsid w:val="00E2490C"/>
    <w:rsid w:val="00E37311"/>
    <w:rsid w:val="00E40F89"/>
    <w:rsid w:val="00E42F08"/>
    <w:rsid w:val="00E455B9"/>
    <w:rsid w:val="00E50A1C"/>
    <w:rsid w:val="00E53643"/>
    <w:rsid w:val="00E72AF3"/>
    <w:rsid w:val="00E73CBA"/>
    <w:rsid w:val="00E831B7"/>
    <w:rsid w:val="00E84502"/>
    <w:rsid w:val="00EA2511"/>
    <w:rsid w:val="00EA3A61"/>
    <w:rsid w:val="00EA664E"/>
    <w:rsid w:val="00EB20E8"/>
    <w:rsid w:val="00EC0BD1"/>
    <w:rsid w:val="00EC4BB8"/>
    <w:rsid w:val="00EC543A"/>
    <w:rsid w:val="00ED718D"/>
    <w:rsid w:val="00EE284E"/>
    <w:rsid w:val="00EE48E3"/>
    <w:rsid w:val="00EF12C5"/>
    <w:rsid w:val="00F03DBA"/>
    <w:rsid w:val="00F10D30"/>
    <w:rsid w:val="00F1575F"/>
    <w:rsid w:val="00F16493"/>
    <w:rsid w:val="00F27FEB"/>
    <w:rsid w:val="00F32A0F"/>
    <w:rsid w:val="00F373D4"/>
    <w:rsid w:val="00F4404E"/>
    <w:rsid w:val="00F4437E"/>
    <w:rsid w:val="00F50F7E"/>
    <w:rsid w:val="00F514EF"/>
    <w:rsid w:val="00F55451"/>
    <w:rsid w:val="00F609F6"/>
    <w:rsid w:val="00F62F9A"/>
    <w:rsid w:val="00F65F16"/>
    <w:rsid w:val="00F660A3"/>
    <w:rsid w:val="00F701F2"/>
    <w:rsid w:val="00F838CA"/>
    <w:rsid w:val="00F84A83"/>
    <w:rsid w:val="00F85369"/>
    <w:rsid w:val="00F915C8"/>
    <w:rsid w:val="00F932F7"/>
    <w:rsid w:val="00FA0927"/>
    <w:rsid w:val="00FA12F4"/>
    <w:rsid w:val="00FA20DE"/>
    <w:rsid w:val="00FA7FCF"/>
    <w:rsid w:val="00FC2B8A"/>
    <w:rsid w:val="00FC5988"/>
    <w:rsid w:val="00FC6D15"/>
    <w:rsid w:val="00FE6D30"/>
    <w:rsid w:val="00FF421A"/>
    <w:rsid w:val="00FF447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9A"/>
  </w:style>
  <w:style w:type="paragraph" w:styleId="Heading1">
    <w:name w:val="heading 1"/>
    <w:basedOn w:val="Normal"/>
    <w:next w:val="Normal"/>
    <w:link w:val="Heading1Char"/>
    <w:uiPriority w:val="9"/>
    <w:qFormat/>
    <w:rsid w:val="00693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67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E141D"/>
    <w:pPr>
      <w:keepNext/>
      <w:keepLines/>
      <w:spacing w:before="200" w:after="0" w:line="276" w:lineRule="auto"/>
      <w:outlineLvl w:val="2"/>
    </w:pPr>
    <w:rPr>
      <w:rFonts w:ascii="Times New Roman" w:hAnsi="Times New Roman" w:eastAsiaTheme="majorEastAsia" w:cstheme="majorBidi"/>
      <w:b/>
      <w:bCs/>
      <w:i/>
      <w:sz w:val="24"/>
    </w:rPr>
  </w:style>
  <w:style w:type="paragraph" w:styleId="Heading4">
    <w:name w:val="heading 4"/>
    <w:basedOn w:val="Normal"/>
    <w:next w:val="Normal"/>
    <w:link w:val="Heading4Char"/>
    <w:uiPriority w:val="9"/>
    <w:semiHidden/>
    <w:unhideWhenUsed/>
    <w:qFormat/>
    <w:rsid w:val="006D67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Colorful List - Accent 11,Dot pt,F5 List Paragraph,IFCL - List Paragraph,Indicator Text,List Paragraph Char Char Char,List Paragraph12,MAIN CONTENT,No Spacing1,Numbered Para 1,OBC Bullet,Strip"/>
    <w:basedOn w:val="Normal"/>
    <w:link w:val="ListParagraphChar"/>
    <w:uiPriority w:val="34"/>
    <w:qFormat/>
    <w:rsid w:val="00992114"/>
    <w:pPr>
      <w:ind w:left="720"/>
      <w:contextualSpacing/>
    </w:pPr>
  </w:style>
  <w:style w:type="paragraph" w:customStyle="1" w:styleId="Style8">
    <w:name w:val="Style8"/>
    <w:basedOn w:val="Normal"/>
    <w:uiPriority w:val="99"/>
    <w:rsid w:val="00CA7C18"/>
    <w:pPr>
      <w:widowControl w:val="0"/>
      <w:autoSpaceDE w:val="0"/>
      <w:autoSpaceDN w:val="0"/>
      <w:adjustRightInd w:val="0"/>
      <w:spacing w:after="0" w:line="274" w:lineRule="exact"/>
      <w:ind w:hanging="355"/>
      <w:jc w:val="both"/>
    </w:pPr>
    <w:rPr>
      <w:rFonts w:ascii="Times New Roman" w:hAnsi="Times New Roman" w:eastAsiaTheme="minorEastAsia" w:cs="DokChampa"/>
      <w:sz w:val="24"/>
      <w:szCs w:val="24"/>
      <w:lang w:eastAsia="lv-LV" w:bidi="lo-LA"/>
    </w:rPr>
  </w:style>
  <w:style w:type="paragraph" w:customStyle="1" w:styleId="Style9">
    <w:name w:val="Style9"/>
    <w:basedOn w:val="Normal"/>
    <w:uiPriority w:val="99"/>
    <w:rsid w:val="00CA7C18"/>
    <w:pPr>
      <w:widowControl w:val="0"/>
      <w:autoSpaceDE w:val="0"/>
      <w:autoSpaceDN w:val="0"/>
      <w:adjustRightInd w:val="0"/>
      <w:spacing w:after="0" w:line="269" w:lineRule="exact"/>
      <w:jc w:val="both"/>
    </w:pPr>
    <w:rPr>
      <w:rFonts w:ascii="Times New Roman" w:hAnsi="Times New Roman" w:eastAsiaTheme="minorEastAsia" w:cs="DokChampa"/>
      <w:sz w:val="24"/>
      <w:szCs w:val="24"/>
      <w:lang w:eastAsia="lv-LV" w:bidi="lo-LA"/>
    </w:rPr>
  </w:style>
  <w:style w:type="character" w:customStyle="1" w:styleId="FontStyle60">
    <w:name w:val="Font Style60"/>
    <w:basedOn w:val="DefaultParagraphFont"/>
    <w:uiPriority w:val="99"/>
    <w:rsid w:val="00CA7C18"/>
    <w:rPr>
      <w:rFonts w:ascii="Times New Roman" w:hAnsi="Times New Roman" w:cs="Times New Roman"/>
      <w:sz w:val="22"/>
      <w:szCs w:val="22"/>
    </w:rPr>
  </w:style>
  <w:style w:type="paragraph" w:customStyle="1" w:styleId="tv213">
    <w:name w:val="tv213"/>
    <w:basedOn w:val="Normal"/>
    <w:rsid w:val="00712B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E141D"/>
    <w:rPr>
      <w:rFonts w:ascii="Times New Roman" w:hAnsi="Times New Roman" w:eastAsiaTheme="majorEastAsia" w:cstheme="majorBidi"/>
      <w:b/>
      <w:bCs/>
      <w:i/>
      <w:sz w:val="24"/>
    </w:rPr>
  </w:style>
  <w:style w:type="paragraph" w:styleId="CommentText">
    <w:name w:val="annotation text"/>
    <w:basedOn w:val="Normal"/>
    <w:link w:val="CommentTextChar"/>
    <w:uiPriority w:val="99"/>
    <w:unhideWhenUsed/>
    <w:rsid w:val="00394221"/>
    <w:pPr>
      <w:spacing w:after="200" w:line="240" w:lineRule="auto"/>
    </w:pPr>
    <w:rPr>
      <w:sz w:val="20"/>
      <w:szCs w:val="20"/>
    </w:rPr>
  </w:style>
  <w:style w:type="character" w:customStyle="1" w:styleId="CommentTextChar">
    <w:name w:val="Comment Text Char"/>
    <w:basedOn w:val="DefaultParagraphFont"/>
    <w:link w:val="CommentText"/>
    <w:uiPriority w:val="99"/>
    <w:rsid w:val="00394221"/>
    <w:rPr>
      <w:sz w:val="20"/>
      <w:szCs w:val="20"/>
    </w:rPr>
  </w:style>
  <w:style w:type="paragraph" w:styleId="Header">
    <w:name w:val="header"/>
    <w:basedOn w:val="Normal"/>
    <w:link w:val="HeaderChar"/>
    <w:uiPriority w:val="99"/>
    <w:unhideWhenUsed/>
    <w:rsid w:val="003942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221"/>
  </w:style>
  <w:style w:type="paragraph" w:styleId="Footer">
    <w:name w:val="footer"/>
    <w:basedOn w:val="Normal"/>
    <w:link w:val="FooterChar"/>
    <w:uiPriority w:val="99"/>
    <w:unhideWhenUsed/>
    <w:rsid w:val="003942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221"/>
  </w:style>
  <w:style w:type="character" w:styleId="Hyperlink">
    <w:name w:val="Hyperlink"/>
    <w:basedOn w:val="DefaultParagraphFont"/>
    <w:uiPriority w:val="99"/>
    <w:unhideWhenUsed/>
    <w:rsid w:val="00B751FD"/>
    <w:rPr>
      <w:color w:val="0000FF"/>
      <w:u w:val="single"/>
    </w:rPr>
  </w:style>
  <w:style w:type="paragraph" w:customStyle="1" w:styleId="Default">
    <w:name w:val="Default"/>
    <w:rsid w:val="005822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7F97"/>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F97"/>
    <w:pPr>
      <w:spacing w:after="0" w:line="240" w:lineRule="auto"/>
    </w:pPr>
    <w:rPr>
      <w:rFonts w:ascii="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07F97"/>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07F97"/>
    <w:rPr>
      <w:vertAlign w:val="superscript"/>
    </w:rPr>
  </w:style>
  <w:style w:type="character" w:styleId="CommentReference">
    <w:name w:val="annotation reference"/>
    <w:basedOn w:val="DefaultParagraphFont"/>
    <w:uiPriority w:val="99"/>
    <w:semiHidden/>
    <w:unhideWhenUsed/>
    <w:rsid w:val="00C46DC6"/>
    <w:rPr>
      <w:sz w:val="16"/>
      <w:szCs w:val="16"/>
    </w:rPr>
  </w:style>
  <w:style w:type="paragraph" w:styleId="CommentSubject">
    <w:name w:val="annotation subject"/>
    <w:basedOn w:val="CommentText"/>
    <w:next w:val="CommentText"/>
    <w:link w:val="CommentSubjectChar"/>
    <w:uiPriority w:val="99"/>
    <w:semiHidden/>
    <w:unhideWhenUsed/>
    <w:rsid w:val="00C46DC6"/>
    <w:pPr>
      <w:spacing w:after="160"/>
    </w:pPr>
    <w:rPr>
      <w:b/>
      <w:bCs/>
    </w:rPr>
  </w:style>
  <w:style w:type="character" w:customStyle="1" w:styleId="CommentSubjectChar">
    <w:name w:val="Comment Subject Char"/>
    <w:basedOn w:val="CommentTextChar"/>
    <w:link w:val="CommentSubject"/>
    <w:uiPriority w:val="99"/>
    <w:semiHidden/>
    <w:rsid w:val="00C46DC6"/>
    <w:rPr>
      <w:b/>
      <w:bCs/>
      <w:sz w:val="20"/>
      <w:szCs w:val="20"/>
    </w:rPr>
  </w:style>
  <w:style w:type="paragraph" w:styleId="BalloonText">
    <w:name w:val="Balloon Text"/>
    <w:basedOn w:val="Normal"/>
    <w:link w:val="BalloonTextChar"/>
    <w:uiPriority w:val="99"/>
    <w:semiHidden/>
    <w:unhideWhenUsed/>
    <w:rsid w:val="00C4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C6"/>
    <w:rPr>
      <w:rFonts w:ascii="Tahoma" w:hAnsi="Tahoma" w:cs="Tahoma"/>
      <w:sz w:val="16"/>
      <w:szCs w:val="16"/>
    </w:rPr>
  </w:style>
  <w:style w:type="character" w:styleId="FollowedHyperlink">
    <w:name w:val="FollowedHyperlink"/>
    <w:basedOn w:val="DefaultParagraphFont"/>
    <w:uiPriority w:val="99"/>
    <w:semiHidden/>
    <w:unhideWhenUsed/>
    <w:rsid w:val="00637A60"/>
    <w:rPr>
      <w:color w:val="954F72" w:themeColor="followedHyperlink"/>
      <w:u w:val="single"/>
    </w:rPr>
  </w:style>
  <w:style w:type="table" w:customStyle="1" w:styleId="TableGrid1">
    <w:name w:val="Table Grid1"/>
    <w:basedOn w:val="TableNormal"/>
    <w:next w:val="TableGrid"/>
    <w:uiPriority w:val="59"/>
    <w:rsid w:val="000E3F25"/>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C6700"/>
    <w:rPr>
      <w:rFonts w:asciiTheme="majorHAnsi" w:eastAsiaTheme="majorEastAsia" w:hAnsiTheme="majorHAnsi" w:cstheme="majorBidi"/>
      <w:b/>
      <w:bCs/>
      <w:color w:val="5B9BD5" w:themeColor="accent1"/>
      <w:sz w:val="26"/>
      <w:szCs w:val="26"/>
    </w:rPr>
  </w:style>
  <w:style w:type="table" w:customStyle="1" w:styleId="TableGrid11">
    <w:name w:val="Table Grid11"/>
    <w:basedOn w:val="TableNormal"/>
    <w:next w:val="TableGrid"/>
    <w:uiPriority w:val="59"/>
    <w:rsid w:val="00860CD1"/>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011"/>
    <w:pPr>
      <w:spacing w:after="0" w:line="240" w:lineRule="auto"/>
    </w:pPr>
  </w:style>
  <w:style w:type="character" w:customStyle="1" w:styleId="spelle">
    <w:name w:val="spelle"/>
    <w:basedOn w:val="DefaultParagraphFont"/>
    <w:rsid w:val="00107D20"/>
  </w:style>
  <w:style w:type="paragraph" w:customStyle="1" w:styleId="PAMATTEKSTS">
    <w:name w:val="PAMATTEKSTS"/>
    <w:basedOn w:val="Normal"/>
    <w:rsid w:val="00E03452"/>
    <w:pPr>
      <w:overflowPunct w:val="0"/>
      <w:autoSpaceDE w:val="0"/>
      <w:autoSpaceDN w:val="0"/>
      <w:adjustRightInd w:val="0"/>
      <w:spacing w:after="0" w:line="360" w:lineRule="auto"/>
      <w:ind w:firstLine="284"/>
      <w:textAlignment w:val="baseline"/>
    </w:pPr>
    <w:rPr>
      <w:rFonts w:ascii="Times New Roman" w:eastAsia="Times New Roman" w:hAnsi="Times New Roman" w:cs="Times New Roman"/>
      <w:sz w:val="24"/>
      <w:szCs w:val="20"/>
      <w:lang w:val="en-US"/>
    </w:rPr>
  </w:style>
  <w:style w:type="character" w:customStyle="1" w:styleId="ListParagraphChar">
    <w:name w:val="List Paragraph Char"/>
    <w:aliases w:val="2 Char,Bullet 1 Char,Bullet Points Char,Dot pt Char,IFCL - List Paragraph Char,Indicator Text Char,List Paragraph Char Char Char Char,List Paragraph12 Char,MAIN CONTENT Char,No Spacing1 Char,Numbered Para 1 Char,Strip Char"/>
    <w:link w:val="ListParagraph"/>
    <w:uiPriority w:val="34"/>
    <w:qFormat/>
    <w:locked/>
    <w:rsid w:val="00E03452"/>
  </w:style>
  <w:style w:type="paragraph" w:styleId="BodyTextIndent">
    <w:name w:val="Body Text Indent"/>
    <w:basedOn w:val="Normal"/>
    <w:link w:val="BodyTextIndentChar"/>
    <w:uiPriority w:val="99"/>
    <w:semiHidden/>
    <w:unhideWhenUsed/>
    <w:rsid w:val="00145B90"/>
    <w:pPr>
      <w:spacing w:before="120"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145B90"/>
    <w:rPr>
      <w:rFonts w:ascii="Times New Roman" w:eastAsia="Times New Roman" w:hAnsi="Times New Roman" w:cs="Times New Roman"/>
      <w:sz w:val="20"/>
      <w:szCs w:val="20"/>
    </w:rPr>
  </w:style>
  <w:style w:type="paragraph" w:customStyle="1" w:styleId="tvhtml">
    <w:name w:val="tv_html"/>
    <w:basedOn w:val="Normal"/>
    <w:rsid w:val="00145B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F660A3"/>
  </w:style>
  <w:style w:type="paragraph" w:customStyle="1" w:styleId="b">
    <w:name w:val="b"/>
    <w:basedOn w:val="Normal"/>
    <w:uiPriority w:val="99"/>
    <w:rsid w:val="00B66EC8"/>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character" w:customStyle="1" w:styleId="Heading1Char">
    <w:name w:val="Heading 1 Char"/>
    <w:basedOn w:val="DefaultParagraphFont"/>
    <w:link w:val="Heading1"/>
    <w:uiPriority w:val="9"/>
    <w:rsid w:val="006935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3576"/>
    <w:pPr>
      <w:outlineLvl w:val="9"/>
    </w:pPr>
    <w:rPr>
      <w:lang w:val="en-US"/>
    </w:rPr>
  </w:style>
  <w:style w:type="paragraph" w:styleId="TOC1">
    <w:name w:val="toc 1"/>
    <w:basedOn w:val="Normal"/>
    <w:next w:val="Normal"/>
    <w:autoRedefine/>
    <w:uiPriority w:val="39"/>
    <w:unhideWhenUsed/>
    <w:rsid w:val="00693576"/>
    <w:pPr>
      <w:spacing w:after="100"/>
    </w:pPr>
  </w:style>
  <w:style w:type="paragraph" w:customStyle="1" w:styleId="naisnod">
    <w:name w:val="naisnod"/>
    <w:basedOn w:val="Normal"/>
    <w:rsid w:val="008F02DE"/>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
    <w:name w:val="Unresolved Mention"/>
    <w:basedOn w:val="DefaultParagraphFont"/>
    <w:uiPriority w:val="99"/>
    <w:semiHidden/>
    <w:unhideWhenUsed/>
    <w:rsid w:val="00631FE5"/>
    <w:rPr>
      <w:color w:val="808080"/>
      <w:shd w:val="clear" w:color="auto" w:fill="E6E6E6"/>
    </w:rPr>
  </w:style>
  <w:style w:type="character" w:customStyle="1" w:styleId="Heading4Char">
    <w:name w:val="Heading 4 Char"/>
    <w:basedOn w:val="DefaultParagraphFont"/>
    <w:link w:val="Heading4"/>
    <w:uiPriority w:val="9"/>
    <w:semiHidden/>
    <w:rsid w:val="006D670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F560-11A0-4B7C-9300-86767C12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29998</Words>
  <Characters>17099</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2018-03-05T12:22:00Z</dcterms:created>
  <dcterms:modified xsi:type="dcterms:W3CDTF">2018-03-07T10:51:00Z</dcterms:modified>
</cp:coreProperties>
</file>