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5096A" w:rsidRPr="00231F9D" w:rsidP="00D062A9" w14:paraId="15BE9DD8" w14:textId="77777777">
      <w:pPr>
        <w:shd w:val="clear" w:color="auto" w:fill="FFFFFF"/>
        <w:spacing w:after="0" w:line="240" w:lineRule="auto"/>
        <w:jc w:val="center"/>
        <w:rPr>
          <w:rFonts w:ascii="Times New Roman" w:eastAsia="Times New Roman" w:hAnsi="Times New Roman" w:cs="Times New Roman"/>
          <w:bCs/>
          <w:color w:val="414142"/>
          <w:sz w:val="24"/>
          <w:szCs w:val="24"/>
          <w:lang w:eastAsia="lv-LV"/>
        </w:rPr>
      </w:pPr>
      <w:r w:rsidRPr="00231F9D">
        <w:rPr>
          <w:rFonts w:ascii="Times New Roman" w:eastAsia="Times New Roman" w:hAnsi="Times New Roman" w:cs="Times New Roman"/>
          <w:bCs/>
          <w:sz w:val="24"/>
          <w:szCs w:val="24"/>
          <w:lang w:eastAsia="lv-LV"/>
        </w:rPr>
        <w:t>Ministru kabineta noteikumu projekta</w:t>
      </w:r>
    </w:p>
    <w:p w:rsidR="00894C55" w:rsidRPr="00231F9D" w:rsidP="00D062A9" w14:paraId="4CBA1B2B" w14:textId="77777777">
      <w:pPr>
        <w:shd w:val="clear" w:color="auto" w:fill="FFFFFF"/>
        <w:spacing w:after="0" w:line="240" w:lineRule="auto"/>
        <w:jc w:val="center"/>
        <w:rPr>
          <w:rFonts w:ascii="Times New Roman" w:eastAsia="Times New Roman" w:hAnsi="Times New Roman" w:cs="Times New Roman"/>
          <w:bCs/>
          <w:sz w:val="24"/>
          <w:szCs w:val="24"/>
          <w:lang w:eastAsia="lv-LV"/>
        </w:rPr>
      </w:pPr>
      <w:r w:rsidRPr="00231F9D">
        <w:rPr>
          <w:rFonts w:ascii="Times New Roman" w:eastAsia="Times New Roman" w:hAnsi="Times New Roman" w:cs="Times New Roman"/>
          <w:b/>
          <w:bCs/>
          <w:sz w:val="24"/>
          <w:szCs w:val="24"/>
          <w:lang w:eastAsia="lv-LV"/>
        </w:rPr>
        <w:t>„</w:t>
      </w:r>
      <w:r w:rsidRPr="00231F9D" w:rsidR="00526C51">
        <w:rPr>
          <w:rFonts w:ascii="Times New Roman" w:eastAsia="Times New Roman" w:hAnsi="Times New Roman" w:cs="Times New Roman"/>
          <w:b/>
          <w:bCs/>
          <w:sz w:val="24"/>
          <w:szCs w:val="24"/>
          <w:lang w:eastAsia="lv-LV"/>
        </w:rPr>
        <w:t>Grozījumi Ministru kabineta 2011.</w:t>
      </w:r>
      <w:r w:rsidRPr="00231F9D" w:rsidR="001832BC">
        <w:rPr>
          <w:rFonts w:ascii="Times New Roman" w:eastAsia="Times New Roman" w:hAnsi="Times New Roman" w:cs="Times New Roman"/>
          <w:b/>
          <w:bCs/>
          <w:sz w:val="24"/>
          <w:szCs w:val="24"/>
          <w:lang w:eastAsia="lv-LV"/>
        </w:rPr>
        <w:t> </w:t>
      </w:r>
      <w:r w:rsidRPr="00231F9D" w:rsidR="00526C51">
        <w:rPr>
          <w:rFonts w:ascii="Times New Roman" w:eastAsia="Times New Roman" w:hAnsi="Times New Roman" w:cs="Times New Roman"/>
          <w:b/>
          <w:bCs/>
          <w:sz w:val="24"/>
          <w:szCs w:val="24"/>
          <w:lang w:eastAsia="lv-LV"/>
        </w:rPr>
        <w:t>gada 30.</w:t>
      </w:r>
      <w:r w:rsidRPr="00231F9D" w:rsidR="001832BC">
        <w:rPr>
          <w:rFonts w:ascii="Times New Roman" w:eastAsia="Times New Roman" w:hAnsi="Times New Roman" w:cs="Times New Roman"/>
          <w:b/>
          <w:bCs/>
          <w:sz w:val="24"/>
          <w:szCs w:val="24"/>
          <w:lang w:eastAsia="lv-LV"/>
        </w:rPr>
        <w:t> </w:t>
      </w:r>
      <w:r w:rsidRPr="00231F9D" w:rsidR="00526C51">
        <w:rPr>
          <w:rFonts w:ascii="Times New Roman" w:eastAsia="Times New Roman" w:hAnsi="Times New Roman" w:cs="Times New Roman"/>
          <w:b/>
          <w:bCs/>
          <w:sz w:val="24"/>
          <w:szCs w:val="24"/>
          <w:lang w:eastAsia="lv-LV"/>
        </w:rPr>
        <w:t>augusta noteikumos Nr.</w:t>
      </w:r>
      <w:r w:rsidRPr="00231F9D" w:rsidR="001832BC">
        <w:rPr>
          <w:rFonts w:ascii="Times New Roman" w:eastAsia="Times New Roman" w:hAnsi="Times New Roman" w:cs="Times New Roman"/>
          <w:b/>
          <w:bCs/>
          <w:sz w:val="24"/>
          <w:szCs w:val="24"/>
          <w:lang w:eastAsia="lv-LV"/>
        </w:rPr>
        <w:t> </w:t>
      </w:r>
      <w:r w:rsidRPr="00231F9D" w:rsidR="00526C51">
        <w:rPr>
          <w:rFonts w:ascii="Times New Roman" w:eastAsia="Times New Roman" w:hAnsi="Times New Roman" w:cs="Times New Roman"/>
          <w:b/>
          <w:bCs/>
          <w:sz w:val="24"/>
          <w:szCs w:val="24"/>
          <w:lang w:eastAsia="lv-LV"/>
        </w:rPr>
        <w:t>685 "Rezidentu sadales un rezidentūras finansēšanas noteikumi"</w:t>
      </w:r>
      <w:r w:rsidRPr="00231F9D" w:rsidR="00C918F0">
        <w:rPr>
          <w:rFonts w:ascii="Times New Roman" w:eastAsia="Times New Roman" w:hAnsi="Times New Roman" w:cs="Times New Roman"/>
          <w:b/>
          <w:bCs/>
          <w:sz w:val="24"/>
          <w:szCs w:val="24"/>
          <w:lang w:eastAsia="lv-LV"/>
        </w:rPr>
        <w:t>”</w:t>
      </w:r>
      <w:r w:rsidRPr="00231F9D" w:rsidR="000A0240">
        <w:rPr>
          <w:rFonts w:ascii="Times New Roman" w:eastAsia="Times New Roman" w:hAnsi="Times New Roman" w:cs="Times New Roman"/>
          <w:b/>
          <w:bCs/>
          <w:sz w:val="24"/>
          <w:szCs w:val="24"/>
          <w:lang w:eastAsia="lv-LV"/>
        </w:rPr>
        <w:t xml:space="preserve"> </w:t>
      </w:r>
      <w:r w:rsidRPr="00231F9D">
        <w:rPr>
          <w:rFonts w:ascii="Times New Roman" w:eastAsia="Times New Roman" w:hAnsi="Times New Roman" w:cs="Times New Roman"/>
          <w:bCs/>
          <w:sz w:val="24"/>
          <w:szCs w:val="24"/>
          <w:lang w:eastAsia="lv-LV"/>
        </w:rPr>
        <w:t>sākotnējās ietekmes novērtējuma ziņojums (anotācija)</w:t>
      </w:r>
    </w:p>
    <w:p w:rsidR="00894C55" w:rsidRPr="00894C55" w:rsidP="00894C55" w14:paraId="1AB12733"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237C2E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19399C8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FD6191C"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403E326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2D1F67C4"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526C51" w:rsidP="00526C51" w14:paraId="28DC8A58" w14:textId="77777777">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Ārstniecības likuma 57.pants.</w:t>
            </w:r>
          </w:p>
          <w:p w:rsidR="0000058C" w:rsidP="00526C51" w14:paraId="2FB41807" w14:textId="77777777">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Saskaņā ar 2016. gada 1. decembra likumu "Grozījumi Ārstniecības likumā" Ārstniecības likuma</w:t>
            </w:r>
            <w:r>
              <w:rPr>
                <w:rFonts w:ascii="Times New Roman" w:eastAsia="Times New Roman" w:hAnsi="Times New Roman" w:cs="Times New Roman"/>
                <w:sz w:val="24"/>
                <w:szCs w:val="24"/>
                <w:lang w:eastAsia="lv-LV"/>
              </w:rPr>
              <w:t xml:space="preserve"> </w:t>
            </w:r>
            <w:r w:rsidRPr="00526C51">
              <w:rPr>
                <w:rFonts w:ascii="Times New Roman" w:eastAsia="Times New Roman" w:hAnsi="Times New Roman" w:cs="Times New Roman"/>
                <w:sz w:val="24"/>
                <w:szCs w:val="24"/>
                <w:lang w:eastAsia="lv-LV"/>
              </w:rPr>
              <w:t>57.pants papildināts ar deleģējumu Ministru kabinetam noteikt rezidentu uzņemšanas kārtību.</w:t>
            </w:r>
          </w:p>
          <w:p w:rsidR="00526C51" w:rsidP="00526C51" w14:paraId="2B0A9804" w14:textId="77777777">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Ministru prezidenta 2017. gada 4. janvāra rezolūcijā Nr.</w:t>
            </w:r>
            <w:r w:rsidR="0007216E">
              <w:rPr>
                <w:rFonts w:ascii="Times New Roman" w:eastAsia="Times New Roman" w:hAnsi="Times New Roman" w:cs="Times New Roman"/>
                <w:sz w:val="24"/>
                <w:szCs w:val="24"/>
                <w:lang w:eastAsia="lv-LV"/>
              </w:rPr>
              <w:t> </w:t>
            </w:r>
            <w:r w:rsidRPr="00526C51">
              <w:rPr>
                <w:rFonts w:ascii="Times New Roman" w:eastAsia="Times New Roman" w:hAnsi="Times New Roman" w:cs="Times New Roman"/>
                <w:sz w:val="24"/>
                <w:szCs w:val="24"/>
                <w:lang w:eastAsia="lv-LV"/>
              </w:rPr>
              <w:t>12/2016-JUR-237 dotais uzdevums sagatavot un noteiktā kārtībā iesniegt Ministru kabinetā Ārstniecības likuma (2016. gada 1. decembra likuma "Grozījumi Ārstniecības likumā" redakcijā) 9. panta pirmajā daļā, 27.</w:t>
            </w:r>
            <w:r w:rsidR="0007216E">
              <w:rPr>
                <w:rFonts w:ascii="Times New Roman" w:eastAsia="Times New Roman" w:hAnsi="Times New Roman" w:cs="Times New Roman"/>
                <w:sz w:val="24"/>
                <w:szCs w:val="24"/>
                <w:lang w:eastAsia="lv-LV"/>
              </w:rPr>
              <w:t> </w:t>
            </w:r>
            <w:r w:rsidRPr="00526C51">
              <w:rPr>
                <w:rFonts w:ascii="Times New Roman" w:eastAsia="Times New Roman" w:hAnsi="Times New Roman" w:cs="Times New Roman"/>
                <w:sz w:val="24"/>
                <w:szCs w:val="24"/>
                <w:lang w:eastAsia="lv-LV"/>
              </w:rPr>
              <w:t>pantā, 53. pantā, 55.2 panta otrajā daļā un 57. pantā minēto tiesību aktu projektus, attiecīgi nodrošinot Ministru kabinetam doto uzdevumu izpildi (Valsts kancelejas kontroles uzdevums Nr.2017-UZD-50).</w:t>
            </w:r>
          </w:p>
          <w:p w:rsidR="001E64A8" w:rsidRPr="00C918F0" w:rsidP="000A516D" w14:paraId="50769244"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w:t>
            </w:r>
            <w:r w:rsidR="005C6A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7.</w:t>
            </w:r>
            <w:r w:rsidR="005C6A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augusta rīkojums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w:t>
            </w:r>
            <w:r w:rsidR="00FA3F9B">
              <w:rPr>
                <w:rFonts w:ascii="Times New Roman" w:eastAsia="Times New Roman" w:hAnsi="Times New Roman" w:cs="Times New Roman"/>
                <w:sz w:val="24"/>
                <w:szCs w:val="24"/>
                <w:lang w:eastAsia="lv-LV"/>
              </w:rPr>
              <w:t>k</w:t>
            </w:r>
            <w:r w:rsidRPr="00FA3F9B" w:rsid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Pr="00FA3F9B" w:rsid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FA3F9B" w:rsidR="00FA3F9B">
              <w:rPr>
                <w:rFonts w:ascii="Times New Roman" w:eastAsia="Times New Roman" w:hAnsi="Times New Roman" w:cs="Times New Roman"/>
                <w:sz w:val="24"/>
                <w:szCs w:val="24"/>
                <w:lang w:eastAsia="lv-LV"/>
              </w:rPr>
              <w:t xml:space="preserve"> “Par veselības aprūpes sistēmas reformu”</w:t>
            </w:r>
            <w:r>
              <w:rPr>
                <w:rStyle w:val="FootnoteReference"/>
                <w:rFonts w:ascii="Times New Roman" w:eastAsia="Times New Roman" w:hAnsi="Times New Roman" w:cs="Times New Roman"/>
                <w:sz w:val="24"/>
                <w:szCs w:val="24"/>
                <w:lang w:eastAsia="lv-LV"/>
              </w:rPr>
              <w:footnoteReference w:id="2"/>
            </w:r>
            <w:r w:rsidR="006D3F79">
              <w:rPr>
                <w:rFonts w:ascii="Times New Roman" w:eastAsia="Times New Roman" w:hAnsi="Times New Roman" w:cs="Times New Roman"/>
                <w:sz w:val="24"/>
                <w:szCs w:val="24"/>
                <w:lang w:eastAsia="lv-LV"/>
              </w:rPr>
              <w:t xml:space="preserve"> (turpmāk- konceptuālais ziņojums)</w:t>
            </w:r>
            <w:r w:rsidR="00FA3F9B">
              <w:rPr>
                <w:rFonts w:ascii="Times New Roman" w:eastAsia="Times New Roman" w:hAnsi="Times New Roman" w:cs="Times New Roman"/>
                <w:sz w:val="24"/>
                <w:szCs w:val="24"/>
                <w:lang w:eastAsia="lv-LV"/>
              </w:rPr>
              <w:t xml:space="preserve"> </w:t>
            </w:r>
            <w:r w:rsidRPr="000A516D" w:rsidR="000A516D">
              <w:rPr>
                <w:rFonts w:ascii="Times New Roman" w:eastAsia="Times New Roman" w:hAnsi="Times New Roman" w:cs="Times New Roman"/>
                <w:sz w:val="24"/>
                <w:szCs w:val="24"/>
                <w:lang w:eastAsia="lv-LV"/>
              </w:rPr>
              <w:t>Veselības sistēmas reformas ietvaros plānoto rīcību īstenošanas laika grafik</w:t>
            </w:r>
            <w:r w:rsidR="000A516D">
              <w:rPr>
                <w:rFonts w:ascii="Times New Roman" w:eastAsia="Times New Roman" w:hAnsi="Times New Roman" w:cs="Times New Roman"/>
                <w:sz w:val="24"/>
                <w:szCs w:val="24"/>
                <w:lang w:eastAsia="lv-LV"/>
              </w:rPr>
              <w:t>a 11.punkt</w:t>
            </w:r>
            <w:r w:rsidR="005C6AB7">
              <w:rPr>
                <w:rFonts w:ascii="Times New Roman" w:eastAsia="Times New Roman" w:hAnsi="Times New Roman" w:cs="Times New Roman"/>
                <w:sz w:val="24"/>
                <w:szCs w:val="24"/>
                <w:lang w:eastAsia="lv-LV"/>
              </w:rPr>
              <w:t>ā</w:t>
            </w:r>
            <w:r w:rsidRPr="000A516D" w:rsidR="000A51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noteikts sagatavot g</w:t>
            </w:r>
            <w:r w:rsidRPr="0053496C">
              <w:rPr>
                <w:rFonts w:ascii="Times New Roman" w:eastAsia="Times New Roman" w:hAnsi="Times New Roman" w:cs="Times New Roman"/>
                <w:sz w:val="24"/>
                <w:szCs w:val="24"/>
                <w:lang w:eastAsia="lv-LV"/>
              </w:rPr>
              <w:t>rozījum</w:t>
            </w:r>
            <w:r>
              <w:rPr>
                <w:rFonts w:ascii="Times New Roman" w:eastAsia="Times New Roman" w:hAnsi="Times New Roman" w:cs="Times New Roman"/>
                <w:sz w:val="24"/>
                <w:szCs w:val="24"/>
                <w:lang w:eastAsia="lv-LV"/>
              </w:rPr>
              <w:t>us</w:t>
            </w:r>
            <w:r w:rsidRPr="0053496C">
              <w:rPr>
                <w:rFonts w:ascii="Times New Roman" w:eastAsia="Times New Roman" w:hAnsi="Times New Roman" w:cs="Times New Roman"/>
                <w:sz w:val="24"/>
                <w:szCs w:val="24"/>
                <w:lang w:eastAsia="lv-LV"/>
              </w:rPr>
              <w:t xml:space="preserve"> MK 2011.</w:t>
            </w:r>
            <w:r w:rsidR="00FE7912">
              <w:rPr>
                <w:rFonts w:ascii="Times New Roman" w:eastAsia="Times New Roman" w:hAnsi="Times New Roman" w:cs="Times New Roman"/>
                <w:sz w:val="24"/>
                <w:szCs w:val="24"/>
                <w:lang w:eastAsia="lv-LV"/>
              </w:rPr>
              <w:t> </w:t>
            </w:r>
            <w:r w:rsidRPr="0053496C">
              <w:rPr>
                <w:rFonts w:ascii="Times New Roman" w:eastAsia="Times New Roman" w:hAnsi="Times New Roman" w:cs="Times New Roman"/>
                <w:sz w:val="24"/>
                <w:szCs w:val="24"/>
                <w:lang w:eastAsia="lv-LV"/>
              </w:rPr>
              <w:t>gada 30.</w:t>
            </w:r>
            <w:r w:rsidR="00FE7912">
              <w:rPr>
                <w:rFonts w:ascii="Times New Roman" w:eastAsia="Times New Roman" w:hAnsi="Times New Roman" w:cs="Times New Roman"/>
                <w:sz w:val="24"/>
                <w:szCs w:val="24"/>
                <w:lang w:eastAsia="lv-LV"/>
              </w:rPr>
              <w:t> </w:t>
            </w:r>
            <w:r w:rsidRPr="0053496C">
              <w:rPr>
                <w:rFonts w:ascii="Times New Roman" w:eastAsia="Times New Roman" w:hAnsi="Times New Roman" w:cs="Times New Roman"/>
                <w:sz w:val="24"/>
                <w:szCs w:val="24"/>
                <w:lang w:eastAsia="lv-LV"/>
              </w:rPr>
              <w:t>augusta noteikumos Nr.</w:t>
            </w:r>
            <w:r w:rsidR="00FE7912">
              <w:rPr>
                <w:rFonts w:ascii="Times New Roman" w:eastAsia="Times New Roman" w:hAnsi="Times New Roman" w:cs="Times New Roman"/>
                <w:sz w:val="24"/>
                <w:szCs w:val="24"/>
                <w:lang w:eastAsia="lv-LV"/>
              </w:rPr>
              <w:t> </w:t>
            </w:r>
            <w:r w:rsidRPr="0053496C">
              <w:rPr>
                <w:rFonts w:ascii="Times New Roman" w:eastAsia="Times New Roman" w:hAnsi="Times New Roman" w:cs="Times New Roman"/>
                <w:sz w:val="24"/>
                <w:szCs w:val="24"/>
                <w:lang w:eastAsia="lv-LV"/>
              </w:rPr>
              <w:t>685 “Rezidentu sadales un rezidentūras finansēšanas noteikumi”</w:t>
            </w:r>
            <w:r>
              <w:rPr>
                <w:rFonts w:ascii="Times New Roman" w:eastAsia="Times New Roman" w:hAnsi="Times New Roman" w:cs="Times New Roman"/>
                <w:sz w:val="24"/>
                <w:szCs w:val="24"/>
                <w:lang w:eastAsia="lv-LV"/>
              </w:rPr>
              <w:t xml:space="preserve"> nosakot, ka </w:t>
            </w:r>
            <w:r w:rsidRPr="0053496C">
              <w:rPr>
                <w:rFonts w:ascii="Times New Roman" w:eastAsia="Times New Roman" w:hAnsi="Times New Roman" w:cs="Times New Roman"/>
                <w:sz w:val="24"/>
                <w:szCs w:val="24"/>
                <w:lang w:eastAsia="lv-LV"/>
              </w:rPr>
              <w:t>rezidentūras uzņemšanas plānošan</w:t>
            </w:r>
            <w:r w:rsidR="0007216E">
              <w:rPr>
                <w:rFonts w:ascii="Times New Roman" w:eastAsia="Times New Roman" w:hAnsi="Times New Roman" w:cs="Times New Roman"/>
                <w:sz w:val="24"/>
                <w:szCs w:val="24"/>
                <w:lang w:eastAsia="lv-LV"/>
              </w:rPr>
              <w:t>ā</w:t>
            </w:r>
            <w:r w:rsidRPr="0053496C">
              <w:rPr>
                <w:rFonts w:ascii="Times New Roman" w:eastAsia="Times New Roman" w:hAnsi="Times New Roman" w:cs="Times New Roman"/>
                <w:sz w:val="24"/>
                <w:szCs w:val="24"/>
                <w:lang w:eastAsia="lv-LV"/>
              </w:rPr>
              <w:t xml:space="preserve"> izmanto ārstniecības personu skaita prognozes pilna laika slodzēm</w:t>
            </w:r>
            <w:r>
              <w:rPr>
                <w:rFonts w:ascii="Times New Roman" w:eastAsia="Times New Roman" w:hAnsi="Times New Roman" w:cs="Times New Roman"/>
                <w:sz w:val="24"/>
                <w:szCs w:val="24"/>
                <w:lang w:eastAsia="lv-LV"/>
              </w:rPr>
              <w:t>.</w:t>
            </w:r>
          </w:p>
        </w:tc>
      </w:tr>
      <w:tr w14:paraId="505A5DC4" w14:textId="77777777" w:rsidTr="00526C51">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038E424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0391886C"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045286" w:rsidRPr="000E15C0" w:rsidP="00097626" w14:paraId="012B368F" w14:textId="77777777">
            <w:pPr>
              <w:spacing w:after="0" w:line="240" w:lineRule="auto"/>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Ministru kabineta 2011.</w:t>
            </w:r>
            <w:r w:rsidRPr="000E15C0" w:rsidR="001832BC">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gada 30.</w:t>
            </w:r>
            <w:r w:rsidRPr="000E15C0" w:rsidR="001832BC">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augusta noteikum</w:t>
            </w:r>
            <w:r w:rsidRPr="000E15C0" w:rsidR="00B70453">
              <w:rPr>
                <w:rFonts w:ascii="Times New Roman" w:eastAsia="Times New Roman" w:hAnsi="Times New Roman" w:cs="Times New Roman"/>
                <w:sz w:val="24"/>
                <w:szCs w:val="24"/>
                <w:lang w:eastAsia="lv-LV"/>
              </w:rPr>
              <w:t>i</w:t>
            </w:r>
            <w:r w:rsidRPr="000E15C0">
              <w:rPr>
                <w:rFonts w:ascii="Times New Roman" w:eastAsia="Times New Roman" w:hAnsi="Times New Roman" w:cs="Times New Roman"/>
                <w:sz w:val="24"/>
                <w:szCs w:val="24"/>
                <w:lang w:eastAsia="lv-LV"/>
              </w:rPr>
              <w:t xml:space="preserve"> Nr. 685 “Rezidentu sadales un rezidentūras finansēšanas noteikumi” (turpmāk – </w:t>
            </w:r>
            <w:r w:rsidRPr="000E15C0" w:rsidR="001832BC">
              <w:rPr>
                <w:rFonts w:ascii="Times New Roman" w:eastAsia="Times New Roman" w:hAnsi="Times New Roman" w:cs="Times New Roman"/>
                <w:sz w:val="24"/>
                <w:szCs w:val="24"/>
                <w:lang w:eastAsia="lv-LV"/>
              </w:rPr>
              <w:t>N</w:t>
            </w:r>
            <w:r w:rsidRPr="000E15C0">
              <w:rPr>
                <w:rFonts w:ascii="Times New Roman" w:eastAsia="Times New Roman" w:hAnsi="Times New Roman" w:cs="Times New Roman"/>
                <w:sz w:val="24"/>
                <w:szCs w:val="24"/>
                <w:lang w:eastAsia="lv-LV"/>
              </w:rPr>
              <w:t>oteikumi Nr.685)</w:t>
            </w:r>
            <w:r w:rsidRPr="000E15C0" w:rsidR="00B70453">
              <w:rPr>
                <w:rFonts w:ascii="Times New Roman" w:eastAsia="Times New Roman" w:hAnsi="Times New Roman" w:cs="Times New Roman"/>
                <w:sz w:val="24"/>
                <w:szCs w:val="24"/>
                <w:lang w:eastAsia="lv-LV"/>
              </w:rPr>
              <w:t xml:space="preserve"> nosaka rezidentu sadales un rezidentūras finansēšanas kārtību. Ar 2016.</w:t>
            </w:r>
            <w:r w:rsidRPr="000E15C0" w:rsidR="001832BC">
              <w:rPr>
                <w:rFonts w:ascii="Times New Roman" w:eastAsia="Times New Roman" w:hAnsi="Times New Roman" w:cs="Times New Roman"/>
                <w:sz w:val="24"/>
                <w:szCs w:val="24"/>
                <w:lang w:eastAsia="lv-LV"/>
              </w:rPr>
              <w:t> </w:t>
            </w:r>
            <w:r w:rsidRPr="000E15C0" w:rsidR="00B70453">
              <w:rPr>
                <w:rFonts w:ascii="Times New Roman" w:eastAsia="Times New Roman" w:hAnsi="Times New Roman" w:cs="Times New Roman"/>
                <w:sz w:val="24"/>
                <w:szCs w:val="24"/>
                <w:lang w:eastAsia="lv-LV"/>
              </w:rPr>
              <w:t>gada 1.</w:t>
            </w:r>
            <w:r w:rsidRPr="000E15C0" w:rsidR="001832BC">
              <w:rPr>
                <w:rFonts w:ascii="Times New Roman" w:eastAsia="Times New Roman" w:hAnsi="Times New Roman" w:cs="Times New Roman"/>
                <w:sz w:val="24"/>
                <w:szCs w:val="24"/>
                <w:lang w:eastAsia="lv-LV"/>
              </w:rPr>
              <w:t> </w:t>
            </w:r>
            <w:r w:rsidRPr="000E15C0" w:rsidR="00B70453">
              <w:rPr>
                <w:rFonts w:ascii="Times New Roman" w:eastAsia="Times New Roman" w:hAnsi="Times New Roman" w:cs="Times New Roman"/>
                <w:sz w:val="24"/>
                <w:szCs w:val="24"/>
                <w:lang w:eastAsia="lv-LV"/>
              </w:rPr>
              <w:t>decembra likumu "Grozījumi Ārstniecības likumā" Ārstniecības likuma 57.</w:t>
            </w:r>
            <w:r w:rsidRPr="000E15C0" w:rsidR="001832BC">
              <w:rPr>
                <w:rFonts w:ascii="Times New Roman" w:eastAsia="Times New Roman" w:hAnsi="Times New Roman" w:cs="Times New Roman"/>
                <w:sz w:val="24"/>
                <w:szCs w:val="24"/>
                <w:lang w:eastAsia="lv-LV"/>
              </w:rPr>
              <w:t> </w:t>
            </w:r>
            <w:r w:rsidRPr="000E15C0" w:rsidR="00B70453">
              <w:rPr>
                <w:rFonts w:ascii="Times New Roman" w:eastAsia="Times New Roman" w:hAnsi="Times New Roman" w:cs="Times New Roman"/>
                <w:sz w:val="24"/>
                <w:szCs w:val="24"/>
                <w:lang w:eastAsia="lv-LV"/>
              </w:rPr>
              <w:t>pants papildināts ar deleģējumu Ministru kabinetam noteikt rezidentu uzņemšanas kārtību, līdz ar to Veselības ministrija ir izstrādājusi Ministru kabineta noteikumu projektu „Grozījumi Ministru kabineta 2011.</w:t>
            </w:r>
            <w:r w:rsidRPr="000E15C0" w:rsidR="001832BC">
              <w:rPr>
                <w:rFonts w:ascii="Times New Roman" w:eastAsia="Times New Roman" w:hAnsi="Times New Roman" w:cs="Times New Roman"/>
                <w:sz w:val="24"/>
                <w:szCs w:val="24"/>
                <w:lang w:eastAsia="lv-LV"/>
              </w:rPr>
              <w:t> </w:t>
            </w:r>
            <w:r w:rsidRPr="000E15C0" w:rsidR="00B70453">
              <w:rPr>
                <w:rFonts w:ascii="Times New Roman" w:eastAsia="Times New Roman" w:hAnsi="Times New Roman" w:cs="Times New Roman"/>
                <w:sz w:val="24"/>
                <w:szCs w:val="24"/>
                <w:lang w:eastAsia="lv-LV"/>
              </w:rPr>
              <w:t>gada 30.</w:t>
            </w:r>
            <w:r w:rsidRPr="000E15C0" w:rsidR="001832BC">
              <w:rPr>
                <w:rFonts w:ascii="Times New Roman" w:eastAsia="Times New Roman" w:hAnsi="Times New Roman" w:cs="Times New Roman"/>
                <w:sz w:val="24"/>
                <w:szCs w:val="24"/>
                <w:lang w:eastAsia="lv-LV"/>
              </w:rPr>
              <w:t> </w:t>
            </w:r>
            <w:r w:rsidRPr="000E15C0" w:rsidR="00B70453">
              <w:rPr>
                <w:rFonts w:ascii="Times New Roman" w:eastAsia="Times New Roman" w:hAnsi="Times New Roman" w:cs="Times New Roman"/>
                <w:sz w:val="24"/>
                <w:szCs w:val="24"/>
                <w:lang w:eastAsia="lv-LV"/>
              </w:rPr>
              <w:t>augusta noteikumos Nr.685 "Rezidentu sadales un rezidentūras finansēšanas noteikumi"” (turpmāk- Noteikumu projekts).</w:t>
            </w:r>
          </w:p>
          <w:p w:rsidR="006D3F79" w:rsidRPr="000E15C0" w:rsidP="00DC4A09" w14:paraId="71D8BC93" w14:textId="77777777">
            <w:pPr>
              <w:spacing w:after="0" w:line="240" w:lineRule="auto"/>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Noteikumu projekta mērķis ir:</w:t>
            </w:r>
          </w:p>
          <w:p w:rsidR="00DC4A09" w:rsidRPr="000E15C0" w:rsidP="0007216E" w14:paraId="22C74F30" w14:textId="77777777">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precizēt Noteikumos Nr.685 noteikto tiesisko regulējumu atbilstoši Ārstniecības likuma 57. pantam</w:t>
            </w:r>
            <w:r w:rsidRPr="000E15C0" w:rsidR="006D3F79">
              <w:rPr>
                <w:rFonts w:ascii="Times New Roman" w:eastAsia="Times New Roman" w:hAnsi="Times New Roman" w:cs="Times New Roman"/>
                <w:sz w:val="24"/>
                <w:szCs w:val="24"/>
                <w:lang w:eastAsia="lv-LV"/>
              </w:rPr>
              <w:t>;</w:t>
            </w:r>
          </w:p>
          <w:p w:rsidR="006D3F79" w:rsidRPr="000E15C0" w:rsidP="006D3F79" w14:paraId="5335A626" w14:textId="77777777">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noteikt, ka rezidentūras uzņemšanas plānošana izmanto ārstniecības personu skaita prognozes pilna laika slodzēm.</w:t>
            </w:r>
          </w:p>
          <w:p w:rsidR="00B70453" w:rsidRPr="000E15C0" w:rsidP="00097626" w14:paraId="7DE92CD3" w14:textId="77777777">
            <w:pPr>
              <w:spacing w:after="0" w:line="240" w:lineRule="auto"/>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Noteikumu projekta būtība ir:</w:t>
            </w:r>
          </w:p>
          <w:p w:rsidR="00FE7912" w:rsidRPr="000E15C0" w:rsidP="00D5003C" w14:paraId="756989B1" w14:textId="4E0F8919">
            <w:pPr>
              <w:spacing w:after="0" w:line="240" w:lineRule="auto"/>
              <w:ind w:left="118" w:firstLine="426"/>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Atbilstoši Ārstniecības likuma 57. pantam ir p</w:t>
            </w:r>
            <w:r w:rsidRPr="000E15C0" w:rsidR="005001B7">
              <w:rPr>
                <w:rFonts w:ascii="Times New Roman" w:eastAsia="Times New Roman" w:hAnsi="Times New Roman" w:cs="Times New Roman"/>
                <w:sz w:val="24"/>
                <w:szCs w:val="24"/>
                <w:lang w:eastAsia="lv-LV"/>
              </w:rPr>
              <w:t>apildināts</w:t>
            </w:r>
            <w:r w:rsidRPr="000E15C0">
              <w:rPr>
                <w:rFonts w:ascii="Times New Roman" w:eastAsia="Times New Roman" w:hAnsi="Times New Roman" w:cs="Times New Roman"/>
                <w:sz w:val="24"/>
                <w:szCs w:val="24"/>
                <w:lang w:eastAsia="lv-LV"/>
              </w:rPr>
              <w:t xml:space="preserve"> </w:t>
            </w:r>
            <w:r w:rsidRPr="000E15C0" w:rsidR="005001B7">
              <w:rPr>
                <w:rFonts w:ascii="Times New Roman" w:eastAsia="Times New Roman" w:hAnsi="Times New Roman" w:cs="Times New Roman"/>
                <w:sz w:val="24"/>
                <w:szCs w:val="24"/>
                <w:lang w:eastAsia="lv-LV"/>
              </w:rPr>
              <w:t>N</w:t>
            </w:r>
            <w:r w:rsidRPr="000E15C0">
              <w:rPr>
                <w:rFonts w:ascii="Times New Roman" w:eastAsia="Times New Roman" w:hAnsi="Times New Roman" w:cs="Times New Roman"/>
                <w:sz w:val="24"/>
                <w:szCs w:val="24"/>
                <w:lang w:eastAsia="lv-LV"/>
              </w:rPr>
              <w:t>oteikumu</w:t>
            </w:r>
            <w:r w:rsidRPr="000E15C0" w:rsidR="005001B7">
              <w:rPr>
                <w:rFonts w:ascii="Times New Roman" w:eastAsia="Times New Roman" w:hAnsi="Times New Roman" w:cs="Times New Roman"/>
                <w:sz w:val="24"/>
                <w:szCs w:val="24"/>
                <w:lang w:eastAsia="lv-LV"/>
              </w:rPr>
              <w:t xml:space="preserve"> Nr.685</w:t>
            </w:r>
            <w:r w:rsidRPr="000E15C0" w:rsidR="009D53EC">
              <w:rPr>
                <w:rFonts w:ascii="Times New Roman" w:eastAsia="Times New Roman" w:hAnsi="Times New Roman" w:cs="Times New Roman"/>
                <w:sz w:val="24"/>
                <w:szCs w:val="24"/>
                <w:lang w:eastAsia="lv-LV"/>
              </w:rPr>
              <w:t xml:space="preserve"> nosaukums un</w:t>
            </w:r>
            <w:r w:rsidRPr="000E15C0">
              <w:rPr>
                <w:rFonts w:ascii="Times New Roman" w:eastAsia="Times New Roman" w:hAnsi="Times New Roman" w:cs="Times New Roman"/>
                <w:sz w:val="24"/>
                <w:szCs w:val="24"/>
                <w:lang w:eastAsia="lv-LV"/>
              </w:rPr>
              <w:t xml:space="preserve"> 1.</w:t>
            </w:r>
            <w:r w:rsidRPr="000E15C0" w:rsidR="005001B7">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punkts (Noteikumu projekta 1.</w:t>
            </w:r>
            <w:r w:rsidR="00822B31">
              <w:rPr>
                <w:rFonts w:ascii="Times New Roman" w:eastAsia="Times New Roman" w:hAnsi="Times New Roman" w:cs="Times New Roman"/>
                <w:sz w:val="24"/>
                <w:szCs w:val="24"/>
                <w:lang w:eastAsia="lv-LV"/>
              </w:rPr>
              <w:t>,</w:t>
            </w:r>
            <w:r w:rsidRPr="000E15C0" w:rsidR="0018200F">
              <w:rPr>
                <w:rFonts w:ascii="Times New Roman" w:eastAsia="Times New Roman" w:hAnsi="Times New Roman" w:cs="Times New Roman"/>
                <w:sz w:val="24"/>
                <w:szCs w:val="24"/>
                <w:lang w:eastAsia="lv-LV"/>
              </w:rPr>
              <w:t xml:space="preserve"> 2.</w:t>
            </w:r>
            <w:r w:rsidR="00822B31">
              <w:rPr>
                <w:rFonts w:ascii="Times New Roman" w:eastAsia="Times New Roman" w:hAnsi="Times New Roman" w:cs="Times New Roman"/>
                <w:sz w:val="24"/>
                <w:szCs w:val="24"/>
                <w:lang w:eastAsia="lv-LV"/>
              </w:rPr>
              <w:t xml:space="preserve"> un 3.</w:t>
            </w:r>
            <w:r w:rsidRPr="000E15C0" w:rsidR="0018200F">
              <w:rPr>
                <w:rFonts w:ascii="Times New Roman" w:eastAsia="Times New Roman" w:hAnsi="Times New Roman" w:cs="Times New Roman"/>
                <w:sz w:val="24"/>
                <w:szCs w:val="24"/>
                <w:lang w:eastAsia="lv-LV"/>
              </w:rPr>
              <w:t>punkts</w:t>
            </w:r>
            <w:r w:rsidRPr="000E15C0">
              <w:rPr>
                <w:rFonts w:ascii="Times New Roman" w:eastAsia="Times New Roman" w:hAnsi="Times New Roman" w:cs="Times New Roman"/>
                <w:sz w:val="24"/>
                <w:szCs w:val="24"/>
                <w:lang w:eastAsia="lv-LV"/>
              </w:rPr>
              <w:t xml:space="preserve">). </w:t>
            </w:r>
          </w:p>
          <w:p w:rsidR="005C6AB7" w:rsidRPr="000E15C0" w:rsidP="00D5003C" w14:paraId="6CD452FE" w14:textId="4E2D5319">
            <w:pPr>
              <w:spacing w:after="0" w:line="240" w:lineRule="auto"/>
              <w:ind w:left="119" w:firstLine="425"/>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Noteikumu Nr.</w:t>
            </w:r>
            <w:r w:rsidRPr="000E15C0" w:rsidR="00FE7912">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685 3.</w:t>
            </w:r>
            <w:r w:rsidRPr="000E15C0" w:rsidR="00FE7912">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 xml:space="preserve">punkts nosaka, kādus datus Veselības ministrija izmanto, lai noteiktu no valsts budžeta finansējamo rezidentūras vietu skaitu. </w:t>
            </w:r>
            <w:r w:rsidRPr="000E15C0" w:rsidR="00FE7912">
              <w:rPr>
                <w:rFonts w:ascii="Times New Roman" w:eastAsia="Times New Roman" w:hAnsi="Times New Roman" w:cs="Times New Roman"/>
                <w:sz w:val="24"/>
                <w:szCs w:val="24"/>
                <w:lang w:eastAsia="lv-LV"/>
              </w:rPr>
              <w:t>K</w:t>
            </w:r>
            <w:r w:rsidRPr="000E15C0">
              <w:rPr>
                <w:rFonts w:ascii="Times New Roman" w:eastAsia="Times New Roman" w:hAnsi="Times New Roman" w:cs="Times New Roman"/>
                <w:sz w:val="24"/>
                <w:szCs w:val="24"/>
                <w:lang w:eastAsia="lv-LV"/>
              </w:rPr>
              <w:t>onceptuālā ziņojum</w:t>
            </w:r>
            <w:r w:rsidRPr="000E15C0" w:rsidR="00FE7912">
              <w:rPr>
                <w:rFonts w:ascii="Times New Roman" w:eastAsia="Times New Roman" w:hAnsi="Times New Roman" w:cs="Times New Roman"/>
                <w:sz w:val="24"/>
                <w:szCs w:val="24"/>
                <w:lang w:eastAsia="lv-LV"/>
              </w:rPr>
              <w:t>ā,</w:t>
            </w:r>
            <w:r w:rsidRPr="000E15C0">
              <w:rPr>
                <w:rFonts w:ascii="Times New Roman" w:eastAsia="Times New Roman" w:hAnsi="Times New Roman" w:cs="Times New Roman"/>
                <w:sz w:val="24"/>
                <w:szCs w:val="24"/>
                <w:lang w:eastAsia="lv-LV"/>
              </w:rPr>
              <w:t xml:space="preserve"> </w:t>
            </w:r>
            <w:r w:rsidRPr="000E15C0" w:rsidR="00FE7912">
              <w:rPr>
                <w:rFonts w:ascii="Times New Roman" w:eastAsia="Times New Roman" w:hAnsi="Times New Roman" w:cs="Times New Roman"/>
                <w:sz w:val="24"/>
                <w:szCs w:val="24"/>
                <w:lang w:eastAsia="lv-LV"/>
              </w:rPr>
              <w:t>izmantojot informāciju gan no ārstniecības iestādēm, gan no ārstniecības personu reģistra u.c. datu bāzēm, tai skaitā pielietojot arī Pasaules Bankas piedāvātos plānošanas nosacījumus, izveidoti Latvijas situācijai atbilstoši plānošanas principi un prognozēts ārstniecības personu nodrošinājums gan valstī kopā, gan specifiski sistemātiski svarīgajās ārstniecības iestādēs. Esošo un nākotnes vajadzību pēc veselības aprūpes pakalpojumiem un veselības aprūpes cilvēkresursiem nosaka vairāki faktori: demogrāfiskie procesi, saslimstība, veselības aprūpes pakalpojumu izmantošana, veselības aprūpes pakalpojumu nodrošināšanas modelis (ietekmē cilvēkresursu vajadzību primārajā, stacionārajā un ilglaicīgajā aprūpē), ekonomiskā izaugsme un izdevumi veselības nozarei (valsts apmaksāto un maksas pakalpojumu proporcija).</w:t>
            </w:r>
            <w:r w:rsidRPr="000E15C0" w:rsidR="00D35943">
              <w:rPr>
                <w:rFonts w:ascii="Times New Roman" w:eastAsia="Times New Roman" w:hAnsi="Times New Roman" w:cs="Times New Roman"/>
                <w:sz w:val="24"/>
                <w:szCs w:val="24"/>
                <w:lang w:eastAsia="lv-LV"/>
              </w:rPr>
              <w:t xml:space="preserve"> </w:t>
            </w:r>
            <w:r w:rsidRPr="000E15C0" w:rsidR="00FE7912">
              <w:rPr>
                <w:rFonts w:ascii="Times New Roman" w:eastAsia="Times New Roman" w:hAnsi="Times New Roman" w:cs="Times New Roman"/>
                <w:sz w:val="24"/>
                <w:szCs w:val="24"/>
                <w:lang w:eastAsia="lv-LV"/>
              </w:rPr>
              <w:t>Veselības aprūpes cilvēkresursu plānošana nav tieša un precīza (eksakta) metode, tāpēc V</w:t>
            </w:r>
            <w:r w:rsidRPr="000E15C0" w:rsidR="00D35943">
              <w:rPr>
                <w:rFonts w:ascii="Times New Roman" w:eastAsia="Times New Roman" w:hAnsi="Times New Roman" w:cs="Times New Roman"/>
                <w:sz w:val="24"/>
                <w:szCs w:val="24"/>
                <w:lang w:eastAsia="lv-LV"/>
              </w:rPr>
              <w:t>eselības ministrija</w:t>
            </w:r>
            <w:r w:rsidRPr="000E15C0" w:rsidR="00FE7912">
              <w:rPr>
                <w:rFonts w:ascii="Times New Roman" w:eastAsia="Times New Roman" w:hAnsi="Times New Roman" w:cs="Times New Roman"/>
                <w:sz w:val="24"/>
                <w:szCs w:val="24"/>
                <w:lang w:eastAsia="lv-LV"/>
              </w:rPr>
              <w:t xml:space="preserve"> nodrošinās regulāru izstrādāto prognožu aktualizāciju, atbilstoši izmaiņām veselības aprūpes sistēmā un jauniem pieejamiem datiem</w:t>
            </w:r>
            <w:r>
              <w:rPr>
                <w:rStyle w:val="FootnoteReference"/>
                <w:rFonts w:ascii="Times New Roman" w:eastAsia="Times New Roman" w:hAnsi="Times New Roman" w:cs="Times New Roman"/>
                <w:sz w:val="24"/>
                <w:szCs w:val="24"/>
                <w:lang w:eastAsia="lv-LV"/>
              </w:rPr>
              <w:footnoteReference w:id="3"/>
            </w:r>
            <w:r w:rsidRPr="000E15C0" w:rsidR="00D35943">
              <w:rPr>
                <w:rFonts w:ascii="Times New Roman" w:eastAsia="Times New Roman" w:hAnsi="Times New Roman" w:cs="Times New Roman"/>
                <w:sz w:val="24"/>
                <w:szCs w:val="24"/>
                <w:lang w:eastAsia="lv-LV"/>
              </w:rPr>
              <w:t xml:space="preserve">. Ņemot vērā iepriekš minēto tiek </w:t>
            </w:r>
            <w:r w:rsidRPr="000E15C0">
              <w:rPr>
                <w:rFonts w:ascii="Times New Roman" w:eastAsia="Times New Roman" w:hAnsi="Times New Roman" w:cs="Times New Roman"/>
                <w:sz w:val="24"/>
                <w:szCs w:val="24"/>
                <w:lang w:eastAsia="lv-LV"/>
              </w:rPr>
              <w:t>papildināts Noteikumu Nr.685 3.punkts</w:t>
            </w:r>
            <w:r w:rsidRPr="000E15C0" w:rsidR="00D35943">
              <w:rPr>
                <w:rFonts w:ascii="Times New Roman" w:eastAsia="Times New Roman" w:hAnsi="Times New Roman" w:cs="Times New Roman"/>
                <w:sz w:val="24"/>
                <w:szCs w:val="24"/>
                <w:lang w:eastAsia="lv-LV"/>
              </w:rPr>
              <w:t>, nosakot, ka</w:t>
            </w:r>
            <w:r w:rsidRPr="000E15C0">
              <w:rPr>
                <w:rFonts w:ascii="Times New Roman" w:eastAsia="Times New Roman" w:hAnsi="Times New Roman" w:cs="Times New Roman"/>
                <w:sz w:val="24"/>
                <w:szCs w:val="24"/>
                <w:lang w:eastAsia="lv-LV"/>
              </w:rPr>
              <w:t xml:space="preserve"> rezidentūras uzņemšanas plānošanā, papildus esošajiem plānošanas kritērijiem tiks izmantotas arī izstrādātās rekomendējošās ārstniecības personu skaita prognozes pilna laika slodzēm (Noteikumu projekta </w:t>
            </w:r>
            <w:r w:rsidR="00E93161">
              <w:rPr>
                <w:rFonts w:ascii="Times New Roman" w:eastAsia="Times New Roman" w:hAnsi="Times New Roman" w:cs="Times New Roman"/>
                <w:sz w:val="24"/>
                <w:szCs w:val="24"/>
                <w:lang w:eastAsia="lv-LV"/>
              </w:rPr>
              <w:t>4</w:t>
            </w:r>
            <w:r w:rsidRPr="000E15C0">
              <w:rPr>
                <w:rFonts w:ascii="Times New Roman" w:eastAsia="Times New Roman" w:hAnsi="Times New Roman" w:cs="Times New Roman"/>
                <w:sz w:val="24"/>
                <w:szCs w:val="24"/>
                <w:lang w:eastAsia="lv-LV"/>
              </w:rPr>
              <w:t>.punkts).</w:t>
            </w:r>
          </w:p>
          <w:p w:rsidR="00B125E7" w:rsidP="00587F5D" w14:paraId="50BB1B28" w14:textId="073B5F70">
            <w:pPr>
              <w:spacing w:after="0" w:line="240" w:lineRule="auto"/>
              <w:ind w:left="118" w:firstLine="567"/>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 xml:space="preserve">No 2019.gada 1.janvāra darbu sāk vienotā rezidentu uzņemšanas komisija. </w:t>
            </w:r>
            <w:r w:rsidRPr="006D4FAE" w:rsidR="00971562">
              <w:rPr>
                <w:rFonts w:ascii="Times New Roman" w:eastAsia="Times New Roman" w:hAnsi="Times New Roman" w:cs="Times New Roman"/>
                <w:sz w:val="24"/>
                <w:szCs w:val="24"/>
                <w:lang w:eastAsia="lv-LV"/>
              </w:rPr>
              <w:t>L</w:t>
            </w:r>
            <w:r w:rsidRPr="006D4FAE" w:rsidR="00097FC9">
              <w:rPr>
                <w:rFonts w:ascii="Times New Roman" w:eastAsia="Times New Roman" w:hAnsi="Times New Roman" w:cs="Times New Roman"/>
                <w:sz w:val="24"/>
                <w:szCs w:val="24"/>
                <w:lang w:eastAsia="lv-LV"/>
              </w:rPr>
              <w:t xml:space="preserve">ai padarītu  saprotamākas augstskolu vienotās </w:t>
            </w:r>
            <w:r w:rsidRPr="006D4FAE" w:rsidR="00971562">
              <w:rPr>
                <w:rFonts w:ascii="Times New Roman" w:eastAsia="Times New Roman" w:hAnsi="Times New Roman" w:cs="Times New Roman"/>
                <w:sz w:val="24"/>
                <w:szCs w:val="24"/>
                <w:lang w:eastAsia="lv-LV"/>
              </w:rPr>
              <w:t xml:space="preserve">rezidentūras </w:t>
            </w:r>
            <w:r w:rsidRPr="006D4FAE" w:rsidR="00097FC9">
              <w:rPr>
                <w:rFonts w:ascii="Times New Roman" w:eastAsia="Times New Roman" w:hAnsi="Times New Roman" w:cs="Times New Roman"/>
                <w:sz w:val="24"/>
                <w:szCs w:val="24"/>
                <w:lang w:eastAsia="lv-LV"/>
              </w:rPr>
              <w:t>uzņemšanas komisijas (turpmāk – uzņemšanas komisija)  pamatfunkcijas</w:t>
            </w:r>
            <w:r w:rsidRPr="006D4FAE" w:rsidR="00971562">
              <w:rPr>
                <w:rFonts w:ascii="Times New Roman" w:eastAsia="Times New Roman" w:hAnsi="Times New Roman" w:cs="Times New Roman"/>
                <w:sz w:val="24"/>
                <w:szCs w:val="24"/>
                <w:lang w:eastAsia="lv-LV"/>
              </w:rPr>
              <w:t xml:space="preserve">, kas šobrīd ir noteiktas Noteikumos Nr.685: organizēt rezidentūras pretendentu pieteikšanos rezidentūras studiju programmās (Noteikumu Nr.685 </w:t>
            </w:r>
            <w:r w:rsidR="00E93161">
              <w:rPr>
                <w:rFonts w:ascii="Times New Roman" w:eastAsia="Times New Roman" w:hAnsi="Times New Roman" w:cs="Times New Roman"/>
                <w:sz w:val="24"/>
                <w:szCs w:val="24"/>
                <w:lang w:eastAsia="lv-LV"/>
              </w:rPr>
              <w:t>6</w:t>
            </w:r>
            <w:r w:rsidRPr="006D4FAE" w:rsidR="00971562">
              <w:rPr>
                <w:rFonts w:ascii="Times New Roman" w:eastAsia="Times New Roman" w:hAnsi="Times New Roman" w:cs="Times New Roman"/>
                <w:sz w:val="24"/>
                <w:szCs w:val="24"/>
                <w:lang w:eastAsia="lv-LV"/>
              </w:rPr>
              <w:t>.pukts), organizēt rezidentūras pretendentu atlasi atklātā un vienlīdzīgā konkursā atbilstoši uzņemšanas noteikumos noteiktajiem kritērijiem (Noteikumu Nr.685 5.</w:t>
            </w:r>
            <w:r w:rsidRPr="006D4FAE" w:rsidR="00971562">
              <w:rPr>
                <w:rFonts w:ascii="Times New Roman" w:eastAsia="Times New Roman" w:hAnsi="Times New Roman" w:cs="Times New Roman"/>
                <w:sz w:val="24"/>
                <w:szCs w:val="24"/>
                <w:vertAlign w:val="superscript"/>
                <w:lang w:eastAsia="lv-LV"/>
              </w:rPr>
              <w:t>1</w:t>
            </w:r>
            <w:r w:rsidRPr="006D4FAE" w:rsidR="00971562">
              <w:rPr>
                <w:rFonts w:ascii="Times New Roman" w:eastAsia="Times New Roman" w:hAnsi="Times New Roman" w:cs="Times New Roman"/>
                <w:sz w:val="24"/>
                <w:szCs w:val="24"/>
                <w:lang w:eastAsia="lv-LV"/>
              </w:rPr>
              <w:t xml:space="preserve"> punkts) un  organizēt rezidentūras pretendentu uzņemšanu rezidentūras studiju programmās un iesniegs Veselības ministrijā rezidentūras uzņemšanas rezultātus (Noteikumu Nr.685 8.</w:t>
            </w:r>
            <w:r w:rsidRPr="006D4FAE" w:rsidR="00971562">
              <w:rPr>
                <w:rFonts w:ascii="Times New Roman" w:eastAsia="Times New Roman" w:hAnsi="Times New Roman" w:cs="Times New Roman"/>
                <w:sz w:val="24"/>
                <w:szCs w:val="24"/>
                <w:vertAlign w:val="superscript"/>
                <w:lang w:eastAsia="lv-LV"/>
              </w:rPr>
              <w:t>1</w:t>
            </w:r>
            <w:r w:rsidRPr="006D4FAE" w:rsidR="00971562">
              <w:rPr>
                <w:rFonts w:ascii="Times New Roman" w:eastAsia="Times New Roman" w:hAnsi="Times New Roman" w:cs="Times New Roman"/>
                <w:sz w:val="24"/>
                <w:szCs w:val="24"/>
                <w:lang w:eastAsia="lv-LV"/>
              </w:rPr>
              <w:t xml:space="preserve"> punkts) tiek veikti tehniski precizējumi, veidojot vienu punktu ar apakšpunktiem, kas nosaka rezidentūras pretendentu uzņemšanas organizēšanu</w:t>
            </w:r>
            <w:r w:rsidRPr="006D4FAE" w:rsidR="00097FC9">
              <w:rPr>
                <w:rFonts w:ascii="Times New Roman" w:eastAsia="Times New Roman" w:hAnsi="Times New Roman" w:cs="Times New Roman"/>
                <w:sz w:val="24"/>
                <w:szCs w:val="24"/>
                <w:lang w:eastAsia="lv-LV"/>
              </w:rPr>
              <w:t>.</w:t>
            </w:r>
            <w:r w:rsidRPr="006D4FAE" w:rsidR="00587F5D">
              <w:rPr>
                <w:rFonts w:ascii="Times New Roman" w:eastAsia="Times New Roman" w:hAnsi="Times New Roman" w:cs="Times New Roman"/>
                <w:sz w:val="24"/>
                <w:szCs w:val="24"/>
                <w:lang w:eastAsia="lv-LV"/>
              </w:rPr>
              <w:t xml:space="preserve"> </w:t>
            </w:r>
            <w:r w:rsidRPr="00481A29" w:rsidR="00481A29">
              <w:rPr>
                <w:rFonts w:ascii="Times New Roman" w:eastAsia="Times New Roman" w:hAnsi="Times New Roman" w:cs="Times New Roman"/>
                <w:sz w:val="24"/>
                <w:szCs w:val="24"/>
                <w:lang w:eastAsia="lv-LV"/>
              </w:rPr>
              <w:t xml:space="preserve">Noteikumi Nr.685 nosaka, ka augstskolas katru gadu līdz 8. jūlijam organizē rezidentūras pretendentu pieteikšanos. Ja pieteikšanās laikā netiek aizpildītas visas no valsts budžeta finansētās vietas, tad </w:t>
            </w:r>
            <w:r w:rsidRPr="00481A29" w:rsidR="00481A29">
              <w:rPr>
                <w:rFonts w:ascii="Times New Roman" w:eastAsia="Times New Roman" w:hAnsi="Times New Roman" w:cs="Times New Roman"/>
                <w:sz w:val="24"/>
                <w:szCs w:val="24"/>
                <w:lang w:eastAsia="lv-LV"/>
              </w:rPr>
              <w:t>Veselības ministrija veic grozījumus atbilstoši Noteikumu Nr.685 4.  punktā minētajam, kurā Veselības ministrija katru gadu līdz 1.aprīlim apstiprina rezidentu vietu skaitu sadalījumā pa specialitātēm, kā arī indikatīvi nosaka rezidentu vietu skaitu sadalījumā pa specialitātēm turpmākajiem diviem gadiem, kas var tikt precizēts attiecīgajā gadā. Lai mazinātu administratīvo slogu Noteikumu projekts paredz, ka, ja līdz 8. jūlija netiek aizpildītas visas no valsts budžeta līdzekļiem finansētās rezidentūras vietas, rezidentūras pretendentu pieteikšanās termiņš tiek pagarināts līdz 22. jūlijam.</w:t>
            </w:r>
            <w:r w:rsidRPr="006D4FAE" w:rsidR="00481A29">
              <w:rPr>
                <w:rFonts w:ascii="Times New Roman" w:eastAsia="Times New Roman" w:hAnsi="Times New Roman" w:cs="Times New Roman"/>
                <w:sz w:val="24"/>
                <w:szCs w:val="24"/>
                <w:lang w:eastAsia="lv-LV"/>
              </w:rPr>
              <w:t xml:space="preserve"> </w:t>
            </w:r>
            <w:r w:rsidRPr="000E15C0" w:rsidR="006938AB">
              <w:rPr>
                <w:rFonts w:ascii="Times New Roman" w:eastAsia="Times New Roman" w:hAnsi="Times New Roman" w:cs="Times New Roman"/>
                <w:sz w:val="24"/>
                <w:szCs w:val="24"/>
                <w:lang w:eastAsia="lv-LV"/>
              </w:rPr>
              <w:t xml:space="preserve">Noteikumu </w:t>
            </w:r>
            <w:r w:rsidRPr="000E15C0" w:rsidR="005B00C1">
              <w:rPr>
                <w:rFonts w:ascii="Times New Roman" w:eastAsia="Times New Roman" w:hAnsi="Times New Roman" w:cs="Times New Roman"/>
                <w:sz w:val="24"/>
                <w:szCs w:val="24"/>
                <w:lang w:eastAsia="lv-LV"/>
              </w:rPr>
              <w:t xml:space="preserve">projekts paredz precizēt Noteikumu </w:t>
            </w:r>
            <w:r w:rsidRPr="000E15C0" w:rsidR="006938AB">
              <w:rPr>
                <w:rFonts w:ascii="Times New Roman" w:eastAsia="Times New Roman" w:hAnsi="Times New Roman" w:cs="Times New Roman"/>
                <w:sz w:val="24"/>
                <w:szCs w:val="24"/>
                <w:lang w:eastAsia="lv-LV"/>
              </w:rPr>
              <w:t xml:space="preserve">Nr.685 </w:t>
            </w:r>
            <w:r w:rsidRPr="000E15C0" w:rsidR="005B00C1">
              <w:rPr>
                <w:rFonts w:ascii="Times New Roman" w:eastAsia="Times New Roman" w:hAnsi="Times New Roman" w:cs="Times New Roman"/>
                <w:sz w:val="24"/>
                <w:szCs w:val="24"/>
                <w:lang w:eastAsia="lv-LV"/>
              </w:rPr>
              <w:t xml:space="preserve">7.punktu, kas nosaka, ka </w:t>
            </w:r>
            <w:r w:rsidRPr="000E15C0" w:rsidR="00097FC9">
              <w:rPr>
                <w:rFonts w:ascii="Times New Roman" w:eastAsia="Times New Roman" w:hAnsi="Times New Roman" w:cs="Times New Roman"/>
                <w:sz w:val="24"/>
                <w:szCs w:val="24"/>
                <w:lang w:eastAsia="lv-LV"/>
              </w:rPr>
              <w:t xml:space="preserve"> </w:t>
            </w:r>
            <w:r w:rsidRPr="000E15C0" w:rsidR="005B00C1">
              <w:rPr>
                <w:rFonts w:ascii="Times New Roman" w:eastAsia="Times New Roman" w:hAnsi="Times New Roman" w:cs="Times New Roman"/>
                <w:sz w:val="24"/>
                <w:szCs w:val="24"/>
                <w:lang w:eastAsia="lv-LV"/>
              </w:rPr>
              <w:t>rezidentūras pretendents var pieteikties pretendēšanai ne vairāk kā uz divām specialitātēm vienā vai dažādās augstskolās. Piesakoties uz divām specialitātēm vienā augstskolā, pretendents norāda izvēles prioritāti</w:t>
            </w:r>
            <w:r w:rsidR="00E97188">
              <w:rPr>
                <w:rFonts w:ascii="Times New Roman" w:eastAsia="Times New Roman" w:hAnsi="Times New Roman" w:cs="Times New Roman"/>
                <w:sz w:val="24"/>
                <w:szCs w:val="24"/>
                <w:lang w:eastAsia="lv-LV"/>
              </w:rPr>
              <w:t xml:space="preserve">. </w:t>
            </w:r>
            <w:r w:rsidRPr="006D4FAE" w:rsidR="00587F5D">
              <w:rPr>
                <w:rFonts w:ascii="Times New Roman" w:eastAsia="Times New Roman" w:hAnsi="Times New Roman" w:cs="Times New Roman"/>
                <w:sz w:val="24"/>
                <w:szCs w:val="24"/>
                <w:lang w:eastAsia="lv-LV"/>
              </w:rPr>
              <w:t>No 2019.gada 1.janvāra rezidentūras pretendents var pieteikties pretendēšanai ne vairāk kā uz divām specialitātēm</w:t>
            </w:r>
            <w:r w:rsidRPr="006D4FAE" w:rsidR="00E97188">
              <w:rPr>
                <w:rFonts w:ascii="Times New Roman" w:eastAsia="Times New Roman" w:hAnsi="Times New Roman" w:cs="Times New Roman"/>
                <w:sz w:val="24"/>
                <w:szCs w:val="24"/>
                <w:lang w:eastAsia="lv-LV"/>
              </w:rPr>
              <w:t xml:space="preserve"> (prioritāte nav jānorāda)</w:t>
            </w:r>
            <w:r w:rsidRPr="006D4FAE" w:rsidR="00587F5D">
              <w:rPr>
                <w:rFonts w:ascii="Times New Roman" w:eastAsia="Times New Roman" w:hAnsi="Times New Roman" w:cs="Times New Roman"/>
                <w:sz w:val="24"/>
                <w:szCs w:val="24"/>
                <w:lang w:eastAsia="lv-LV"/>
              </w:rPr>
              <w:t xml:space="preserve"> un pēc rezidentūras pretendentu uzņemšanas rezidentūras studiju programmās, rezidenti iegūto punktu secībā izvēlas augstskolu, kurā notiks rezidentūras programmas apguve. </w:t>
            </w:r>
            <w:r w:rsidRPr="006D4FAE" w:rsidR="00E97188">
              <w:rPr>
                <w:rFonts w:ascii="Times New Roman" w:eastAsia="Times New Roman" w:hAnsi="Times New Roman" w:cs="Times New Roman"/>
                <w:sz w:val="24"/>
                <w:szCs w:val="24"/>
                <w:lang w:eastAsia="lv-LV"/>
              </w:rPr>
              <w:t>Skaidrojam, ka ā</w:t>
            </w:r>
            <w:r w:rsidRPr="006D4FAE" w:rsidR="00197A15">
              <w:rPr>
                <w:rFonts w:ascii="Times New Roman" w:eastAsia="Times New Roman" w:hAnsi="Times New Roman" w:cs="Times New Roman"/>
                <w:sz w:val="24"/>
                <w:szCs w:val="24"/>
                <w:lang w:eastAsia="lv-LV"/>
              </w:rPr>
              <w:t xml:space="preserve">rsta profesija un tās specialitātes ir reglamentētā profesija, tas nozīmē, ka tai ir noteiktas prasības attiecībā uz izglītību un prakses tiesībām. Sagatavošanos specialitātes apgūšanai topošie ārsti uzsāk ļoti savlaicīgi, dažkārt jau pirmajos </w:t>
            </w:r>
            <w:r w:rsidRPr="006D4FAE" w:rsidR="00197A15">
              <w:rPr>
                <w:rFonts w:ascii="Times New Roman" w:eastAsia="Times New Roman" w:hAnsi="Times New Roman" w:cs="Times New Roman"/>
                <w:sz w:val="24"/>
                <w:szCs w:val="24"/>
                <w:lang w:eastAsia="lv-LV"/>
              </w:rPr>
              <w:t>pamatstudiju</w:t>
            </w:r>
            <w:r w:rsidRPr="006D4FAE" w:rsidR="00197A15">
              <w:rPr>
                <w:rFonts w:ascii="Times New Roman" w:eastAsia="Times New Roman" w:hAnsi="Times New Roman" w:cs="Times New Roman"/>
                <w:sz w:val="24"/>
                <w:szCs w:val="24"/>
                <w:lang w:eastAsia="lv-LV"/>
              </w:rPr>
              <w:t xml:space="preserve"> studiju gados. </w:t>
            </w:r>
            <w:r w:rsidRPr="006D4FAE" w:rsidR="00197A15">
              <w:rPr>
                <w:rFonts w:ascii="Times New Roman" w:eastAsia="Times New Roman" w:hAnsi="Times New Roman" w:cs="Times New Roman"/>
                <w:sz w:val="24"/>
                <w:szCs w:val="24"/>
                <w:lang w:eastAsia="lv-LV"/>
              </w:rPr>
              <w:t>Pamatstudiju</w:t>
            </w:r>
            <w:r w:rsidRPr="006D4FAE" w:rsidR="00197A15">
              <w:rPr>
                <w:rFonts w:ascii="Times New Roman" w:eastAsia="Times New Roman" w:hAnsi="Times New Roman" w:cs="Times New Roman"/>
                <w:sz w:val="24"/>
                <w:szCs w:val="24"/>
                <w:lang w:eastAsia="lv-LV"/>
              </w:rPr>
              <w:t xml:space="preserve"> studenti mērķtiecīgi gatavojas studiju turpināšanai rezidentūrā. Studenti apmeklē studentu zinātniskos pulciņus vai konkrētas specialitātes tālākizglītības pasākumus (seminārus, konferences), piedalās zinātniski-pētniecisko publikāciju veidošanā, izvēlētās specialitātes ietvaros līdzdarbojas zinātniskā darba aktivitātēs. Iepriekš minētie pasākumi ir nozīmīgi, jo tie tiek vērtēti rezidentūras uzņemšanas procesā. Sagatavošanās ir laikietilpīga un divas specialitātes ir tas optimālais specialitāšu skaits, kam </w:t>
            </w:r>
            <w:r w:rsidRPr="006D4FAE" w:rsidR="00197A15">
              <w:rPr>
                <w:rFonts w:ascii="Times New Roman" w:eastAsia="Times New Roman" w:hAnsi="Times New Roman" w:cs="Times New Roman"/>
                <w:sz w:val="24"/>
                <w:szCs w:val="24"/>
                <w:lang w:eastAsia="lv-LV"/>
              </w:rPr>
              <w:t>pamatsudiju</w:t>
            </w:r>
            <w:r w:rsidRPr="006D4FAE" w:rsidR="00197A15">
              <w:rPr>
                <w:rFonts w:ascii="Times New Roman" w:eastAsia="Times New Roman" w:hAnsi="Times New Roman" w:cs="Times New Roman"/>
                <w:sz w:val="24"/>
                <w:szCs w:val="24"/>
                <w:lang w:eastAsia="lv-LV"/>
              </w:rPr>
              <w:t xml:space="preserve"> laikā studējošais spēj sagatavoties, lai pretendētu uz rezidentūras vietu. Šobrīd rezidentūras pretendentam ir jānorāda specialitātes prioritāte</w:t>
            </w:r>
            <w:r w:rsidRPr="006D4FAE" w:rsidR="00E97188">
              <w:rPr>
                <w:rFonts w:ascii="Times New Roman" w:eastAsia="Times New Roman" w:hAnsi="Times New Roman" w:cs="Times New Roman"/>
                <w:sz w:val="24"/>
                <w:szCs w:val="24"/>
                <w:lang w:eastAsia="lv-LV"/>
              </w:rPr>
              <w:t>, tas nozīmē, ka attiecīgās specialitātes ietvaros konkurss notiek starp pretendentiem, kuri specialitāti izvēlējušies kā pirmo prioritāti. Gad</w:t>
            </w:r>
            <w:r w:rsidRPr="006D4FAE" w:rsidR="00481A29">
              <w:rPr>
                <w:rFonts w:ascii="Times New Roman" w:eastAsia="Times New Roman" w:hAnsi="Times New Roman" w:cs="Times New Roman"/>
                <w:sz w:val="24"/>
                <w:szCs w:val="24"/>
                <w:lang w:eastAsia="lv-LV"/>
              </w:rPr>
              <w:t>ī</w:t>
            </w:r>
            <w:r w:rsidRPr="006D4FAE" w:rsidR="00E97188">
              <w:rPr>
                <w:rFonts w:ascii="Times New Roman" w:eastAsia="Times New Roman" w:hAnsi="Times New Roman" w:cs="Times New Roman"/>
                <w:sz w:val="24"/>
                <w:szCs w:val="24"/>
                <w:lang w:eastAsia="lv-LV"/>
              </w:rPr>
              <w:t xml:space="preserve">jumā, ja netiek aizpildītas studiju vietas, tad konkurss uz brīvajām vietām notiek starp pretendentiem, kuri attiecīgo specialitāti ir izvēlējušies kā otro prioritāti. </w:t>
            </w:r>
            <w:r w:rsidRPr="006D4FAE" w:rsidR="00197A15">
              <w:rPr>
                <w:rFonts w:ascii="Times New Roman" w:eastAsia="Times New Roman" w:hAnsi="Times New Roman" w:cs="Times New Roman"/>
                <w:sz w:val="24"/>
                <w:szCs w:val="24"/>
                <w:lang w:eastAsia="lv-LV"/>
              </w:rPr>
              <w:t>Kā norāda R</w:t>
            </w:r>
            <w:r w:rsidRPr="006D4FAE" w:rsidR="00587F5D">
              <w:rPr>
                <w:rFonts w:ascii="Times New Roman" w:eastAsia="Times New Roman" w:hAnsi="Times New Roman" w:cs="Times New Roman"/>
                <w:sz w:val="24"/>
                <w:szCs w:val="24"/>
                <w:lang w:eastAsia="lv-LV"/>
              </w:rPr>
              <w:t>īgas Stradiņa universitātes</w:t>
            </w:r>
            <w:r w:rsidRPr="006D4FAE" w:rsidR="00197A15">
              <w:rPr>
                <w:rFonts w:ascii="Times New Roman" w:eastAsia="Times New Roman" w:hAnsi="Times New Roman" w:cs="Times New Roman"/>
                <w:sz w:val="24"/>
                <w:szCs w:val="24"/>
                <w:lang w:eastAsia="lv-LV"/>
              </w:rPr>
              <w:t xml:space="preserve"> Studējošo pašpārvaldes un Latvijas Jauno ārstu asociācijas pārstāvji, tad otrā izvēlētā specialitātē nav iespējams tikt</w:t>
            </w:r>
            <w:r w:rsidRPr="006D4FAE" w:rsidR="00481A29">
              <w:rPr>
                <w:rFonts w:ascii="Times New Roman" w:eastAsia="Times New Roman" w:hAnsi="Times New Roman" w:cs="Times New Roman"/>
                <w:sz w:val="24"/>
                <w:szCs w:val="24"/>
                <w:lang w:eastAsia="lv-LV"/>
              </w:rPr>
              <w:t xml:space="preserve"> uzņemtam.</w:t>
            </w:r>
            <w:r w:rsidRPr="006D4FAE" w:rsidR="00197A15">
              <w:rPr>
                <w:rFonts w:ascii="Times New Roman" w:eastAsia="Times New Roman" w:hAnsi="Times New Roman" w:cs="Times New Roman"/>
                <w:sz w:val="24"/>
                <w:szCs w:val="24"/>
                <w:lang w:eastAsia="lv-LV"/>
              </w:rPr>
              <w:t xml:space="preserve"> </w:t>
            </w:r>
            <w:r w:rsidRPr="006D4FAE" w:rsidR="00587F5D">
              <w:rPr>
                <w:rFonts w:ascii="Times New Roman" w:eastAsia="Times New Roman" w:hAnsi="Times New Roman" w:cs="Times New Roman"/>
                <w:sz w:val="24"/>
                <w:szCs w:val="24"/>
                <w:lang w:eastAsia="lv-LV"/>
              </w:rPr>
              <w:t xml:space="preserve">Otrās prioritātes specialitātē pretendents </w:t>
            </w:r>
            <w:r w:rsidRPr="006D4FAE" w:rsidR="00197A15">
              <w:rPr>
                <w:rFonts w:ascii="Times New Roman" w:eastAsia="Times New Roman" w:hAnsi="Times New Roman" w:cs="Times New Roman"/>
                <w:sz w:val="24"/>
                <w:szCs w:val="24"/>
                <w:lang w:eastAsia="lv-LV"/>
              </w:rPr>
              <w:t xml:space="preserve">var tikt </w:t>
            </w:r>
            <w:r w:rsidRPr="006D4FAE" w:rsidR="00587F5D">
              <w:rPr>
                <w:rFonts w:ascii="Times New Roman" w:eastAsia="Times New Roman" w:hAnsi="Times New Roman" w:cs="Times New Roman"/>
                <w:sz w:val="24"/>
                <w:szCs w:val="24"/>
                <w:lang w:eastAsia="lv-LV"/>
              </w:rPr>
              <w:t xml:space="preserve">uzņemts </w:t>
            </w:r>
            <w:r w:rsidRPr="006D4FAE" w:rsidR="00197A15">
              <w:rPr>
                <w:rFonts w:ascii="Times New Roman" w:eastAsia="Times New Roman" w:hAnsi="Times New Roman" w:cs="Times New Roman"/>
                <w:sz w:val="24"/>
                <w:szCs w:val="24"/>
                <w:lang w:eastAsia="lv-LV"/>
              </w:rPr>
              <w:t xml:space="preserve">tikai, tad, ja specialitātē ir ļoti mazs pretendentu skaits. </w:t>
            </w:r>
            <w:r w:rsidRPr="006D4FAE" w:rsidR="00587F5D">
              <w:rPr>
                <w:rFonts w:ascii="Times New Roman" w:eastAsia="Times New Roman" w:hAnsi="Times New Roman" w:cs="Times New Roman"/>
                <w:sz w:val="24"/>
                <w:szCs w:val="24"/>
                <w:lang w:eastAsia="lv-LV"/>
              </w:rPr>
              <w:t>Lai nodrošinātu, ka rezidentūras pretendenti vienādi konkurē un labākie tiktu uzņemti pieprasītākajās specialitātēs, tiek n</w:t>
            </w:r>
            <w:r w:rsidRPr="006D4FAE" w:rsidR="00197A15">
              <w:rPr>
                <w:rFonts w:ascii="Times New Roman" w:eastAsia="Times New Roman" w:hAnsi="Times New Roman" w:cs="Times New Roman"/>
                <w:sz w:val="24"/>
                <w:szCs w:val="24"/>
                <w:lang w:eastAsia="lv-LV"/>
              </w:rPr>
              <w:t>ot</w:t>
            </w:r>
            <w:r w:rsidRPr="006D4FAE" w:rsidR="00587F5D">
              <w:rPr>
                <w:rFonts w:ascii="Times New Roman" w:eastAsia="Times New Roman" w:hAnsi="Times New Roman" w:cs="Times New Roman"/>
                <w:sz w:val="24"/>
                <w:szCs w:val="24"/>
                <w:lang w:eastAsia="lv-LV"/>
              </w:rPr>
              <w:t>eikts</w:t>
            </w:r>
            <w:r w:rsidRPr="006D4FAE" w:rsidR="00197A15">
              <w:rPr>
                <w:rFonts w:ascii="Times New Roman" w:eastAsia="Times New Roman" w:hAnsi="Times New Roman" w:cs="Times New Roman"/>
                <w:sz w:val="24"/>
                <w:szCs w:val="24"/>
                <w:lang w:eastAsia="lv-LV"/>
              </w:rPr>
              <w:t>, ka rezidentūras pretendents var pieteikties pretendēšanai ne v</w:t>
            </w:r>
            <w:r w:rsidRPr="006D4FAE" w:rsidR="00587F5D">
              <w:rPr>
                <w:rFonts w:ascii="Times New Roman" w:eastAsia="Times New Roman" w:hAnsi="Times New Roman" w:cs="Times New Roman"/>
                <w:sz w:val="24"/>
                <w:szCs w:val="24"/>
                <w:lang w:eastAsia="lv-LV"/>
              </w:rPr>
              <w:t xml:space="preserve">airāk kā uz divām specialitātēm </w:t>
            </w:r>
            <w:r w:rsidRPr="006D4FAE" w:rsidR="00587F5D">
              <w:rPr>
                <w:rFonts w:ascii="Times New Roman" w:eastAsia="Times New Roman" w:hAnsi="Times New Roman" w:cs="Times New Roman"/>
                <w:sz w:val="24"/>
                <w:szCs w:val="24"/>
                <w:lang w:eastAsia="lv-LV"/>
              </w:rPr>
              <w:t>(nenosakot, kura no specialitātēm ir prioritāra)</w:t>
            </w:r>
            <w:r w:rsidRPr="006D4FAE" w:rsidR="00197A15">
              <w:rPr>
                <w:rFonts w:ascii="Times New Roman" w:eastAsia="Times New Roman" w:hAnsi="Times New Roman" w:cs="Times New Roman"/>
                <w:sz w:val="24"/>
                <w:szCs w:val="24"/>
                <w:lang w:eastAsia="lv-LV"/>
              </w:rPr>
              <w:t xml:space="preserve">. </w:t>
            </w:r>
            <w:r w:rsidRPr="00587F5D" w:rsidR="00587F5D">
              <w:rPr>
                <w:rFonts w:ascii="Times New Roman" w:eastAsia="Times New Roman" w:hAnsi="Times New Roman" w:cs="Times New Roman"/>
                <w:sz w:val="24"/>
                <w:szCs w:val="24"/>
                <w:lang w:eastAsia="lv-LV"/>
              </w:rPr>
              <w:t>Tādā veidā rezidentūras pretendents var pretendēt uz abām specialitātēm pēc identiskiem kritērijiem</w:t>
            </w:r>
            <w:r w:rsidR="00587F5D">
              <w:rPr>
                <w:rFonts w:ascii="Times New Roman" w:eastAsia="Times New Roman" w:hAnsi="Times New Roman" w:cs="Times New Roman"/>
                <w:sz w:val="24"/>
                <w:szCs w:val="24"/>
                <w:lang w:eastAsia="lv-LV"/>
              </w:rPr>
              <w:t xml:space="preserve"> </w:t>
            </w:r>
            <w:r w:rsidRPr="000E15C0" w:rsidR="003310CB">
              <w:rPr>
                <w:rFonts w:ascii="Times New Roman" w:eastAsia="Times New Roman" w:hAnsi="Times New Roman" w:cs="Times New Roman"/>
                <w:sz w:val="24"/>
                <w:szCs w:val="24"/>
                <w:lang w:eastAsia="lv-LV"/>
              </w:rPr>
              <w:t xml:space="preserve">(Noteikumu projekta </w:t>
            </w:r>
            <w:r w:rsidR="00E93161">
              <w:rPr>
                <w:rFonts w:ascii="Times New Roman" w:eastAsia="Times New Roman" w:hAnsi="Times New Roman" w:cs="Times New Roman"/>
                <w:sz w:val="24"/>
                <w:szCs w:val="24"/>
                <w:lang w:eastAsia="lv-LV"/>
              </w:rPr>
              <w:t>5</w:t>
            </w:r>
            <w:r w:rsidR="00587F5D">
              <w:rPr>
                <w:rFonts w:ascii="Times New Roman" w:eastAsia="Times New Roman" w:hAnsi="Times New Roman" w:cs="Times New Roman"/>
                <w:sz w:val="24"/>
                <w:szCs w:val="24"/>
                <w:lang w:eastAsia="lv-LV"/>
              </w:rPr>
              <w:t xml:space="preserve">. un </w:t>
            </w:r>
            <w:r w:rsidR="00E93161">
              <w:rPr>
                <w:rFonts w:ascii="Times New Roman" w:eastAsia="Times New Roman" w:hAnsi="Times New Roman" w:cs="Times New Roman"/>
                <w:sz w:val="24"/>
                <w:szCs w:val="24"/>
                <w:lang w:eastAsia="lv-LV"/>
              </w:rPr>
              <w:t>6</w:t>
            </w:r>
            <w:r w:rsidRPr="000E15C0" w:rsidR="003310CB">
              <w:rPr>
                <w:rFonts w:ascii="Times New Roman" w:eastAsia="Times New Roman" w:hAnsi="Times New Roman" w:cs="Times New Roman"/>
                <w:sz w:val="24"/>
                <w:szCs w:val="24"/>
                <w:lang w:eastAsia="lv-LV"/>
              </w:rPr>
              <w:t>.punkts)</w:t>
            </w:r>
            <w:r w:rsidRPr="000E15C0" w:rsidR="00A62BE9">
              <w:rPr>
                <w:rFonts w:ascii="Times New Roman" w:eastAsia="Times New Roman" w:hAnsi="Times New Roman" w:cs="Times New Roman"/>
                <w:sz w:val="24"/>
                <w:szCs w:val="24"/>
                <w:lang w:eastAsia="lv-LV"/>
              </w:rPr>
              <w:t xml:space="preserve">. </w:t>
            </w:r>
          </w:p>
          <w:p w:rsidR="00F50D7D" w:rsidRPr="000E15C0" w:rsidP="00F50D7D" w14:paraId="350DB528" w14:textId="7D825996">
            <w:pPr>
              <w:spacing w:after="0" w:line="240" w:lineRule="auto"/>
              <w:ind w:firstLine="118"/>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 xml:space="preserve">Lai sniegtu skaidrāku priekšstatu par finansējuma sadali augstskolu, ārstniecības iestāžu un apmācāmo rezidentu izpratnē, Noteikumu projektā finansējuma procentuālais sadalījums tiek aizstāts ar absolūtajiem skaitļiem kalendārajā gadā (Noteikumu projekta </w:t>
            </w:r>
            <w:r w:rsidR="00E93161">
              <w:rPr>
                <w:rFonts w:ascii="Times New Roman" w:eastAsia="Times New Roman" w:hAnsi="Times New Roman" w:cs="Times New Roman"/>
                <w:sz w:val="24"/>
                <w:szCs w:val="24"/>
                <w:lang w:eastAsia="lv-LV"/>
              </w:rPr>
              <w:t>7</w:t>
            </w:r>
            <w:r w:rsidRPr="000E15C0">
              <w:rPr>
                <w:rFonts w:ascii="Times New Roman" w:eastAsia="Times New Roman" w:hAnsi="Times New Roman" w:cs="Times New Roman"/>
                <w:sz w:val="24"/>
                <w:szCs w:val="24"/>
                <w:lang w:eastAsia="lv-LV"/>
              </w:rPr>
              <w:t xml:space="preserve">., </w:t>
            </w:r>
            <w:r w:rsidR="00E93161">
              <w:rPr>
                <w:rFonts w:ascii="Times New Roman" w:eastAsia="Times New Roman" w:hAnsi="Times New Roman" w:cs="Times New Roman"/>
                <w:sz w:val="24"/>
                <w:szCs w:val="24"/>
                <w:lang w:eastAsia="lv-LV"/>
              </w:rPr>
              <w:t>8</w:t>
            </w:r>
            <w:r w:rsidRPr="000E15C0">
              <w:rPr>
                <w:rFonts w:ascii="Times New Roman" w:eastAsia="Times New Roman" w:hAnsi="Times New Roman" w:cs="Times New Roman"/>
                <w:sz w:val="24"/>
                <w:szCs w:val="24"/>
                <w:lang w:eastAsia="lv-LV"/>
              </w:rPr>
              <w:t>.</w:t>
            </w:r>
            <w:r w:rsidRPr="000E15C0" w:rsidR="00B843FB">
              <w:rPr>
                <w:rFonts w:ascii="Times New Roman" w:eastAsia="Times New Roman" w:hAnsi="Times New Roman" w:cs="Times New Roman"/>
                <w:sz w:val="24"/>
                <w:szCs w:val="24"/>
                <w:lang w:eastAsia="lv-LV"/>
              </w:rPr>
              <w:t xml:space="preserve"> </w:t>
            </w:r>
            <w:r w:rsidR="00587F5D">
              <w:rPr>
                <w:rFonts w:ascii="Times New Roman" w:eastAsia="Times New Roman" w:hAnsi="Times New Roman" w:cs="Times New Roman"/>
                <w:sz w:val="24"/>
                <w:szCs w:val="24"/>
                <w:lang w:eastAsia="lv-LV"/>
              </w:rPr>
              <w:t xml:space="preserve">un </w:t>
            </w:r>
            <w:r w:rsidR="00E93161">
              <w:rPr>
                <w:rFonts w:ascii="Times New Roman" w:eastAsia="Times New Roman" w:hAnsi="Times New Roman" w:cs="Times New Roman"/>
                <w:sz w:val="24"/>
                <w:szCs w:val="24"/>
                <w:lang w:eastAsia="lv-LV"/>
              </w:rPr>
              <w:t>10</w:t>
            </w:r>
            <w:r w:rsidR="00587F5D">
              <w:rPr>
                <w:rFonts w:ascii="Times New Roman" w:eastAsia="Times New Roman" w:hAnsi="Times New Roman" w:cs="Times New Roman"/>
                <w:sz w:val="24"/>
                <w:szCs w:val="24"/>
                <w:lang w:eastAsia="lv-LV"/>
              </w:rPr>
              <w:t>.</w:t>
            </w:r>
            <w:r w:rsidRPr="000E15C0">
              <w:rPr>
                <w:rFonts w:ascii="Times New Roman" w:eastAsia="Times New Roman" w:hAnsi="Times New Roman" w:cs="Times New Roman"/>
                <w:sz w:val="24"/>
                <w:szCs w:val="24"/>
                <w:lang w:eastAsia="lv-LV"/>
              </w:rPr>
              <w:t>punkts).</w:t>
            </w:r>
          </w:p>
          <w:p w:rsidR="00E01D5B" w:rsidP="00F50D7D" w14:paraId="69EBA163" w14:textId="1125512F">
            <w:pPr>
              <w:spacing w:after="0" w:line="240" w:lineRule="auto"/>
              <w:ind w:firstLine="118"/>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Jaunu speciālistu piesaistīšanai darbam daudzprofilu slimnīcā, kas sniedz no valsts budžeta  apmaksātus veselības aprūpes pakalpojumus, ārpus Rīgas, noteikumu projekts paredz, ka rezidenta mēnešalga daudzprofilu slimnīcā, kas ir izveidojusi sadarbību ar reģionālo daudzprofilu slimnīcu būs par 30% lielāka nekā zemākā mēnešalga</w:t>
            </w:r>
            <w:r w:rsidRPr="000E15C0" w:rsidR="00623A44">
              <w:rPr>
                <w:rFonts w:ascii="Times New Roman" w:eastAsia="Times New Roman" w:hAnsi="Times New Roman" w:cs="Times New Roman"/>
                <w:sz w:val="24"/>
                <w:szCs w:val="24"/>
                <w:lang w:eastAsia="lv-LV"/>
              </w:rPr>
              <w:t xml:space="preserve"> (Noteikumu projekta </w:t>
            </w:r>
            <w:r w:rsidR="00E93161">
              <w:rPr>
                <w:rFonts w:ascii="Times New Roman" w:eastAsia="Times New Roman" w:hAnsi="Times New Roman" w:cs="Times New Roman"/>
                <w:sz w:val="24"/>
                <w:szCs w:val="24"/>
                <w:lang w:eastAsia="lv-LV"/>
              </w:rPr>
              <w:t>9</w:t>
            </w:r>
            <w:r w:rsidRPr="000E15C0" w:rsidR="00623A44">
              <w:rPr>
                <w:rFonts w:ascii="Times New Roman" w:eastAsia="Times New Roman" w:hAnsi="Times New Roman" w:cs="Times New Roman"/>
                <w:sz w:val="24"/>
                <w:szCs w:val="24"/>
                <w:lang w:eastAsia="lv-LV"/>
              </w:rPr>
              <w:t>.punkts). Tādējādi nodrošināt reģionus ar nepieciešamajiem speciālistiem.</w:t>
            </w:r>
            <w:r w:rsidRPr="000E15C0">
              <w:rPr>
                <w:rFonts w:ascii="Times New Roman" w:eastAsia="Times New Roman" w:hAnsi="Times New Roman" w:cs="Times New Roman"/>
                <w:sz w:val="24"/>
                <w:szCs w:val="24"/>
                <w:lang w:eastAsia="lv-LV"/>
              </w:rPr>
              <w:t xml:space="preserve"> </w:t>
            </w:r>
          </w:p>
          <w:p w:rsidR="000B42BE" w:rsidRPr="006D4FAE" w:rsidP="00F50D7D" w14:paraId="7207DB09" w14:textId="15818BB5">
            <w:pPr>
              <w:spacing w:after="0" w:line="240" w:lineRule="auto"/>
              <w:ind w:firstLine="118"/>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Izsakot Noteikumu Nr.685 5.</w:t>
            </w:r>
            <w:r w:rsidRPr="006D4FAE">
              <w:rPr>
                <w:rFonts w:ascii="Times New Roman" w:eastAsia="Times New Roman" w:hAnsi="Times New Roman" w:cs="Times New Roman"/>
                <w:sz w:val="24"/>
                <w:szCs w:val="24"/>
                <w:vertAlign w:val="superscript"/>
                <w:lang w:eastAsia="lv-LV"/>
              </w:rPr>
              <w:t>1</w:t>
            </w:r>
            <w:r w:rsidRPr="006D4FAE">
              <w:rPr>
                <w:rFonts w:ascii="Times New Roman" w:eastAsia="Times New Roman" w:hAnsi="Times New Roman" w:cs="Times New Roman"/>
                <w:sz w:val="24"/>
                <w:szCs w:val="24"/>
                <w:lang w:eastAsia="lv-LV"/>
              </w:rPr>
              <w:t xml:space="preserve"> punktu jaunā redakcijā (</w:t>
            </w:r>
            <w:r w:rsidRPr="006D4FAE" w:rsidR="00481A29">
              <w:rPr>
                <w:rFonts w:ascii="Times New Roman" w:eastAsia="Times New Roman" w:hAnsi="Times New Roman" w:cs="Times New Roman"/>
                <w:sz w:val="24"/>
                <w:szCs w:val="24"/>
                <w:lang w:eastAsia="lv-LV"/>
              </w:rPr>
              <w:t xml:space="preserve">Noteikumu </w:t>
            </w:r>
            <w:r w:rsidRPr="006D4FAE">
              <w:rPr>
                <w:rFonts w:ascii="Times New Roman" w:eastAsia="Times New Roman" w:hAnsi="Times New Roman" w:cs="Times New Roman"/>
                <w:sz w:val="24"/>
                <w:szCs w:val="24"/>
                <w:lang w:eastAsia="lv-LV"/>
              </w:rPr>
              <w:t xml:space="preserve">projekta 4. punkts), šajā punktā vairs nav ietverts regulējums saistībā ar vienošanos ar pašvaldību vai valsts vai pašvaldības ārstniecības iestādi, kas sniedz no valsts budžeta apmaksātus veselības aprūpes pakalpojumus ārpus Rīgas. Līdz ar to </w:t>
            </w:r>
            <w:r w:rsidRPr="006D4FAE" w:rsidR="00AA1153">
              <w:rPr>
                <w:rFonts w:ascii="Times New Roman" w:eastAsia="Times New Roman" w:hAnsi="Times New Roman" w:cs="Times New Roman"/>
                <w:sz w:val="24"/>
                <w:szCs w:val="24"/>
                <w:lang w:eastAsia="lv-LV"/>
              </w:rPr>
              <w:t xml:space="preserve">tiek </w:t>
            </w:r>
            <w:r w:rsidRPr="006D4FAE">
              <w:rPr>
                <w:rFonts w:ascii="Times New Roman" w:eastAsia="Times New Roman" w:hAnsi="Times New Roman" w:cs="Times New Roman"/>
                <w:sz w:val="24"/>
                <w:szCs w:val="24"/>
                <w:lang w:eastAsia="lv-LV"/>
              </w:rPr>
              <w:t>izdarīt</w:t>
            </w:r>
            <w:r w:rsidRPr="006D4FAE" w:rsidR="00AA1153">
              <w:rPr>
                <w:rFonts w:ascii="Times New Roman" w:eastAsia="Times New Roman" w:hAnsi="Times New Roman" w:cs="Times New Roman"/>
                <w:sz w:val="24"/>
                <w:szCs w:val="24"/>
                <w:lang w:eastAsia="lv-LV"/>
              </w:rPr>
              <w:t>i</w:t>
            </w:r>
            <w:r w:rsidRPr="006D4FAE">
              <w:rPr>
                <w:rFonts w:ascii="Times New Roman" w:eastAsia="Times New Roman" w:hAnsi="Times New Roman" w:cs="Times New Roman"/>
                <w:sz w:val="24"/>
                <w:szCs w:val="24"/>
                <w:lang w:eastAsia="lv-LV"/>
              </w:rPr>
              <w:t xml:space="preserve"> grozījum</w:t>
            </w:r>
            <w:r w:rsidRPr="006D4FAE" w:rsidR="00AA1153">
              <w:rPr>
                <w:rFonts w:ascii="Times New Roman" w:eastAsia="Times New Roman" w:hAnsi="Times New Roman" w:cs="Times New Roman"/>
                <w:sz w:val="24"/>
                <w:szCs w:val="24"/>
                <w:lang w:eastAsia="lv-LV"/>
              </w:rPr>
              <w:t>i</w:t>
            </w:r>
            <w:r w:rsidRPr="006D4FAE">
              <w:rPr>
                <w:rFonts w:ascii="Times New Roman" w:eastAsia="Times New Roman" w:hAnsi="Times New Roman" w:cs="Times New Roman"/>
                <w:sz w:val="24"/>
                <w:szCs w:val="24"/>
                <w:lang w:eastAsia="lv-LV"/>
              </w:rPr>
              <w:t xml:space="preserve"> </w:t>
            </w:r>
            <w:r w:rsidRPr="006D4FAE" w:rsidR="00AA1153">
              <w:rPr>
                <w:rFonts w:ascii="Times New Roman" w:eastAsia="Times New Roman" w:hAnsi="Times New Roman" w:cs="Times New Roman"/>
                <w:sz w:val="24"/>
                <w:szCs w:val="24"/>
                <w:lang w:eastAsia="lv-LV"/>
              </w:rPr>
              <w:t>N</w:t>
            </w:r>
            <w:r w:rsidRPr="006D4FAE">
              <w:rPr>
                <w:rFonts w:ascii="Times New Roman" w:eastAsia="Times New Roman" w:hAnsi="Times New Roman" w:cs="Times New Roman"/>
                <w:sz w:val="24"/>
                <w:szCs w:val="24"/>
                <w:lang w:eastAsia="lv-LV"/>
              </w:rPr>
              <w:t>oteikumu Nr. 685  28.2. apakšpunktā</w:t>
            </w:r>
            <w:r w:rsidRPr="006D4FAE" w:rsidR="00AA1153">
              <w:rPr>
                <w:rFonts w:ascii="Times New Roman" w:eastAsia="Times New Roman" w:hAnsi="Times New Roman" w:cs="Times New Roman"/>
                <w:sz w:val="24"/>
                <w:szCs w:val="24"/>
                <w:lang w:eastAsia="lv-LV"/>
              </w:rPr>
              <w:t xml:space="preserve"> (Noteikumu projekta 1</w:t>
            </w:r>
            <w:r w:rsidR="00E93161">
              <w:rPr>
                <w:rFonts w:ascii="Times New Roman" w:eastAsia="Times New Roman" w:hAnsi="Times New Roman" w:cs="Times New Roman"/>
                <w:sz w:val="24"/>
                <w:szCs w:val="24"/>
                <w:lang w:eastAsia="lv-LV"/>
              </w:rPr>
              <w:t>1</w:t>
            </w:r>
            <w:r w:rsidRPr="006D4FAE" w:rsidR="00AA1153">
              <w:rPr>
                <w:rFonts w:ascii="Times New Roman" w:eastAsia="Times New Roman" w:hAnsi="Times New Roman" w:cs="Times New Roman"/>
                <w:sz w:val="24"/>
                <w:szCs w:val="24"/>
                <w:lang w:eastAsia="lv-LV"/>
              </w:rPr>
              <w:t>.punkts)</w:t>
            </w:r>
            <w:r w:rsidRPr="006D4FAE">
              <w:rPr>
                <w:rFonts w:ascii="Times New Roman" w:eastAsia="Times New Roman" w:hAnsi="Times New Roman" w:cs="Times New Roman"/>
                <w:sz w:val="24"/>
                <w:szCs w:val="24"/>
                <w:lang w:eastAsia="lv-LV"/>
              </w:rPr>
              <w:t>.</w:t>
            </w:r>
          </w:p>
          <w:p w:rsidR="00422E75" w:rsidP="00623A44" w14:paraId="518B9980" w14:textId="1AE14550">
            <w:pPr>
              <w:spacing w:after="0" w:line="240" w:lineRule="auto"/>
              <w:ind w:left="-23" w:firstLine="141"/>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 xml:space="preserve">Lai saskaņotu Noteikumu Nr.685 28.punktā noteikto termiņu (trīs gadi) ar Noteikumu Nr.685 35.punktu,  redakcionāli tiek precizēts Noteikumu Nr.685 35.punkts, vārdu “piecu” aizstājot ar vārdu “trīs” (Noteikumu projekta </w:t>
            </w:r>
            <w:r w:rsidRPr="000E15C0" w:rsidR="00E01D5B">
              <w:rPr>
                <w:rFonts w:ascii="Times New Roman" w:eastAsia="Times New Roman" w:hAnsi="Times New Roman" w:cs="Times New Roman"/>
                <w:sz w:val="24"/>
                <w:szCs w:val="24"/>
                <w:lang w:eastAsia="lv-LV"/>
              </w:rPr>
              <w:t>1</w:t>
            </w:r>
            <w:r w:rsidR="00E93161">
              <w:rPr>
                <w:rFonts w:ascii="Times New Roman" w:eastAsia="Times New Roman" w:hAnsi="Times New Roman" w:cs="Times New Roman"/>
                <w:sz w:val="24"/>
                <w:szCs w:val="24"/>
                <w:lang w:eastAsia="lv-LV"/>
              </w:rPr>
              <w:t>2</w:t>
            </w:r>
            <w:r w:rsidRPr="000E15C0">
              <w:rPr>
                <w:rFonts w:ascii="Times New Roman" w:eastAsia="Times New Roman" w:hAnsi="Times New Roman" w:cs="Times New Roman"/>
                <w:sz w:val="24"/>
                <w:szCs w:val="24"/>
                <w:lang w:eastAsia="lv-LV"/>
              </w:rPr>
              <w:t>.punkts).</w:t>
            </w:r>
          </w:p>
          <w:p w:rsidR="00231F9D" w:rsidRPr="000E15C0" w:rsidP="00352094" w14:paraId="0F9B3559" w14:textId="38993CA8">
            <w:pPr>
              <w:spacing w:after="0" w:line="240" w:lineRule="auto"/>
              <w:ind w:left="118" w:firstLine="284"/>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Izsakot Noteikumu Nr. 685  5. un 7. punktu jaunā redakcijā (</w:t>
            </w:r>
            <w:r w:rsidRPr="006D4FAE" w:rsidR="00481A29">
              <w:rPr>
                <w:rFonts w:ascii="Times New Roman" w:eastAsia="Times New Roman" w:hAnsi="Times New Roman" w:cs="Times New Roman"/>
                <w:sz w:val="24"/>
                <w:szCs w:val="24"/>
                <w:lang w:eastAsia="lv-LV"/>
              </w:rPr>
              <w:t xml:space="preserve">Noteikumu </w:t>
            </w:r>
            <w:r w:rsidRPr="006D4FAE">
              <w:rPr>
                <w:rFonts w:ascii="Times New Roman" w:eastAsia="Times New Roman" w:hAnsi="Times New Roman" w:cs="Times New Roman"/>
                <w:sz w:val="24"/>
                <w:szCs w:val="24"/>
                <w:lang w:eastAsia="lv-LV"/>
              </w:rPr>
              <w:t xml:space="preserve">projekta </w:t>
            </w:r>
            <w:r w:rsidR="00E93161">
              <w:rPr>
                <w:rFonts w:ascii="Times New Roman" w:eastAsia="Times New Roman" w:hAnsi="Times New Roman" w:cs="Times New Roman"/>
                <w:sz w:val="24"/>
                <w:szCs w:val="24"/>
                <w:lang w:eastAsia="lv-LV"/>
              </w:rPr>
              <w:t>5</w:t>
            </w:r>
            <w:r w:rsidRPr="006D4FAE">
              <w:rPr>
                <w:rFonts w:ascii="Times New Roman" w:eastAsia="Times New Roman" w:hAnsi="Times New Roman" w:cs="Times New Roman"/>
                <w:sz w:val="24"/>
                <w:szCs w:val="24"/>
                <w:lang w:eastAsia="lv-LV"/>
              </w:rPr>
              <w:t>. punkts), šo Noteikumu Nr.685 43.</w:t>
            </w:r>
            <w:r w:rsidRPr="006D4FAE">
              <w:rPr>
                <w:rFonts w:ascii="Times New Roman" w:eastAsia="Times New Roman" w:hAnsi="Times New Roman" w:cs="Times New Roman"/>
                <w:sz w:val="24"/>
                <w:szCs w:val="24"/>
                <w:vertAlign w:val="superscript"/>
                <w:lang w:eastAsia="lv-LV"/>
              </w:rPr>
              <w:t>3</w:t>
            </w:r>
            <w:r w:rsidRPr="006D4FAE">
              <w:rPr>
                <w:rFonts w:ascii="Times New Roman" w:eastAsia="Times New Roman" w:hAnsi="Times New Roman" w:cs="Times New Roman"/>
                <w:sz w:val="24"/>
                <w:szCs w:val="24"/>
                <w:lang w:eastAsia="lv-LV"/>
              </w:rPr>
              <w:t xml:space="preserve"> punktā ietvertās atsauces tikai daļēji atbilst to vienību saturam, uz kurām atsauces attiecas spēkā esošajā Noteikumu Nr.685 redakcijā. Līdz ar to ir izdarīti grozījumi Noteikumu Nr.685 43.</w:t>
            </w:r>
            <w:r w:rsidRPr="006D4FAE">
              <w:rPr>
                <w:rFonts w:ascii="Times New Roman" w:eastAsia="Times New Roman" w:hAnsi="Times New Roman" w:cs="Times New Roman"/>
                <w:sz w:val="24"/>
                <w:szCs w:val="24"/>
                <w:vertAlign w:val="superscript"/>
                <w:lang w:eastAsia="lv-LV"/>
              </w:rPr>
              <w:t>3</w:t>
            </w:r>
            <w:r w:rsidRPr="006D4FAE">
              <w:rPr>
                <w:rFonts w:ascii="Times New Roman" w:eastAsia="Times New Roman" w:hAnsi="Times New Roman" w:cs="Times New Roman"/>
                <w:sz w:val="24"/>
                <w:szCs w:val="24"/>
                <w:lang w:eastAsia="lv-LV"/>
              </w:rPr>
              <w:t xml:space="preserve"> punktā (Noteikumu projekta 1</w:t>
            </w:r>
            <w:r w:rsidR="00E93161">
              <w:rPr>
                <w:rFonts w:ascii="Times New Roman" w:eastAsia="Times New Roman" w:hAnsi="Times New Roman" w:cs="Times New Roman"/>
                <w:sz w:val="24"/>
                <w:szCs w:val="24"/>
                <w:lang w:eastAsia="lv-LV"/>
              </w:rPr>
              <w:t>3</w:t>
            </w:r>
            <w:bookmarkStart w:id="0" w:name="_GoBack"/>
            <w:bookmarkEnd w:id="0"/>
            <w:r w:rsidRPr="006D4FAE">
              <w:rPr>
                <w:rFonts w:ascii="Times New Roman" w:eastAsia="Times New Roman" w:hAnsi="Times New Roman" w:cs="Times New Roman"/>
                <w:sz w:val="24"/>
                <w:szCs w:val="24"/>
                <w:lang w:eastAsia="lv-LV"/>
              </w:rPr>
              <w:t xml:space="preserve">.punkts), proti, </w:t>
            </w:r>
            <w:r w:rsidRPr="006D4FAE" w:rsidR="00481A29">
              <w:rPr>
                <w:rFonts w:ascii="Times New Roman" w:eastAsia="Times New Roman" w:hAnsi="Times New Roman" w:cs="Times New Roman"/>
                <w:sz w:val="24"/>
                <w:szCs w:val="24"/>
                <w:lang w:eastAsia="lv-LV"/>
              </w:rPr>
              <w:t>no 2019.gada 1.janvāra darbu sāk vienotā rezidentu uzņemšanas komisija un rezidentūras pretendents var pieteikties pretendēšanai ne vairāk kā uz divām specialitātēm (prioritāte nav jānorāda)</w:t>
            </w:r>
            <w:r w:rsidRPr="006D4FAE" w:rsidR="0004068C">
              <w:rPr>
                <w:rFonts w:ascii="Times New Roman" w:eastAsia="Times New Roman" w:hAnsi="Times New Roman" w:cs="Times New Roman"/>
                <w:sz w:val="24"/>
                <w:szCs w:val="24"/>
                <w:lang w:eastAsia="lv-LV"/>
              </w:rPr>
              <w:t>,</w:t>
            </w:r>
            <w:r w:rsidRPr="006D4FAE" w:rsidR="00481A29">
              <w:rPr>
                <w:rFonts w:ascii="Times New Roman" w:eastAsia="Times New Roman" w:hAnsi="Times New Roman" w:cs="Times New Roman"/>
                <w:sz w:val="24"/>
                <w:szCs w:val="24"/>
                <w:lang w:eastAsia="lv-LV"/>
              </w:rPr>
              <w:t xml:space="preserve"> un pēc rezidentūras pretendentu uzņemšanas rezidentūras studiju programmās, rezidenti iegūto punktu secībā izvēlas augstskolu, kurā notiks rezidentūras programmas apguve.  L</w:t>
            </w:r>
            <w:r w:rsidRPr="006D4FAE">
              <w:rPr>
                <w:rFonts w:ascii="Times New Roman" w:eastAsia="Times New Roman" w:hAnsi="Times New Roman" w:cs="Times New Roman"/>
                <w:sz w:val="24"/>
                <w:szCs w:val="24"/>
                <w:lang w:eastAsia="lv-LV"/>
              </w:rPr>
              <w:t>īdz 2018. gada 31. decembrim</w:t>
            </w:r>
            <w:r w:rsidRPr="006D4FAE" w:rsidR="00352094">
              <w:rPr>
                <w:rFonts w:ascii="Times New Roman" w:eastAsia="Times New Roman" w:hAnsi="Times New Roman" w:cs="Times New Roman"/>
                <w:sz w:val="24"/>
                <w:szCs w:val="24"/>
                <w:lang w:eastAsia="lv-LV"/>
              </w:rPr>
              <w:t>:</w:t>
            </w:r>
            <w:r w:rsidRPr="006D4FAE">
              <w:rPr>
                <w:rFonts w:ascii="Times New Roman" w:eastAsia="Times New Roman" w:hAnsi="Times New Roman" w:cs="Times New Roman"/>
                <w:sz w:val="24"/>
                <w:szCs w:val="24"/>
                <w:lang w:eastAsia="lv-LV"/>
              </w:rPr>
              <w:t xml:space="preserve"> </w:t>
            </w:r>
            <w:r w:rsidRPr="006D4FAE" w:rsidR="00352094">
              <w:rPr>
                <w:rFonts w:ascii="Times New Roman" w:eastAsia="Times New Roman" w:hAnsi="Times New Roman" w:cs="Times New Roman"/>
                <w:sz w:val="24"/>
                <w:szCs w:val="24"/>
                <w:lang w:eastAsia="lv-LV"/>
              </w:rPr>
              <w:t xml:space="preserve">1) </w:t>
            </w:r>
            <w:r w:rsidRPr="006D4FAE">
              <w:rPr>
                <w:rFonts w:ascii="Times New Roman" w:eastAsia="Times New Roman" w:hAnsi="Times New Roman" w:cs="Times New Roman"/>
                <w:sz w:val="24"/>
                <w:szCs w:val="24"/>
                <w:lang w:eastAsia="lv-LV"/>
              </w:rPr>
              <w:t>rezidentūras pretendentu pieteikšanos rezidentūras studiju programmās īsteno katra augstskola atsevišķi</w:t>
            </w:r>
            <w:r w:rsidRPr="006D4FAE" w:rsidR="00352094">
              <w:rPr>
                <w:rFonts w:ascii="Times New Roman" w:eastAsia="Times New Roman" w:hAnsi="Times New Roman" w:cs="Times New Roman"/>
                <w:sz w:val="24"/>
                <w:szCs w:val="24"/>
                <w:lang w:eastAsia="lv-LV"/>
              </w:rPr>
              <w:t xml:space="preserve">; </w:t>
            </w:r>
            <w:r w:rsidRPr="006D4FAE" w:rsidR="0004068C">
              <w:rPr>
                <w:rFonts w:ascii="Times New Roman" w:eastAsia="Times New Roman" w:hAnsi="Times New Roman" w:cs="Times New Roman"/>
                <w:sz w:val="24"/>
                <w:szCs w:val="24"/>
                <w:lang w:eastAsia="lv-LV"/>
              </w:rPr>
              <w:t>2</w:t>
            </w:r>
            <w:r w:rsidRPr="006D4FAE" w:rsidR="00352094">
              <w:rPr>
                <w:rFonts w:ascii="Times New Roman" w:eastAsia="Times New Roman" w:hAnsi="Times New Roman" w:cs="Times New Roman"/>
                <w:sz w:val="24"/>
                <w:szCs w:val="24"/>
                <w:lang w:eastAsia="lv-LV"/>
              </w:rPr>
              <w:t>)</w:t>
            </w:r>
            <w:r w:rsidRPr="006D4FAE">
              <w:rPr>
                <w:rFonts w:ascii="Times New Roman" w:eastAsia="Times New Roman" w:hAnsi="Times New Roman" w:cs="Times New Roman"/>
                <w:sz w:val="24"/>
                <w:szCs w:val="24"/>
                <w:lang w:eastAsia="lv-LV"/>
              </w:rPr>
              <w:t xml:space="preserve"> </w:t>
            </w:r>
            <w:r w:rsidRPr="006D4FAE" w:rsidR="00352094">
              <w:rPr>
                <w:rFonts w:ascii="Times New Roman" w:eastAsia="Times New Roman" w:hAnsi="Times New Roman" w:cs="Times New Roman"/>
                <w:sz w:val="24"/>
                <w:szCs w:val="24"/>
                <w:lang w:eastAsia="lv-LV"/>
              </w:rPr>
              <w:t>j</w:t>
            </w:r>
            <w:r w:rsidRPr="006D4FAE">
              <w:rPr>
                <w:rFonts w:ascii="Times New Roman" w:eastAsia="Times New Roman" w:hAnsi="Times New Roman" w:cs="Times New Roman"/>
                <w:sz w:val="24"/>
                <w:szCs w:val="24"/>
                <w:lang w:eastAsia="lv-LV"/>
              </w:rPr>
              <w:t xml:space="preserve">a rezidentūras studiju programmu piedāvā vairākas augstskolas, rezidentūras pretendents var pieteikties pretendēšanai ne vairāk kā uz divām specialitātēm vienā vai dažādās augstskolās. Šādā gadījumā rezidentūras pretendents katrai augstskolai norāda savu izvēles prioritāti. </w:t>
            </w:r>
          </w:p>
        </w:tc>
      </w:tr>
      <w:tr w14:paraId="44798320"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5CBF82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6CFBC2BD"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116AACF2"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Rīgas Stradiņa universitāte, Latvijas Universitāte, Latvijas Medicīnas studentu apvienība.</w:t>
            </w:r>
          </w:p>
        </w:tc>
      </w:tr>
      <w:tr w14:paraId="28641AF0"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04A839D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44BFD76E"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0EB86723"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53596AD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36A2D7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Pr="00894C55" w:rsidP="00894C55" w14:paraId="2DC137D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627A8E24"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50178F" w14:paraId="6888C857" w14:textId="5A7560D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A594E0E" w14:textId="77777777" w:rsidTr="00526C51">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2ABE16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6F41772"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00058C" w:rsidRPr="002F1B03" w:rsidP="004449CC" w14:paraId="3D344C20" w14:textId="77777777">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iestādes, kas realizē rezidentu apmācību, t.i., Rīgas Stradiņa universitāte un Latvijas Universitāte. Rezidentūras pretendenti (2018.studiju gadā aptuveni 271 persona iegūs ārsta grādu).</w:t>
            </w:r>
          </w:p>
        </w:tc>
      </w:tr>
      <w:tr w14:paraId="75582637" w14:textId="77777777" w:rsidTr="00526C51">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142E2C"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743C4BF0"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25C92" w:rsidP="00625C92" w14:paraId="483A1D10"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C85E98">
              <w:rPr>
                <w:rFonts w:ascii="Times New Roman" w:eastAsia="Times New Roman" w:hAnsi="Times New Roman" w:cs="Times New Roman"/>
                <w:sz w:val="24"/>
                <w:szCs w:val="24"/>
                <w:lang w:eastAsia="lv-LV"/>
              </w:rPr>
              <w:t>pēc būtības administratīvo slogu nemaina, jo jau šobrīd</w:t>
            </w:r>
            <w:r w:rsidR="00EA3F7C">
              <w:rPr>
                <w:rFonts w:ascii="Times New Roman" w:eastAsia="Times New Roman" w:hAnsi="Times New Roman" w:cs="Times New Roman"/>
                <w:sz w:val="24"/>
                <w:szCs w:val="24"/>
                <w:lang w:eastAsia="lv-LV"/>
              </w:rPr>
              <w:t xml:space="preserve"> </w:t>
            </w:r>
            <w:r w:rsidR="00215952">
              <w:rPr>
                <w:rFonts w:ascii="Times New Roman" w:eastAsia="Times New Roman" w:hAnsi="Times New Roman" w:cs="Times New Roman"/>
                <w:sz w:val="24"/>
                <w:szCs w:val="24"/>
                <w:lang w:eastAsia="lv-LV"/>
              </w:rPr>
              <w:t>Noteikumos Nr.685 ir noteikts, ka a</w:t>
            </w:r>
            <w:r w:rsidRPr="00215952" w:rsidR="00215952">
              <w:rPr>
                <w:rFonts w:ascii="Times New Roman" w:eastAsia="Times New Roman" w:hAnsi="Times New Roman" w:cs="Times New Roman"/>
                <w:sz w:val="24"/>
                <w:szCs w:val="24"/>
                <w:lang w:eastAsia="lv-LV"/>
              </w:rPr>
              <w:t xml:space="preserve">ugstskolas </w:t>
            </w:r>
            <w:r w:rsidR="00215952">
              <w:rPr>
                <w:rFonts w:ascii="Times New Roman" w:eastAsia="Times New Roman" w:hAnsi="Times New Roman" w:cs="Times New Roman"/>
                <w:sz w:val="24"/>
                <w:szCs w:val="24"/>
                <w:lang w:eastAsia="lv-LV"/>
              </w:rPr>
              <w:t>(Rīgas Stradiņa universitāte un Latvijas Universitāte</w:t>
            </w:r>
            <w:r w:rsidRPr="00215952" w:rsidR="00215952">
              <w:rPr>
                <w:rFonts w:ascii="Times New Roman" w:eastAsia="Times New Roman" w:hAnsi="Times New Roman" w:cs="Times New Roman"/>
                <w:sz w:val="24"/>
                <w:szCs w:val="24"/>
                <w:lang w:eastAsia="lv-LV"/>
              </w:rPr>
              <w:t>) ar augstskolu vienotās uzņemšanas komisijas (piemērojams ar 2019. gada 1. janvāri</w:t>
            </w:r>
            <w:r w:rsidR="00215952">
              <w:rPr>
                <w:rFonts w:ascii="Times New Roman" w:eastAsia="Times New Roman" w:hAnsi="Times New Roman" w:cs="Times New Roman"/>
                <w:sz w:val="24"/>
                <w:szCs w:val="24"/>
                <w:lang w:eastAsia="lv-LV"/>
              </w:rPr>
              <w:t xml:space="preserve">) starpniecību </w:t>
            </w:r>
            <w:r w:rsidRPr="00625C92">
              <w:rPr>
                <w:rFonts w:ascii="Times New Roman" w:eastAsia="Times New Roman" w:hAnsi="Times New Roman" w:cs="Times New Roman"/>
                <w:sz w:val="24"/>
                <w:szCs w:val="24"/>
                <w:lang w:eastAsia="lv-LV"/>
              </w:rPr>
              <w:t>organizē rezidentūras pretendentu pieteikšanos, organizē rezidentūras pretendentu atlasi un organizē reziden</w:t>
            </w:r>
            <w:r>
              <w:rPr>
                <w:rFonts w:ascii="Times New Roman" w:eastAsia="Times New Roman" w:hAnsi="Times New Roman" w:cs="Times New Roman"/>
                <w:sz w:val="24"/>
                <w:szCs w:val="24"/>
                <w:lang w:eastAsia="lv-LV"/>
              </w:rPr>
              <w:t xml:space="preserve">tūras pretendentu uzņemšanu; </w:t>
            </w:r>
          </w:p>
          <w:p w:rsidR="00625C92" w:rsidRPr="003429ED" w:rsidP="00625C92" w14:paraId="7879D7C9"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C85E98">
              <w:rPr>
                <w:rFonts w:ascii="Times New Roman" w:eastAsia="Times New Roman" w:hAnsi="Times New Roman" w:cs="Times New Roman"/>
                <w:sz w:val="24"/>
                <w:szCs w:val="24"/>
                <w:lang w:eastAsia="lv-LV"/>
              </w:rPr>
              <w:t>pēc būtības administratīvo slogu nemaina</w:t>
            </w:r>
            <w:r>
              <w:rPr>
                <w:rFonts w:ascii="Times New Roman" w:eastAsia="Times New Roman" w:hAnsi="Times New Roman" w:cs="Times New Roman"/>
                <w:sz w:val="24"/>
                <w:szCs w:val="24"/>
                <w:lang w:eastAsia="lv-LV"/>
              </w:rPr>
              <w:t>, jo šobrīd j</w:t>
            </w:r>
            <w:r w:rsidRPr="00625C92">
              <w:rPr>
                <w:rFonts w:ascii="Times New Roman" w:eastAsia="Times New Roman" w:hAnsi="Times New Roman" w:cs="Times New Roman"/>
                <w:sz w:val="24"/>
                <w:szCs w:val="24"/>
                <w:lang w:eastAsia="lv-LV"/>
              </w:rPr>
              <w:t>a rezidentūras studiju programmu piedāvā vairākas augstskolas, rezidentūras pretendents var pieteikties katrā augstskolā. Šādā gadījumā rezidentūras pretendents katrai augstskolai norāda savu izvēles prioritāti. Rezidentūras pretendents zaudē tiesības pretendēt uz rezidentūras studiju programmu, ja tas ir noteicis vienādu izvēles prioritāti vismaz divu augstskolu rezidentūras studiju programmām.</w:t>
            </w:r>
          </w:p>
        </w:tc>
      </w:tr>
      <w:tr w14:paraId="2CEE909A"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51BEF0E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52CE7E6"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3429ED" w:rsidP="004F5882" w14:paraId="46C92072" w14:textId="77777777">
            <w:pPr>
              <w:spacing w:after="0" w:line="240" w:lineRule="auto"/>
              <w:jc w:val="both"/>
              <w:rPr>
                <w:rFonts w:ascii="Times New Roman" w:eastAsia="Times New Roman" w:hAnsi="Times New Roman" w:cs="Times New Roman"/>
                <w:sz w:val="24"/>
                <w:szCs w:val="24"/>
                <w:lang w:eastAsia="lv-LV"/>
              </w:rPr>
            </w:pPr>
            <w:r w:rsidRPr="008B795C">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14:paraId="62A98E68"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572E3FF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5875F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P="00476879" w14:paraId="70B17384"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1DC9049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P="00894C55" w14:paraId="66978F3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pPr w:leftFromText="180" w:rightFromText="180" w:bottomFromText="200" w:vertAnchor="text" w:horzAnchor="margin" w:tblpX="-40" w:tblpY="1"/>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687"/>
        <w:gridCol w:w="1281"/>
        <w:gridCol w:w="1433"/>
        <w:gridCol w:w="1238"/>
        <w:gridCol w:w="1238"/>
        <w:gridCol w:w="1187"/>
      </w:tblGrid>
      <w:tr w14:paraId="61491757" w14:textId="77777777" w:rsidTr="00FD2493">
        <w:tblPrEx>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360"/>
        </w:trPr>
        <w:tc>
          <w:tcPr>
            <w:tcW w:w="9064" w:type="dxa"/>
            <w:gridSpan w:val="6"/>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5F5F2CDE" w14:textId="77777777">
            <w:pPr>
              <w:spacing w:line="276" w:lineRule="auto"/>
              <w:ind w:right="-68"/>
              <w:jc w:val="center"/>
              <w:rPr>
                <w:rFonts w:ascii="Times New Roman" w:hAnsi="Times New Roman" w:cs="Times New Roman"/>
                <w:b/>
                <w:bCs/>
                <w:sz w:val="24"/>
                <w:szCs w:val="24"/>
              </w:rPr>
            </w:pPr>
            <w:r w:rsidRPr="00511E1C">
              <w:rPr>
                <w:rFonts w:ascii="Times New Roman" w:hAnsi="Times New Roman" w:cs="Times New Roman"/>
                <w:b/>
                <w:bCs/>
                <w:sz w:val="24"/>
                <w:szCs w:val="24"/>
              </w:rPr>
              <w:t>III. Tiesību akta projekta ietekme uz valsts budžetu un pašvaldību budžetiem</w:t>
            </w:r>
          </w:p>
        </w:tc>
      </w:tr>
      <w:tr w14:paraId="2667E441" w14:textId="77777777" w:rsidTr="00FD2493">
        <w:tblPrEx>
          <w:tblW w:w="9064" w:type="dxa"/>
          <w:tblLayout w:type="fixed"/>
          <w:tblCellMar>
            <w:top w:w="30" w:type="dxa"/>
            <w:left w:w="30" w:type="dxa"/>
            <w:bottom w:w="30" w:type="dxa"/>
            <w:right w:w="30" w:type="dxa"/>
          </w:tblCellMar>
          <w:tblLook w:val="04A0"/>
        </w:tblPrEx>
        <w:tc>
          <w:tcPr>
            <w:tcW w:w="2687" w:type="dxa"/>
            <w:vMerge w:val="restart"/>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4C114483" w14:textId="77777777">
            <w:pPr>
              <w:spacing w:line="276" w:lineRule="auto"/>
              <w:jc w:val="center"/>
              <w:rPr>
                <w:rFonts w:ascii="Times New Roman" w:hAnsi="Times New Roman" w:cs="Times New Roman"/>
                <w:b/>
                <w:bCs/>
                <w:sz w:val="24"/>
                <w:szCs w:val="24"/>
              </w:rPr>
            </w:pPr>
            <w:r w:rsidRPr="00511E1C">
              <w:rPr>
                <w:rFonts w:ascii="Times New Roman" w:hAnsi="Times New Roman" w:cs="Times New Roman"/>
                <w:b/>
                <w:bCs/>
                <w:sz w:val="24"/>
                <w:szCs w:val="24"/>
              </w:rPr>
              <w:t>Rādītāji</w:t>
            </w:r>
          </w:p>
        </w:tc>
        <w:tc>
          <w:tcPr>
            <w:tcW w:w="271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4D7E429C" w14:textId="50B983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2018</w:t>
            </w:r>
            <w:r w:rsidRPr="00511E1C">
              <w:rPr>
                <w:rFonts w:ascii="Times New Roman" w:hAnsi="Times New Roman" w:cs="Times New Roman"/>
                <w:b/>
                <w:bCs/>
                <w:sz w:val="24"/>
                <w:szCs w:val="24"/>
              </w:rPr>
              <w:t>. gads</w:t>
            </w:r>
          </w:p>
        </w:tc>
        <w:tc>
          <w:tcPr>
            <w:tcW w:w="3663" w:type="dxa"/>
            <w:gridSpan w:val="3"/>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7FCE3F86"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Turpmākie trīs gadi (</w:t>
            </w:r>
            <w:r w:rsidRPr="00511E1C">
              <w:rPr>
                <w:rFonts w:ascii="Times New Roman" w:hAnsi="Times New Roman" w:cs="Times New Roman"/>
                <w:i/>
                <w:iCs/>
                <w:sz w:val="24"/>
                <w:szCs w:val="24"/>
              </w:rPr>
              <w:t>euro</w:t>
            </w:r>
            <w:r w:rsidRPr="00511E1C">
              <w:rPr>
                <w:rFonts w:ascii="Times New Roman" w:hAnsi="Times New Roman" w:cs="Times New Roman"/>
                <w:sz w:val="24"/>
                <w:szCs w:val="24"/>
              </w:rPr>
              <w:t>)</w:t>
            </w:r>
          </w:p>
        </w:tc>
      </w:tr>
      <w:tr w14:paraId="16F577C2" w14:textId="77777777" w:rsidTr="00FD2493">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7AAC4CBA" w14:textId="77777777">
            <w:pPr>
              <w:spacing w:line="276" w:lineRule="auto"/>
              <w:rPr>
                <w:rFonts w:ascii="Times New Roman" w:eastAsia="Times New Roman" w:hAnsi="Times New Roman" w:cs="Times New Roman"/>
                <w:b/>
                <w:bCs/>
                <w:sz w:val="24"/>
                <w:szCs w:val="24"/>
              </w:rPr>
            </w:pPr>
          </w:p>
        </w:tc>
        <w:tc>
          <w:tcPr>
            <w:tcW w:w="2714" w:type="dxa"/>
            <w:gridSpan w:val="2"/>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3F0887D6" w14:textId="77777777">
            <w:pPr>
              <w:spacing w:line="276" w:lineRule="auto"/>
              <w:rPr>
                <w:rFonts w:ascii="Times New Roman" w:eastAsia="Times New Roman" w:hAnsi="Times New Roman" w:cs="Times New Roman"/>
                <w:b/>
                <w:bCs/>
                <w:sz w:val="24"/>
                <w:szCs w:val="24"/>
              </w:rPr>
            </w:pP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454FF7C8" w14:textId="6024CBA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27E181BC" w14:textId="6F5487B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1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113AC71E" w14:textId="7D0A975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2021</w:t>
            </w:r>
          </w:p>
        </w:tc>
      </w:tr>
      <w:tr w14:paraId="102C6D0D" w14:textId="77777777" w:rsidTr="00FD2493">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6200073F" w14:textId="77777777">
            <w:pPr>
              <w:spacing w:line="276" w:lineRule="auto"/>
              <w:rPr>
                <w:rFonts w:ascii="Times New Roman" w:eastAsia="Times New Roman" w:hAnsi="Times New Roman" w:cs="Times New Roman"/>
                <w:b/>
                <w:bCs/>
                <w:sz w:val="24"/>
                <w:szCs w:val="24"/>
              </w:rPr>
            </w:pP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3622D773"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saskaņā ar valsts budžetu kārtējam gadam</w:t>
            </w:r>
          </w:p>
        </w:tc>
        <w:tc>
          <w:tcPr>
            <w:tcW w:w="1433"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71B02F44"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kārtējā gadā, salīdzinot ar valsts budžetu kārtējam gadam</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0F123167"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salīdzinot ar kārtējo (n) gadu</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47FDECE5"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salīdzinot ar kārtējo (n) gadu</w:t>
            </w:r>
          </w:p>
        </w:tc>
        <w:tc>
          <w:tcPr>
            <w:tcW w:w="11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7375FB09"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salīdzinot ar kārtējo (n) gadu</w:t>
            </w:r>
          </w:p>
        </w:tc>
      </w:tr>
      <w:tr w14:paraId="37324C93"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13604B0A"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1</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702B84C3"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2</w:t>
            </w:r>
          </w:p>
        </w:tc>
        <w:tc>
          <w:tcPr>
            <w:tcW w:w="1433"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50912DA4"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3</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6C90CFB5"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4</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0A7D3883"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5</w:t>
            </w:r>
          </w:p>
        </w:tc>
        <w:tc>
          <w:tcPr>
            <w:tcW w:w="11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00EDA07B"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6</w:t>
            </w:r>
          </w:p>
        </w:tc>
      </w:tr>
      <w:tr w14:paraId="7DE18CA7" w14:textId="77777777" w:rsidTr="00112B0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1FB07E98"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1. Budžeta ieņēmumi:</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112B03" w:rsidP="00112B03" w14:paraId="50F54E55" w14:textId="7033EC27">
            <w:pPr>
              <w:jc w:val="center"/>
              <w:rPr>
                <w:b/>
              </w:rPr>
            </w:pPr>
            <w:r>
              <w:rPr>
                <w:rFonts w:ascii="Times New Roman" w:hAnsi="Times New Roman" w:cs="Times New Roman"/>
                <w:b/>
                <w:sz w:val="24"/>
                <w:szCs w:val="24"/>
              </w:rPr>
              <w:t>11 946 867</w:t>
            </w:r>
          </w:p>
        </w:tc>
        <w:tc>
          <w:tcPr>
            <w:tcW w:w="1433" w:type="dxa"/>
            <w:tcBorders>
              <w:top w:val="outset" w:sz="6" w:space="0" w:color="414142"/>
              <w:left w:val="outset" w:sz="6" w:space="0" w:color="414142"/>
              <w:bottom w:val="outset" w:sz="6" w:space="0" w:color="414142"/>
              <w:right w:val="outset" w:sz="6" w:space="0" w:color="414142"/>
            </w:tcBorders>
          </w:tcPr>
          <w:p w:rsidR="00112B03" w:rsidRPr="00511E1C" w:rsidP="00112B03" w14:paraId="6DCAE6CC" w14:textId="777777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P="00112B03" w14:paraId="1C050ABC" w14:textId="77777777">
            <w:pPr>
              <w:jc w:val="center"/>
            </w:pPr>
            <w:r w:rsidRPr="000F37B1">
              <w:rPr>
                <w:rFonts w:ascii="Times New Roman" w:hAnsi="Times New Roman" w:cs="Times New Roman"/>
                <w:b/>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P="00112B03" w14:paraId="0879940F" w14:textId="77777777">
            <w:pPr>
              <w:jc w:val="center"/>
            </w:pPr>
            <w:r w:rsidRPr="000F37B1">
              <w:rPr>
                <w:rFonts w:ascii="Times New Roman" w:hAnsi="Times New Roman" w:cs="Times New Roman"/>
                <w:b/>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P="00112B03" w14:paraId="3B31BB0C" w14:textId="77777777">
            <w:pPr>
              <w:jc w:val="center"/>
            </w:pPr>
            <w:r w:rsidRPr="000F37B1">
              <w:rPr>
                <w:rFonts w:ascii="Times New Roman" w:hAnsi="Times New Roman" w:cs="Times New Roman"/>
                <w:b/>
                <w:sz w:val="24"/>
                <w:szCs w:val="24"/>
              </w:rPr>
              <w:t>0</w:t>
            </w:r>
          </w:p>
        </w:tc>
      </w:tr>
      <w:tr w14:paraId="16E030A8" w14:textId="77777777" w:rsidTr="00112B0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50DDE5F1"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1.1. valsts pamatbudžets, tai skaitā ieņēmumi no maksas pakalpojumiem un citi pašu ieņēmumi</w:t>
            </w:r>
          </w:p>
        </w:tc>
        <w:tc>
          <w:tcPr>
            <w:tcW w:w="1281" w:type="dxa"/>
            <w:tcBorders>
              <w:top w:val="outset" w:sz="6" w:space="0" w:color="414142"/>
              <w:left w:val="outset" w:sz="6" w:space="0" w:color="414142"/>
              <w:bottom w:val="outset" w:sz="6" w:space="0" w:color="414142"/>
              <w:right w:val="outset" w:sz="6" w:space="0" w:color="414142"/>
            </w:tcBorders>
            <w:hideMark/>
          </w:tcPr>
          <w:p w:rsidR="00112B03" w:rsidP="00112B03" w14:paraId="6BCB3161" w14:textId="12F7810B">
            <w:pPr>
              <w:jc w:val="center"/>
            </w:pPr>
            <w:r>
              <w:rPr>
                <w:rFonts w:ascii="Times New Roman" w:hAnsi="Times New Roman" w:cs="Times New Roman"/>
                <w:b/>
                <w:sz w:val="24"/>
                <w:szCs w:val="24"/>
              </w:rPr>
              <w:t>11 946 867</w:t>
            </w:r>
          </w:p>
        </w:tc>
        <w:tc>
          <w:tcPr>
            <w:tcW w:w="1433" w:type="dxa"/>
            <w:tcBorders>
              <w:top w:val="outset" w:sz="6" w:space="0" w:color="414142"/>
              <w:left w:val="outset" w:sz="6" w:space="0" w:color="414142"/>
              <w:bottom w:val="outset" w:sz="6" w:space="0" w:color="414142"/>
              <w:right w:val="outset" w:sz="6" w:space="0" w:color="414142"/>
            </w:tcBorders>
          </w:tcPr>
          <w:p w:rsidR="00112B03" w:rsidRPr="00112B03" w:rsidP="00112B03" w14:paraId="6D32467A" w14:textId="77777777">
            <w:pPr>
              <w:spacing w:line="276" w:lineRule="auto"/>
              <w:jc w:val="center"/>
              <w:rPr>
                <w:rFonts w:ascii="Times New Roman" w:hAnsi="Times New Roman" w:cs="Times New Roman"/>
                <w:sz w:val="24"/>
                <w:szCs w:val="24"/>
              </w:rPr>
            </w:pPr>
            <w:r w:rsidRPr="00112B03">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112B03" w:rsidP="00112B03" w14:paraId="3CC6BA6B" w14:textId="77777777">
            <w:pPr>
              <w:jc w:val="center"/>
            </w:pPr>
            <w:r w:rsidRPr="00112B03">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112B03" w:rsidP="00112B03" w14:paraId="2EEA7DB4" w14:textId="77777777">
            <w:pPr>
              <w:jc w:val="center"/>
            </w:pPr>
            <w:r w:rsidRPr="00112B03">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112B03" w:rsidP="00112B03" w14:paraId="74E52C44" w14:textId="77777777">
            <w:pPr>
              <w:jc w:val="center"/>
            </w:pPr>
            <w:r w:rsidRPr="00112B03">
              <w:rPr>
                <w:rFonts w:ascii="Times New Roman" w:hAnsi="Times New Roman" w:cs="Times New Roman"/>
                <w:sz w:val="24"/>
                <w:szCs w:val="24"/>
              </w:rPr>
              <w:t>0</w:t>
            </w:r>
          </w:p>
        </w:tc>
      </w:tr>
      <w:tr w14:paraId="2853FAC0" w14:textId="77777777" w:rsidTr="00112B0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31B74B90" w14:textId="77777777">
            <w:pPr>
              <w:spacing w:line="276" w:lineRule="auto"/>
              <w:rPr>
                <w:rFonts w:ascii="Times New Roman" w:hAnsi="Times New Roman" w:cs="Times New Roman"/>
                <w:sz w:val="24"/>
                <w:szCs w:val="24"/>
              </w:rPr>
            </w:pPr>
            <w:r>
              <w:rPr>
                <w:rFonts w:ascii="Times New Roman" w:hAnsi="Times New Roman" w:cs="Times New Roman"/>
                <w:sz w:val="24"/>
                <w:szCs w:val="24"/>
              </w:rPr>
              <w:t>02.04.00 “Rezidentu apmācība</w:t>
            </w:r>
            <w:r w:rsidRPr="00511E1C">
              <w:rPr>
                <w:rFonts w:ascii="Times New Roman" w:hAnsi="Times New Roman" w:cs="Times New Roman"/>
                <w:sz w:val="24"/>
                <w:szCs w:val="24"/>
              </w:rPr>
              <w:t>”</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5FDAA56F" w14:textId="3C1E33A0">
            <w:pPr>
              <w:spacing w:line="276" w:lineRule="auto"/>
              <w:jc w:val="center"/>
              <w:rPr>
                <w:rFonts w:ascii="Times New Roman" w:hAnsi="Times New Roman" w:cs="Times New Roman"/>
                <w:sz w:val="24"/>
                <w:szCs w:val="24"/>
              </w:rPr>
            </w:pPr>
            <w:r>
              <w:rPr>
                <w:rFonts w:ascii="Times New Roman" w:hAnsi="Times New Roman" w:cs="Times New Roman"/>
                <w:b/>
                <w:sz w:val="24"/>
                <w:szCs w:val="24"/>
              </w:rPr>
              <w:t>11 946 867</w:t>
            </w:r>
          </w:p>
        </w:tc>
        <w:tc>
          <w:tcPr>
            <w:tcW w:w="1433" w:type="dxa"/>
            <w:tcBorders>
              <w:top w:val="outset" w:sz="6" w:space="0" w:color="414142"/>
              <w:left w:val="outset" w:sz="6" w:space="0" w:color="414142"/>
              <w:bottom w:val="outset" w:sz="6" w:space="0" w:color="414142"/>
              <w:right w:val="outset" w:sz="6" w:space="0" w:color="414142"/>
            </w:tcBorders>
          </w:tcPr>
          <w:p w:rsidR="00112B03" w:rsidRPr="00112B03" w:rsidP="00112B03" w14:paraId="62097029" w14:textId="77777777">
            <w:pPr>
              <w:jc w:val="center"/>
            </w:pPr>
            <w:r w:rsidRPr="00112B03">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112B03" w:rsidP="00112B03" w14:paraId="1F20B0C2" w14:textId="77777777">
            <w:pPr>
              <w:jc w:val="center"/>
            </w:pPr>
            <w:r w:rsidRPr="00112B03">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112B03" w:rsidP="00112B03" w14:paraId="4429D07A" w14:textId="77777777">
            <w:pPr>
              <w:jc w:val="center"/>
            </w:pPr>
            <w:r w:rsidRPr="00112B03">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112B03" w:rsidP="00112B03" w14:paraId="132FB589" w14:textId="77777777">
            <w:pPr>
              <w:jc w:val="center"/>
            </w:pPr>
            <w:r w:rsidRPr="00112B03">
              <w:rPr>
                <w:rFonts w:ascii="Times New Roman" w:hAnsi="Times New Roman" w:cs="Times New Roman"/>
                <w:sz w:val="24"/>
                <w:szCs w:val="24"/>
              </w:rPr>
              <w:t>0</w:t>
            </w:r>
          </w:p>
        </w:tc>
      </w:tr>
      <w:tr w14:paraId="6CF1CD1C"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38C75125"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1.2.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5180D786"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56D91CC6"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6231C3C0"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A2F8534"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7C15D74E"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14:paraId="3DE3482A"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13569C18"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1.3.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7CAEEE00"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5DED796C"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7A581526"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03048BE"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77637743"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14:paraId="51D8EB6D" w14:textId="77777777" w:rsidTr="003C4482">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535452CA"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2. Budžeta izdevumi:</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112B03" w:rsidP="00112B03" w14:paraId="64F8FFEC" w14:textId="6DAF568A">
            <w:pPr>
              <w:jc w:val="center"/>
              <w:rPr>
                <w:b/>
              </w:rPr>
            </w:pPr>
            <w:r>
              <w:rPr>
                <w:rFonts w:ascii="Times New Roman" w:hAnsi="Times New Roman" w:cs="Times New Roman"/>
                <w:b/>
                <w:sz w:val="24"/>
                <w:szCs w:val="24"/>
              </w:rPr>
              <w:t>11 946 867</w:t>
            </w:r>
          </w:p>
        </w:tc>
        <w:tc>
          <w:tcPr>
            <w:tcW w:w="1433" w:type="dxa"/>
            <w:tcBorders>
              <w:top w:val="outset" w:sz="6" w:space="0" w:color="414142"/>
              <w:left w:val="outset" w:sz="6" w:space="0" w:color="414142"/>
              <w:bottom w:val="outset" w:sz="6" w:space="0" w:color="414142"/>
              <w:right w:val="outset" w:sz="6" w:space="0" w:color="414142"/>
            </w:tcBorders>
          </w:tcPr>
          <w:p w:rsidR="00112B03" w:rsidRPr="00450967" w:rsidP="00112B03" w14:paraId="3F7EFA32" w14:textId="7A97EF0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05511481" w14:textId="31B9EC5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450967" w:rsidP="00112B03" w14:paraId="128C3F28" w14:textId="44AC5E6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511E1C" w:rsidP="00112B03" w14:paraId="295F8E0A" w14:textId="23AE9A5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14:paraId="4AD3AF7C" w14:textId="77777777" w:rsidTr="003C4482">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09CC8D9E"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2.1. valsts pamatbudžets</w:t>
            </w:r>
          </w:p>
        </w:tc>
        <w:tc>
          <w:tcPr>
            <w:tcW w:w="1281" w:type="dxa"/>
            <w:tcBorders>
              <w:top w:val="outset" w:sz="6" w:space="0" w:color="414142"/>
              <w:left w:val="outset" w:sz="6" w:space="0" w:color="414142"/>
              <w:bottom w:val="outset" w:sz="6" w:space="0" w:color="414142"/>
              <w:right w:val="outset" w:sz="6" w:space="0" w:color="414142"/>
            </w:tcBorders>
            <w:hideMark/>
          </w:tcPr>
          <w:p w:rsidR="00112B03" w:rsidP="00112B03" w14:paraId="076191C9" w14:textId="7C63DE48">
            <w:pPr>
              <w:jc w:val="center"/>
            </w:pPr>
            <w:r>
              <w:rPr>
                <w:rFonts w:ascii="Times New Roman" w:hAnsi="Times New Roman" w:cs="Times New Roman"/>
                <w:b/>
                <w:sz w:val="24"/>
                <w:szCs w:val="24"/>
              </w:rPr>
              <w:t>11 946 867</w:t>
            </w:r>
          </w:p>
        </w:tc>
        <w:tc>
          <w:tcPr>
            <w:tcW w:w="1433" w:type="dxa"/>
            <w:tcBorders>
              <w:top w:val="outset" w:sz="6" w:space="0" w:color="414142"/>
              <w:left w:val="outset" w:sz="6" w:space="0" w:color="414142"/>
              <w:bottom w:val="outset" w:sz="6" w:space="0" w:color="414142"/>
              <w:right w:val="outset" w:sz="6" w:space="0" w:color="414142"/>
            </w:tcBorders>
          </w:tcPr>
          <w:p w:rsidR="00112B03" w:rsidRPr="00511E1C" w:rsidP="00112B03" w14:paraId="45228604" w14:textId="1E5378D4">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587C118E" w14:textId="034F1C7C">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2ABA6714" w14:textId="0D046EC2">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511E1C" w:rsidP="00112B03" w14:paraId="4C1132B9" w14:textId="7E19B44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14:paraId="34902E19" w14:textId="77777777" w:rsidTr="003C4482">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35FFFE71" w14:textId="77777777">
            <w:pPr>
              <w:spacing w:line="276" w:lineRule="auto"/>
              <w:rPr>
                <w:rFonts w:ascii="Times New Roman" w:hAnsi="Times New Roman" w:cs="Times New Roman"/>
                <w:sz w:val="24"/>
                <w:szCs w:val="24"/>
              </w:rPr>
            </w:pPr>
            <w:r>
              <w:rPr>
                <w:rFonts w:ascii="Times New Roman" w:hAnsi="Times New Roman" w:cs="Times New Roman"/>
                <w:sz w:val="24"/>
                <w:szCs w:val="24"/>
              </w:rPr>
              <w:t>02.04.00 “Rezidentu apmācība</w:t>
            </w:r>
            <w:r w:rsidRPr="00511E1C">
              <w:rPr>
                <w:rFonts w:ascii="Times New Roman" w:hAnsi="Times New Roman" w:cs="Times New Roman"/>
                <w:sz w:val="24"/>
                <w:szCs w:val="24"/>
              </w:rPr>
              <w:t>”</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38D0F916" w14:textId="3B27357F">
            <w:pPr>
              <w:spacing w:line="276" w:lineRule="auto"/>
              <w:ind w:left="113"/>
              <w:rPr>
                <w:rFonts w:ascii="Times New Roman" w:hAnsi="Times New Roman" w:cs="Times New Roman"/>
                <w:sz w:val="24"/>
                <w:szCs w:val="24"/>
              </w:rPr>
            </w:pPr>
            <w:r>
              <w:rPr>
                <w:rFonts w:ascii="Times New Roman" w:hAnsi="Times New Roman" w:cs="Times New Roman"/>
                <w:b/>
                <w:sz w:val="24"/>
                <w:szCs w:val="24"/>
              </w:rPr>
              <w:t>11 946 867</w:t>
            </w:r>
          </w:p>
        </w:tc>
        <w:tc>
          <w:tcPr>
            <w:tcW w:w="1433" w:type="dxa"/>
            <w:tcBorders>
              <w:top w:val="outset" w:sz="6" w:space="0" w:color="414142"/>
              <w:left w:val="outset" w:sz="6" w:space="0" w:color="414142"/>
              <w:bottom w:val="outset" w:sz="6" w:space="0" w:color="414142"/>
              <w:right w:val="outset" w:sz="6" w:space="0" w:color="414142"/>
            </w:tcBorders>
          </w:tcPr>
          <w:p w:rsidR="00112B03" w:rsidRPr="00511E1C" w:rsidP="00112B03" w14:paraId="43F09822" w14:textId="6A3C2EF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000933B6" w14:textId="21E28DCD">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7C117B0B" w14:textId="0B66C3AC">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511E1C" w:rsidP="00112B03" w14:paraId="45AA6276" w14:textId="006D5AE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14:paraId="0D478D92"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1A4537C5"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2.2.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6C794D5E" w14:textId="77777777">
            <w:pPr>
              <w:spacing w:line="276" w:lineRule="auto"/>
              <w:ind w:left="934"/>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0499EFF6" w14:textId="77777777">
            <w:pP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097578F" w14:textId="77777777">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6906BC59" w14:textId="77777777">
            <w:pPr>
              <w:spacing w:line="276" w:lineRule="auto"/>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42749366" w14:textId="77777777">
            <w:pPr>
              <w:spacing w:line="276" w:lineRule="auto"/>
              <w:rPr>
                <w:rFonts w:ascii="Times New Roman" w:hAnsi="Times New Roman" w:cs="Times New Roman"/>
                <w:sz w:val="24"/>
                <w:szCs w:val="24"/>
              </w:rPr>
            </w:pPr>
          </w:p>
        </w:tc>
      </w:tr>
      <w:tr w14:paraId="03957D9D"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0D0EC188" w14:textId="77777777">
            <w:pPr>
              <w:spacing w:line="276" w:lineRule="auto"/>
              <w:rPr>
                <w:rFonts w:ascii="Times New Roman" w:eastAsia="Times New Roman" w:hAnsi="Times New Roman" w:cs="Times New Roman"/>
                <w:sz w:val="24"/>
                <w:szCs w:val="24"/>
              </w:rPr>
            </w:pPr>
            <w:r w:rsidRPr="00511E1C">
              <w:rPr>
                <w:rFonts w:ascii="Times New Roman" w:hAnsi="Times New Roman" w:cs="Times New Roman"/>
                <w:sz w:val="24"/>
                <w:szCs w:val="24"/>
              </w:rPr>
              <w:t>2.3.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0A232752"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01A82F03" w14:textId="77777777">
            <w:pP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C203EBD" w14:textId="77777777">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6C13986C" w14:textId="77777777">
            <w:pPr>
              <w:spacing w:line="276" w:lineRule="auto"/>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46CB62AE" w14:textId="77777777">
            <w:pPr>
              <w:spacing w:line="276" w:lineRule="auto"/>
              <w:rPr>
                <w:rFonts w:ascii="Times New Roman" w:hAnsi="Times New Roman" w:cs="Times New Roman"/>
                <w:sz w:val="24"/>
                <w:szCs w:val="24"/>
              </w:rPr>
            </w:pPr>
          </w:p>
        </w:tc>
      </w:tr>
      <w:tr w14:paraId="73AA283C" w14:textId="77777777" w:rsidTr="00450967">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19009FB1" w14:textId="77777777">
            <w:pPr>
              <w:spacing w:line="276" w:lineRule="auto"/>
              <w:rPr>
                <w:rFonts w:ascii="Times New Roman" w:eastAsia="Times New Roman" w:hAnsi="Times New Roman" w:cs="Times New Roman"/>
                <w:sz w:val="24"/>
                <w:szCs w:val="24"/>
              </w:rPr>
            </w:pPr>
            <w:r w:rsidRPr="00511E1C">
              <w:rPr>
                <w:rFonts w:ascii="Times New Roman" w:hAnsi="Times New Roman" w:cs="Times New Roman"/>
                <w:sz w:val="24"/>
                <w:szCs w:val="24"/>
              </w:rPr>
              <w:t>3. Finansiālā ietekme:</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112B03" w:rsidRPr="00A36589" w:rsidP="00112B03" w14:paraId="47FB10DB" w14:textId="77777777">
            <w:pPr>
              <w:spacing w:line="276" w:lineRule="auto"/>
              <w:jc w:val="center"/>
              <w:rPr>
                <w:rFonts w:ascii="Times New Roman" w:hAnsi="Times New Roman" w:cs="Times New Roman"/>
                <w:sz w:val="24"/>
                <w:szCs w:val="24"/>
              </w:rPr>
            </w:pPr>
            <w:r w:rsidRPr="00A36589">
              <w:rPr>
                <w:rFonts w:ascii="Times New Roman" w:hAnsi="Times New Roman" w:cs="Times New Roman"/>
                <w:sz w:val="24"/>
                <w:szCs w:val="24"/>
              </w:rPr>
              <w:t>0</w:t>
            </w:r>
          </w:p>
        </w:tc>
        <w:tc>
          <w:tcPr>
            <w:tcW w:w="1433"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05C28D4F" w14:textId="7E460DD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13B3CAD2" w14:textId="608DBF7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737899D3" w14:textId="38F7B6EA">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511E1C" w:rsidP="00112B03" w14:paraId="74B2350D" w14:textId="1230F1B2">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14:paraId="54F2D64F" w14:textId="77777777" w:rsidTr="00450967">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61D67104"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3.1. valsts pamatbudžets</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7ABAA3F4" w14:textId="7777777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3"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6530D15B" w14:textId="7AB5067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1CDC8ADE" w14:textId="0DC5E40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53C83552" w14:textId="7BCA212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511E1C" w:rsidP="00112B03" w14:paraId="42B2805A" w14:textId="1467E1D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14:paraId="792B9F03"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031477D5"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3.2.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4345E5C5"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112B03" w:rsidP="00112B03" w14:paraId="6B8C83AB" w14:textId="77777777">
            <w:pPr>
              <w:jc w:val="center"/>
            </w:pPr>
            <w:r w:rsidRPr="003A1F4A">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P="00112B03" w14:paraId="08A42472" w14:textId="77777777">
            <w:pPr>
              <w:jc w:val="center"/>
            </w:pPr>
            <w:r w:rsidRPr="003A1F4A">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P="00112B03" w14:paraId="1C16DD7E" w14:textId="77777777">
            <w:pPr>
              <w:jc w:val="center"/>
            </w:pPr>
            <w:r w:rsidRPr="003A1F4A">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P="00112B03" w14:paraId="343BE777" w14:textId="77777777">
            <w:pPr>
              <w:jc w:val="center"/>
            </w:pPr>
            <w:r w:rsidRPr="003A1F4A">
              <w:rPr>
                <w:rFonts w:ascii="Times New Roman" w:hAnsi="Times New Roman" w:cs="Times New Roman"/>
                <w:sz w:val="24"/>
                <w:szCs w:val="24"/>
              </w:rPr>
              <w:t>0</w:t>
            </w:r>
          </w:p>
        </w:tc>
      </w:tr>
      <w:tr w14:paraId="72605DB2"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19802DAE"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3.3.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65651BCA"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112B03" w:rsidP="00112B03" w14:paraId="72E7FB55" w14:textId="77777777">
            <w:pPr>
              <w:jc w:val="center"/>
            </w:pPr>
            <w:r w:rsidRPr="003A1F4A">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P="00112B03" w14:paraId="48A1DBBF" w14:textId="77777777">
            <w:pPr>
              <w:jc w:val="center"/>
            </w:pPr>
            <w:r w:rsidRPr="003A1F4A">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P="00112B03" w14:paraId="04780F93" w14:textId="77777777">
            <w:pPr>
              <w:jc w:val="center"/>
            </w:pPr>
            <w:r w:rsidRPr="003A1F4A">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P="00112B03" w14:paraId="0CFA1E12" w14:textId="77777777">
            <w:pPr>
              <w:jc w:val="center"/>
            </w:pPr>
            <w:r w:rsidRPr="003A1F4A">
              <w:rPr>
                <w:rFonts w:ascii="Times New Roman" w:hAnsi="Times New Roman" w:cs="Times New Roman"/>
                <w:sz w:val="24"/>
                <w:szCs w:val="24"/>
              </w:rPr>
              <w:t>0</w:t>
            </w:r>
          </w:p>
        </w:tc>
      </w:tr>
      <w:tr w14:paraId="632C6CC4" w14:textId="77777777" w:rsidTr="00FD2493">
        <w:tblPrEx>
          <w:tblW w:w="9064" w:type="dxa"/>
          <w:tblLayout w:type="fixed"/>
          <w:tblCellMar>
            <w:top w:w="30" w:type="dxa"/>
            <w:left w:w="30" w:type="dxa"/>
            <w:bottom w:w="30" w:type="dxa"/>
            <w:right w:w="30" w:type="dxa"/>
          </w:tblCellMar>
          <w:tblLook w:val="04A0"/>
        </w:tblPrEx>
        <w:tc>
          <w:tcPr>
            <w:tcW w:w="2687" w:type="dxa"/>
            <w:vMerge w:val="restart"/>
            <w:tcBorders>
              <w:top w:val="outset" w:sz="6" w:space="0" w:color="414142"/>
              <w:left w:val="outset" w:sz="6" w:space="0" w:color="414142"/>
              <w:bottom w:val="outset" w:sz="6" w:space="0" w:color="414142"/>
              <w:right w:val="outset" w:sz="6" w:space="0" w:color="414142"/>
            </w:tcBorders>
            <w:hideMark/>
          </w:tcPr>
          <w:p w:rsidR="00112B03" w:rsidRPr="00511E1C" w:rsidP="00112B03" w14:paraId="75F7689A"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4. Finanšu līdzekļi papildu izdevumu finansēšanai (kompensējošu izdevumu samazinājumu norāda ar "+" zīmi)</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rsidR="00112B03" w:rsidRPr="00511E1C" w:rsidP="00112B03" w14:paraId="2F74CE5D"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X</w:t>
            </w:r>
          </w:p>
        </w:tc>
        <w:tc>
          <w:tcPr>
            <w:tcW w:w="1433"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2F1D8759" w14:textId="69D1F8E6">
            <w:pPr>
              <w:spacing w:line="276" w:lineRule="auto"/>
              <w:jc w:val="cente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112B03" w14:paraId="1ADE38B3" w14:textId="37466D84">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112B03" w:rsidRPr="00511E1C" w:rsidP="00AC021A" w14:paraId="5A31FCEC" w14:textId="23E43241">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tcPr>
          <w:p w:rsidR="00112B03" w:rsidRPr="00511E1C" w:rsidP="00AC021A" w14:paraId="4AC0D807" w14:textId="04689E2A">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14:paraId="5C75DAAE" w14:textId="77777777" w:rsidTr="00FD2493">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112B03" w:rsidRPr="00511E1C" w:rsidP="00112B03" w14:paraId="3A558E72" w14:textId="77777777">
            <w:pPr>
              <w:spacing w:line="276" w:lineRule="auto"/>
              <w:rPr>
                <w:rFonts w:ascii="Times New Roman" w:eastAsia="Times New Roman" w:hAnsi="Times New Roman" w:cs="Times New Roman"/>
                <w:sz w:val="24"/>
                <w:szCs w:val="24"/>
              </w:rPr>
            </w:pP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112B03" w:rsidRPr="00511E1C" w:rsidP="00112B03" w14:paraId="7F466CD3" w14:textId="77777777">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112B03" w:rsidP="00112B03" w14:paraId="4BC9CA72" w14:textId="77777777">
            <w:pPr>
              <w:jc w:val="center"/>
            </w:pPr>
            <w:r w:rsidRPr="003F0A00">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1768518E" w14:textId="77777777">
            <w:pPr>
              <w:jc w:val="center"/>
            </w:pPr>
            <w:r w:rsidRPr="003F0A00">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180D7BC5" w14:textId="77777777">
            <w:pPr>
              <w:jc w:val="center"/>
            </w:pPr>
            <w:r w:rsidRPr="003F0A00">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112B03" w:rsidP="00112B03" w14:paraId="5851FD78" w14:textId="77777777">
            <w:pPr>
              <w:jc w:val="center"/>
            </w:pPr>
            <w:r w:rsidRPr="003F0A00">
              <w:rPr>
                <w:rFonts w:ascii="Times New Roman" w:hAnsi="Times New Roman" w:cs="Times New Roman"/>
                <w:sz w:val="24"/>
                <w:szCs w:val="24"/>
              </w:rPr>
              <w:t>0</w:t>
            </w:r>
          </w:p>
        </w:tc>
      </w:tr>
      <w:tr w14:paraId="6D2B33BC" w14:textId="77777777" w:rsidTr="00FD2493">
        <w:tblPrEx>
          <w:tblW w:w="9064" w:type="dxa"/>
          <w:tblLayout w:type="fixed"/>
          <w:tblCellMar>
            <w:top w:w="30" w:type="dxa"/>
            <w:left w:w="30" w:type="dxa"/>
            <w:bottom w:w="30" w:type="dxa"/>
            <w:right w:w="30" w:type="dxa"/>
          </w:tblCellMar>
          <w:tblLook w:val="04A0"/>
        </w:tblPrEx>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112B03" w:rsidRPr="00511E1C" w:rsidP="00112B03" w14:paraId="3053293E" w14:textId="77777777">
            <w:pPr>
              <w:spacing w:line="276" w:lineRule="auto"/>
              <w:rPr>
                <w:rFonts w:ascii="Times New Roman" w:eastAsia="Times New Roman" w:hAnsi="Times New Roman" w:cs="Times New Roman"/>
                <w:sz w:val="24"/>
                <w:szCs w:val="24"/>
              </w:rPr>
            </w:pP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112B03" w:rsidRPr="00511E1C" w:rsidP="00112B03" w14:paraId="0161F5CF" w14:textId="77777777">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112B03" w:rsidP="00112B03" w14:paraId="261FC837" w14:textId="77777777">
            <w:pPr>
              <w:jc w:val="center"/>
            </w:pPr>
            <w:r w:rsidRPr="003F0A00">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2C509A6F" w14:textId="77777777">
            <w:pPr>
              <w:jc w:val="center"/>
            </w:pPr>
            <w:r w:rsidRPr="003F0A00">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2B4158FF" w14:textId="77777777">
            <w:pPr>
              <w:jc w:val="center"/>
            </w:pPr>
            <w:r w:rsidRPr="003F0A00">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112B03" w:rsidP="00112B03" w14:paraId="05000778" w14:textId="77777777">
            <w:pPr>
              <w:jc w:val="center"/>
            </w:pPr>
            <w:r w:rsidRPr="003F0A00">
              <w:rPr>
                <w:rFonts w:ascii="Times New Roman" w:hAnsi="Times New Roman" w:cs="Times New Roman"/>
                <w:sz w:val="24"/>
                <w:szCs w:val="24"/>
              </w:rPr>
              <w:t>0</w:t>
            </w:r>
          </w:p>
        </w:tc>
      </w:tr>
      <w:tr w14:paraId="2DEE0C56"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D6CB124"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5. Precizēta finansiālā ietekme:</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rsidR="000A7605" w:rsidRPr="00511E1C" w:rsidP="005072FF" w14:paraId="3DD47B49"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X</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1B8A64C1"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74813A9"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1327022E"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5A8B52A3"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r>
      <w:tr w14:paraId="61DF5766"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05BFFE8"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5.1. valsts pamatbudžets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047537C2" w14:textId="77777777">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1FE8C41A"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3FB7DCE2"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0BA18FDD"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5018C8E2" w14:textId="77777777">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r>
      <w:tr w14:paraId="746380F1"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5028C0F7"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5.2. speciālais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112B03" w:rsidRPr="00511E1C" w:rsidP="00112B03" w14:paraId="467FA690" w14:textId="77777777">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112B03" w:rsidP="00112B03" w14:paraId="2A25AC32" w14:textId="77777777">
            <w:pPr>
              <w:jc w:val="center"/>
            </w:pPr>
            <w:r w:rsidRPr="000B235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024BB164" w14:textId="77777777">
            <w:pPr>
              <w:jc w:val="center"/>
            </w:pPr>
            <w:r w:rsidRPr="000B235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2CE0F7C9" w14:textId="77777777">
            <w:pPr>
              <w:jc w:val="center"/>
            </w:pPr>
            <w:r w:rsidRPr="000B235C">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112B03" w:rsidP="00112B03" w14:paraId="4D8EA52D" w14:textId="77777777">
            <w:pPr>
              <w:jc w:val="center"/>
            </w:pPr>
            <w:r w:rsidRPr="000B235C">
              <w:rPr>
                <w:rFonts w:ascii="Times New Roman" w:hAnsi="Times New Roman" w:cs="Times New Roman"/>
                <w:sz w:val="24"/>
                <w:szCs w:val="24"/>
              </w:rPr>
              <w:t>0</w:t>
            </w:r>
          </w:p>
        </w:tc>
      </w:tr>
      <w:tr w14:paraId="24B3F0CE"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112B03" w:rsidRPr="00511E1C" w:rsidP="00112B03" w14:paraId="28569656"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5.3. pašvaldību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112B03" w:rsidRPr="00511E1C" w:rsidP="00112B03" w14:paraId="1CD23397" w14:textId="77777777">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112B03" w:rsidP="00112B03" w14:paraId="4711F33C" w14:textId="77777777">
            <w:pPr>
              <w:jc w:val="center"/>
            </w:pPr>
            <w:r w:rsidRPr="000B235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16AD144C" w14:textId="77777777">
            <w:pPr>
              <w:jc w:val="center"/>
            </w:pPr>
            <w:r w:rsidRPr="000B235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112B03" w:rsidP="00112B03" w14:paraId="08F076BD" w14:textId="77777777">
            <w:pPr>
              <w:jc w:val="center"/>
            </w:pPr>
            <w:r w:rsidRPr="000B235C">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112B03" w:rsidP="00112B03" w14:paraId="0C07DCF2" w14:textId="77777777">
            <w:pPr>
              <w:jc w:val="center"/>
            </w:pPr>
            <w:r w:rsidRPr="000B235C">
              <w:rPr>
                <w:rFonts w:ascii="Times New Roman" w:hAnsi="Times New Roman" w:cs="Times New Roman"/>
                <w:sz w:val="24"/>
                <w:szCs w:val="24"/>
              </w:rPr>
              <w:t>0</w:t>
            </w:r>
          </w:p>
        </w:tc>
      </w:tr>
      <w:tr w14:paraId="0A96799C"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2629CDDA"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 xml:space="preserve">6. Detalizēts ieņēmumu un izdevumu aprēķins (ja </w:t>
            </w:r>
            <w:r w:rsidRPr="00511E1C">
              <w:rPr>
                <w:rFonts w:ascii="Times New Roman" w:hAnsi="Times New Roman" w:cs="Times New Roman"/>
                <w:sz w:val="24"/>
                <w:szCs w:val="24"/>
              </w:rPr>
              <w:t>nepieciešams, detalizētu ieņēmumu un izdevumu aprēķinu var pievienot anotācijas pielikumā):</w:t>
            </w:r>
          </w:p>
        </w:tc>
        <w:tc>
          <w:tcPr>
            <w:tcW w:w="6377" w:type="dxa"/>
            <w:gridSpan w:val="5"/>
            <w:vMerge w:val="restart"/>
            <w:tcBorders>
              <w:top w:val="outset" w:sz="6" w:space="0" w:color="414142"/>
              <w:left w:val="outset" w:sz="6" w:space="0" w:color="414142"/>
              <w:bottom w:val="outset" w:sz="6" w:space="0" w:color="414142"/>
              <w:right w:val="outset" w:sz="6" w:space="0" w:color="414142"/>
            </w:tcBorders>
            <w:vAlign w:val="center"/>
          </w:tcPr>
          <w:p w:rsidR="000A7605" w:rsidRPr="00511E1C" w:rsidP="00CE1326" w14:paraId="2CCAF4D2" w14:textId="60FFD6E0">
            <w:pPr>
              <w:spacing w:after="0" w:line="240" w:lineRule="auto"/>
              <w:jc w:val="both"/>
              <w:rPr>
                <w:rFonts w:ascii="Times New Roman" w:eastAsia="Calibri" w:hAnsi="Times New Roman" w:cs="Times New Roman"/>
                <w:bCs/>
                <w:sz w:val="24"/>
                <w:szCs w:val="24"/>
              </w:rPr>
            </w:pPr>
            <w:r w:rsidRPr="00511E1C">
              <w:rPr>
                <w:rFonts w:ascii="Times New Roman" w:eastAsia="Calibri" w:hAnsi="Times New Roman" w:cs="Times New Roman"/>
                <w:bCs/>
                <w:sz w:val="24"/>
                <w:szCs w:val="24"/>
              </w:rPr>
              <w:t>2018. gads atbilstoši likumam “Par valsts budžetu 2018.gadam”</w:t>
            </w:r>
            <w:r w:rsidR="00E11475">
              <w:rPr>
                <w:rFonts w:ascii="Times New Roman" w:eastAsia="Calibri" w:hAnsi="Times New Roman" w:cs="Times New Roman"/>
                <w:bCs/>
                <w:sz w:val="24"/>
                <w:szCs w:val="24"/>
              </w:rPr>
              <w:t xml:space="preserve"> un 2018.gada 5.janvāra Finanšu ministrijas rīkojumam Nr.5</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sz w:val="24"/>
                <w:szCs w:val="24"/>
              </w:rPr>
              <w:t xml:space="preserve">Veselības ministrijas </w:t>
            </w:r>
            <w:r w:rsidRPr="00511E1C">
              <w:rPr>
                <w:rFonts w:ascii="Times New Roman" w:eastAsia="Calibri" w:hAnsi="Times New Roman" w:cs="Times New Roman"/>
                <w:sz w:val="24"/>
                <w:szCs w:val="24"/>
              </w:rPr>
              <w:t>budžeta apakš</w:t>
            </w:r>
            <w:r w:rsidR="00836259">
              <w:rPr>
                <w:rFonts w:ascii="Times New Roman" w:eastAsia="Calibri" w:hAnsi="Times New Roman" w:cs="Times New Roman"/>
                <w:bCs/>
                <w:sz w:val="24"/>
                <w:szCs w:val="24"/>
              </w:rPr>
              <w:t>programmas 02.04.00 „</w:t>
            </w:r>
            <w:r w:rsidR="00CE1326">
              <w:rPr>
                <w:rFonts w:ascii="Times New Roman" w:eastAsia="Calibri" w:hAnsi="Times New Roman" w:cs="Times New Roman"/>
                <w:bCs/>
                <w:sz w:val="24"/>
                <w:szCs w:val="24"/>
              </w:rPr>
              <w:t>Rezidentu apmācība</w:t>
            </w:r>
            <w:r w:rsidRPr="00511E1C">
              <w:rPr>
                <w:rFonts w:ascii="Times New Roman" w:eastAsia="Calibri" w:hAnsi="Times New Roman" w:cs="Times New Roman"/>
                <w:bCs/>
                <w:sz w:val="24"/>
                <w:szCs w:val="24"/>
              </w:rPr>
              <w:t>”:</w:t>
            </w:r>
          </w:p>
          <w:p w:rsidR="000A7605" w:rsidRPr="00511E1C" w:rsidP="00CE1326" w14:paraId="011EE0DA" w14:textId="3C886DBA">
            <w:pPr>
              <w:spacing w:after="0" w:line="240" w:lineRule="auto"/>
              <w:ind w:left="52"/>
              <w:jc w:val="both"/>
              <w:rPr>
                <w:rFonts w:ascii="Times New Roman" w:eastAsia="Calibri" w:hAnsi="Times New Roman" w:cs="Times New Roman"/>
                <w:bCs/>
                <w:sz w:val="24"/>
                <w:szCs w:val="24"/>
              </w:rPr>
            </w:pPr>
            <w:r w:rsidRPr="00511E1C">
              <w:rPr>
                <w:rFonts w:ascii="Times New Roman" w:eastAsia="Calibri" w:hAnsi="Times New Roman" w:cs="Times New Roman"/>
                <w:bCs/>
                <w:sz w:val="24"/>
                <w:szCs w:val="24"/>
              </w:rPr>
              <w:t>Resu</w:t>
            </w:r>
            <w:r w:rsidR="00022406">
              <w:rPr>
                <w:rFonts w:ascii="Times New Roman" w:eastAsia="Calibri" w:hAnsi="Times New Roman" w:cs="Times New Roman"/>
                <w:bCs/>
                <w:sz w:val="24"/>
                <w:szCs w:val="24"/>
              </w:rPr>
              <w:t xml:space="preserve">rsi izdevumu segšanai: </w:t>
            </w:r>
            <w:r w:rsidR="009A4FFE">
              <w:rPr>
                <w:rFonts w:ascii="Times New Roman" w:eastAsia="Calibri" w:hAnsi="Times New Roman" w:cs="Times New Roman"/>
                <w:bCs/>
                <w:sz w:val="24"/>
                <w:szCs w:val="24"/>
              </w:rPr>
              <w:t>11 946 867</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i/>
                <w:sz w:val="24"/>
                <w:szCs w:val="24"/>
              </w:rPr>
              <w:t>euro</w:t>
            </w:r>
            <w:r w:rsidRPr="00511E1C">
              <w:rPr>
                <w:rFonts w:ascii="Times New Roman" w:eastAsia="Calibri" w:hAnsi="Times New Roman" w:cs="Times New Roman"/>
                <w:bCs/>
                <w:sz w:val="24"/>
                <w:szCs w:val="24"/>
              </w:rPr>
              <w:t xml:space="preserve"> t.sk.:</w:t>
            </w:r>
          </w:p>
          <w:p w:rsidR="000A7605" w:rsidRPr="00511E1C" w:rsidP="00CE1326" w14:paraId="18A4C664" w14:textId="58E64273">
            <w:pPr>
              <w:spacing w:after="0" w:line="240" w:lineRule="auto"/>
              <w:ind w:lef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11E1C">
              <w:rPr>
                <w:rFonts w:ascii="Times New Roman" w:eastAsia="Calibri" w:hAnsi="Times New Roman" w:cs="Times New Roman"/>
                <w:bCs/>
                <w:sz w:val="24"/>
                <w:szCs w:val="24"/>
              </w:rPr>
              <w:t xml:space="preserve">Dotācija no vispārējiem ieņēmumiem </w:t>
            </w:r>
            <w:r w:rsidRPr="00511E1C">
              <w:rPr>
                <w:rFonts w:ascii="Times New Roman" w:eastAsia="Calibri" w:hAnsi="Times New Roman" w:cs="Times New Roman"/>
                <w:sz w:val="24"/>
                <w:szCs w:val="24"/>
              </w:rPr>
              <w:t xml:space="preserve">– </w:t>
            </w:r>
            <w:r w:rsidR="009A4FFE">
              <w:rPr>
                <w:rFonts w:ascii="Times New Roman" w:eastAsia="Calibri" w:hAnsi="Times New Roman" w:cs="Times New Roman"/>
                <w:bCs/>
                <w:sz w:val="24"/>
                <w:szCs w:val="24"/>
              </w:rPr>
              <w:t>11 946 867</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i/>
                <w:sz w:val="24"/>
                <w:szCs w:val="24"/>
              </w:rPr>
              <w:t>euro</w:t>
            </w:r>
            <w:r w:rsidRPr="00511E1C">
              <w:rPr>
                <w:rFonts w:ascii="Times New Roman" w:eastAsia="Calibri" w:hAnsi="Times New Roman" w:cs="Times New Roman"/>
                <w:bCs/>
                <w:sz w:val="24"/>
                <w:szCs w:val="24"/>
              </w:rPr>
              <w:t>.</w:t>
            </w:r>
          </w:p>
          <w:p w:rsidR="000A7605" w:rsidRPr="00511E1C" w:rsidP="00CE1326" w14:paraId="045BB0D7" w14:textId="1490135E">
            <w:pPr>
              <w:spacing w:after="0" w:line="240" w:lineRule="auto"/>
              <w:ind w:lef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Izdevumi: </w:t>
            </w:r>
            <w:r w:rsidR="009A4FFE">
              <w:rPr>
                <w:rFonts w:ascii="Times New Roman" w:eastAsia="Calibri" w:hAnsi="Times New Roman" w:cs="Times New Roman"/>
                <w:bCs/>
                <w:sz w:val="24"/>
                <w:szCs w:val="24"/>
              </w:rPr>
              <w:t>11 946 867</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i/>
                <w:sz w:val="24"/>
                <w:szCs w:val="24"/>
              </w:rPr>
              <w:t>euro</w:t>
            </w:r>
            <w:r w:rsidRPr="00511E1C">
              <w:rPr>
                <w:rFonts w:ascii="Times New Roman" w:eastAsia="Calibri" w:hAnsi="Times New Roman" w:cs="Times New Roman"/>
                <w:bCs/>
                <w:sz w:val="24"/>
                <w:szCs w:val="24"/>
              </w:rPr>
              <w:t xml:space="preserve"> t.sk.:</w:t>
            </w:r>
          </w:p>
          <w:p w:rsidR="000A7605" w:rsidRPr="00511E1C" w:rsidP="00CE1326" w14:paraId="4C9BE429" w14:textId="77777777">
            <w:pPr>
              <w:spacing w:after="0" w:line="240" w:lineRule="auto"/>
              <w:ind w:lef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11E1C">
              <w:rPr>
                <w:rFonts w:ascii="Times New Roman" w:eastAsia="Calibri" w:hAnsi="Times New Roman" w:cs="Times New Roman"/>
                <w:bCs/>
                <w:sz w:val="24"/>
                <w:szCs w:val="24"/>
              </w:rPr>
              <w:t xml:space="preserve">Atlīdzība </w:t>
            </w:r>
            <w:r w:rsidRPr="00511E1C">
              <w:rPr>
                <w:rFonts w:ascii="Times New Roman" w:eastAsia="Calibri" w:hAnsi="Times New Roman" w:cs="Times New Roman"/>
                <w:sz w:val="24"/>
                <w:szCs w:val="24"/>
              </w:rPr>
              <w:t xml:space="preserve">– </w:t>
            </w:r>
            <w:r w:rsidR="00022406">
              <w:rPr>
                <w:rFonts w:ascii="Times New Roman" w:eastAsia="Calibri" w:hAnsi="Times New Roman" w:cs="Times New Roman"/>
                <w:bCs/>
                <w:sz w:val="24"/>
                <w:szCs w:val="24"/>
              </w:rPr>
              <w:t>230 005</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i/>
                <w:sz w:val="24"/>
                <w:szCs w:val="24"/>
              </w:rPr>
              <w:t>euro</w:t>
            </w:r>
            <w:r w:rsidRPr="00511E1C">
              <w:rPr>
                <w:rFonts w:ascii="Times New Roman" w:eastAsia="Calibri" w:hAnsi="Times New Roman" w:cs="Times New Roman"/>
                <w:bCs/>
                <w:sz w:val="24"/>
                <w:szCs w:val="24"/>
              </w:rPr>
              <w:t>;</w:t>
            </w:r>
          </w:p>
          <w:p w:rsidR="000A7605" w:rsidRPr="00511E1C" w:rsidP="00CE1326" w14:paraId="138CD5FF" w14:textId="777777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11E1C">
              <w:rPr>
                <w:rFonts w:ascii="Times New Roman" w:eastAsia="Calibri" w:hAnsi="Times New Roman" w:cs="Times New Roman"/>
                <w:bCs/>
                <w:sz w:val="24"/>
                <w:szCs w:val="24"/>
              </w:rPr>
              <w:t xml:space="preserve">Preces un pakalpojumi </w:t>
            </w:r>
            <w:r w:rsidRPr="00511E1C">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28 443</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i/>
                <w:sz w:val="24"/>
                <w:szCs w:val="24"/>
              </w:rPr>
              <w:t>euro</w:t>
            </w:r>
            <w:r w:rsidRPr="00511E1C">
              <w:rPr>
                <w:rFonts w:ascii="Times New Roman" w:eastAsia="Calibri" w:hAnsi="Times New Roman" w:cs="Times New Roman"/>
                <w:bCs/>
                <w:sz w:val="24"/>
                <w:szCs w:val="24"/>
              </w:rPr>
              <w:t>;</w:t>
            </w:r>
          </w:p>
          <w:p w:rsidR="005072FF" w:rsidRPr="00511E1C" w:rsidP="005072FF" w14:paraId="4A373CA9" w14:textId="1D1B24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Uzturēšanas izdevumu </w:t>
            </w:r>
            <w:r>
              <w:rPr>
                <w:rFonts w:ascii="Times New Roman" w:eastAsia="Calibri" w:hAnsi="Times New Roman" w:cs="Times New Roman"/>
                <w:bCs/>
                <w:sz w:val="24"/>
                <w:szCs w:val="24"/>
              </w:rPr>
              <w:t>transferti</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sz w:val="24"/>
                <w:szCs w:val="24"/>
              </w:rPr>
              <w:t xml:space="preserve">– </w:t>
            </w:r>
            <w:r w:rsidR="00E11475">
              <w:rPr>
                <w:rFonts w:ascii="Times New Roman" w:eastAsia="Calibri" w:hAnsi="Times New Roman" w:cs="Times New Roman"/>
                <w:bCs/>
                <w:sz w:val="24"/>
                <w:szCs w:val="24"/>
              </w:rPr>
              <w:t>11 688 419</w:t>
            </w:r>
            <w:r w:rsidRPr="00511E1C">
              <w:rPr>
                <w:rFonts w:ascii="Times New Roman" w:eastAsia="Calibri" w:hAnsi="Times New Roman" w:cs="Times New Roman"/>
                <w:bCs/>
                <w:sz w:val="24"/>
                <w:szCs w:val="24"/>
              </w:rPr>
              <w:t xml:space="preserve"> </w:t>
            </w:r>
            <w:r w:rsidRPr="00511E1C">
              <w:rPr>
                <w:rFonts w:ascii="Times New Roman" w:eastAsia="Calibri" w:hAnsi="Times New Roman" w:cs="Times New Roman"/>
                <w:bCs/>
                <w:i/>
                <w:sz w:val="24"/>
                <w:szCs w:val="24"/>
              </w:rPr>
              <w:t>euro</w:t>
            </w:r>
            <w:r w:rsidRPr="00511E1C">
              <w:rPr>
                <w:rFonts w:ascii="Times New Roman" w:eastAsia="Calibri" w:hAnsi="Times New Roman" w:cs="Times New Roman"/>
                <w:bCs/>
                <w:sz w:val="24"/>
                <w:szCs w:val="24"/>
              </w:rPr>
              <w:t>.</w:t>
            </w:r>
          </w:p>
          <w:p w:rsidR="00AC021A" w:rsidP="00AC021A" w14:paraId="55048A8E" w14:textId="77777777">
            <w:pPr>
              <w:spacing w:after="0" w:line="240" w:lineRule="auto"/>
              <w:jc w:val="both"/>
              <w:rPr>
                <w:rFonts w:ascii="Times New Roman" w:eastAsia="Calibri" w:hAnsi="Times New Roman" w:cs="Times New Roman"/>
                <w:bCs/>
                <w:i/>
                <w:sz w:val="24"/>
                <w:szCs w:val="24"/>
              </w:rPr>
            </w:pPr>
          </w:p>
          <w:p w:rsidR="000A7605" w:rsidP="005072FF" w14:paraId="441F0F0A" w14:textId="027170E4">
            <w:pPr>
              <w:spacing w:line="276"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2018</w:t>
            </w:r>
            <w:r w:rsidRPr="00511E1C">
              <w:rPr>
                <w:rFonts w:ascii="Times New Roman" w:eastAsia="Calibri" w:hAnsi="Times New Roman" w:cs="Times New Roman"/>
                <w:bCs/>
                <w:i/>
                <w:sz w:val="24"/>
                <w:szCs w:val="24"/>
              </w:rPr>
              <w:t>.gadā un turpmāk</w:t>
            </w:r>
          </w:p>
          <w:p w:rsidR="00FD2493" w:rsidP="00A244A2" w14:paraId="7690BED5" w14:textId="3CFC3EB7">
            <w:pPr>
              <w:spacing w:after="0" w:line="240" w:lineRule="auto"/>
              <w:ind w:right="4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Atbilstoši likumam</w:t>
            </w:r>
            <w:r w:rsidRPr="00511E1C">
              <w:rPr>
                <w:rFonts w:ascii="Times New Roman" w:hAnsi="Times New Roman" w:cs="Times New Roman"/>
                <w:color w:val="000000"/>
                <w:sz w:val="24"/>
                <w:szCs w:val="24"/>
                <w:shd w:val="clear" w:color="auto" w:fill="FFFFFF"/>
              </w:rPr>
              <w:t xml:space="preserve"> „Par valsts budž</w:t>
            </w:r>
            <w:r>
              <w:rPr>
                <w:rFonts w:ascii="Times New Roman" w:hAnsi="Times New Roman" w:cs="Times New Roman"/>
                <w:color w:val="000000"/>
                <w:sz w:val="24"/>
                <w:szCs w:val="24"/>
                <w:shd w:val="clear" w:color="auto" w:fill="FFFFFF"/>
              </w:rPr>
              <w:t>etu 2018.gadam” un likumam</w:t>
            </w:r>
            <w:r w:rsidRPr="00511E1C">
              <w:rPr>
                <w:rFonts w:ascii="Times New Roman" w:hAnsi="Times New Roman" w:cs="Times New Roman"/>
                <w:color w:val="000000"/>
                <w:sz w:val="24"/>
                <w:szCs w:val="24"/>
                <w:shd w:val="clear" w:color="auto" w:fill="FFFFFF"/>
              </w:rPr>
              <w:t xml:space="preserve"> „Par vidējā termiņa budžeta ietvaru 2018., 2019. un 2020.gadam”</w:t>
            </w:r>
            <w:r>
              <w:rPr>
                <w:rFonts w:ascii="Times New Roman" w:hAnsi="Times New Roman" w:cs="Times New Roman"/>
                <w:color w:val="000000"/>
                <w:sz w:val="24"/>
                <w:szCs w:val="24"/>
                <w:shd w:val="clear" w:color="auto" w:fill="FFFFFF"/>
              </w:rPr>
              <w:t xml:space="preserve"> (izsludināts 2017.gada 6.decembrī)</w:t>
            </w:r>
            <w:r w:rsidR="000D7296">
              <w:rPr>
                <w:rFonts w:ascii="Times New Roman" w:hAnsi="Times New Roman" w:cs="Times New Roman"/>
                <w:color w:val="000000"/>
                <w:sz w:val="24"/>
                <w:szCs w:val="24"/>
                <w:shd w:val="clear" w:color="auto" w:fill="FFFFFF"/>
              </w:rPr>
              <w:t xml:space="preserve"> un </w:t>
            </w:r>
            <w:r w:rsidRPr="009B3186" w:rsidR="000D7296">
              <w:rPr>
                <w:rFonts w:ascii="Times New Roman" w:hAnsi="Times New Roman" w:cs="Times New Roman"/>
                <w:sz w:val="24"/>
                <w:szCs w:val="24"/>
                <w:shd w:val="clear" w:color="auto" w:fill="FFFFFF"/>
              </w:rPr>
              <w:t xml:space="preserve"> Ministru kabineta 2017.gada 5.decembra rīkojumam Nr.719 (prot. Nr. 60 30. §)</w:t>
            </w:r>
            <w:r w:rsidRPr="00511E1C">
              <w:rPr>
                <w:rFonts w:ascii="Times New Roman" w:hAnsi="Times New Roman" w:cs="Times New Roman"/>
                <w:color w:val="000000"/>
                <w:sz w:val="24"/>
                <w:szCs w:val="24"/>
                <w:shd w:val="clear" w:color="auto" w:fill="FFFFFF"/>
              </w:rPr>
              <w:t>  Veselības ministrija</w:t>
            </w:r>
            <w:r w:rsidR="000D7296">
              <w:rPr>
                <w:rFonts w:ascii="Times New Roman" w:hAnsi="Times New Roman" w:cs="Times New Roman"/>
                <w:color w:val="000000"/>
                <w:sz w:val="24"/>
                <w:szCs w:val="24"/>
                <w:shd w:val="clear" w:color="auto" w:fill="FFFFFF"/>
              </w:rPr>
              <w:t>i</w:t>
            </w:r>
            <w:r w:rsidRPr="00511E1C">
              <w:rPr>
                <w:rFonts w:ascii="Times New Roman" w:hAnsi="Times New Roman" w:cs="Times New Roman"/>
                <w:color w:val="000000"/>
                <w:sz w:val="24"/>
                <w:szCs w:val="24"/>
                <w:shd w:val="clear" w:color="auto" w:fill="FFFFFF"/>
              </w:rPr>
              <w:t xml:space="preserve"> </w:t>
            </w:r>
            <w:r w:rsidR="000D7296">
              <w:rPr>
                <w:rFonts w:ascii="Times New Roman" w:hAnsi="Times New Roman" w:cs="Times New Roman"/>
                <w:color w:val="000000"/>
                <w:sz w:val="24"/>
                <w:szCs w:val="24"/>
                <w:shd w:val="clear" w:color="auto" w:fill="FFFFFF"/>
              </w:rPr>
              <w:t>piešķirtais</w:t>
            </w:r>
            <w:r w:rsidRPr="00511E1C" w:rsidR="000D7296">
              <w:rPr>
                <w:rFonts w:ascii="Times New Roman" w:hAnsi="Times New Roman" w:cs="Times New Roman"/>
                <w:color w:val="000000"/>
                <w:sz w:val="24"/>
                <w:szCs w:val="24"/>
                <w:shd w:val="clear" w:color="auto" w:fill="FFFFFF"/>
              </w:rPr>
              <w:t xml:space="preserve"> </w:t>
            </w:r>
            <w:r w:rsidRPr="00511E1C">
              <w:rPr>
                <w:rFonts w:ascii="Times New Roman" w:hAnsi="Times New Roman" w:cs="Times New Roman"/>
                <w:color w:val="000000"/>
                <w:sz w:val="24"/>
                <w:szCs w:val="24"/>
                <w:shd w:val="clear" w:color="auto" w:fill="FFFFFF"/>
              </w:rPr>
              <w:t>finansējum</w:t>
            </w:r>
            <w:r w:rsidR="000D7296">
              <w:rPr>
                <w:rFonts w:ascii="Times New Roman" w:hAnsi="Times New Roman" w:cs="Times New Roman"/>
                <w:color w:val="000000"/>
                <w:sz w:val="24"/>
                <w:szCs w:val="24"/>
                <w:shd w:val="clear" w:color="auto" w:fill="FFFFFF"/>
              </w:rPr>
              <w:t>s</w:t>
            </w:r>
            <w:r w:rsidR="00E34611">
              <w:rPr>
                <w:rFonts w:ascii="Times New Roman" w:hAnsi="Times New Roman" w:cs="Times New Roman"/>
                <w:color w:val="000000"/>
                <w:sz w:val="24"/>
                <w:szCs w:val="24"/>
                <w:shd w:val="clear" w:color="auto" w:fill="FFFFFF"/>
              </w:rPr>
              <w:t xml:space="preserve"> no budžeta resora “74. Gadskārtējā valsts budžeta izpildes procesā pārdalāmais finansējums” 0</w:t>
            </w:r>
            <w:r w:rsidR="0079154E">
              <w:rPr>
                <w:rFonts w:ascii="Times New Roman" w:hAnsi="Times New Roman" w:cs="Times New Roman"/>
                <w:color w:val="000000"/>
                <w:sz w:val="24"/>
                <w:szCs w:val="24"/>
                <w:shd w:val="clear" w:color="auto" w:fill="FFFFFF"/>
              </w:rPr>
              <w:t>8</w:t>
            </w:r>
            <w:r w:rsidR="00E34611">
              <w:rPr>
                <w:rFonts w:ascii="Times New Roman" w:hAnsi="Times New Roman" w:cs="Times New Roman"/>
                <w:color w:val="000000"/>
                <w:sz w:val="24"/>
                <w:szCs w:val="24"/>
                <w:shd w:val="clear" w:color="auto" w:fill="FFFFFF"/>
              </w:rPr>
              <w:t>.00.00 programmas “Veselības aprūpes sistēmas reformas ieviešanas finansējums”</w:t>
            </w:r>
            <w:r w:rsidRPr="00511E1C">
              <w:rPr>
                <w:rFonts w:ascii="Times New Roman" w:hAnsi="Times New Roman" w:cs="Times New Roman"/>
                <w:color w:val="000000"/>
                <w:sz w:val="24"/>
                <w:szCs w:val="24"/>
                <w:shd w:val="clear" w:color="auto" w:fill="FFFFFF"/>
              </w:rPr>
              <w:t xml:space="preserve"> </w:t>
            </w:r>
            <w:r w:rsidRPr="00727BE9">
              <w:rPr>
                <w:rFonts w:ascii="Times New Roman" w:hAnsi="Times New Roman" w:cs="Times New Roman"/>
                <w:color w:val="000000"/>
                <w:sz w:val="24"/>
                <w:szCs w:val="24"/>
                <w:shd w:val="clear" w:color="auto" w:fill="FFFFFF"/>
              </w:rPr>
              <w:t xml:space="preserve">2 207 398 </w:t>
            </w:r>
            <w:r w:rsidRPr="00727BE9">
              <w:rPr>
                <w:rFonts w:ascii="Times New Roman" w:hAnsi="Times New Roman" w:cs="Times New Roman"/>
                <w:i/>
                <w:color w:val="000000"/>
                <w:sz w:val="24"/>
                <w:szCs w:val="24"/>
                <w:shd w:val="clear" w:color="auto" w:fill="FFFFFF"/>
              </w:rPr>
              <w:t>euro</w:t>
            </w:r>
            <w:r w:rsidRPr="00727BE9">
              <w:rPr>
                <w:rFonts w:ascii="Times New Roman" w:hAnsi="Times New Roman" w:cs="Times New Roman"/>
                <w:color w:val="000000"/>
                <w:sz w:val="24"/>
                <w:szCs w:val="24"/>
                <w:shd w:val="clear" w:color="auto" w:fill="FFFFFF"/>
              </w:rPr>
              <w:t xml:space="preserve"> </w:t>
            </w:r>
            <w:r w:rsidR="00E34611">
              <w:rPr>
                <w:rFonts w:ascii="Times New Roman" w:hAnsi="Times New Roman" w:cs="Times New Roman"/>
                <w:color w:val="000000"/>
                <w:sz w:val="24"/>
                <w:szCs w:val="24"/>
                <w:shd w:val="clear" w:color="auto" w:fill="FFFFFF"/>
              </w:rPr>
              <w:t xml:space="preserve">apmērā </w:t>
            </w:r>
            <w:r w:rsidR="000D7296">
              <w:rPr>
                <w:rFonts w:ascii="Times New Roman" w:hAnsi="Times New Roman" w:cs="Times New Roman"/>
                <w:color w:val="000000"/>
                <w:sz w:val="24"/>
                <w:szCs w:val="24"/>
                <w:shd w:val="clear" w:color="auto" w:fill="FFFFFF"/>
              </w:rPr>
              <w:t xml:space="preserve">tiks </w:t>
            </w:r>
            <w:r w:rsidRPr="00727BE9">
              <w:rPr>
                <w:rFonts w:ascii="Times New Roman" w:hAnsi="Times New Roman" w:cs="Times New Roman"/>
                <w:color w:val="000000"/>
                <w:sz w:val="24"/>
                <w:szCs w:val="24"/>
                <w:shd w:val="clear" w:color="auto" w:fill="FFFFFF"/>
              </w:rPr>
              <w:t xml:space="preserve"> novirzīt</w:t>
            </w:r>
            <w:r w:rsidR="000D7296">
              <w:rPr>
                <w:rFonts w:ascii="Times New Roman" w:hAnsi="Times New Roman" w:cs="Times New Roman"/>
                <w:color w:val="000000"/>
                <w:sz w:val="24"/>
                <w:szCs w:val="24"/>
                <w:shd w:val="clear" w:color="auto" w:fill="FFFFFF"/>
              </w:rPr>
              <w:t>s</w:t>
            </w:r>
            <w:r w:rsidRPr="00727BE9">
              <w:rPr>
                <w:rFonts w:ascii="Times New Roman" w:hAnsi="Times New Roman" w:cs="Times New Roman"/>
                <w:color w:val="000000"/>
                <w:sz w:val="24"/>
                <w:szCs w:val="24"/>
                <w:shd w:val="clear" w:color="auto" w:fill="FFFFFF"/>
              </w:rPr>
              <w:t xml:space="preserve"> rezidentu</w:t>
            </w:r>
            <w:r w:rsidRPr="00727BE9" w:rsidR="009D4994">
              <w:rPr>
                <w:rFonts w:ascii="Times New Roman" w:hAnsi="Times New Roman" w:cs="Times New Roman"/>
                <w:color w:val="000000"/>
                <w:sz w:val="24"/>
                <w:szCs w:val="24"/>
                <w:shd w:val="clear" w:color="auto" w:fill="FFFFFF"/>
              </w:rPr>
              <w:t xml:space="preserve"> atlīdzības</w:t>
            </w:r>
            <w:r w:rsidRPr="00727BE9">
              <w:rPr>
                <w:rFonts w:ascii="Times New Roman" w:hAnsi="Times New Roman" w:cs="Times New Roman"/>
                <w:color w:val="000000"/>
                <w:sz w:val="24"/>
                <w:szCs w:val="24"/>
                <w:shd w:val="clear" w:color="auto" w:fill="FFFFFF"/>
              </w:rPr>
              <w:t xml:space="preserve"> pieaugumam</w:t>
            </w:r>
            <w:r w:rsidRPr="00727BE9" w:rsidR="007A0B87">
              <w:rPr>
                <w:rFonts w:ascii="Times New Roman" w:hAnsi="Times New Roman" w:cs="Times New Roman"/>
                <w:color w:val="000000"/>
                <w:sz w:val="24"/>
                <w:szCs w:val="24"/>
                <w:shd w:val="clear" w:color="auto" w:fill="FFFFFF"/>
              </w:rPr>
              <w:t>.</w:t>
            </w:r>
            <w:r w:rsidRPr="00727BE9" w:rsidR="00D22E76">
              <w:rPr>
                <w:rFonts w:ascii="Times New Roman" w:hAnsi="Times New Roman" w:cs="Times New Roman"/>
                <w:color w:val="000000"/>
                <w:sz w:val="24"/>
                <w:szCs w:val="24"/>
                <w:shd w:val="clear" w:color="auto" w:fill="FFFFFF"/>
              </w:rPr>
              <w:t xml:space="preserve"> </w:t>
            </w:r>
            <w:r w:rsidRPr="009857E6" w:rsidR="00D22E76">
              <w:rPr>
                <w:rFonts w:ascii="Times New Roman" w:hAnsi="Times New Roman" w:cs="Times New Roman"/>
                <w:color w:val="000000"/>
                <w:sz w:val="24"/>
                <w:szCs w:val="24"/>
                <w:shd w:val="clear" w:color="auto" w:fill="FFFFFF"/>
              </w:rPr>
              <w:t xml:space="preserve">Rezidentu atlīdzības pieaugums plānots atbilstoši Ministru kabineta noteikumu Nr.595 </w:t>
            </w:r>
            <w:r w:rsidRPr="00AC021A" w:rsidR="00D22E76">
              <w:rPr>
                <w:rFonts w:ascii="Times New Roman" w:hAnsi="Times New Roman" w:cs="Times New Roman"/>
                <w:sz w:val="24"/>
                <w:szCs w:val="24"/>
                <w:shd w:val="clear" w:color="auto" w:fill="FFFFFF"/>
              </w:rPr>
              <w:t>“</w:t>
            </w:r>
            <w:r w:rsidRPr="00AC021A" w:rsidR="00D22E76">
              <w:rPr>
                <w:rFonts w:ascii="Times New Roman" w:hAnsi="Times New Roman" w:cs="Times New Roman"/>
                <w:bCs/>
                <w:sz w:val="24"/>
                <w:szCs w:val="24"/>
              </w:rPr>
              <w:t>Noteikumi par zemāko mēnešalgu un speciālo piemaksu ārstniecības personām</w:t>
            </w:r>
            <w:r w:rsidRPr="00AC021A" w:rsidR="00D22E76">
              <w:rPr>
                <w:rFonts w:ascii="Times New Roman" w:hAnsi="Times New Roman" w:cs="Times New Roman"/>
                <w:sz w:val="24"/>
                <w:szCs w:val="24"/>
                <w:shd w:val="clear" w:color="auto" w:fill="FFFFFF"/>
              </w:rPr>
              <w:t xml:space="preserve">” </w:t>
            </w:r>
            <w:r w:rsidRPr="009857E6" w:rsidR="00D22E76">
              <w:rPr>
                <w:rFonts w:ascii="Times New Roman" w:hAnsi="Times New Roman" w:cs="Times New Roman"/>
                <w:color w:val="000000"/>
                <w:sz w:val="24"/>
                <w:szCs w:val="24"/>
                <w:shd w:val="clear" w:color="auto" w:fill="FFFFFF"/>
              </w:rPr>
              <w:t xml:space="preserve">izstrādātajiem grozījumiem, kuru spēkā stāšanās </w:t>
            </w:r>
            <w:r w:rsidRPr="009857E6" w:rsidR="00727BE9">
              <w:rPr>
                <w:rFonts w:ascii="Times New Roman" w:hAnsi="Times New Roman" w:cs="Times New Roman"/>
                <w:color w:val="000000"/>
                <w:sz w:val="24"/>
                <w:szCs w:val="24"/>
                <w:shd w:val="clear" w:color="auto" w:fill="FFFFFF"/>
              </w:rPr>
              <w:t xml:space="preserve">noteikta ar 2018.gada 1.janvāri. Ar minētajiem noteikumu grozījumiem sākot ar 2018.gada 1.janvāri plānots noteikt rezidentu </w:t>
            </w:r>
            <w:r w:rsidRPr="009857E6" w:rsidR="00727BE9">
              <w:rPr>
                <w:rFonts w:ascii="Times New Roman" w:hAnsi="Times New Roman" w:cs="Times New Roman"/>
                <w:sz w:val="24"/>
                <w:szCs w:val="24"/>
              </w:rPr>
              <w:t xml:space="preserve">minimālo darba algas likmi </w:t>
            </w:r>
            <w:r w:rsidRPr="009857E6" w:rsidR="00727BE9">
              <w:rPr>
                <w:rFonts w:ascii="Times New Roman" w:hAnsi="Times New Roman" w:cs="Times New Roman"/>
                <w:color w:val="000000"/>
                <w:sz w:val="24"/>
                <w:szCs w:val="24"/>
                <w:shd w:val="clear" w:color="auto" w:fill="FFFFFF"/>
              </w:rPr>
              <w:t xml:space="preserve">normāla darba laika ietvaros 792 </w:t>
            </w:r>
            <w:r w:rsidRPr="009857E6" w:rsidR="00727BE9">
              <w:rPr>
                <w:rFonts w:ascii="Times New Roman" w:hAnsi="Times New Roman" w:cs="Times New Roman"/>
                <w:color w:val="000000"/>
                <w:sz w:val="24"/>
                <w:szCs w:val="24"/>
                <w:shd w:val="clear" w:color="auto" w:fill="FFFFFF"/>
              </w:rPr>
              <w:t>euro</w:t>
            </w:r>
            <w:r w:rsidRPr="009857E6" w:rsidR="00727BE9">
              <w:rPr>
                <w:rFonts w:ascii="Times New Roman" w:hAnsi="Times New Roman" w:cs="Times New Roman"/>
                <w:color w:val="000000"/>
                <w:sz w:val="24"/>
                <w:szCs w:val="24"/>
                <w:shd w:val="clear" w:color="auto" w:fill="FFFFFF"/>
              </w:rPr>
              <w:t xml:space="preserve"> mēnesī.</w:t>
            </w:r>
            <w:r w:rsidR="00727BE9">
              <w:rPr>
                <w:rFonts w:ascii="Times New Roman" w:hAnsi="Times New Roman" w:cs="Times New Roman"/>
                <w:color w:val="000000"/>
                <w:sz w:val="24"/>
                <w:szCs w:val="24"/>
                <w:shd w:val="clear" w:color="auto" w:fill="FFFFFF"/>
              </w:rPr>
              <w:t xml:space="preserve"> </w:t>
            </w:r>
          </w:p>
          <w:p w:rsidR="00F6490A" w:rsidRPr="00F6490A" w:rsidP="00F6490A" w14:paraId="29F5E72B" w14:textId="77777777">
            <w:pPr>
              <w:spacing w:before="75" w:after="75" w:line="276" w:lineRule="auto"/>
              <w:ind w:right="43"/>
              <w:jc w:val="center"/>
              <w:rPr>
                <w:rFonts w:ascii="Times New Roman" w:hAnsi="Times New Roman" w:cs="Times New Roman"/>
                <w:color w:val="000000"/>
                <w:sz w:val="20"/>
                <w:szCs w:val="20"/>
                <w:shd w:val="clear" w:color="auto" w:fill="FFFFFF"/>
              </w:rPr>
            </w:pPr>
            <w:r w:rsidRPr="00F6490A">
              <w:rPr>
                <w:rFonts w:ascii="Times New Roman" w:hAnsi="Times New Roman" w:cs="Times New Roman"/>
                <w:color w:val="000000"/>
                <w:sz w:val="20"/>
                <w:szCs w:val="20"/>
                <w:shd w:val="clear" w:color="auto" w:fill="FFFFFF"/>
              </w:rPr>
              <w:t>Izdevumu aprēķins rezidentu atlīdzības</w:t>
            </w:r>
            <w:r w:rsidR="0060364E">
              <w:rPr>
                <w:rFonts w:ascii="Times New Roman" w:hAnsi="Times New Roman" w:cs="Times New Roman"/>
                <w:color w:val="000000"/>
                <w:sz w:val="20"/>
                <w:szCs w:val="20"/>
                <w:shd w:val="clear" w:color="auto" w:fill="FFFFFF"/>
              </w:rPr>
              <w:t xml:space="preserve"> </w:t>
            </w:r>
            <w:r w:rsidRPr="00F6490A">
              <w:rPr>
                <w:rFonts w:ascii="Times New Roman" w:hAnsi="Times New Roman" w:cs="Times New Roman"/>
                <w:color w:val="000000"/>
                <w:sz w:val="20"/>
                <w:szCs w:val="20"/>
                <w:shd w:val="clear" w:color="auto" w:fill="FFFFFF"/>
              </w:rPr>
              <w:t>pieaugumam</w:t>
            </w:r>
          </w:p>
          <w:tbl>
            <w:tblPr>
              <w:tblW w:w="6120" w:type="dxa"/>
              <w:tblInd w:w="112" w:type="dxa"/>
              <w:tblLayout w:type="fixed"/>
              <w:tblLook w:val="04A0"/>
            </w:tblPr>
            <w:tblGrid>
              <w:gridCol w:w="2664"/>
              <w:gridCol w:w="991"/>
              <w:gridCol w:w="1213"/>
              <w:gridCol w:w="1252"/>
            </w:tblGrid>
            <w:tr w14:paraId="321C8C0E" w14:textId="77777777" w:rsidTr="00FD2493">
              <w:tblPrEx>
                <w:tblW w:w="6120" w:type="dxa"/>
                <w:tblInd w:w="112" w:type="dxa"/>
                <w:tblLayout w:type="fixed"/>
                <w:tblLook w:val="04A0"/>
              </w:tblPrEx>
              <w:trPr>
                <w:trHeight w:val="30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1C5" w:rsidRPr="006621C5" w:rsidP="00822B31" w14:paraId="59B224C7" w14:textId="77777777">
                  <w:pPr>
                    <w:framePr w:hSpace="180" w:wrap="around" w:vAnchor="text" w:hAnchor="margin" w:x="-40" w:y="1"/>
                    <w:spacing w:after="0" w:line="240" w:lineRule="auto"/>
                    <w:jc w:val="center"/>
                    <w:rPr>
                      <w:rFonts w:ascii="Calibri" w:eastAsia="Times New Roman" w:hAnsi="Calibri" w:cs="Calibri"/>
                      <w:color w:val="000000"/>
                      <w:sz w:val="18"/>
                      <w:szCs w:val="18"/>
                      <w:lang w:eastAsia="lv-LV"/>
                    </w:rPr>
                  </w:pPr>
                  <w:r w:rsidRPr="006621C5">
                    <w:rPr>
                      <w:rFonts w:ascii="Calibri" w:eastAsia="Times New Roman" w:hAnsi="Calibri" w:cs="Calibri"/>
                      <w:color w:val="000000"/>
                      <w:sz w:val="18"/>
                      <w:szCs w:val="18"/>
                      <w:lang w:eastAsia="lv-LV"/>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2239BD10"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 xml:space="preserve">mēnešu skaits </w:t>
                  </w:r>
                  <w:r w:rsidRPr="006621C5">
                    <w:rPr>
                      <w:rFonts w:ascii="Times New Roman" w:eastAsia="Times New Roman" w:hAnsi="Times New Roman" w:cs="Times New Roman"/>
                      <w:color w:val="000000"/>
                      <w:sz w:val="18"/>
                      <w:szCs w:val="18"/>
                      <w:lang w:eastAsia="lv-LV"/>
                    </w:rPr>
                    <w:br/>
                    <w:t>mācību gadā</w:t>
                  </w:r>
                </w:p>
              </w:tc>
              <w:tc>
                <w:tcPr>
                  <w:tcW w:w="2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P="00822B31" w14:paraId="1C16CF54" w14:textId="77777777">
                  <w:pPr>
                    <w:framePr w:hSpace="180" w:wrap="around" w:vAnchor="text" w:hAnchor="margin" w:x="-40" w:y="1"/>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2018.gadā un turpmāk</w:t>
                  </w:r>
                </w:p>
              </w:tc>
            </w:tr>
            <w:tr w14:paraId="7874D359" w14:textId="77777777" w:rsidTr="003C4482">
              <w:tblPrEx>
                <w:tblW w:w="6120" w:type="dxa"/>
                <w:tblInd w:w="112" w:type="dxa"/>
                <w:tblLayout w:type="fixed"/>
                <w:tblLook w:val="04A0"/>
              </w:tblPrEx>
              <w:trPr>
                <w:trHeight w:val="870"/>
              </w:trPr>
              <w:tc>
                <w:tcPr>
                  <w:tcW w:w="2664" w:type="dxa"/>
                  <w:vMerge/>
                  <w:tcBorders>
                    <w:top w:val="single" w:sz="4" w:space="0" w:color="auto"/>
                    <w:left w:val="single" w:sz="4" w:space="0" w:color="auto"/>
                    <w:bottom w:val="single" w:sz="4" w:space="0" w:color="auto"/>
                    <w:right w:val="single" w:sz="4" w:space="0" w:color="auto"/>
                  </w:tcBorders>
                  <w:vAlign w:val="center"/>
                  <w:hideMark/>
                </w:tcPr>
                <w:p w:rsidR="006621C5" w:rsidRPr="006621C5" w:rsidP="00822B31" w14:paraId="0C35B3F4" w14:textId="77777777">
                  <w:pPr>
                    <w:framePr w:hSpace="180" w:wrap="around" w:vAnchor="text" w:hAnchor="margin" w:x="-40" w:y="1"/>
                    <w:spacing w:after="0" w:line="240" w:lineRule="auto"/>
                    <w:rPr>
                      <w:rFonts w:ascii="Calibri" w:eastAsia="Times New Roman" w:hAnsi="Calibri" w:cs="Calibri"/>
                      <w:color w:val="000000"/>
                      <w:sz w:val="18"/>
                      <w:szCs w:val="18"/>
                      <w:lang w:eastAsia="lv-LV"/>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621C5" w:rsidRPr="006621C5" w:rsidP="00822B31" w14:paraId="03455A55" w14:textId="77777777">
                  <w:pPr>
                    <w:framePr w:hSpace="180" w:wrap="around" w:vAnchor="text" w:hAnchor="margin" w:x="-40" w:y="1"/>
                    <w:spacing w:after="0" w:line="240" w:lineRule="auto"/>
                    <w:rPr>
                      <w:rFonts w:ascii="Times New Roman" w:eastAsia="Times New Roman" w:hAnsi="Times New Roman" w:cs="Times New Roman"/>
                      <w:color w:val="000000"/>
                      <w:sz w:val="18"/>
                      <w:szCs w:val="18"/>
                      <w:lang w:eastAsia="lv-LV"/>
                    </w:rPr>
                  </w:pP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P="00822B31" w14:paraId="16A71552"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gada vidējais</w:t>
                  </w:r>
                  <w:r w:rsidR="00BE5857">
                    <w:rPr>
                      <w:rFonts w:ascii="Times New Roman" w:eastAsia="Times New Roman" w:hAnsi="Times New Roman" w:cs="Times New Roman"/>
                      <w:color w:val="000000"/>
                      <w:sz w:val="18"/>
                      <w:szCs w:val="18"/>
                      <w:lang w:eastAsia="lv-LV"/>
                    </w:rPr>
                    <w:t xml:space="preserve"> studējošo</w:t>
                  </w:r>
                  <w:r w:rsidRPr="006621C5">
                    <w:rPr>
                      <w:rFonts w:ascii="Times New Roman" w:eastAsia="Times New Roman" w:hAnsi="Times New Roman" w:cs="Times New Roman"/>
                      <w:color w:val="000000"/>
                      <w:sz w:val="18"/>
                      <w:szCs w:val="18"/>
                      <w:lang w:eastAsia="lv-LV"/>
                    </w:rPr>
                    <w:t xml:space="preserve"> rezidentu skaits</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P="00822B31" w14:paraId="22E9A53D"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papildus rezidentu algām, </w:t>
                  </w:r>
                  <w:r w:rsidRPr="00FD2493">
                    <w:rPr>
                      <w:rFonts w:ascii="Times New Roman" w:eastAsia="Times New Roman" w:hAnsi="Times New Roman" w:cs="Times New Roman"/>
                      <w:i/>
                      <w:color w:val="000000"/>
                      <w:sz w:val="18"/>
                      <w:szCs w:val="18"/>
                      <w:lang w:eastAsia="lv-LV"/>
                    </w:rPr>
                    <w:t>euro</w:t>
                  </w:r>
                </w:p>
              </w:tc>
            </w:tr>
            <w:tr w14:paraId="5B0717BB" w14:textId="77777777" w:rsidTr="003C4482">
              <w:tblPrEx>
                <w:tblW w:w="6120" w:type="dxa"/>
                <w:tblInd w:w="112" w:type="dxa"/>
                <w:tblLayout w:type="fixed"/>
                <w:tblLook w:val="04A0"/>
              </w:tblPrEx>
              <w:trPr>
                <w:trHeight w:val="7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P="00822B31" w14:paraId="34DCF465" w14:textId="77777777">
                  <w:pPr>
                    <w:framePr w:hSpace="180" w:wrap="around" w:vAnchor="text" w:hAnchor="margin" w:x="-40" w:y="1"/>
                    <w:spacing w:after="0" w:line="240" w:lineRule="auto"/>
                    <w:ind w:firstLine="180" w:firstLineChars="100"/>
                    <w:rPr>
                      <w:rFonts w:ascii="Calibri" w:eastAsia="Times New Roman" w:hAnsi="Calibri" w:cs="Calibri"/>
                      <w:color w:val="000000"/>
                      <w:sz w:val="18"/>
                      <w:szCs w:val="18"/>
                      <w:lang w:eastAsia="lv-LV"/>
                    </w:rPr>
                  </w:pPr>
                  <w:r w:rsidRPr="006621C5">
                    <w:rPr>
                      <w:rFonts w:ascii="Calibri" w:eastAsia="Times New Roman" w:hAnsi="Calibri" w:cs="Calibri"/>
                      <w:color w:val="000000"/>
                      <w:sz w:val="18"/>
                      <w:szCs w:val="18"/>
                      <w:lang w:eastAsia="lv-LV"/>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1B98924C" w14:textId="77777777">
                  <w:pPr>
                    <w:framePr w:hSpace="180" w:wrap="around" w:vAnchor="text" w:hAnchor="margin" w:x="-40" w:y="1"/>
                    <w:spacing w:after="0" w:line="240" w:lineRule="auto"/>
                    <w:ind w:firstLine="180" w:firstLineChars="100"/>
                    <w:rPr>
                      <w:rFonts w:ascii="Times New Roman" w:eastAsia="Times New Roman" w:hAnsi="Times New Roman" w:cs="Times New Roman"/>
                      <w:color w:val="000000"/>
                      <w:sz w:val="18"/>
                      <w:szCs w:val="18"/>
                      <w:lang w:eastAsia="lv-LV"/>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47312BA6" w14:textId="77777777">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4464686E" w14:textId="77777777">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r>
            <w:tr w14:paraId="42CFEC5E" w14:textId="77777777" w:rsidTr="00FD2493">
              <w:tblPrEx>
                <w:tblW w:w="6120" w:type="dxa"/>
                <w:tblInd w:w="112" w:type="dxa"/>
                <w:tblLayout w:type="fixed"/>
                <w:tblLook w:val="04A0"/>
              </w:tblPrEx>
              <w:trPr>
                <w:trHeight w:val="30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P="00822B31" w14:paraId="3A263D9F" w14:textId="77777777">
                  <w:pPr>
                    <w:framePr w:hSpace="180" w:wrap="around" w:vAnchor="text" w:hAnchor="margin" w:x="-40" w:y="1"/>
                    <w:spacing w:after="0" w:line="240" w:lineRule="auto"/>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Atlīdzības pieaugums esošajam rezidentu skaitam</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P="00822B31" w14:paraId="6816CAAF"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12</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P="00822B31" w14:paraId="4D6A982E"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623</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P="00822B31" w14:paraId="0D5CF92D" w14:textId="77777777">
                  <w:pPr>
                    <w:framePr w:hSpace="180" w:wrap="around" w:vAnchor="text" w:hAnchor="margin" w:x="-40" w:y="1"/>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r w:rsidRPr="006621C5">
                    <w:rPr>
                      <w:rFonts w:ascii="Times New Roman" w:eastAsia="Times New Roman" w:hAnsi="Times New Roman" w:cs="Times New Roman"/>
                      <w:b/>
                      <w:bCs/>
                      <w:color w:val="000000"/>
                      <w:sz w:val="18"/>
                      <w:szCs w:val="18"/>
                      <w:lang w:eastAsia="lv-LV"/>
                    </w:rPr>
                    <w:t>2 172 526</w:t>
                  </w:r>
                </w:p>
              </w:tc>
            </w:tr>
            <w:tr w14:paraId="4956B12A" w14:textId="77777777" w:rsidTr="003C4482">
              <w:tblPrEx>
                <w:tblW w:w="6120" w:type="dxa"/>
                <w:tblInd w:w="112" w:type="dxa"/>
                <w:tblLayout w:type="fixed"/>
                <w:tblLook w:val="04A0"/>
              </w:tblPrEx>
              <w:trPr>
                <w:trHeight w:val="7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P="00822B31" w14:paraId="3DABB4C1" w14:textId="77777777">
                  <w:pPr>
                    <w:framePr w:hSpace="180" w:wrap="around" w:vAnchor="text" w:hAnchor="margin" w:x="-40" w:y="1"/>
                    <w:spacing w:after="0" w:line="240" w:lineRule="auto"/>
                    <w:ind w:firstLine="180" w:firstLineChars="100"/>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7F422B73" w14:textId="77777777">
                  <w:pPr>
                    <w:framePr w:hSpace="180" w:wrap="around" w:vAnchor="text" w:hAnchor="margin" w:x="-40" w:y="1"/>
                    <w:spacing w:after="0" w:line="240" w:lineRule="auto"/>
                    <w:ind w:firstLine="180" w:firstLineChars="100"/>
                    <w:rPr>
                      <w:rFonts w:ascii="Times New Roman" w:eastAsia="Times New Roman" w:hAnsi="Times New Roman" w:cs="Times New Roman"/>
                      <w:color w:val="000000"/>
                      <w:sz w:val="18"/>
                      <w:szCs w:val="18"/>
                      <w:lang w:eastAsia="lv-LV"/>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2889C4BA" w14:textId="77777777">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P="00822B31" w14:paraId="484CE76A" w14:textId="77777777">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r>
            <w:tr w14:paraId="494F5B03" w14:textId="77777777" w:rsidTr="00FD2493">
              <w:tblPrEx>
                <w:tblW w:w="6120" w:type="dxa"/>
                <w:tblInd w:w="112" w:type="dxa"/>
                <w:tblLayout w:type="fixed"/>
                <w:tblLook w:val="04A0"/>
              </w:tblPrEx>
              <w:trPr>
                <w:trHeight w:val="30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P="00822B31" w14:paraId="1DD76211" w14:textId="77777777">
                  <w:pPr>
                    <w:framePr w:hSpace="180" w:wrap="around" w:vAnchor="text" w:hAnchor="margin" w:x="-40" w:y="1"/>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Atlīdzības pieaugums 2018</w:t>
                  </w:r>
                  <w:r w:rsidRPr="006621C5">
                    <w:rPr>
                      <w:rFonts w:ascii="Times New Roman" w:eastAsia="Times New Roman" w:hAnsi="Times New Roman" w:cs="Times New Roman"/>
                      <w:color w:val="000000"/>
                      <w:sz w:val="18"/>
                      <w:szCs w:val="18"/>
                      <w:lang w:eastAsia="lv-LV"/>
                    </w:rPr>
                    <w:t>.g. u</w:t>
                  </w:r>
                  <w:r w:rsidR="00BE5857">
                    <w:rPr>
                      <w:rFonts w:ascii="Times New Roman" w:eastAsia="Times New Roman" w:hAnsi="Times New Roman" w:cs="Times New Roman"/>
                      <w:color w:val="000000"/>
                      <w:sz w:val="18"/>
                      <w:szCs w:val="18"/>
                      <w:lang w:eastAsia="lv-LV"/>
                    </w:rPr>
                    <w:t>zņemtiem 4</w:t>
                  </w:r>
                  <w:r w:rsidR="0060364E">
                    <w:rPr>
                      <w:rFonts w:ascii="Times New Roman" w:eastAsia="Times New Roman" w:hAnsi="Times New Roman" w:cs="Times New Roman"/>
                      <w:color w:val="000000"/>
                      <w:sz w:val="18"/>
                      <w:szCs w:val="18"/>
                      <w:lang w:eastAsia="lv-LV"/>
                    </w:rPr>
                    <w:t>0 rezidentiem</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P="00822B31" w14:paraId="6AD9D66D"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3</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P="00822B31" w14:paraId="420412E7" w14:textId="77777777">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P="00822B31" w14:paraId="3155F2C6" w14:textId="77777777">
                  <w:pPr>
                    <w:framePr w:hSpace="180" w:wrap="around" w:vAnchor="text" w:hAnchor="margin" w:x="-40" w:y="1"/>
                    <w:spacing w:after="0" w:line="240" w:lineRule="auto"/>
                    <w:rPr>
                      <w:rFonts w:ascii="Times New Roman" w:eastAsia="Times New Roman" w:hAnsi="Times New Roman" w:cs="Times New Roman"/>
                      <w:b/>
                      <w:bCs/>
                      <w:color w:val="000000"/>
                      <w:sz w:val="18"/>
                      <w:szCs w:val="18"/>
                      <w:lang w:eastAsia="lv-LV"/>
                    </w:rPr>
                  </w:pPr>
                  <w:r w:rsidRPr="00FD2493">
                    <w:rPr>
                      <w:rFonts w:ascii="Times New Roman" w:eastAsia="Times New Roman" w:hAnsi="Times New Roman" w:cs="Times New Roman"/>
                      <w:b/>
                      <w:bCs/>
                      <w:color w:val="000000"/>
                      <w:sz w:val="18"/>
                      <w:szCs w:val="18"/>
                      <w:lang w:eastAsia="lv-LV"/>
                    </w:rPr>
                    <w:t xml:space="preserve">    </w:t>
                  </w:r>
                  <w:r w:rsidRPr="006621C5">
                    <w:rPr>
                      <w:rFonts w:ascii="Times New Roman" w:eastAsia="Times New Roman" w:hAnsi="Times New Roman" w:cs="Times New Roman"/>
                      <w:b/>
                      <w:bCs/>
                      <w:color w:val="000000"/>
                      <w:sz w:val="18"/>
                      <w:szCs w:val="18"/>
                      <w:lang w:eastAsia="lv-LV"/>
                    </w:rPr>
                    <w:t>34 872</w:t>
                  </w:r>
                </w:p>
              </w:tc>
            </w:tr>
            <w:tr w14:paraId="383D952C" w14:textId="77777777" w:rsidTr="00450967">
              <w:tblPrEx>
                <w:tblW w:w="6120" w:type="dxa"/>
                <w:tblInd w:w="112" w:type="dxa"/>
                <w:tblLayout w:type="fixed"/>
                <w:tblLook w:val="04A0"/>
              </w:tblPrEx>
              <w:trPr>
                <w:trHeight w:val="300"/>
              </w:trPr>
              <w:tc>
                <w:tcPr>
                  <w:tcW w:w="266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21C5" w:rsidRPr="006621C5" w:rsidP="00822B31" w14:paraId="04636E11" w14:textId="77777777">
                  <w:pPr>
                    <w:framePr w:hSpace="180" w:wrap="around" w:vAnchor="text" w:hAnchor="margin" w:x="-40" w:y="1"/>
                    <w:spacing w:after="0" w:line="240" w:lineRule="auto"/>
                    <w:jc w:val="right"/>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Kopā</w:t>
                  </w:r>
                  <w:r w:rsidRPr="003C4482" w:rsidR="003C4482">
                    <w:rPr>
                      <w:rFonts w:ascii="Times New Roman" w:eastAsia="Times New Roman" w:hAnsi="Times New Roman" w:cs="Times New Roman"/>
                      <w:bCs/>
                      <w:i/>
                      <w:color w:val="000000"/>
                      <w:sz w:val="18"/>
                      <w:szCs w:val="18"/>
                      <w:lang w:eastAsia="lv-LV"/>
                    </w:rPr>
                    <w:t xml:space="preserve">, </w:t>
                  </w:r>
                  <w:r w:rsidRPr="003C4482" w:rsidR="003C4482">
                    <w:rPr>
                      <w:rFonts w:ascii="Times New Roman" w:eastAsia="Times New Roman" w:hAnsi="Times New Roman" w:cs="Times New Roman"/>
                      <w:bCs/>
                      <w:i/>
                      <w:color w:val="000000"/>
                      <w:sz w:val="18"/>
                      <w:szCs w:val="18"/>
                      <w:lang w:eastAsia="lv-LV"/>
                    </w:rPr>
                    <w:t>euro</w:t>
                  </w:r>
                  <w:r>
                    <w:rPr>
                      <w:rFonts w:ascii="Times New Roman" w:eastAsia="Times New Roman" w:hAnsi="Times New Roman" w:cs="Times New Roman"/>
                      <w:bCs/>
                      <w:color w:val="000000"/>
                      <w:sz w:val="18"/>
                      <w:szCs w:val="18"/>
                      <w:lang w:eastAsia="lv-LV"/>
                    </w:rPr>
                    <w:t>:</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rsidR="006621C5" w:rsidRPr="006621C5" w:rsidP="00822B31" w14:paraId="75822BD5" w14:textId="77777777">
                  <w:pPr>
                    <w:framePr w:hSpace="180" w:wrap="around" w:vAnchor="text" w:hAnchor="margin" w:x="-40" w:y="1"/>
                    <w:spacing w:after="0" w:line="240" w:lineRule="auto"/>
                    <w:jc w:val="center"/>
                    <w:rPr>
                      <w:rFonts w:ascii="Times New Roman" w:eastAsia="Times New Roman" w:hAnsi="Times New Roman" w:cs="Times New Roman"/>
                      <w:bCs/>
                      <w:color w:val="000000"/>
                      <w:sz w:val="18"/>
                      <w:szCs w:val="18"/>
                      <w:lang w:eastAsia="lv-LV"/>
                    </w:rPr>
                  </w:pPr>
                  <w:r w:rsidRPr="006621C5">
                    <w:rPr>
                      <w:rFonts w:ascii="Times New Roman" w:eastAsia="Times New Roman" w:hAnsi="Times New Roman" w:cs="Times New Roman"/>
                      <w:bCs/>
                      <w:color w:val="000000"/>
                      <w:sz w:val="18"/>
                      <w:szCs w:val="18"/>
                      <w:lang w:eastAsia="lv-LV"/>
                    </w:rPr>
                    <w:t> </w:t>
                  </w:r>
                </w:p>
              </w:tc>
              <w:tc>
                <w:tcPr>
                  <w:tcW w:w="1213" w:type="dxa"/>
                  <w:tcBorders>
                    <w:top w:val="nil"/>
                    <w:left w:val="nil"/>
                    <w:bottom w:val="single" w:sz="4" w:space="0" w:color="auto"/>
                    <w:right w:val="single" w:sz="4" w:space="0" w:color="auto"/>
                  </w:tcBorders>
                  <w:shd w:val="clear" w:color="auto" w:fill="F2F2F2" w:themeFill="background1" w:themeFillShade="F2"/>
                  <w:noWrap/>
                  <w:vAlign w:val="bottom"/>
                  <w:hideMark/>
                </w:tcPr>
                <w:p w:rsidR="006621C5" w:rsidRPr="006621C5" w:rsidP="00822B31" w14:paraId="1DD88A49" w14:textId="77777777">
                  <w:pPr>
                    <w:framePr w:hSpace="180" w:wrap="around" w:vAnchor="text" w:hAnchor="margin" w:x="-40" w:y="1"/>
                    <w:spacing w:after="0" w:line="240" w:lineRule="auto"/>
                    <w:rPr>
                      <w:rFonts w:ascii="Times New Roman" w:eastAsia="Times New Roman" w:hAnsi="Times New Roman" w:cs="Times New Roman"/>
                      <w:bCs/>
                      <w:color w:val="000000"/>
                      <w:sz w:val="18"/>
                      <w:szCs w:val="18"/>
                      <w:lang w:eastAsia="lv-LV"/>
                    </w:rPr>
                  </w:pPr>
                  <w:r w:rsidRPr="006621C5">
                    <w:rPr>
                      <w:rFonts w:ascii="Times New Roman" w:eastAsia="Times New Roman" w:hAnsi="Times New Roman" w:cs="Times New Roman"/>
                      <w:bCs/>
                      <w:color w:val="000000"/>
                      <w:sz w:val="18"/>
                      <w:szCs w:val="18"/>
                      <w:lang w:eastAsia="lv-LV"/>
                    </w:rPr>
                    <w:t> </w:t>
                  </w:r>
                </w:p>
              </w:tc>
              <w:tc>
                <w:tcPr>
                  <w:tcW w:w="1252" w:type="dxa"/>
                  <w:tcBorders>
                    <w:top w:val="nil"/>
                    <w:left w:val="nil"/>
                    <w:bottom w:val="single" w:sz="4" w:space="0" w:color="auto"/>
                    <w:right w:val="single" w:sz="4" w:space="0" w:color="auto"/>
                  </w:tcBorders>
                  <w:shd w:val="clear" w:color="auto" w:fill="F2F2F2" w:themeFill="background1" w:themeFillShade="F2"/>
                  <w:noWrap/>
                  <w:vAlign w:val="bottom"/>
                  <w:hideMark/>
                </w:tcPr>
                <w:p w:rsidR="006621C5" w:rsidRPr="006621C5" w:rsidP="00822B31" w14:paraId="173DC865" w14:textId="77777777">
                  <w:pPr>
                    <w:framePr w:hSpace="180" w:wrap="around" w:vAnchor="text" w:hAnchor="margin" w:x="-40" w:y="1"/>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r w:rsidRPr="006621C5">
                    <w:rPr>
                      <w:rFonts w:ascii="Times New Roman" w:eastAsia="Times New Roman" w:hAnsi="Times New Roman" w:cs="Times New Roman"/>
                      <w:b/>
                      <w:bCs/>
                      <w:color w:val="000000"/>
                      <w:sz w:val="18"/>
                      <w:szCs w:val="18"/>
                      <w:lang w:eastAsia="lv-LV"/>
                    </w:rPr>
                    <w:t>2 207 398</w:t>
                  </w:r>
                </w:p>
              </w:tc>
            </w:tr>
          </w:tbl>
          <w:p w:rsidR="00A244A2" w:rsidP="00A244A2" w14:paraId="2D908197" w14:textId="777777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Atlīdzības pieaugums esošajam rezidentu skaitam tiek aprēķināts sekojoši: 12 (mēnešu skaits </w:t>
            </w:r>
            <w:r w:rsidR="0060364E">
              <w:rPr>
                <w:rFonts w:ascii="Times New Roman" w:eastAsia="Calibri" w:hAnsi="Times New Roman" w:cs="Times New Roman"/>
                <w:bCs/>
                <w:sz w:val="24"/>
                <w:szCs w:val="24"/>
              </w:rPr>
              <w:t xml:space="preserve">mācību </w:t>
            </w:r>
            <w:r>
              <w:rPr>
                <w:rFonts w:ascii="Times New Roman" w:eastAsia="Calibri" w:hAnsi="Times New Roman" w:cs="Times New Roman"/>
                <w:bCs/>
                <w:sz w:val="24"/>
                <w:szCs w:val="24"/>
              </w:rPr>
              <w:t xml:space="preserve">gadā) x 290,60 </w:t>
            </w:r>
            <w:r w:rsidRPr="003C4482">
              <w:rPr>
                <w:rFonts w:ascii="Times New Roman" w:eastAsia="Calibri" w:hAnsi="Times New Roman" w:cs="Times New Roman"/>
                <w:bCs/>
                <w:i/>
                <w:sz w:val="24"/>
                <w:szCs w:val="24"/>
              </w:rPr>
              <w:t>euro</w:t>
            </w:r>
            <w:r>
              <w:rPr>
                <w:rFonts w:ascii="Times New Roman" w:eastAsia="Calibri" w:hAnsi="Times New Roman" w:cs="Times New Roman"/>
                <w:bCs/>
                <w:sz w:val="24"/>
                <w:szCs w:val="24"/>
              </w:rPr>
              <w:t xml:space="preserve"> (</w:t>
            </w:r>
            <w:r w:rsidR="0090417E">
              <w:rPr>
                <w:rFonts w:ascii="Times New Roman" w:eastAsia="Calibri" w:hAnsi="Times New Roman" w:cs="Times New Roman"/>
                <w:bCs/>
                <w:sz w:val="24"/>
                <w:szCs w:val="24"/>
              </w:rPr>
              <w:t xml:space="preserve">vidējā </w:t>
            </w:r>
            <w:r>
              <w:rPr>
                <w:rFonts w:ascii="Times New Roman" w:eastAsia="Calibri" w:hAnsi="Times New Roman" w:cs="Times New Roman"/>
                <w:bCs/>
                <w:sz w:val="24"/>
                <w:szCs w:val="24"/>
              </w:rPr>
              <w:t>rezidenta atlīdzība un</w:t>
            </w:r>
            <w:r w:rsidR="0060364E">
              <w:rPr>
                <w:rFonts w:ascii="Times New Roman" w:eastAsia="Calibri" w:hAnsi="Times New Roman" w:cs="Times New Roman"/>
                <w:bCs/>
                <w:sz w:val="24"/>
                <w:szCs w:val="24"/>
              </w:rPr>
              <w:t xml:space="preserve"> rezidentu teorētisko un praktisko apmācību saistīto izdevumu apmaksa ārstniecības iestādē</w:t>
            </w:r>
            <w:r w:rsidR="00111F87">
              <w:rPr>
                <w:rFonts w:ascii="Times New Roman" w:eastAsia="Calibri" w:hAnsi="Times New Roman" w:cs="Times New Roman"/>
                <w:bCs/>
                <w:sz w:val="24"/>
                <w:szCs w:val="24"/>
              </w:rPr>
              <w:t>)</w:t>
            </w:r>
            <w:r w:rsidR="0060364E">
              <w:rPr>
                <w:rFonts w:ascii="Times New Roman" w:eastAsia="Calibri" w:hAnsi="Times New Roman" w:cs="Times New Roman"/>
                <w:bCs/>
                <w:sz w:val="24"/>
                <w:szCs w:val="24"/>
              </w:rPr>
              <w:t xml:space="preserve"> x 623 (gada vidējais rezidentu skaits) = 2 172 526 </w:t>
            </w:r>
            <w:r w:rsidRPr="0060364E" w:rsidR="0060364E">
              <w:rPr>
                <w:rFonts w:ascii="Times New Roman" w:eastAsia="Calibri" w:hAnsi="Times New Roman" w:cs="Times New Roman"/>
                <w:bCs/>
                <w:i/>
                <w:sz w:val="24"/>
                <w:szCs w:val="24"/>
              </w:rPr>
              <w:t>euro</w:t>
            </w:r>
            <w:r w:rsidR="0060364E">
              <w:rPr>
                <w:rFonts w:ascii="Times New Roman" w:eastAsia="Calibri" w:hAnsi="Times New Roman" w:cs="Times New Roman"/>
                <w:bCs/>
                <w:sz w:val="24"/>
                <w:szCs w:val="24"/>
              </w:rPr>
              <w:t>.</w:t>
            </w:r>
          </w:p>
          <w:p w:rsidR="0060364E" w:rsidP="00A244A2" w14:paraId="1BC85812" w14:textId="777777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Atlīdzības p</w:t>
            </w:r>
            <w:r w:rsidR="0090417E">
              <w:rPr>
                <w:rFonts w:ascii="Times New Roman" w:eastAsia="Calibri" w:hAnsi="Times New Roman" w:cs="Times New Roman"/>
                <w:bCs/>
                <w:sz w:val="24"/>
                <w:szCs w:val="24"/>
              </w:rPr>
              <w:t>ieaugums 2018.gada uzņemtajiem 4</w:t>
            </w:r>
            <w:r>
              <w:rPr>
                <w:rFonts w:ascii="Times New Roman" w:eastAsia="Calibri" w:hAnsi="Times New Roman" w:cs="Times New Roman"/>
                <w:bCs/>
                <w:sz w:val="24"/>
                <w:szCs w:val="24"/>
              </w:rPr>
              <w:t xml:space="preserve">0 rezidentiem: 3 (mēnešu skaits mācību gadā) x 40 (gada vidējais rezidentu skaits) x  </w:t>
            </w:r>
            <w:r w:rsidR="00111F87">
              <w:rPr>
                <w:rFonts w:ascii="Times New Roman" w:eastAsia="Calibri" w:hAnsi="Times New Roman" w:cs="Times New Roman"/>
                <w:bCs/>
                <w:sz w:val="24"/>
                <w:szCs w:val="24"/>
              </w:rPr>
              <w:t xml:space="preserve">290,60 </w:t>
            </w:r>
            <w:r w:rsidRPr="003C4482" w:rsidR="00111F87">
              <w:rPr>
                <w:rFonts w:ascii="Times New Roman" w:eastAsia="Calibri" w:hAnsi="Times New Roman" w:cs="Times New Roman"/>
                <w:bCs/>
                <w:i/>
                <w:sz w:val="24"/>
                <w:szCs w:val="24"/>
              </w:rPr>
              <w:t>euro</w:t>
            </w:r>
            <w:r w:rsidR="0090417E">
              <w:rPr>
                <w:rFonts w:ascii="Times New Roman" w:eastAsia="Calibri" w:hAnsi="Times New Roman" w:cs="Times New Roman"/>
                <w:bCs/>
                <w:sz w:val="24"/>
                <w:szCs w:val="24"/>
              </w:rPr>
              <w:t xml:space="preserve"> (vidējā </w:t>
            </w:r>
            <w:r w:rsidR="00111F87">
              <w:rPr>
                <w:rFonts w:ascii="Times New Roman" w:eastAsia="Calibri" w:hAnsi="Times New Roman" w:cs="Times New Roman"/>
                <w:bCs/>
                <w:sz w:val="24"/>
                <w:szCs w:val="24"/>
              </w:rPr>
              <w:t xml:space="preserve">rezidenta atlīdzība un rezidentu teorētisko un praktisko apmācību saistīto izdevumu apmaksa ārstniecības iestādē) = 34 872 </w:t>
            </w:r>
            <w:r w:rsidRPr="00111F87" w:rsidR="00111F87">
              <w:rPr>
                <w:rFonts w:ascii="Times New Roman" w:eastAsia="Calibri" w:hAnsi="Times New Roman" w:cs="Times New Roman"/>
                <w:bCs/>
                <w:i/>
                <w:sz w:val="24"/>
                <w:szCs w:val="24"/>
              </w:rPr>
              <w:t>euro</w:t>
            </w:r>
            <w:r w:rsidR="00111F87">
              <w:rPr>
                <w:rFonts w:ascii="Times New Roman" w:eastAsia="Calibri" w:hAnsi="Times New Roman" w:cs="Times New Roman"/>
                <w:bCs/>
                <w:sz w:val="24"/>
                <w:szCs w:val="24"/>
              </w:rPr>
              <w:t xml:space="preserve">. </w:t>
            </w:r>
          </w:p>
          <w:p w:rsidR="009B3186" w:rsidP="00A244A2" w14:paraId="1E0DE316" w14:textId="4E14387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Kopumā noteikumu projekta izmaiņas paredz</w:t>
            </w:r>
            <w:r w:rsidR="000533B4">
              <w:rPr>
                <w:rFonts w:ascii="Times New Roman" w:eastAsia="Calibri" w:hAnsi="Times New Roman" w:cs="Times New Roman"/>
                <w:bCs/>
                <w:sz w:val="24"/>
                <w:szCs w:val="24"/>
              </w:rPr>
              <w:t xml:space="preserve"> izdevumu</w:t>
            </w:r>
            <w:r>
              <w:rPr>
                <w:rFonts w:ascii="Times New Roman" w:eastAsia="Calibri" w:hAnsi="Times New Roman" w:cs="Times New Roman"/>
                <w:bCs/>
                <w:sz w:val="24"/>
                <w:szCs w:val="24"/>
              </w:rPr>
              <w:t xml:space="preserve"> pieaugumu </w:t>
            </w:r>
            <w:r w:rsidR="000533B4">
              <w:rPr>
                <w:rFonts w:ascii="Times New Roman" w:eastAsia="Calibri" w:hAnsi="Times New Roman" w:cs="Times New Roman"/>
                <w:bCs/>
                <w:sz w:val="24"/>
                <w:szCs w:val="24"/>
              </w:rPr>
              <w:t>ik gadu</w:t>
            </w:r>
            <w:r w:rsidRPr="00511E1C">
              <w:rPr>
                <w:rFonts w:ascii="Times New Roman" w:eastAsia="Calibri" w:hAnsi="Times New Roman" w:cs="Times New Roman"/>
                <w:sz w:val="24"/>
                <w:szCs w:val="24"/>
              </w:rPr>
              <w:t xml:space="preserve"> Veselības ministrijas budžeta apakš</w:t>
            </w:r>
            <w:r>
              <w:rPr>
                <w:rFonts w:ascii="Times New Roman" w:eastAsia="Calibri" w:hAnsi="Times New Roman" w:cs="Times New Roman"/>
                <w:bCs/>
                <w:sz w:val="24"/>
                <w:szCs w:val="24"/>
              </w:rPr>
              <w:t>programm</w:t>
            </w:r>
            <w:r w:rsidR="000533B4">
              <w:rPr>
                <w:rFonts w:ascii="Times New Roman" w:eastAsia="Calibri" w:hAnsi="Times New Roman" w:cs="Times New Roman"/>
                <w:bCs/>
                <w:sz w:val="24"/>
                <w:szCs w:val="24"/>
              </w:rPr>
              <w:t>ā</w:t>
            </w:r>
            <w:r>
              <w:rPr>
                <w:rFonts w:ascii="Times New Roman" w:eastAsia="Calibri" w:hAnsi="Times New Roman" w:cs="Times New Roman"/>
                <w:bCs/>
                <w:sz w:val="24"/>
                <w:szCs w:val="24"/>
              </w:rPr>
              <w:t xml:space="preserve"> 02.04.00 „Rezidentu apmācība</w:t>
            </w:r>
            <w:r w:rsidRPr="00511E1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2 207 398 </w:t>
            </w:r>
            <w:r w:rsidRPr="00111F87">
              <w:rPr>
                <w:rFonts w:ascii="Times New Roman" w:eastAsia="Calibri" w:hAnsi="Times New Roman" w:cs="Times New Roman"/>
                <w:bCs/>
                <w:i/>
                <w:sz w:val="24"/>
                <w:szCs w:val="24"/>
              </w:rPr>
              <w:t>euro</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apmērā</w:t>
            </w:r>
            <w:r w:rsidR="000533B4">
              <w:rPr>
                <w:rFonts w:ascii="Times New Roman" w:eastAsia="Calibri" w:hAnsi="Times New Roman" w:cs="Times New Roman"/>
                <w:bCs/>
                <w:sz w:val="24"/>
                <w:szCs w:val="24"/>
              </w:rPr>
              <w:t xml:space="preserve">, t.sk.  2018.gadam finansējums 2 207 398 </w:t>
            </w:r>
            <w:r w:rsidRPr="00AC021A" w:rsidR="000533B4">
              <w:rPr>
                <w:rFonts w:ascii="Times New Roman" w:eastAsia="Calibri" w:hAnsi="Times New Roman" w:cs="Times New Roman"/>
                <w:bCs/>
                <w:i/>
                <w:sz w:val="24"/>
                <w:szCs w:val="24"/>
              </w:rPr>
              <w:t>euro</w:t>
            </w:r>
            <w:r w:rsidR="000533B4">
              <w:rPr>
                <w:rFonts w:ascii="Times New Roman" w:eastAsia="Calibri" w:hAnsi="Times New Roman" w:cs="Times New Roman"/>
                <w:bCs/>
                <w:sz w:val="24"/>
                <w:szCs w:val="24"/>
              </w:rPr>
              <w:t xml:space="preserve"> apmērā ir </w:t>
            </w:r>
            <w:r w:rsidR="000533B4">
              <w:rPr>
                <w:rFonts w:ascii="Times New Roman" w:eastAsia="Calibri" w:hAnsi="Times New Roman" w:cs="Times New Roman"/>
                <w:bCs/>
                <w:sz w:val="24"/>
                <w:szCs w:val="24"/>
              </w:rPr>
              <w:t>pārdalīts Veselības ministrijai atbilstoši Finanšu ministrijas 05.01.18.rīkojumam Nr.5.</w:t>
            </w:r>
          </w:p>
          <w:p w:rsidR="00AF7679" w:rsidP="00A244A2" w14:paraId="35BFFFEE" w14:textId="77777777">
            <w:pPr>
              <w:spacing w:after="0" w:line="240" w:lineRule="auto"/>
              <w:jc w:val="both"/>
              <w:rPr>
                <w:rFonts w:ascii="Times New Roman" w:eastAsia="Calibri" w:hAnsi="Times New Roman" w:cs="Times New Roman"/>
                <w:bCs/>
                <w:sz w:val="24"/>
                <w:szCs w:val="24"/>
              </w:rPr>
            </w:pPr>
          </w:p>
          <w:p w:rsidR="00E750E8" w:rsidRPr="00AC021A" w:rsidP="00A244A2" w14:paraId="15CD933E" w14:textId="42E1B472">
            <w:pPr>
              <w:spacing w:after="0" w:line="240" w:lineRule="auto"/>
              <w:jc w:val="both"/>
              <w:rPr>
                <w:rFonts w:ascii="Times New Roman" w:hAnsi="Times New Roman"/>
                <w:noProof/>
                <w:sz w:val="24"/>
                <w:szCs w:val="24"/>
                <w:lang w:eastAsia="lv-LV"/>
              </w:rPr>
            </w:pPr>
            <w:r>
              <w:rPr>
                <w:rFonts w:ascii="Times New Roman" w:hAnsi="Times New Roman"/>
                <w:noProof/>
                <w:sz w:val="24"/>
                <w:szCs w:val="24"/>
                <w:lang w:eastAsia="lv-LV"/>
              </w:rPr>
              <w:t>A</w:t>
            </w:r>
            <w:r>
              <w:rPr>
                <w:rFonts w:ascii="Times New Roman" w:hAnsi="Times New Roman"/>
                <w:noProof/>
                <w:sz w:val="24"/>
                <w:szCs w:val="24"/>
                <w:lang w:eastAsia="lv-LV"/>
              </w:rPr>
              <w:t>tbilstoši</w:t>
            </w:r>
            <w:r w:rsidR="006572D7">
              <w:rPr>
                <w:rFonts w:ascii="Times New Roman" w:hAnsi="Times New Roman"/>
                <w:noProof/>
                <w:sz w:val="24"/>
                <w:szCs w:val="24"/>
                <w:lang w:eastAsia="lv-LV"/>
              </w:rPr>
              <w:t xml:space="preserve"> 2017.gada 5.decembra Ministru kabineta sēdes protokolā Nr.60, </w:t>
            </w:r>
            <w:r w:rsidRPr="009B3186" w:rsidR="006572D7">
              <w:rPr>
                <w:rFonts w:ascii="Times New Roman" w:hAnsi="Times New Roman" w:cs="Times New Roman"/>
                <w:sz w:val="24"/>
                <w:szCs w:val="24"/>
                <w:shd w:val="clear" w:color="auto" w:fill="FFFFFF"/>
              </w:rPr>
              <w:t>30. §</w:t>
            </w:r>
            <w:r w:rsidR="006572D7">
              <w:rPr>
                <w:rFonts w:ascii="Times New Roman" w:hAnsi="Times New Roman" w:cs="Times New Roman"/>
                <w:sz w:val="24"/>
                <w:szCs w:val="24"/>
                <w:shd w:val="clear" w:color="auto" w:fill="FFFFFF"/>
              </w:rPr>
              <w:t xml:space="preserve"> 4.punktā noteiktajam</w:t>
            </w:r>
            <w:r w:rsidRPr="006572D7" w:rsidR="006572D7">
              <w:rPr>
                <w:rFonts w:ascii="Times New Roman" w:hAnsi="Times New Roman" w:cs="Times New Roman"/>
                <w:noProof/>
                <w:sz w:val="24"/>
                <w:szCs w:val="24"/>
                <w:lang w:eastAsia="lv-LV"/>
              </w:rPr>
              <w:t xml:space="preserve"> </w:t>
            </w:r>
            <w:r w:rsidRPr="00AC021A" w:rsidR="006572D7">
              <w:rPr>
                <w:rFonts w:ascii="Times New Roman" w:hAnsi="Times New Roman" w:cs="Times New Roman"/>
                <w:color w:val="2A2A2A"/>
                <w:sz w:val="24"/>
                <w:szCs w:val="24"/>
                <w:shd w:val="clear" w:color="auto" w:fill="FFFFFF"/>
              </w:rPr>
              <w:t xml:space="preserve">Finanšu ministrijai atbilstoši šī </w:t>
            </w:r>
            <w:r w:rsidRPr="00AC021A" w:rsidR="006572D7">
              <w:rPr>
                <w:rFonts w:ascii="Times New Roman" w:hAnsi="Times New Roman" w:cs="Times New Roman"/>
                <w:color w:val="2A2A2A"/>
                <w:sz w:val="24"/>
                <w:szCs w:val="24"/>
                <w:shd w:val="clear" w:color="auto" w:fill="FFFFFF"/>
              </w:rPr>
              <w:t>protokollēmuma</w:t>
            </w:r>
            <w:r w:rsidRPr="00AC021A" w:rsidR="006572D7">
              <w:rPr>
                <w:rFonts w:ascii="Times New Roman" w:hAnsi="Times New Roman" w:cs="Times New Roman"/>
                <w:color w:val="2A2A2A"/>
                <w:sz w:val="24"/>
                <w:szCs w:val="24"/>
                <w:shd w:val="clear" w:color="auto" w:fill="FFFFFF"/>
              </w:rPr>
              <w:t xml:space="preserve"> 3.punktā iesniegtajiem priekšlikumiem palielināt Veselības ministrijas bāzes izdevumus 2019., 2020. un 2021.gadam, vienlaicīgi samazinot resursus izdevumu segšanai un izdevumus 2019. un 2020.gadam budžeta resora "74.Gadskārtējā valsts budžeta izpildes procesā pārdalāmais finansējums" budžeta programmā 08.00.00 "Veselības aprūpes sistēmas reformas ieviešanas finansējums".</w:t>
            </w:r>
          </w:p>
        </w:tc>
      </w:tr>
      <w:tr w14:paraId="53FF5C5C"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49C3FF1B"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6.1. detalizēts ieņēmumu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7F1E99CD" w14:textId="77777777">
            <w:pPr>
              <w:spacing w:line="276" w:lineRule="auto"/>
              <w:rPr>
                <w:rFonts w:ascii="Times New Roman" w:eastAsia="Times New Roman" w:hAnsi="Times New Roman" w:cs="Times New Roman"/>
                <w:bCs/>
                <w:color w:val="000000"/>
                <w:sz w:val="24"/>
                <w:szCs w:val="24"/>
              </w:rPr>
            </w:pPr>
          </w:p>
        </w:tc>
      </w:tr>
      <w:tr w14:paraId="0523B99E" w14:textId="77777777" w:rsidTr="00FD2493">
        <w:tblPrEx>
          <w:tblW w:w="9064" w:type="dxa"/>
          <w:tblLayout w:type="fixed"/>
          <w:tblCellMar>
            <w:top w:w="30" w:type="dxa"/>
            <w:left w:w="30" w:type="dxa"/>
            <w:bottom w:w="30" w:type="dxa"/>
            <w:right w:w="30" w:type="dxa"/>
          </w:tblCellMar>
          <w:tblLook w:val="04A0"/>
        </w:tblPrEx>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06871E40"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6.2. detalizēts izdevumu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P="005072FF" w14:paraId="08A03526" w14:textId="77777777">
            <w:pPr>
              <w:spacing w:line="276" w:lineRule="auto"/>
              <w:rPr>
                <w:rFonts w:ascii="Times New Roman" w:eastAsia="Times New Roman" w:hAnsi="Times New Roman" w:cs="Times New Roman"/>
                <w:bCs/>
                <w:color w:val="000000"/>
                <w:sz w:val="24"/>
                <w:szCs w:val="24"/>
              </w:rPr>
            </w:pPr>
          </w:p>
        </w:tc>
      </w:tr>
      <w:tr w14:paraId="0A088F53" w14:textId="77777777" w:rsidTr="00FD2493">
        <w:tblPrEx>
          <w:tblW w:w="9064" w:type="dxa"/>
          <w:tblLayout w:type="fixed"/>
          <w:tblCellMar>
            <w:top w:w="30" w:type="dxa"/>
            <w:left w:w="30" w:type="dxa"/>
            <w:bottom w:w="30" w:type="dxa"/>
            <w:right w:w="30" w:type="dxa"/>
          </w:tblCellMar>
          <w:tblLook w:val="04A0"/>
        </w:tblPrEx>
        <w:trPr>
          <w:trHeight w:val="555"/>
        </w:trPr>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P="005072FF" w14:paraId="46948876" w14:textId="77777777">
            <w:pPr>
              <w:spacing w:line="276" w:lineRule="auto"/>
              <w:rPr>
                <w:rFonts w:ascii="Times New Roman" w:hAnsi="Times New Roman" w:cs="Times New Roman"/>
                <w:sz w:val="24"/>
                <w:szCs w:val="24"/>
              </w:rPr>
            </w:pPr>
            <w:r w:rsidRPr="00511E1C">
              <w:rPr>
                <w:rFonts w:ascii="Times New Roman" w:hAnsi="Times New Roman" w:cs="Times New Roman"/>
                <w:sz w:val="24"/>
                <w:szCs w:val="24"/>
              </w:rPr>
              <w:t>7. Cita informācija</w:t>
            </w:r>
          </w:p>
        </w:tc>
        <w:tc>
          <w:tcPr>
            <w:tcW w:w="6377" w:type="dxa"/>
            <w:gridSpan w:val="5"/>
            <w:tcBorders>
              <w:top w:val="outset" w:sz="6" w:space="0" w:color="414142"/>
              <w:left w:val="outset" w:sz="6" w:space="0" w:color="414142"/>
              <w:bottom w:val="outset" w:sz="6" w:space="0" w:color="414142"/>
              <w:right w:val="outset" w:sz="6" w:space="0" w:color="414142"/>
            </w:tcBorders>
            <w:hideMark/>
          </w:tcPr>
          <w:p w:rsidR="000A7605" w:rsidP="006B2B6D" w14:paraId="052B8D57" w14:textId="77777777">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sz w:val="24"/>
                <w:szCs w:val="24"/>
              </w:rPr>
              <w:t xml:space="preserve">2017.gada 14.decembrī Saeimas Budžeta un finanšu (nodokļu) komisija ir apstiprinājusi apropriācijas pārdali </w:t>
            </w:r>
            <w:r w:rsidR="000533B4">
              <w:rPr>
                <w:rFonts w:ascii="Times New Roman" w:hAnsi="Times New Roman"/>
                <w:sz w:val="24"/>
                <w:szCs w:val="24"/>
              </w:rPr>
              <w:t xml:space="preserve">2018.gadam </w:t>
            </w:r>
            <w:r w:rsidRPr="00631448">
              <w:rPr>
                <w:rFonts w:ascii="Times New Roman" w:hAnsi="Times New Roman"/>
                <w:sz w:val="24"/>
                <w:szCs w:val="24"/>
              </w:rPr>
              <w:t xml:space="preserve">veselības aprūpes finansēšanai </w:t>
            </w:r>
            <w:r>
              <w:rPr>
                <w:rFonts w:ascii="Times New Roman" w:hAnsi="Times New Roman"/>
                <w:sz w:val="24"/>
                <w:szCs w:val="24"/>
              </w:rPr>
              <w:t xml:space="preserve">no </w:t>
            </w:r>
            <w:r w:rsidRPr="00631448">
              <w:rPr>
                <w:rFonts w:ascii="Times New Roman" w:hAnsi="Times New Roman"/>
                <w:sz w:val="24"/>
                <w:szCs w:val="24"/>
              </w:rPr>
              <w:t xml:space="preserve">budžeta resora “74. Gadskārtējā valsts budžeta izpildes procesā pārdalāmais finansējums” 08.00.00 programmā “Veselības aprūpes sistēmas reformas ieviešanas finansējums” rezervēto finansējumu </w:t>
            </w:r>
            <w:r w:rsidRPr="00727BE9">
              <w:rPr>
                <w:rFonts w:ascii="Times New Roman" w:hAnsi="Times New Roman" w:cs="Times New Roman"/>
                <w:color w:val="000000"/>
                <w:sz w:val="24"/>
                <w:szCs w:val="24"/>
                <w:shd w:val="clear" w:color="auto" w:fill="FFFFFF"/>
              </w:rPr>
              <w:t xml:space="preserve">2 207 398 </w:t>
            </w:r>
            <w:r w:rsidRPr="00727BE9">
              <w:rPr>
                <w:rFonts w:ascii="Times New Roman" w:hAnsi="Times New Roman" w:cs="Times New Roman"/>
                <w:i/>
                <w:color w:val="000000"/>
                <w:sz w:val="24"/>
                <w:szCs w:val="24"/>
                <w:shd w:val="clear" w:color="auto" w:fill="FFFFFF"/>
              </w:rPr>
              <w:t>euro</w:t>
            </w:r>
            <w:r>
              <w:rPr>
                <w:rFonts w:ascii="Times New Roman" w:hAnsi="Times New Roman" w:cs="Times New Roman"/>
                <w:i/>
                <w:color w:val="000000"/>
                <w:sz w:val="24"/>
                <w:szCs w:val="24"/>
                <w:shd w:val="clear" w:color="auto" w:fill="FFFFFF"/>
              </w:rPr>
              <w:t xml:space="preserve">, </w:t>
            </w:r>
            <w:r w:rsidRPr="006B2B6D">
              <w:rPr>
                <w:rFonts w:ascii="Times New Roman" w:hAnsi="Times New Roman" w:cs="Times New Roman"/>
                <w:color w:val="000000"/>
                <w:sz w:val="24"/>
                <w:szCs w:val="24"/>
                <w:shd w:val="clear" w:color="auto" w:fill="FFFFFF"/>
              </w:rPr>
              <w:t>kuru</w:t>
            </w:r>
            <w:r w:rsidRPr="00727BE9">
              <w:rPr>
                <w:rFonts w:ascii="Times New Roman" w:hAnsi="Times New Roman" w:cs="Times New Roman"/>
                <w:color w:val="000000"/>
                <w:sz w:val="24"/>
                <w:szCs w:val="24"/>
                <w:shd w:val="clear" w:color="auto" w:fill="FFFFFF"/>
              </w:rPr>
              <w:t xml:space="preserve"> plānots novirzīt rezidentu atlīdzības pieaugumam.</w:t>
            </w:r>
          </w:p>
          <w:p w:rsidR="000533B4" w:rsidRPr="006B2B6D" w:rsidP="000533B4" w14:paraId="4B43FB32" w14:textId="44C745CA">
            <w:pPr>
              <w:shd w:val="clear" w:color="auto" w:fill="FFFFFF"/>
              <w:spacing w:after="0" w:line="240" w:lineRule="auto"/>
              <w:jc w:val="both"/>
              <w:rPr>
                <w:rFonts w:ascii="Times New Roman" w:hAnsi="Times New Roman"/>
                <w:sz w:val="24"/>
                <w:szCs w:val="24"/>
              </w:rPr>
            </w:pPr>
            <w:r>
              <w:rPr>
                <w:rFonts w:ascii="Times New Roman" w:hAnsi="Times New Roman" w:cs="Times New Roman"/>
                <w:color w:val="000000"/>
                <w:sz w:val="24"/>
                <w:szCs w:val="24"/>
                <w:shd w:val="clear" w:color="auto" w:fill="FFFFFF"/>
              </w:rPr>
              <w:t>Noteikumu projekts tiks īstenots Veselības ministrijai piešķirto valsts budžeta līdzekļu ietvaros.</w:t>
            </w:r>
          </w:p>
        </w:tc>
      </w:tr>
    </w:tbl>
    <w:p w:rsidR="00331A4C" w:rsidP="00331A4C" w14:paraId="7DE4220D" w14:textId="3D1034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65B0B4D4" w14:textId="77777777" w:rsidTr="00E362C5">
        <w:tblPrEx>
          <w:tblW w:w="0" w:type="auto"/>
          <w:tblLook w:val="04A0"/>
        </w:tblPrEx>
        <w:tc>
          <w:tcPr>
            <w:tcW w:w="9061" w:type="dxa"/>
          </w:tcPr>
          <w:p w:rsidR="00331A4C" w:rsidRPr="00E14BAD" w:rsidP="00E362C5" w14:paraId="7CB5CE1A" w14:textId="7014B976">
            <w:pPr>
              <w:jc w:val="center"/>
              <w:rPr>
                <w:rFonts w:ascii="Times New Roman" w:eastAsia="Times New Roman" w:hAnsi="Times New Roman" w:cs="Times New Roman"/>
                <w:b/>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14:paraId="33F3CC29" w14:textId="77777777" w:rsidTr="00E362C5">
        <w:tblPrEx>
          <w:tblW w:w="0" w:type="auto"/>
          <w:tblLook w:val="04A0"/>
        </w:tblPrEx>
        <w:tc>
          <w:tcPr>
            <w:tcW w:w="9061" w:type="dxa"/>
          </w:tcPr>
          <w:p w:rsidR="00331A4C" w:rsidRPr="00E14BAD" w:rsidP="00E362C5" w14:paraId="47160CBF" w14:textId="77777777">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331A4C" w:rsidP="00331A4C" w14:paraId="2AEC136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331A4C" w:rsidP="00331A4C" w14:paraId="01F0D116"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4BBD06AB" w14:textId="77777777" w:rsidTr="00E362C5">
        <w:tblPrEx>
          <w:tblW w:w="0" w:type="auto"/>
          <w:tblLook w:val="04A0"/>
        </w:tblPrEx>
        <w:tc>
          <w:tcPr>
            <w:tcW w:w="9061" w:type="dxa"/>
          </w:tcPr>
          <w:p w:rsidR="00331A4C" w:rsidRPr="00E14BAD" w:rsidP="00E362C5" w14:paraId="33FB5372" w14:textId="77777777">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2D01F9A7" w14:textId="77777777" w:rsidTr="00E362C5">
        <w:tblPrEx>
          <w:tblW w:w="0" w:type="auto"/>
          <w:tblLook w:val="04A0"/>
        </w:tblPrEx>
        <w:tc>
          <w:tcPr>
            <w:tcW w:w="9061" w:type="dxa"/>
          </w:tcPr>
          <w:p w:rsidR="00331A4C" w:rsidRPr="00E14BAD" w:rsidP="00E362C5" w14:paraId="2DB5A830" w14:textId="77777777">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331A4C" w:rsidP="00331A4C" w14:paraId="3FD348B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0A7605" w:rsidP="00894C55" w14:paraId="11793387"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1701"/>
        <w:gridCol w:w="7086"/>
      </w:tblGrid>
      <w:tr w14:paraId="140A6636" w14:textId="77777777" w:rsidTr="00AC021A">
        <w:tblPrEx>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5C967B7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655940A0" w14:textId="77777777" w:rsidTr="00AC021A">
        <w:tblPrEx>
          <w:tblW w:w="5083" w:type="pct"/>
          <w:jc w:val="center"/>
          <w:tblLayout w:type="fixed"/>
          <w:tblCellMar>
            <w:top w:w="24" w:type="dxa"/>
            <w:left w:w="24" w:type="dxa"/>
            <w:bottom w:w="24" w:type="dxa"/>
            <w:right w:w="24" w:type="dxa"/>
          </w:tblCellMar>
          <w:tblLook w:val="04A0"/>
        </w:tblPrEx>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DFFD60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C264B2"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849" w:type="pct"/>
            <w:tcBorders>
              <w:top w:val="outset" w:sz="6" w:space="0" w:color="414142"/>
              <w:left w:val="outset" w:sz="6" w:space="0" w:color="414142"/>
              <w:bottom w:val="outset" w:sz="6" w:space="0" w:color="414142"/>
              <w:right w:val="outset" w:sz="6" w:space="0" w:color="414142"/>
            </w:tcBorders>
          </w:tcPr>
          <w:p w:rsidR="001B4C77" w:rsidRPr="003429ED" w:rsidP="004468D7" w14:paraId="5E9DC346" w14:textId="714CF6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vienotos par noteikumu projekta redakciju, tā </w:t>
            </w:r>
            <w:r w:rsidRPr="00F62A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izstrādes gaidā tika organizētas sanāksmes. </w:t>
            </w:r>
            <w:r w:rsidR="004468D7">
              <w:rPr>
                <w:rFonts w:ascii="Times New Roman" w:eastAsia="Times New Roman" w:hAnsi="Times New Roman" w:cs="Times New Roman"/>
                <w:sz w:val="24"/>
                <w:szCs w:val="24"/>
                <w:lang w:eastAsia="lv-LV"/>
              </w:rPr>
              <w:t xml:space="preserve">Noteikumu projekts ir ievietots Veselības ministrijas tīmekļa vietnē </w:t>
            </w:r>
            <w:r w:rsidRPr="006D4FAE" w:rsidR="004468D7">
              <w:rPr>
                <w:rFonts w:ascii="Times New Roman" w:eastAsia="Times New Roman" w:hAnsi="Times New Roman" w:cs="Times New Roman"/>
                <w:sz w:val="24"/>
                <w:szCs w:val="24"/>
                <w:lang w:eastAsia="lv-LV"/>
              </w:rPr>
              <w:t>(</w:t>
            </w:r>
            <w:r>
              <w:fldChar w:fldCharType="begin"/>
            </w:r>
            <w:r>
              <w:instrText xml:space="preserve"> HYPERLINK "http://www.vm.gov.lv/lv/aktualitates/sabiedribas_lidzdaliba/tiesibu_aktu_projekti11/" </w:instrText>
            </w:r>
            <w:r>
              <w:fldChar w:fldCharType="separate"/>
            </w:r>
            <w:r w:rsidRPr="006D4FAE" w:rsidR="004468D7">
              <w:rPr>
                <w:rStyle w:val="Hyperlink"/>
                <w:rFonts w:ascii="Times New Roman" w:eastAsia="Times New Roman" w:hAnsi="Times New Roman" w:cs="Times New Roman"/>
                <w:color w:val="auto"/>
                <w:sz w:val="24"/>
                <w:szCs w:val="24"/>
                <w:lang w:eastAsia="lv-LV"/>
              </w:rPr>
              <w:t>http://www.vm.gov.lv/lv/aktualitates/sabiedribas_lidzdaliba/tiesibu_aktu_projekti11/</w:t>
            </w:r>
            <w:r>
              <w:fldChar w:fldCharType="end"/>
            </w:r>
            <w:r w:rsidRPr="006D4FAE" w:rsidR="004468D7">
              <w:rPr>
                <w:rFonts w:ascii="Times New Roman" w:eastAsia="Times New Roman" w:hAnsi="Times New Roman" w:cs="Times New Roman"/>
                <w:sz w:val="24"/>
                <w:szCs w:val="24"/>
                <w:lang w:eastAsia="lv-LV"/>
              </w:rPr>
              <w:t>).</w:t>
            </w:r>
            <w:r w:rsidRPr="006D4FAE" w:rsidR="007D300F">
              <w:rPr>
                <w:rFonts w:ascii="Times New Roman" w:eastAsia="Times New Roman" w:hAnsi="Times New Roman" w:cs="Times New Roman"/>
                <w:sz w:val="24"/>
                <w:szCs w:val="24"/>
                <w:lang w:eastAsia="lv-LV"/>
              </w:rPr>
              <w:t xml:space="preserve"> Par noteikumu projektu sabiedrības viedokļi nav saņemti. </w:t>
            </w:r>
            <w:r w:rsidRPr="006D4FAE" w:rsidR="004468D7">
              <w:rPr>
                <w:rFonts w:ascii="Times New Roman" w:eastAsia="Times New Roman" w:hAnsi="Times New Roman" w:cs="Times New Roman"/>
                <w:sz w:val="24"/>
                <w:szCs w:val="24"/>
                <w:lang w:eastAsia="lv-LV"/>
              </w:rPr>
              <w:t xml:space="preserve"> </w:t>
            </w:r>
          </w:p>
        </w:tc>
      </w:tr>
      <w:tr w14:paraId="7ACEF56E" w14:textId="77777777" w:rsidTr="00AC021A">
        <w:tblPrEx>
          <w:tblW w:w="5083" w:type="pct"/>
          <w:jc w:val="center"/>
          <w:tblLayout w:type="fixed"/>
          <w:tblCellMar>
            <w:top w:w="24" w:type="dxa"/>
            <w:left w:w="24" w:type="dxa"/>
            <w:bottom w:w="24" w:type="dxa"/>
            <w:right w:w="24" w:type="dxa"/>
          </w:tblCellMar>
          <w:tblLook w:val="04A0"/>
        </w:tblPrEx>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C111F0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7E12944"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849" w:type="pct"/>
            <w:tcBorders>
              <w:top w:val="outset" w:sz="6" w:space="0" w:color="414142"/>
              <w:left w:val="outset" w:sz="6" w:space="0" w:color="414142"/>
              <w:bottom w:val="outset" w:sz="6" w:space="0" w:color="414142"/>
              <w:right w:val="outset" w:sz="6" w:space="0" w:color="414142"/>
            </w:tcBorders>
            <w:hideMark/>
          </w:tcPr>
          <w:p w:rsidR="00B85744" w:rsidRPr="003429ED" w:rsidP="00AF7679" w14:paraId="03F8CCA1" w14:textId="3E8CD5FC">
            <w:pPr>
              <w:spacing w:after="0" w:line="240" w:lineRule="auto"/>
              <w:jc w:val="both"/>
              <w:rPr>
                <w:rFonts w:ascii="Times New Roman" w:eastAsia="Times New Roman" w:hAnsi="Times New Roman" w:cs="Times New Roman"/>
                <w:sz w:val="24"/>
                <w:szCs w:val="24"/>
                <w:lang w:eastAsia="lv-LV"/>
              </w:rPr>
            </w:pPr>
            <w:r w:rsidRPr="00F62A58">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 xml:space="preserve">a izstrādes gaidā tika organizētas sanāksmes, kurās piedalījās Rīgas Stradiņa universitātes, Latvijas Universitātes, Rīgas Stradiņa universitātes Studējošo pašpārvaldes, </w:t>
            </w:r>
            <w:r w:rsidRPr="00D0161D">
              <w:rPr>
                <w:rFonts w:ascii="Times New Roman" w:eastAsia="Times New Roman" w:hAnsi="Times New Roman" w:cs="Times New Roman"/>
                <w:sz w:val="24"/>
                <w:szCs w:val="24"/>
                <w:lang w:eastAsia="lv-LV"/>
              </w:rPr>
              <w:t>Latvijas Medicīnas studentu a</w:t>
            </w:r>
            <w:r w:rsidR="007B1CD7">
              <w:rPr>
                <w:rFonts w:ascii="Times New Roman" w:eastAsia="Times New Roman" w:hAnsi="Times New Roman" w:cs="Times New Roman"/>
                <w:sz w:val="24"/>
                <w:szCs w:val="24"/>
                <w:lang w:eastAsia="lv-LV"/>
              </w:rPr>
              <w:t>sociācijas</w:t>
            </w:r>
            <w:r>
              <w:rPr>
                <w:rFonts w:ascii="Times New Roman" w:eastAsia="Times New Roman" w:hAnsi="Times New Roman" w:cs="Times New Roman"/>
                <w:sz w:val="24"/>
                <w:szCs w:val="24"/>
                <w:lang w:eastAsia="lv-LV"/>
              </w:rPr>
              <w:t xml:space="preserve"> un Latvijas Jauno ārstu asociācijas pārstāvji.</w:t>
            </w:r>
          </w:p>
        </w:tc>
      </w:tr>
      <w:tr w14:paraId="1A594C0D" w14:textId="77777777" w:rsidTr="00AC021A">
        <w:tblPrEx>
          <w:tblW w:w="5083" w:type="pct"/>
          <w:jc w:val="center"/>
          <w:tblLayout w:type="fixed"/>
          <w:tblCellMar>
            <w:top w:w="24" w:type="dxa"/>
            <w:left w:w="24" w:type="dxa"/>
            <w:bottom w:w="24" w:type="dxa"/>
            <w:right w:w="24" w:type="dxa"/>
          </w:tblCellMar>
          <w:tblLook w:val="04A0"/>
        </w:tblPrEx>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0AA7EF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924"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7D582E6"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849" w:type="pct"/>
            <w:tcBorders>
              <w:top w:val="outset" w:sz="6" w:space="0" w:color="414142"/>
              <w:left w:val="outset" w:sz="6" w:space="0" w:color="414142"/>
              <w:bottom w:val="outset" w:sz="6" w:space="0" w:color="414142"/>
              <w:right w:val="outset" w:sz="6" w:space="0" w:color="414142"/>
            </w:tcBorders>
          </w:tcPr>
          <w:p w:rsidR="00F8319C" w:rsidRPr="006D4FAE" w:rsidP="004468D7" w14:paraId="350BA22C" w14:textId="4939A25F">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Latvijas Universitātes pārstāvji izteica priekšlikumu</w:t>
            </w:r>
            <w:r w:rsidRPr="006D4FAE" w:rsidR="00C96BEB">
              <w:rPr>
                <w:rFonts w:ascii="Times New Roman" w:eastAsia="Times New Roman" w:hAnsi="Times New Roman" w:cs="Times New Roman"/>
                <w:sz w:val="24"/>
                <w:szCs w:val="24"/>
                <w:lang w:eastAsia="lv-LV"/>
              </w:rPr>
              <w:t xml:space="preserve">, ka rezidentūras pretendents norāda augstskolu, kurā vēlas </w:t>
            </w:r>
            <w:r w:rsidRPr="006D4FAE" w:rsidR="00D730E6">
              <w:rPr>
                <w:rFonts w:ascii="Times New Roman" w:eastAsia="Times New Roman" w:hAnsi="Times New Roman" w:cs="Times New Roman"/>
                <w:sz w:val="24"/>
                <w:szCs w:val="24"/>
                <w:lang w:eastAsia="lv-LV"/>
              </w:rPr>
              <w:t>s</w:t>
            </w:r>
            <w:r w:rsidRPr="006D4FAE" w:rsidR="00C96BEB">
              <w:rPr>
                <w:rFonts w:ascii="Times New Roman" w:eastAsia="Times New Roman" w:hAnsi="Times New Roman" w:cs="Times New Roman"/>
                <w:sz w:val="24"/>
                <w:szCs w:val="24"/>
                <w:lang w:eastAsia="lv-LV"/>
              </w:rPr>
              <w:t>pecialitāti apgūt</w:t>
            </w:r>
            <w:r w:rsidRPr="006D4FAE" w:rsidR="00D730E6">
              <w:rPr>
                <w:rFonts w:ascii="Times New Roman" w:eastAsia="Times New Roman" w:hAnsi="Times New Roman" w:cs="Times New Roman"/>
                <w:sz w:val="24"/>
                <w:szCs w:val="24"/>
                <w:lang w:eastAsia="lv-LV"/>
              </w:rPr>
              <w:t xml:space="preserve">. Diskusijās </w:t>
            </w:r>
            <w:r w:rsidRPr="006D4FAE" w:rsidR="00310BA0">
              <w:rPr>
                <w:rFonts w:ascii="Times New Roman" w:eastAsia="Times New Roman" w:hAnsi="Times New Roman" w:cs="Times New Roman"/>
                <w:sz w:val="24"/>
                <w:szCs w:val="24"/>
                <w:lang w:eastAsia="lv-LV"/>
              </w:rPr>
              <w:t xml:space="preserve">Latvijas Universitātes, Rīgas Stradiņa universitātes un </w:t>
            </w:r>
            <w:r w:rsidRPr="006D4FAE" w:rsidR="007B1CD7">
              <w:rPr>
                <w:rFonts w:ascii="Times New Roman" w:eastAsia="Times New Roman" w:hAnsi="Times New Roman" w:cs="Times New Roman"/>
                <w:sz w:val="24"/>
                <w:szCs w:val="24"/>
                <w:lang w:eastAsia="lv-LV"/>
              </w:rPr>
              <w:t xml:space="preserve">Latvijas Medicīnas studentu asociācijas, RSU Studējošo pašpārvaldes un Latvijas Jauno ārstu asociācijas pārstāvji </w:t>
            </w:r>
            <w:r w:rsidRPr="006D4FAE" w:rsidR="00310BA0">
              <w:rPr>
                <w:rFonts w:ascii="Times New Roman" w:eastAsia="Times New Roman" w:hAnsi="Times New Roman" w:cs="Times New Roman"/>
                <w:sz w:val="24"/>
                <w:szCs w:val="24"/>
                <w:lang w:eastAsia="lv-LV"/>
              </w:rPr>
              <w:t xml:space="preserve">vienojās, ka pēc konkursa rezultātu pasludināšanas, rezidenti iegūto punktu secībā izvēlas augstskolu, kurā notiks rezidentūras programmas apguve. </w:t>
            </w:r>
            <w:r w:rsidRPr="006D4FAE" w:rsidR="0004068C">
              <w:rPr>
                <w:rFonts w:ascii="Times New Roman" w:eastAsia="Times New Roman" w:hAnsi="Times New Roman" w:cs="Times New Roman"/>
                <w:sz w:val="24"/>
                <w:szCs w:val="24"/>
                <w:lang w:eastAsia="lv-LV"/>
              </w:rPr>
              <w:t>Latvijas Jauno ārstu asociācija ierosināja pretendentu pieteikšanās laikā un atlasē atteikties no prioritā</w:t>
            </w:r>
            <w:r w:rsidRPr="006D4FAE" w:rsidR="00246861">
              <w:rPr>
                <w:rFonts w:ascii="Times New Roman" w:eastAsia="Times New Roman" w:hAnsi="Times New Roman" w:cs="Times New Roman"/>
                <w:sz w:val="24"/>
                <w:szCs w:val="24"/>
                <w:lang w:eastAsia="lv-LV"/>
              </w:rPr>
              <w:t xml:space="preserve">rās </w:t>
            </w:r>
            <w:r w:rsidRPr="006D4FAE" w:rsidR="00246861">
              <w:rPr>
                <w:rFonts w:ascii="Times New Roman" w:eastAsia="Times New Roman" w:hAnsi="Times New Roman" w:cs="Times New Roman"/>
                <w:sz w:val="24"/>
                <w:szCs w:val="24"/>
                <w:lang w:eastAsia="lv-LV"/>
              </w:rPr>
              <w:t>specialitātes</w:t>
            </w:r>
            <w:r w:rsidRPr="006D4FAE" w:rsidR="0004068C">
              <w:rPr>
                <w:rFonts w:ascii="Times New Roman" w:eastAsia="Times New Roman" w:hAnsi="Times New Roman" w:cs="Times New Roman"/>
                <w:sz w:val="24"/>
                <w:szCs w:val="24"/>
                <w:lang w:eastAsia="lv-LV"/>
              </w:rPr>
              <w:t xml:space="preserve"> norādīšanas</w:t>
            </w:r>
            <w:r w:rsidRPr="006D4FAE" w:rsidR="00246861">
              <w:rPr>
                <w:rFonts w:ascii="Times New Roman" w:eastAsia="Times New Roman" w:hAnsi="Times New Roman" w:cs="Times New Roman"/>
                <w:sz w:val="24"/>
                <w:szCs w:val="24"/>
                <w:lang w:eastAsia="lv-LV"/>
              </w:rPr>
              <w:t xml:space="preserve">. Līdz ar to </w:t>
            </w:r>
            <w:r w:rsidRPr="006D4FAE" w:rsidR="00310BA0">
              <w:rPr>
                <w:rFonts w:ascii="Times New Roman" w:eastAsia="Times New Roman" w:hAnsi="Times New Roman" w:cs="Times New Roman"/>
                <w:sz w:val="24"/>
                <w:szCs w:val="24"/>
                <w:lang w:eastAsia="lv-LV"/>
              </w:rPr>
              <w:t>rezidentūras pretendents var pretendēt uz abām specialitātēm pēc identiskiem kritērijiem.</w:t>
            </w:r>
            <w:r w:rsidRPr="006D4FAE" w:rsidR="00246861">
              <w:rPr>
                <w:rFonts w:ascii="Times New Roman" w:eastAsia="Times New Roman" w:hAnsi="Times New Roman" w:cs="Times New Roman"/>
                <w:sz w:val="24"/>
                <w:szCs w:val="24"/>
                <w:lang w:eastAsia="lv-LV"/>
              </w:rPr>
              <w:t xml:space="preserve"> Diskusijas dalībnieki atbalstīja Latvijas Jauno ārstu priekšlikumu.</w:t>
            </w:r>
            <w:r w:rsidRPr="006D4FAE" w:rsidR="007B1CD7">
              <w:rPr>
                <w:rFonts w:ascii="Times New Roman" w:eastAsia="Times New Roman" w:hAnsi="Times New Roman" w:cs="Times New Roman"/>
                <w:sz w:val="24"/>
                <w:szCs w:val="24"/>
                <w:lang w:eastAsia="lv-LV"/>
              </w:rPr>
              <w:t xml:space="preserve"> </w:t>
            </w:r>
            <w:r w:rsidRPr="006D4FAE" w:rsidR="004468D7">
              <w:rPr>
                <w:rFonts w:ascii="Times New Roman" w:eastAsia="Times New Roman" w:hAnsi="Times New Roman" w:cs="Times New Roman"/>
                <w:sz w:val="24"/>
                <w:szCs w:val="24"/>
                <w:lang w:eastAsia="lv-LV"/>
              </w:rPr>
              <w:t>P</w:t>
            </w:r>
            <w:r w:rsidRPr="006D4FAE" w:rsidR="00DD327A">
              <w:rPr>
                <w:rFonts w:ascii="Times New Roman" w:eastAsia="Times New Roman" w:hAnsi="Times New Roman" w:cs="Times New Roman"/>
                <w:sz w:val="24"/>
                <w:szCs w:val="24"/>
                <w:lang w:eastAsia="lv-LV"/>
              </w:rPr>
              <w:t>riekšlikum</w:t>
            </w:r>
            <w:r w:rsidRPr="006D4FAE" w:rsidR="00246861">
              <w:rPr>
                <w:rFonts w:ascii="Times New Roman" w:eastAsia="Times New Roman" w:hAnsi="Times New Roman" w:cs="Times New Roman"/>
                <w:sz w:val="24"/>
                <w:szCs w:val="24"/>
                <w:lang w:eastAsia="lv-LV"/>
              </w:rPr>
              <w:t>i</w:t>
            </w:r>
            <w:r w:rsidRPr="006D4FAE" w:rsidR="00DD327A">
              <w:rPr>
                <w:rFonts w:ascii="Times New Roman" w:eastAsia="Times New Roman" w:hAnsi="Times New Roman" w:cs="Times New Roman"/>
                <w:sz w:val="24"/>
                <w:szCs w:val="24"/>
                <w:lang w:eastAsia="lv-LV"/>
              </w:rPr>
              <w:t xml:space="preserve"> ņemt</w:t>
            </w:r>
            <w:r w:rsidRPr="006D4FAE" w:rsidR="00AD7C55">
              <w:rPr>
                <w:rFonts w:ascii="Times New Roman" w:eastAsia="Times New Roman" w:hAnsi="Times New Roman" w:cs="Times New Roman"/>
                <w:sz w:val="24"/>
                <w:szCs w:val="24"/>
                <w:lang w:eastAsia="lv-LV"/>
              </w:rPr>
              <w:t>s</w:t>
            </w:r>
            <w:r w:rsidRPr="006D4FAE" w:rsidR="00DD327A">
              <w:rPr>
                <w:rFonts w:ascii="Times New Roman" w:eastAsia="Times New Roman" w:hAnsi="Times New Roman" w:cs="Times New Roman"/>
                <w:sz w:val="24"/>
                <w:szCs w:val="24"/>
                <w:lang w:eastAsia="lv-LV"/>
              </w:rPr>
              <w:t xml:space="preserve"> vērā</w:t>
            </w:r>
            <w:r w:rsidRPr="006D4FAE" w:rsidR="00246861">
              <w:rPr>
                <w:rFonts w:ascii="Times New Roman" w:eastAsia="Times New Roman" w:hAnsi="Times New Roman" w:cs="Times New Roman"/>
                <w:sz w:val="24"/>
                <w:szCs w:val="24"/>
                <w:lang w:eastAsia="lv-LV"/>
              </w:rPr>
              <w:t xml:space="preserve"> izstrādājot Noteikumu projektu</w:t>
            </w:r>
            <w:r w:rsidRPr="006D4FAE" w:rsidR="00AD7C55">
              <w:rPr>
                <w:rFonts w:ascii="Times New Roman" w:eastAsia="Times New Roman" w:hAnsi="Times New Roman" w:cs="Times New Roman"/>
                <w:sz w:val="24"/>
                <w:szCs w:val="24"/>
                <w:lang w:eastAsia="lv-LV"/>
              </w:rPr>
              <w:t>.</w:t>
            </w:r>
            <w:r w:rsidRPr="006D4FAE" w:rsidR="00DD327A">
              <w:rPr>
                <w:rFonts w:ascii="Times New Roman" w:eastAsia="Times New Roman" w:hAnsi="Times New Roman" w:cs="Times New Roman"/>
                <w:sz w:val="24"/>
                <w:szCs w:val="24"/>
                <w:lang w:eastAsia="lv-LV"/>
              </w:rPr>
              <w:t xml:space="preserve"> </w:t>
            </w:r>
          </w:p>
        </w:tc>
      </w:tr>
      <w:tr w14:paraId="507FA124" w14:textId="77777777" w:rsidTr="00AC021A">
        <w:tblPrEx>
          <w:tblW w:w="5083" w:type="pct"/>
          <w:jc w:val="center"/>
          <w:tblLayout w:type="fixed"/>
          <w:tblCellMar>
            <w:top w:w="24" w:type="dxa"/>
            <w:left w:w="24" w:type="dxa"/>
            <w:bottom w:w="24" w:type="dxa"/>
            <w:right w:w="24" w:type="dxa"/>
          </w:tblCellMar>
          <w:tblLook w:val="04A0"/>
        </w:tblPrEx>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6EC74EE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924"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6F2C1A36"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9F67F55"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4B55C3EF"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P="00894C55" w14:paraId="344A8A3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0"/>
        <w:gridCol w:w="5802"/>
      </w:tblGrid>
      <w:tr w14:paraId="60084B09"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P="00816C11" w14:paraId="114004E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14:paraId="1E0B4796" w14:textId="77777777" w:rsidTr="00D97FCF">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933788E"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6A4A2BA"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00058C" w:rsidRPr="006E52FA" w:rsidP="004449CC" w14:paraId="75036374" w14:textId="77777777">
            <w:pPr>
              <w:spacing w:after="0" w:line="240" w:lineRule="auto"/>
              <w:ind w:firstLine="182"/>
              <w:jc w:val="both"/>
              <w:rPr>
                <w:rFonts w:ascii="Times New Roman" w:eastAsia="Times New Roman" w:hAnsi="Times New Roman" w:cs="Times New Roman"/>
                <w:sz w:val="24"/>
                <w:szCs w:val="24"/>
                <w:lang w:eastAsia="lv-LV"/>
              </w:rPr>
            </w:pPr>
            <w:r w:rsidRPr="00B70453">
              <w:rPr>
                <w:rFonts w:ascii="Times New Roman" w:eastAsia="Times New Roman" w:hAnsi="Times New Roman" w:cs="Times New Roman"/>
                <w:sz w:val="24"/>
                <w:szCs w:val="24"/>
                <w:lang w:eastAsia="lv-LV"/>
              </w:rPr>
              <w:t>Rīgas Stradiņa universitāte, Latvijas Universitāte un Veselības ministrija.</w:t>
            </w:r>
          </w:p>
        </w:tc>
      </w:tr>
      <w:tr w14:paraId="7CD4E30B" w14:textId="77777777" w:rsidTr="00D97FCF">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1C61571"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173162A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rsidR="00894C55" w:rsidRPr="006E52FA" w:rsidP="00894C55" w14:paraId="5CA14E0B"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B00C1">
              <w:rPr>
                <w:rFonts w:ascii="Times New Roman" w:eastAsia="Times New Roman" w:hAnsi="Times New Roman" w:cs="Times New Roman"/>
                <w:sz w:val="24"/>
                <w:szCs w:val="24"/>
                <w:lang w:eastAsia="lv-LV"/>
              </w:rPr>
              <w:t>Jaunu institūciju izveide</w:t>
            </w:r>
            <w:r w:rsidRPr="006E52FA">
              <w:rPr>
                <w:rFonts w:ascii="Times New Roman" w:eastAsia="Times New Roman" w:hAnsi="Times New Roman" w:cs="Times New Roman"/>
                <w:sz w:val="24"/>
                <w:szCs w:val="24"/>
                <w:lang w:eastAsia="lv-LV"/>
              </w:rPr>
              <w:t>,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7D300F" w:rsidRPr="006E52FA" w:rsidP="004449CC" w14:paraId="1BE00963" w14:textId="76C1CDEF">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 xml:space="preserve">Pārvaldes funkcijas un uzdevumi netiek grozīti, institucionālā struktūra netiek mainīta. Jaunas institūcijas netiks izveidotas. Esošās institūcijas netiks likvidētas vai reorganizētas. </w:t>
            </w:r>
          </w:p>
        </w:tc>
      </w:tr>
      <w:tr w14:paraId="54CE1451" w14:textId="77777777" w:rsidTr="00D97FCF">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E171329"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2646D09B"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6E52FA" w:rsidP="00F57B0C" w14:paraId="05BD9371"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P="00894C55" w14:paraId="00EE3F19" w14:textId="77777777">
      <w:pPr>
        <w:spacing w:after="0" w:line="240" w:lineRule="auto"/>
        <w:rPr>
          <w:rFonts w:ascii="Times New Roman" w:hAnsi="Times New Roman" w:cs="Times New Roman"/>
          <w:sz w:val="28"/>
          <w:szCs w:val="28"/>
        </w:rPr>
      </w:pPr>
    </w:p>
    <w:p w:rsidR="00197A15" w:rsidP="00A50430" w14:paraId="75BA2729" w14:textId="77777777">
      <w:pPr>
        <w:tabs>
          <w:tab w:val="left" w:pos="7230"/>
        </w:tabs>
        <w:spacing w:after="0" w:line="240" w:lineRule="auto"/>
        <w:ind w:right="-765"/>
        <w:rPr>
          <w:rFonts w:ascii="Times New Roman" w:eastAsia="Calibri" w:hAnsi="Times New Roman" w:cs="Times New Roman"/>
          <w:sz w:val="27"/>
          <w:szCs w:val="27"/>
        </w:rPr>
      </w:pPr>
    </w:p>
    <w:p w:rsidR="00197A15" w:rsidP="00A50430" w14:paraId="2812F9CB" w14:textId="77777777">
      <w:pPr>
        <w:tabs>
          <w:tab w:val="left" w:pos="7230"/>
        </w:tabs>
        <w:spacing w:after="0" w:line="240" w:lineRule="auto"/>
        <w:ind w:right="-765"/>
        <w:rPr>
          <w:rFonts w:ascii="Times New Roman" w:eastAsia="Calibri" w:hAnsi="Times New Roman" w:cs="Times New Roman"/>
          <w:sz w:val="27"/>
          <w:szCs w:val="27"/>
        </w:rPr>
      </w:pPr>
    </w:p>
    <w:p w:rsidR="00197A15" w:rsidP="00A50430" w14:paraId="69A41628" w14:textId="77777777">
      <w:pPr>
        <w:tabs>
          <w:tab w:val="left" w:pos="7230"/>
        </w:tabs>
        <w:spacing w:after="0" w:line="240" w:lineRule="auto"/>
        <w:ind w:right="-765"/>
        <w:rPr>
          <w:rFonts w:ascii="Times New Roman" w:eastAsia="Calibri" w:hAnsi="Times New Roman" w:cs="Times New Roman"/>
          <w:sz w:val="27"/>
          <w:szCs w:val="27"/>
        </w:rPr>
      </w:pPr>
    </w:p>
    <w:p w:rsidR="007D300F" w:rsidRPr="00A50430" w:rsidP="00A50430" w14:paraId="2EDB5AAF" w14:textId="3466DFCA">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Ministru prezidents,</w:t>
      </w:r>
    </w:p>
    <w:p w:rsidR="004E6C83" w:rsidRPr="00A50430" w:rsidP="00A50430" w14:paraId="2B1959BA" w14:textId="502B5E86">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v</w:t>
      </w:r>
      <w:r w:rsidRPr="00A50430" w:rsidR="009B3186">
        <w:rPr>
          <w:rFonts w:ascii="Times New Roman" w:eastAsia="Calibri" w:hAnsi="Times New Roman" w:cs="Times New Roman"/>
          <w:sz w:val="27"/>
          <w:szCs w:val="27"/>
        </w:rPr>
        <w:t>eselības ministr</w:t>
      </w:r>
      <w:r w:rsidRPr="00A50430">
        <w:rPr>
          <w:rFonts w:ascii="Times New Roman" w:eastAsia="Calibri" w:hAnsi="Times New Roman" w:cs="Times New Roman"/>
          <w:sz w:val="27"/>
          <w:szCs w:val="27"/>
        </w:rPr>
        <w:t xml:space="preserve">a pienākumu izpildītājs </w:t>
      </w:r>
      <w:r w:rsidRPr="00A50430" w:rsidR="009B3186">
        <w:rPr>
          <w:rFonts w:ascii="Times New Roman" w:eastAsia="Calibri" w:hAnsi="Times New Roman" w:cs="Times New Roman"/>
          <w:sz w:val="27"/>
          <w:szCs w:val="27"/>
        </w:rPr>
        <w:t xml:space="preserve">                 </w:t>
      </w:r>
      <w:r w:rsidRPr="00A50430">
        <w:rPr>
          <w:rFonts w:ascii="Times New Roman" w:eastAsia="Calibri" w:hAnsi="Times New Roman" w:cs="Times New Roman"/>
          <w:sz w:val="27"/>
          <w:szCs w:val="27"/>
        </w:rPr>
        <w:t xml:space="preserve">                      Māris Kučinskis</w:t>
      </w:r>
      <w:r w:rsidRPr="00A50430">
        <w:rPr>
          <w:rFonts w:ascii="Times New Roman" w:eastAsia="Calibri" w:hAnsi="Times New Roman" w:cs="Times New Roman"/>
          <w:sz w:val="27"/>
          <w:szCs w:val="27"/>
        </w:rPr>
        <w:tab/>
      </w:r>
    </w:p>
    <w:p w:rsidR="00A50430" w:rsidP="004E6C83" w14:paraId="24531159" w14:textId="77777777">
      <w:pPr>
        <w:tabs>
          <w:tab w:val="right" w:pos="9072"/>
        </w:tabs>
        <w:spacing w:after="0" w:line="240" w:lineRule="auto"/>
        <w:ind w:right="-1"/>
        <w:rPr>
          <w:rFonts w:ascii="Times New Roman" w:eastAsia="Calibri" w:hAnsi="Times New Roman" w:cs="Times New Roman"/>
          <w:sz w:val="27"/>
          <w:szCs w:val="27"/>
        </w:rPr>
      </w:pPr>
    </w:p>
    <w:p w:rsidR="00A50430" w:rsidP="004E6C83" w14:paraId="2729F78C" w14:textId="77777777">
      <w:pPr>
        <w:tabs>
          <w:tab w:val="right" w:pos="9072"/>
        </w:tabs>
        <w:spacing w:after="0" w:line="240" w:lineRule="auto"/>
        <w:ind w:right="-1"/>
        <w:rPr>
          <w:rFonts w:ascii="Times New Roman" w:eastAsia="Calibri" w:hAnsi="Times New Roman" w:cs="Times New Roman"/>
          <w:sz w:val="27"/>
          <w:szCs w:val="27"/>
        </w:rPr>
      </w:pPr>
    </w:p>
    <w:p w:rsidR="004E6C83" w:rsidRPr="009B3186" w:rsidP="004E6C83" w14:paraId="069405F2" w14:textId="47F1ED50">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Vīza: Valsts sekretār</w:t>
      </w:r>
      <w:r w:rsidRPr="00A50430" w:rsidR="00623A44">
        <w:rPr>
          <w:rFonts w:ascii="Times New Roman" w:eastAsia="Calibri" w:hAnsi="Times New Roman" w:cs="Times New Roman"/>
          <w:sz w:val="27"/>
          <w:szCs w:val="27"/>
        </w:rPr>
        <w:t>s</w:t>
      </w:r>
      <w:r w:rsidRPr="00A50430">
        <w:rPr>
          <w:rFonts w:ascii="Times New Roman" w:eastAsia="Calibri" w:hAnsi="Times New Roman" w:cs="Times New Roman"/>
          <w:sz w:val="27"/>
          <w:szCs w:val="27"/>
        </w:rPr>
        <w:t xml:space="preserve">                                                                 </w:t>
      </w:r>
      <w:r w:rsidRPr="00A50430" w:rsidR="009B3186">
        <w:rPr>
          <w:rFonts w:ascii="Times New Roman" w:eastAsia="Calibri" w:hAnsi="Times New Roman" w:cs="Times New Roman"/>
          <w:sz w:val="27"/>
          <w:szCs w:val="27"/>
        </w:rPr>
        <w:t xml:space="preserve">      </w:t>
      </w:r>
      <w:r w:rsidRPr="00A50430" w:rsidR="00623A44">
        <w:rPr>
          <w:rFonts w:ascii="Times New Roman" w:eastAsia="Calibri" w:hAnsi="Times New Roman" w:cs="Times New Roman"/>
          <w:sz w:val="27"/>
          <w:szCs w:val="27"/>
        </w:rPr>
        <w:t>Aivars Lapiņš</w:t>
      </w:r>
      <w:r w:rsidRPr="009B3186">
        <w:rPr>
          <w:rFonts w:ascii="Times New Roman" w:eastAsia="Calibri" w:hAnsi="Times New Roman" w:cs="Times New Roman"/>
          <w:sz w:val="28"/>
          <w:szCs w:val="28"/>
        </w:rPr>
        <w:t xml:space="preserve"> </w:t>
      </w:r>
    </w:p>
    <w:p w:rsidR="004E6C83" w:rsidRPr="009B3186" w:rsidP="004E6C83" w14:paraId="77B4D26D" w14:textId="77777777">
      <w:pPr>
        <w:tabs>
          <w:tab w:val="right" w:pos="9072"/>
        </w:tabs>
        <w:spacing w:after="0" w:line="240" w:lineRule="auto"/>
        <w:ind w:right="-766"/>
        <w:rPr>
          <w:rFonts w:ascii="Times New Roman" w:eastAsia="Calibri" w:hAnsi="Times New Roman" w:cs="Times New Roman"/>
          <w:sz w:val="28"/>
          <w:szCs w:val="28"/>
        </w:rPr>
      </w:pPr>
    </w:p>
    <w:p w:rsidR="00197A15" w:rsidP="004E6C83" w14:paraId="3210338E" w14:textId="77777777">
      <w:pPr>
        <w:tabs>
          <w:tab w:val="left" w:pos="6237"/>
        </w:tabs>
        <w:spacing w:after="0" w:line="240" w:lineRule="auto"/>
        <w:rPr>
          <w:rFonts w:ascii="Times New Roman" w:eastAsia="Calibri" w:hAnsi="Times New Roman" w:cs="Times New Roman"/>
        </w:rPr>
      </w:pPr>
    </w:p>
    <w:p w:rsidR="00197A15" w:rsidP="004E6C83" w14:paraId="315DE024" w14:textId="77777777">
      <w:pPr>
        <w:tabs>
          <w:tab w:val="left" w:pos="6237"/>
        </w:tabs>
        <w:spacing w:after="0" w:line="240" w:lineRule="auto"/>
        <w:rPr>
          <w:rFonts w:ascii="Times New Roman" w:eastAsia="Calibri" w:hAnsi="Times New Roman" w:cs="Times New Roman"/>
        </w:rPr>
      </w:pPr>
    </w:p>
    <w:p w:rsidR="00197A15" w:rsidP="004E6C83" w14:paraId="5C272617" w14:textId="77777777">
      <w:pPr>
        <w:tabs>
          <w:tab w:val="left" w:pos="6237"/>
        </w:tabs>
        <w:spacing w:after="0" w:line="240" w:lineRule="auto"/>
        <w:rPr>
          <w:rFonts w:ascii="Times New Roman" w:eastAsia="Calibri" w:hAnsi="Times New Roman" w:cs="Times New Roman"/>
        </w:rPr>
      </w:pPr>
    </w:p>
    <w:p w:rsidR="00197A15" w:rsidP="004E6C83" w14:paraId="4F0E9F38" w14:textId="6B755F8C">
      <w:pPr>
        <w:tabs>
          <w:tab w:val="left" w:pos="6237"/>
        </w:tabs>
        <w:spacing w:after="0" w:line="240" w:lineRule="auto"/>
        <w:rPr>
          <w:rFonts w:ascii="Times New Roman" w:eastAsia="Calibri" w:hAnsi="Times New Roman" w:cs="Times New Roman"/>
        </w:rPr>
      </w:pPr>
    </w:p>
    <w:p w:rsidR="00331A4C" w:rsidP="004E6C83" w14:paraId="10DF6198" w14:textId="5BFC8618">
      <w:pPr>
        <w:tabs>
          <w:tab w:val="left" w:pos="6237"/>
        </w:tabs>
        <w:spacing w:after="0" w:line="240" w:lineRule="auto"/>
        <w:rPr>
          <w:rFonts w:ascii="Times New Roman" w:eastAsia="Calibri" w:hAnsi="Times New Roman" w:cs="Times New Roman"/>
        </w:rPr>
      </w:pPr>
    </w:p>
    <w:p w:rsidR="00331A4C" w:rsidP="004E6C83" w14:paraId="01B11E3D" w14:textId="659C0F21">
      <w:pPr>
        <w:tabs>
          <w:tab w:val="left" w:pos="6237"/>
        </w:tabs>
        <w:spacing w:after="0" w:line="240" w:lineRule="auto"/>
        <w:rPr>
          <w:rFonts w:ascii="Times New Roman" w:eastAsia="Calibri" w:hAnsi="Times New Roman" w:cs="Times New Roman"/>
        </w:rPr>
      </w:pPr>
    </w:p>
    <w:p w:rsidR="00331A4C" w:rsidP="004E6C83" w14:paraId="2EFD56CE" w14:textId="5FDE7168">
      <w:pPr>
        <w:tabs>
          <w:tab w:val="left" w:pos="6237"/>
        </w:tabs>
        <w:spacing w:after="0" w:line="240" w:lineRule="auto"/>
        <w:rPr>
          <w:rFonts w:ascii="Times New Roman" w:eastAsia="Calibri" w:hAnsi="Times New Roman" w:cs="Times New Roman"/>
        </w:rPr>
      </w:pPr>
    </w:p>
    <w:p w:rsidR="00331A4C" w:rsidP="004E6C83" w14:paraId="73B17C3E" w14:textId="6AD683C3">
      <w:pPr>
        <w:tabs>
          <w:tab w:val="left" w:pos="6237"/>
        </w:tabs>
        <w:spacing w:after="0" w:line="240" w:lineRule="auto"/>
        <w:rPr>
          <w:rFonts w:ascii="Times New Roman" w:eastAsia="Calibri" w:hAnsi="Times New Roman" w:cs="Times New Roman"/>
        </w:rPr>
      </w:pPr>
    </w:p>
    <w:p w:rsidR="00331A4C" w:rsidP="004E6C83" w14:paraId="4289CA93" w14:textId="464C3DC2">
      <w:pPr>
        <w:tabs>
          <w:tab w:val="left" w:pos="6237"/>
        </w:tabs>
        <w:spacing w:after="0" w:line="240" w:lineRule="auto"/>
        <w:rPr>
          <w:rFonts w:ascii="Times New Roman" w:eastAsia="Calibri" w:hAnsi="Times New Roman" w:cs="Times New Roman"/>
        </w:rPr>
      </w:pPr>
    </w:p>
    <w:p w:rsidR="00331A4C" w:rsidP="004E6C83" w14:paraId="75EA03DB" w14:textId="1B0097FF">
      <w:pPr>
        <w:tabs>
          <w:tab w:val="left" w:pos="6237"/>
        </w:tabs>
        <w:spacing w:after="0" w:line="240" w:lineRule="auto"/>
        <w:rPr>
          <w:rFonts w:ascii="Times New Roman" w:eastAsia="Calibri" w:hAnsi="Times New Roman" w:cs="Times New Roman"/>
        </w:rPr>
      </w:pPr>
    </w:p>
    <w:p w:rsidR="00331A4C" w:rsidP="004E6C83" w14:paraId="00D3E08A" w14:textId="6729ADE1">
      <w:pPr>
        <w:tabs>
          <w:tab w:val="left" w:pos="6237"/>
        </w:tabs>
        <w:spacing w:after="0" w:line="240" w:lineRule="auto"/>
        <w:rPr>
          <w:rFonts w:ascii="Times New Roman" w:eastAsia="Calibri" w:hAnsi="Times New Roman" w:cs="Times New Roman"/>
        </w:rPr>
      </w:pPr>
    </w:p>
    <w:p w:rsidR="00331A4C" w:rsidP="004E6C83" w14:paraId="45007FA2" w14:textId="77777777">
      <w:pPr>
        <w:tabs>
          <w:tab w:val="left" w:pos="6237"/>
        </w:tabs>
        <w:spacing w:after="0" w:line="240" w:lineRule="auto"/>
        <w:rPr>
          <w:rFonts w:ascii="Times New Roman" w:eastAsia="Calibri" w:hAnsi="Times New Roman" w:cs="Times New Roman"/>
        </w:rPr>
      </w:pPr>
    </w:p>
    <w:p w:rsidR="004E6C83" w:rsidRPr="006E52FA" w:rsidP="004E6C83" w14:paraId="73253557" w14:textId="77E609B0">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rsidR="00894C55" w:rsidP="006E52FA" w14:paraId="757C52BF" w14:textId="77777777">
      <w:pPr>
        <w:tabs>
          <w:tab w:val="left" w:pos="6237"/>
        </w:tabs>
        <w:spacing w:after="0" w:line="240" w:lineRule="auto"/>
        <w:rPr>
          <w:rFonts w:ascii="Times New Roman" w:eastAsia="Calibri" w:hAnsi="Times New Roman" w:cs="Times New Roman"/>
        </w:rPr>
      </w:pPr>
      <w:r w:rsidRPr="006E52FA">
        <w:rPr>
          <w:rFonts w:ascii="Times New Roman" w:hAnsi="Times New Roman" w:cs="Times New Roman"/>
        </w:rPr>
        <w:t>dace.roga@vm.gov.lv</w:t>
      </w:r>
      <w:r w:rsidRPr="006E52FA">
        <w:rPr>
          <w:rFonts w:ascii="Times New Roman" w:eastAsia="Calibri" w:hAnsi="Times New Roman" w:cs="Times New Roman"/>
        </w:rPr>
        <w:t xml:space="preserve"> </w:t>
      </w:r>
    </w:p>
    <w:p w:rsidR="00F50D7D" w:rsidP="006E52FA" w14:paraId="3D7F6B3D" w14:textId="77777777">
      <w:pPr>
        <w:tabs>
          <w:tab w:val="left" w:pos="6237"/>
        </w:tabs>
        <w:spacing w:after="0" w:line="240" w:lineRule="auto"/>
        <w:rPr>
          <w:rFonts w:ascii="Times New Roman" w:eastAsia="Calibri" w:hAnsi="Times New Roman" w:cs="Times New Roman"/>
        </w:rPr>
      </w:pPr>
    </w:p>
    <w:p w:rsidR="00F50D7D" w:rsidP="006E52FA" w14:paraId="5C41D4C1" w14:textId="77777777">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Strazdiņa 67876042</w:t>
      </w:r>
    </w:p>
    <w:p w:rsidR="00F50D7D" w:rsidRPr="00894C55" w:rsidP="006E52FA" w14:paraId="648BE8E5" w14:textId="77777777">
      <w:pPr>
        <w:tabs>
          <w:tab w:val="left" w:pos="6237"/>
        </w:tabs>
        <w:spacing w:after="0" w:line="240" w:lineRule="auto"/>
        <w:rPr>
          <w:rFonts w:ascii="Times New Roman" w:hAnsi="Times New Roman" w:cs="Times New Roman"/>
          <w:sz w:val="24"/>
          <w:szCs w:val="28"/>
        </w:rPr>
      </w:pPr>
      <w:r>
        <w:rPr>
          <w:rFonts w:ascii="Times New Roman" w:eastAsia="Calibri" w:hAnsi="Times New Roman" w:cs="Times New Roman"/>
        </w:rPr>
        <w:t>anda.strazdina@vm.gov.lv</w:t>
      </w:r>
    </w:p>
    <w:sectPr w:rsidSect="00231F9D">
      <w:headerReference w:type="default" r:id="rId6"/>
      <w:footerReference w:type="default" r:id="rId7"/>
      <w:footerReference w:type="first" r:id="rId8"/>
      <w:pgSz w:w="11906" w:h="16838"/>
      <w:pgMar w:top="993" w:right="1134" w:bottom="1134" w:left="1701" w:header="709"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2D7" w:rsidRPr="00894C55" w14:paraId="23AE7AED" w14:textId="08FEE9D0">
    <w:pPr>
      <w:pStyle w:val="Footer"/>
      <w:rPr>
        <w:rFonts w:ascii="Times New Roman" w:hAnsi="Times New Roman" w:cs="Times New Roman"/>
        <w:sz w:val="20"/>
        <w:szCs w:val="20"/>
      </w:rPr>
    </w:pPr>
    <w:r>
      <w:rPr>
        <w:rFonts w:ascii="Times New Roman" w:hAnsi="Times New Roman" w:cs="Times New Roman"/>
        <w:sz w:val="20"/>
        <w:szCs w:val="20"/>
      </w:rPr>
      <w:t>VManot_</w:t>
    </w:r>
    <w:r w:rsidR="00331A4C">
      <w:rPr>
        <w:rFonts w:ascii="Times New Roman" w:hAnsi="Times New Roman" w:cs="Times New Roman"/>
        <w:sz w:val="20"/>
        <w:szCs w:val="20"/>
      </w:rPr>
      <w:t>23</w:t>
    </w:r>
    <w:r>
      <w:rPr>
        <w:rFonts w:ascii="Times New Roman" w:hAnsi="Times New Roman" w:cs="Times New Roman"/>
        <w:sz w:val="20"/>
        <w:szCs w:val="20"/>
      </w:rPr>
      <w:t>0118_groz_685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2D7" w:rsidRPr="009A2654" w14:paraId="7F8A0AEE" w14:textId="09524E18">
    <w:pPr>
      <w:pStyle w:val="Footer"/>
      <w:rPr>
        <w:rFonts w:ascii="Times New Roman" w:hAnsi="Times New Roman" w:cs="Times New Roman"/>
        <w:sz w:val="20"/>
        <w:szCs w:val="20"/>
      </w:rPr>
    </w:pPr>
    <w:r>
      <w:rPr>
        <w:rFonts w:ascii="Times New Roman" w:hAnsi="Times New Roman" w:cs="Times New Roman"/>
        <w:sz w:val="20"/>
        <w:szCs w:val="20"/>
      </w:rPr>
      <w:t>VManot_</w:t>
    </w:r>
    <w:r w:rsidR="00331A4C">
      <w:rPr>
        <w:rFonts w:ascii="Times New Roman" w:hAnsi="Times New Roman" w:cs="Times New Roman"/>
        <w:sz w:val="20"/>
        <w:szCs w:val="20"/>
      </w:rPr>
      <w:t>23</w:t>
    </w:r>
    <w:r>
      <w:rPr>
        <w:rFonts w:ascii="Times New Roman" w:hAnsi="Times New Roman" w:cs="Times New Roman"/>
        <w:sz w:val="20"/>
        <w:szCs w:val="20"/>
      </w:rPr>
      <w:t>0118_groz_685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70F1" w:rsidP="00894C55" w14:paraId="1C85E29F" w14:textId="77777777">
      <w:pPr>
        <w:spacing w:after="0" w:line="240" w:lineRule="auto"/>
      </w:pPr>
      <w:r>
        <w:separator/>
      </w:r>
    </w:p>
  </w:footnote>
  <w:footnote w:type="continuationSeparator" w:id="1">
    <w:p w:rsidR="006D70F1" w:rsidP="00894C55" w14:paraId="43373AF7" w14:textId="77777777">
      <w:pPr>
        <w:spacing w:after="0" w:line="240" w:lineRule="auto"/>
      </w:pPr>
      <w:r>
        <w:continuationSeparator/>
      </w:r>
    </w:p>
  </w:footnote>
  <w:footnote w:id="2">
    <w:p w:rsidR="006572D7" w:rsidRPr="0053496C" w14:paraId="0498FB0D" w14:textId="77777777">
      <w:pPr>
        <w:pStyle w:val="FootnoteText"/>
        <w:rPr>
          <w:rFonts w:ascii="Times New Roman" w:hAnsi="Times New Roman" w:cs="Times New Roman"/>
        </w:rPr>
      </w:pPr>
      <w:r w:rsidRPr="0053496C">
        <w:rPr>
          <w:rStyle w:val="FootnoteReference"/>
          <w:rFonts w:ascii="Times New Roman" w:hAnsi="Times New Roman" w:cs="Times New Roman"/>
        </w:rPr>
        <w:footnoteRef/>
      </w:r>
      <w:r w:rsidRPr="0053496C">
        <w:rPr>
          <w:rFonts w:ascii="Times New Roman" w:hAnsi="Times New Roman" w:cs="Times New Roman"/>
        </w:rPr>
        <w:t xml:space="preserve"> http://polsis.mk.gov.lv/documents/5973</w:t>
      </w:r>
    </w:p>
  </w:footnote>
  <w:footnote w:id="3">
    <w:p w:rsidR="006572D7" w14:paraId="7BE3DE69" w14:textId="77777777">
      <w:pPr>
        <w:pStyle w:val="FootnoteText"/>
      </w:pPr>
      <w:r>
        <w:rPr>
          <w:rStyle w:val="FootnoteReference"/>
        </w:rPr>
        <w:footnoteRef/>
      </w:r>
      <w:r>
        <w:t xml:space="preserve"> </w:t>
      </w:r>
      <w:r w:rsidRPr="00D35943">
        <w:rPr>
          <w:rFonts w:ascii="Times New Roman" w:hAnsi="Times New Roman" w:cs="Times New Roman"/>
        </w:rPr>
        <w:t>Konceptuālā ziņojuma “Par veselības aprūpes sistēmas reformu”133., 134. un 135.punkts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901326"/>
      <w:docPartObj>
        <w:docPartGallery w:val="Page Numbers (Top of Page)"/>
        <w:docPartUnique/>
      </w:docPartObj>
    </w:sdtPr>
    <w:sdtEndPr>
      <w:rPr>
        <w:rFonts w:ascii="Times New Roman" w:hAnsi="Times New Roman" w:cs="Times New Roman"/>
        <w:noProof/>
        <w:sz w:val="24"/>
        <w:szCs w:val="20"/>
      </w:rPr>
    </w:sdtEndPr>
    <w:sdtContent>
      <w:p w:rsidR="006572D7" w:rsidRPr="00C25B49" w14:paraId="1281029E" w14:textId="3FBEE78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3161">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12E3970"/>
    <w:multiLevelType w:val="hybridMultilevel"/>
    <w:tmpl w:val="30382E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BEF5810"/>
    <w:multiLevelType w:val="hybridMultilevel"/>
    <w:tmpl w:val="30382E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BB84EA9"/>
    <w:multiLevelType w:val="hybridMultilevel"/>
    <w:tmpl w:val="C41870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7F65964"/>
    <w:multiLevelType w:val="hybridMultilevel"/>
    <w:tmpl w:val="BE320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C2445BD"/>
    <w:multiLevelType w:val="hybridMultilevel"/>
    <w:tmpl w:val="59E89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5E7E4074"/>
    <w:multiLevelType w:val="hybridMultilevel"/>
    <w:tmpl w:val="BE320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cap="rnd">
          <w14:noFill/>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1">
    <w:nsid w:val="78DD7A03"/>
    <w:multiLevelType w:val="hybridMultilevel"/>
    <w:tmpl w:val="7BF8695E"/>
    <w:lvl w:ilvl="0">
      <w:start w:val="7"/>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8"/>
  </w:num>
  <w:num w:numId="5">
    <w:abstractNumId w:val="2"/>
  </w:num>
  <w:num w:numId="6">
    <w:abstractNumId w:val="3"/>
  </w:num>
  <w:num w:numId="7">
    <w:abstractNumId w:val="4"/>
  </w:num>
  <w:num w:numId="8">
    <w:abstractNumId w:val="7"/>
  </w:num>
  <w:num w:numId="9">
    <w:abstractNumId w:val="1"/>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587"/>
    <w:rsid w:val="00007FDE"/>
    <w:rsid w:val="00014F01"/>
    <w:rsid w:val="00022406"/>
    <w:rsid w:val="00023A15"/>
    <w:rsid w:val="0004068C"/>
    <w:rsid w:val="00045286"/>
    <w:rsid w:val="000533B4"/>
    <w:rsid w:val="00063099"/>
    <w:rsid w:val="0007216E"/>
    <w:rsid w:val="0008612A"/>
    <w:rsid w:val="00092EEB"/>
    <w:rsid w:val="00097626"/>
    <w:rsid w:val="00097FC9"/>
    <w:rsid w:val="000A0240"/>
    <w:rsid w:val="000A516D"/>
    <w:rsid w:val="000A7605"/>
    <w:rsid w:val="000B1774"/>
    <w:rsid w:val="000B235C"/>
    <w:rsid w:val="000B42BE"/>
    <w:rsid w:val="000B7D84"/>
    <w:rsid w:val="000C57B7"/>
    <w:rsid w:val="000D4878"/>
    <w:rsid w:val="000D7296"/>
    <w:rsid w:val="000E15C0"/>
    <w:rsid w:val="000E4559"/>
    <w:rsid w:val="000F37B1"/>
    <w:rsid w:val="00111F87"/>
    <w:rsid w:val="00112B03"/>
    <w:rsid w:val="001277DC"/>
    <w:rsid w:val="00132A1C"/>
    <w:rsid w:val="001572B4"/>
    <w:rsid w:val="00177C94"/>
    <w:rsid w:val="00181814"/>
    <w:rsid w:val="0018200F"/>
    <w:rsid w:val="001832BC"/>
    <w:rsid w:val="00183508"/>
    <w:rsid w:val="00183CAC"/>
    <w:rsid w:val="00186F16"/>
    <w:rsid w:val="00187F72"/>
    <w:rsid w:val="00190702"/>
    <w:rsid w:val="00197A15"/>
    <w:rsid w:val="001A4346"/>
    <w:rsid w:val="001A4923"/>
    <w:rsid w:val="001B33AF"/>
    <w:rsid w:val="001B4C77"/>
    <w:rsid w:val="001B67B8"/>
    <w:rsid w:val="001C095C"/>
    <w:rsid w:val="001E64A8"/>
    <w:rsid w:val="001E7B3E"/>
    <w:rsid w:val="001F653D"/>
    <w:rsid w:val="001F6B5C"/>
    <w:rsid w:val="00215952"/>
    <w:rsid w:val="00215D85"/>
    <w:rsid w:val="00231F9D"/>
    <w:rsid w:val="00234608"/>
    <w:rsid w:val="00243426"/>
    <w:rsid w:val="00246861"/>
    <w:rsid w:val="00257AA9"/>
    <w:rsid w:val="002621F3"/>
    <w:rsid w:val="00266D3B"/>
    <w:rsid w:val="002734A0"/>
    <w:rsid w:val="0027634B"/>
    <w:rsid w:val="0028106D"/>
    <w:rsid w:val="00291085"/>
    <w:rsid w:val="002D5978"/>
    <w:rsid w:val="002E1C05"/>
    <w:rsid w:val="002F1B03"/>
    <w:rsid w:val="002F438A"/>
    <w:rsid w:val="002F77A9"/>
    <w:rsid w:val="00302CD1"/>
    <w:rsid w:val="00310BA0"/>
    <w:rsid w:val="003310CB"/>
    <w:rsid w:val="00331A4C"/>
    <w:rsid w:val="003429ED"/>
    <w:rsid w:val="00342D89"/>
    <w:rsid w:val="00352094"/>
    <w:rsid w:val="003647AC"/>
    <w:rsid w:val="003740EE"/>
    <w:rsid w:val="00375A17"/>
    <w:rsid w:val="003942FB"/>
    <w:rsid w:val="003A1F4A"/>
    <w:rsid w:val="003A554D"/>
    <w:rsid w:val="003B0BF9"/>
    <w:rsid w:val="003B4641"/>
    <w:rsid w:val="003C2338"/>
    <w:rsid w:val="003C4482"/>
    <w:rsid w:val="003C7D24"/>
    <w:rsid w:val="003D4DB6"/>
    <w:rsid w:val="003E0791"/>
    <w:rsid w:val="003E3785"/>
    <w:rsid w:val="003F0A00"/>
    <w:rsid w:val="003F28AC"/>
    <w:rsid w:val="0041047D"/>
    <w:rsid w:val="00422E75"/>
    <w:rsid w:val="004449CC"/>
    <w:rsid w:val="004454FE"/>
    <w:rsid w:val="004468D7"/>
    <w:rsid w:val="0044771F"/>
    <w:rsid w:val="00450967"/>
    <w:rsid w:val="0046053B"/>
    <w:rsid w:val="004605A2"/>
    <w:rsid w:val="00471F27"/>
    <w:rsid w:val="00476879"/>
    <w:rsid w:val="00481A29"/>
    <w:rsid w:val="00487963"/>
    <w:rsid w:val="004936DB"/>
    <w:rsid w:val="00493DF3"/>
    <w:rsid w:val="004A37B5"/>
    <w:rsid w:val="004C67BC"/>
    <w:rsid w:val="004E6C83"/>
    <w:rsid w:val="004F1617"/>
    <w:rsid w:val="004F5882"/>
    <w:rsid w:val="004F7FCE"/>
    <w:rsid w:val="005001B7"/>
    <w:rsid w:val="0050178F"/>
    <w:rsid w:val="005072FF"/>
    <w:rsid w:val="00511E1C"/>
    <w:rsid w:val="00512BF1"/>
    <w:rsid w:val="00514B02"/>
    <w:rsid w:val="00524CDF"/>
    <w:rsid w:val="00526C51"/>
    <w:rsid w:val="0053496C"/>
    <w:rsid w:val="00557646"/>
    <w:rsid w:val="00571DF8"/>
    <w:rsid w:val="00573620"/>
    <w:rsid w:val="00587F5D"/>
    <w:rsid w:val="005A37C8"/>
    <w:rsid w:val="005B00C1"/>
    <w:rsid w:val="005C6AB7"/>
    <w:rsid w:val="005D7654"/>
    <w:rsid w:val="005E3268"/>
    <w:rsid w:val="005F4D53"/>
    <w:rsid w:val="005F6017"/>
    <w:rsid w:val="0060364E"/>
    <w:rsid w:val="00616475"/>
    <w:rsid w:val="00623A44"/>
    <w:rsid w:val="00625C92"/>
    <w:rsid w:val="00631448"/>
    <w:rsid w:val="00642B40"/>
    <w:rsid w:val="00653063"/>
    <w:rsid w:val="00655340"/>
    <w:rsid w:val="006572D7"/>
    <w:rsid w:val="006621C5"/>
    <w:rsid w:val="00681CB8"/>
    <w:rsid w:val="006938AB"/>
    <w:rsid w:val="006976B3"/>
    <w:rsid w:val="006A6A58"/>
    <w:rsid w:val="006B2B6D"/>
    <w:rsid w:val="006B421C"/>
    <w:rsid w:val="006B4D19"/>
    <w:rsid w:val="006C3BF9"/>
    <w:rsid w:val="006D3F79"/>
    <w:rsid w:val="006D4FAE"/>
    <w:rsid w:val="006D6540"/>
    <w:rsid w:val="006D70F1"/>
    <w:rsid w:val="006E1081"/>
    <w:rsid w:val="006E52FA"/>
    <w:rsid w:val="006F4F1E"/>
    <w:rsid w:val="007054D6"/>
    <w:rsid w:val="007156F2"/>
    <w:rsid w:val="00720585"/>
    <w:rsid w:val="0072275E"/>
    <w:rsid w:val="00723DF8"/>
    <w:rsid w:val="00727BE9"/>
    <w:rsid w:val="0073103E"/>
    <w:rsid w:val="00731B54"/>
    <w:rsid w:val="007341BF"/>
    <w:rsid w:val="00744533"/>
    <w:rsid w:val="00762E46"/>
    <w:rsid w:val="00773AF6"/>
    <w:rsid w:val="00780EC1"/>
    <w:rsid w:val="00783F5C"/>
    <w:rsid w:val="00785FBC"/>
    <w:rsid w:val="0079154E"/>
    <w:rsid w:val="00795F71"/>
    <w:rsid w:val="007A0B87"/>
    <w:rsid w:val="007A6EF1"/>
    <w:rsid w:val="007B1CD7"/>
    <w:rsid w:val="007B637F"/>
    <w:rsid w:val="007C5759"/>
    <w:rsid w:val="007D300F"/>
    <w:rsid w:val="007D6CA2"/>
    <w:rsid w:val="007E73AB"/>
    <w:rsid w:val="007F0E38"/>
    <w:rsid w:val="007F3FCD"/>
    <w:rsid w:val="00816C11"/>
    <w:rsid w:val="00822B31"/>
    <w:rsid w:val="00824478"/>
    <w:rsid w:val="00832C1B"/>
    <w:rsid w:val="00836259"/>
    <w:rsid w:val="0085096A"/>
    <w:rsid w:val="00853C0C"/>
    <w:rsid w:val="0085426B"/>
    <w:rsid w:val="008638F5"/>
    <w:rsid w:val="008824EB"/>
    <w:rsid w:val="00894C55"/>
    <w:rsid w:val="008B0595"/>
    <w:rsid w:val="008B795C"/>
    <w:rsid w:val="008B7E22"/>
    <w:rsid w:val="008C2830"/>
    <w:rsid w:val="0090417E"/>
    <w:rsid w:val="00915048"/>
    <w:rsid w:val="009164C5"/>
    <w:rsid w:val="009257F0"/>
    <w:rsid w:val="00936F39"/>
    <w:rsid w:val="00952B23"/>
    <w:rsid w:val="00971562"/>
    <w:rsid w:val="00975E30"/>
    <w:rsid w:val="0098529C"/>
    <w:rsid w:val="009857E6"/>
    <w:rsid w:val="009A2654"/>
    <w:rsid w:val="009A3565"/>
    <w:rsid w:val="009A4807"/>
    <w:rsid w:val="009A4FFE"/>
    <w:rsid w:val="009A6553"/>
    <w:rsid w:val="009B3186"/>
    <w:rsid w:val="009C029B"/>
    <w:rsid w:val="009C3B95"/>
    <w:rsid w:val="009D4994"/>
    <w:rsid w:val="009D53EC"/>
    <w:rsid w:val="009E74A8"/>
    <w:rsid w:val="009F04A9"/>
    <w:rsid w:val="00A02417"/>
    <w:rsid w:val="00A0243B"/>
    <w:rsid w:val="00A11E3A"/>
    <w:rsid w:val="00A16F10"/>
    <w:rsid w:val="00A17354"/>
    <w:rsid w:val="00A244A2"/>
    <w:rsid w:val="00A27BB5"/>
    <w:rsid w:val="00A3065C"/>
    <w:rsid w:val="00A32DA9"/>
    <w:rsid w:val="00A3584F"/>
    <w:rsid w:val="00A36589"/>
    <w:rsid w:val="00A4141A"/>
    <w:rsid w:val="00A446D1"/>
    <w:rsid w:val="00A44BD4"/>
    <w:rsid w:val="00A50430"/>
    <w:rsid w:val="00A6073E"/>
    <w:rsid w:val="00A62BE9"/>
    <w:rsid w:val="00A631AA"/>
    <w:rsid w:val="00A67DCC"/>
    <w:rsid w:val="00AA1153"/>
    <w:rsid w:val="00AC021A"/>
    <w:rsid w:val="00AD4DCF"/>
    <w:rsid w:val="00AD7C55"/>
    <w:rsid w:val="00AE0135"/>
    <w:rsid w:val="00AE10D3"/>
    <w:rsid w:val="00AE5567"/>
    <w:rsid w:val="00AF72F7"/>
    <w:rsid w:val="00AF7679"/>
    <w:rsid w:val="00B02A0D"/>
    <w:rsid w:val="00B11863"/>
    <w:rsid w:val="00B125E7"/>
    <w:rsid w:val="00B15464"/>
    <w:rsid w:val="00B16480"/>
    <w:rsid w:val="00B2165C"/>
    <w:rsid w:val="00B22839"/>
    <w:rsid w:val="00B672A8"/>
    <w:rsid w:val="00B70453"/>
    <w:rsid w:val="00B710EA"/>
    <w:rsid w:val="00B73380"/>
    <w:rsid w:val="00B843FB"/>
    <w:rsid w:val="00B85744"/>
    <w:rsid w:val="00B9495E"/>
    <w:rsid w:val="00B975B1"/>
    <w:rsid w:val="00B97A93"/>
    <w:rsid w:val="00BA20AA"/>
    <w:rsid w:val="00BA29CE"/>
    <w:rsid w:val="00BA3B17"/>
    <w:rsid w:val="00BB1EAD"/>
    <w:rsid w:val="00BC36DE"/>
    <w:rsid w:val="00BD4425"/>
    <w:rsid w:val="00BE5857"/>
    <w:rsid w:val="00BE6F73"/>
    <w:rsid w:val="00C0331D"/>
    <w:rsid w:val="00C03EAF"/>
    <w:rsid w:val="00C05B3C"/>
    <w:rsid w:val="00C23FD3"/>
    <w:rsid w:val="00C25B49"/>
    <w:rsid w:val="00C2705E"/>
    <w:rsid w:val="00C348D1"/>
    <w:rsid w:val="00C42985"/>
    <w:rsid w:val="00C56602"/>
    <w:rsid w:val="00C66371"/>
    <w:rsid w:val="00C855DA"/>
    <w:rsid w:val="00C85E98"/>
    <w:rsid w:val="00C918F0"/>
    <w:rsid w:val="00C96BEB"/>
    <w:rsid w:val="00CB5445"/>
    <w:rsid w:val="00CB726A"/>
    <w:rsid w:val="00CE1326"/>
    <w:rsid w:val="00CE5657"/>
    <w:rsid w:val="00CF2A0F"/>
    <w:rsid w:val="00D0161D"/>
    <w:rsid w:val="00D0205A"/>
    <w:rsid w:val="00D03684"/>
    <w:rsid w:val="00D062A9"/>
    <w:rsid w:val="00D133F8"/>
    <w:rsid w:val="00D14A3E"/>
    <w:rsid w:val="00D22E76"/>
    <w:rsid w:val="00D35943"/>
    <w:rsid w:val="00D5003C"/>
    <w:rsid w:val="00D51E8A"/>
    <w:rsid w:val="00D6475C"/>
    <w:rsid w:val="00D730E6"/>
    <w:rsid w:val="00D86398"/>
    <w:rsid w:val="00D93B2A"/>
    <w:rsid w:val="00D97FCF"/>
    <w:rsid w:val="00DB35F7"/>
    <w:rsid w:val="00DB6534"/>
    <w:rsid w:val="00DC4A09"/>
    <w:rsid w:val="00DD327A"/>
    <w:rsid w:val="00DE01AF"/>
    <w:rsid w:val="00E01D5B"/>
    <w:rsid w:val="00E07549"/>
    <w:rsid w:val="00E11475"/>
    <w:rsid w:val="00E13B97"/>
    <w:rsid w:val="00E14BAD"/>
    <w:rsid w:val="00E14C2F"/>
    <w:rsid w:val="00E22F05"/>
    <w:rsid w:val="00E32C94"/>
    <w:rsid w:val="00E3353C"/>
    <w:rsid w:val="00E34611"/>
    <w:rsid w:val="00E362C5"/>
    <w:rsid w:val="00E3716B"/>
    <w:rsid w:val="00E52B5F"/>
    <w:rsid w:val="00E576F6"/>
    <w:rsid w:val="00E61FEA"/>
    <w:rsid w:val="00E750E8"/>
    <w:rsid w:val="00E77397"/>
    <w:rsid w:val="00E77DE4"/>
    <w:rsid w:val="00E84DC7"/>
    <w:rsid w:val="00E8749E"/>
    <w:rsid w:val="00E90C01"/>
    <w:rsid w:val="00E93161"/>
    <w:rsid w:val="00E93312"/>
    <w:rsid w:val="00E97188"/>
    <w:rsid w:val="00EA3F7C"/>
    <w:rsid w:val="00EA486E"/>
    <w:rsid w:val="00EC2D5F"/>
    <w:rsid w:val="00ED7434"/>
    <w:rsid w:val="00EF0BD5"/>
    <w:rsid w:val="00EF1BD0"/>
    <w:rsid w:val="00EF6C2F"/>
    <w:rsid w:val="00F07C13"/>
    <w:rsid w:val="00F10886"/>
    <w:rsid w:val="00F200E4"/>
    <w:rsid w:val="00F50D7D"/>
    <w:rsid w:val="00F57B0C"/>
    <w:rsid w:val="00F62A58"/>
    <w:rsid w:val="00F6490A"/>
    <w:rsid w:val="00F660CB"/>
    <w:rsid w:val="00F8319C"/>
    <w:rsid w:val="00F84A1C"/>
    <w:rsid w:val="00FA0D9F"/>
    <w:rsid w:val="00FA3F9B"/>
    <w:rsid w:val="00FD2493"/>
    <w:rsid w:val="00FE7912"/>
    <w:rsid w:val="00FF0FD6"/>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EndnoteText">
    <w:name w:val="endnote text"/>
    <w:basedOn w:val="Normal"/>
    <w:link w:val="EndnoteTextChar"/>
    <w:uiPriority w:val="99"/>
    <w:semiHidden/>
    <w:unhideWhenUsed/>
    <w:rsid w:val="000721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16E"/>
    <w:rPr>
      <w:sz w:val="20"/>
      <w:szCs w:val="20"/>
    </w:rPr>
  </w:style>
  <w:style w:type="character" w:styleId="EndnoteReference">
    <w:name w:val="endnote reference"/>
    <w:basedOn w:val="DefaultParagraphFont"/>
    <w:uiPriority w:val="99"/>
    <w:semiHidden/>
    <w:unhideWhenUsed/>
    <w:rsid w:val="0007216E"/>
    <w:rPr>
      <w:vertAlign w:val="superscript"/>
    </w:rPr>
  </w:style>
  <w:style w:type="character" w:styleId="CommentReference">
    <w:name w:val="annotation reference"/>
    <w:basedOn w:val="DefaultParagraphFont"/>
    <w:uiPriority w:val="99"/>
    <w:semiHidden/>
    <w:unhideWhenUsed/>
    <w:rsid w:val="00B15464"/>
    <w:rPr>
      <w:sz w:val="16"/>
      <w:szCs w:val="16"/>
    </w:rPr>
  </w:style>
  <w:style w:type="paragraph" w:styleId="CommentText">
    <w:name w:val="annotation text"/>
    <w:basedOn w:val="Normal"/>
    <w:link w:val="CommentTextChar"/>
    <w:uiPriority w:val="99"/>
    <w:semiHidden/>
    <w:unhideWhenUsed/>
    <w:rsid w:val="00B15464"/>
    <w:pPr>
      <w:spacing w:line="240" w:lineRule="auto"/>
    </w:pPr>
    <w:rPr>
      <w:sz w:val="20"/>
      <w:szCs w:val="20"/>
    </w:rPr>
  </w:style>
  <w:style w:type="character" w:customStyle="1" w:styleId="CommentTextChar">
    <w:name w:val="Comment Text Char"/>
    <w:basedOn w:val="DefaultParagraphFont"/>
    <w:link w:val="CommentText"/>
    <w:uiPriority w:val="99"/>
    <w:semiHidden/>
    <w:rsid w:val="00B15464"/>
    <w:rPr>
      <w:sz w:val="20"/>
      <w:szCs w:val="20"/>
    </w:rPr>
  </w:style>
  <w:style w:type="paragraph" w:styleId="CommentSubject">
    <w:name w:val="annotation subject"/>
    <w:basedOn w:val="CommentText"/>
    <w:next w:val="CommentText"/>
    <w:link w:val="CommentSubjectChar"/>
    <w:uiPriority w:val="99"/>
    <w:semiHidden/>
    <w:unhideWhenUsed/>
    <w:rsid w:val="00B15464"/>
    <w:rPr>
      <w:b/>
      <w:bCs/>
    </w:rPr>
  </w:style>
  <w:style w:type="character" w:customStyle="1" w:styleId="CommentSubjectChar">
    <w:name w:val="Comment Subject Char"/>
    <w:basedOn w:val="CommentTextChar"/>
    <w:link w:val="CommentSubject"/>
    <w:uiPriority w:val="99"/>
    <w:semiHidden/>
    <w:rsid w:val="00B15464"/>
    <w:rPr>
      <w:b/>
      <w:bCs/>
      <w:sz w:val="20"/>
      <w:szCs w:val="20"/>
    </w:rPr>
  </w:style>
  <w:style w:type="paragraph" w:customStyle="1" w:styleId="Statuti">
    <w:name w:val="Statuti"/>
    <w:basedOn w:val="Normal"/>
    <w:rsid w:val="00D03684"/>
    <w:pPr>
      <w:numPr>
        <w:ilvl w:val="3"/>
        <w:numId w:val="12"/>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D03684"/>
    <w:pPr>
      <w:numPr>
        <w:ilvl w:val="4"/>
        <w:numId w:val="12"/>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D03684"/>
    <w:pPr>
      <w:numPr>
        <w:numId w:val="12"/>
      </w:numPr>
      <w:spacing w:after="0" w:line="240" w:lineRule="auto"/>
      <w:ind w:left="0" w:firstLine="0"/>
    </w:pPr>
    <w:rPr>
      <w:rFonts w:ascii="Times New Roman" w:eastAsia="Calibri" w:hAnsi="Times New Roman" w:cs="Times New Roman"/>
      <w:sz w:val="24"/>
    </w:rPr>
  </w:style>
  <w:style w:type="paragraph" w:customStyle="1" w:styleId="Virsraksti2">
    <w:name w:val="Virsraksti_2"/>
    <w:basedOn w:val="Normal"/>
    <w:rsid w:val="00D03684"/>
    <w:pPr>
      <w:numPr>
        <w:ilvl w:val="1"/>
        <w:numId w:val="12"/>
      </w:numPr>
      <w:spacing w:after="0" w:line="240" w:lineRule="auto"/>
      <w:ind w:left="0" w:firstLine="0"/>
    </w:pPr>
    <w:rPr>
      <w:rFonts w:ascii="Times New Roman" w:eastAsia="Calibri" w:hAnsi="Times New Roman" w:cs="Times New Roman"/>
      <w:sz w:val="24"/>
    </w:rPr>
  </w:style>
  <w:style w:type="paragraph" w:customStyle="1" w:styleId="Virsraksti3">
    <w:name w:val="Virsraksti_3"/>
    <w:basedOn w:val="Normal"/>
    <w:rsid w:val="00D03684"/>
    <w:pPr>
      <w:numPr>
        <w:ilvl w:val="2"/>
        <w:numId w:val="12"/>
      </w:numPr>
      <w:spacing w:after="0" w:line="240" w:lineRule="auto"/>
      <w:ind w:left="0" w:firstLine="0"/>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4468D7"/>
    <w:rPr>
      <w:color w:val="808080"/>
      <w:shd w:val="clear" w:color="auto" w:fill="E6E6E6"/>
    </w:rPr>
  </w:style>
  <w:style w:type="table" w:styleId="TableGrid">
    <w:name w:val="Table Grid"/>
    <w:basedOn w:val="TableNormal"/>
    <w:uiPriority w:val="39"/>
    <w:rsid w:val="003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52E8-CC34-436B-94FB-979A2259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13154</Words>
  <Characters>7498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 sākotnējās ietekmes novērtējuma ziņojums (anotācija)</vt:lpstr>
    </vt:vector>
  </TitlesOfParts>
  <Company>Veselības ministrija</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 sākotnējās ietekmes novērtējuma ziņojums (anotācija)</dc:title>
  <dc:subject>Anotācija</dc:subject>
  <dc:creator>Dace Roga</dc:creator>
  <dc:description>67876093, dace.roga@vm.gov.lv</dc:description>
  <cp:lastModifiedBy>Dace Roga</cp:lastModifiedBy>
  <cp:revision>5</cp:revision>
  <cp:lastPrinted>2018-01-18T13:49:00Z</cp:lastPrinted>
  <dcterms:created xsi:type="dcterms:W3CDTF">2018-01-23T07:21:00Z</dcterms:created>
  <dcterms:modified xsi:type="dcterms:W3CDTF">2018-01-23T10:12:00Z</dcterms:modified>
</cp:coreProperties>
</file>