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12C71" w14:textId="5D50EB9F" w:rsidR="009D7EB1" w:rsidRPr="000E63AC" w:rsidRDefault="009D7EB1" w:rsidP="0099414B">
      <w:pPr>
        <w:pStyle w:val="Title"/>
        <w:tabs>
          <w:tab w:val="left" w:pos="8364"/>
        </w:tabs>
        <w:jc w:val="right"/>
        <w:rPr>
          <w:b w:val="0"/>
          <w:i/>
          <w:sz w:val="26"/>
          <w:szCs w:val="26"/>
        </w:rPr>
      </w:pPr>
      <w:r w:rsidRPr="000E63AC">
        <w:rPr>
          <w:b w:val="0"/>
          <w:i/>
          <w:sz w:val="26"/>
          <w:szCs w:val="26"/>
        </w:rPr>
        <w:t>Projekts</w:t>
      </w:r>
    </w:p>
    <w:p w14:paraId="5012C2A4" w14:textId="77777777" w:rsidR="009D7EB1" w:rsidRPr="000E63AC" w:rsidRDefault="009D7EB1" w:rsidP="0099414B">
      <w:pPr>
        <w:pStyle w:val="Title"/>
        <w:jc w:val="right"/>
        <w:rPr>
          <w:b w:val="0"/>
          <w:i/>
          <w:sz w:val="26"/>
          <w:szCs w:val="26"/>
        </w:rPr>
      </w:pPr>
    </w:p>
    <w:p w14:paraId="7AC1F460" w14:textId="77777777" w:rsidR="009D7EB1" w:rsidRPr="000E63AC" w:rsidRDefault="009D7EB1" w:rsidP="0099414B">
      <w:pPr>
        <w:pStyle w:val="Title"/>
        <w:jc w:val="right"/>
        <w:rPr>
          <w:b w:val="0"/>
          <w:bCs/>
          <w:i/>
          <w:iCs/>
          <w:sz w:val="26"/>
          <w:szCs w:val="26"/>
        </w:rPr>
      </w:pPr>
    </w:p>
    <w:p w14:paraId="7DC90F2B" w14:textId="77777777" w:rsidR="009D7EB1" w:rsidRPr="000E63AC" w:rsidRDefault="009D7EB1" w:rsidP="0099414B">
      <w:pPr>
        <w:pStyle w:val="Title"/>
        <w:jc w:val="right"/>
        <w:rPr>
          <w:b w:val="0"/>
          <w:bCs/>
          <w:i/>
          <w:iCs/>
          <w:sz w:val="26"/>
          <w:szCs w:val="26"/>
        </w:rPr>
      </w:pPr>
      <w:r w:rsidRPr="000E63AC">
        <w:rPr>
          <w:b w:val="0"/>
          <w:bCs/>
          <w:i/>
          <w:iCs/>
          <w:sz w:val="26"/>
          <w:szCs w:val="26"/>
        </w:rPr>
        <w:t>(Ministru kabineta</w:t>
      </w:r>
    </w:p>
    <w:p w14:paraId="2557CE0C" w14:textId="213390FC" w:rsidR="009D7EB1" w:rsidRPr="000E63AC" w:rsidRDefault="009D7EB1" w:rsidP="0099414B">
      <w:pPr>
        <w:pStyle w:val="Title"/>
        <w:jc w:val="right"/>
        <w:rPr>
          <w:b w:val="0"/>
          <w:bCs/>
          <w:i/>
          <w:iCs/>
          <w:sz w:val="26"/>
          <w:szCs w:val="26"/>
        </w:rPr>
      </w:pPr>
      <w:r w:rsidRPr="000E63AC">
        <w:rPr>
          <w:b w:val="0"/>
          <w:bCs/>
          <w:i/>
          <w:iCs/>
          <w:sz w:val="26"/>
          <w:szCs w:val="26"/>
        </w:rPr>
        <w:t>201</w:t>
      </w:r>
      <w:r w:rsidR="006A70F1" w:rsidRPr="000E63AC">
        <w:rPr>
          <w:b w:val="0"/>
          <w:bCs/>
          <w:i/>
          <w:iCs/>
          <w:sz w:val="26"/>
          <w:szCs w:val="26"/>
        </w:rPr>
        <w:t>8</w:t>
      </w:r>
      <w:r w:rsidRPr="000E63AC">
        <w:rPr>
          <w:b w:val="0"/>
          <w:bCs/>
          <w:i/>
          <w:iCs/>
          <w:sz w:val="26"/>
          <w:szCs w:val="26"/>
        </w:rPr>
        <w:t>. gada __._______</w:t>
      </w:r>
    </w:p>
    <w:p w14:paraId="34886BB7" w14:textId="77777777" w:rsidR="009D7EB1" w:rsidRPr="000E63AC" w:rsidRDefault="009D7EB1" w:rsidP="0099414B">
      <w:pPr>
        <w:pStyle w:val="Title"/>
        <w:jc w:val="right"/>
        <w:rPr>
          <w:b w:val="0"/>
          <w:i/>
          <w:sz w:val="26"/>
          <w:szCs w:val="26"/>
        </w:rPr>
      </w:pPr>
      <w:r w:rsidRPr="000E63AC">
        <w:rPr>
          <w:b w:val="0"/>
          <w:i/>
          <w:sz w:val="26"/>
          <w:szCs w:val="26"/>
        </w:rPr>
        <w:t>rīkojums Nr.___)</w:t>
      </w:r>
    </w:p>
    <w:p w14:paraId="70991EA6" w14:textId="77777777" w:rsidR="009D7EB1" w:rsidRPr="000E63AC" w:rsidRDefault="009D7EB1" w:rsidP="0099414B">
      <w:pPr>
        <w:spacing w:after="0" w:line="240" w:lineRule="auto"/>
        <w:jc w:val="center"/>
        <w:rPr>
          <w:rFonts w:ascii="Times New Roman" w:eastAsia="Times New Roman" w:hAnsi="Times New Roman" w:cs="Times New Roman"/>
          <w:b/>
          <w:bCs/>
          <w:color w:val="414142"/>
          <w:sz w:val="26"/>
          <w:szCs w:val="26"/>
          <w:lang w:eastAsia="lv-LV"/>
        </w:rPr>
      </w:pPr>
    </w:p>
    <w:p w14:paraId="3D39B7F9" w14:textId="77777777" w:rsidR="009D7EB1" w:rsidRPr="000E63AC" w:rsidRDefault="009D7EB1" w:rsidP="0099414B">
      <w:pPr>
        <w:spacing w:after="0" w:line="240" w:lineRule="auto"/>
        <w:jc w:val="center"/>
        <w:rPr>
          <w:rFonts w:ascii="Times New Roman" w:eastAsia="Times New Roman" w:hAnsi="Times New Roman" w:cs="Times New Roman"/>
          <w:b/>
          <w:bCs/>
          <w:color w:val="414142"/>
          <w:sz w:val="26"/>
          <w:szCs w:val="26"/>
          <w:lang w:eastAsia="lv-LV"/>
        </w:rPr>
      </w:pPr>
    </w:p>
    <w:p w14:paraId="6A53940F" w14:textId="77777777" w:rsidR="009D7EB1" w:rsidRPr="000E63AC" w:rsidRDefault="009D7EB1" w:rsidP="0099414B">
      <w:pPr>
        <w:spacing w:after="0" w:line="240" w:lineRule="auto"/>
        <w:jc w:val="center"/>
        <w:rPr>
          <w:rFonts w:ascii="Times New Roman" w:eastAsia="Times New Roman" w:hAnsi="Times New Roman" w:cs="Times New Roman"/>
          <w:b/>
          <w:bCs/>
          <w:color w:val="414142"/>
          <w:sz w:val="26"/>
          <w:szCs w:val="26"/>
          <w:lang w:eastAsia="lv-LV"/>
        </w:rPr>
      </w:pPr>
    </w:p>
    <w:p w14:paraId="23640407" w14:textId="77777777" w:rsidR="009D7EB1" w:rsidRPr="000E63AC" w:rsidRDefault="009D7EB1" w:rsidP="0099414B">
      <w:pPr>
        <w:spacing w:after="0" w:line="240" w:lineRule="auto"/>
        <w:jc w:val="center"/>
        <w:rPr>
          <w:rFonts w:ascii="Times New Roman" w:eastAsia="Times New Roman" w:hAnsi="Times New Roman" w:cs="Times New Roman"/>
          <w:b/>
          <w:bCs/>
          <w:color w:val="000000" w:themeColor="text1"/>
          <w:sz w:val="26"/>
          <w:szCs w:val="26"/>
          <w:lang w:eastAsia="lv-LV"/>
        </w:rPr>
      </w:pPr>
    </w:p>
    <w:p w14:paraId="4EFB4EB1" w14:textId="77777777" w:rsidR="009D7EB1" w:rsidRPr="000E63AC" w:rsidRDefault="009D7EB1" w:rsidP="0099414B">
      <w:pPr>
        <w:spacing w:after="0" w:line="240" w:lineRule="auto"/>
        <w:jc w:val="center"/>
        <w:rPr>
          <w:rFonts w:ascii="Times New Roman" w:eastAsia="Times New Roman" w:hAnsi="Times New Roman" w:cs="Times New Roman"/>
          <w:b/>
          <w:bCs/>
          <w:color w:val="000000" w:themeColor="text1"/>
          <w:sz w:val="26"/>
          <w:szCs w:val="26"/>
          <w:lang w:eastAsia="lv-LV"/>
        </w:rPr>
      </w:pPr>
    </w:p>
    <w:p w14:paraId="1A06C773" w14:textId="77777777" w:rsidR="009D7EB1" w:rsidRPr="000E63AC" w:rsidRDefault="009D7EB1" w:rsidP="0099414B">
      <w:pPr>
        <w:spacing w:after="0" w:line="240" w:lineRule="auto"/>
        <w:jc w:val="center"/>
        <w:rPr>
          <w:rFonts w:ascii="Times New Roman" w:eastAsia="Times New Roman" w:hAnsi="Times New Roman" w:cs="Times New Roman"/>
          <w:b/>
          <w:bCs/>
          <w:color w:val="000000" w:themeColor="text1"/>
          <w:sz w:val="26"/>
          <w:szCs w:val="26"/>
          <w:lang w:eastAsia="lv-LV"/>
        </w:rPr>
      </w:pPr>
    </w:p>
    <w:p w14:paraId="111E56E1" w14:textId="77777777" w:rsidR="009D7EB1" w:rsidRPr="000E63AC" w:rsidRDefault="009D7EB1" w:rsidP="0099414B">
      <w:pPr>
        <w:spacing w:after="0" w:line="240" w:lineRule="auto"/>
        <w:jc w:val="center"/>
        <w:rPr>
          <w:rFonts w:ascii="Times New Roman" w:eastAsia="Times New Roman" w:hAnsi="Times New Roman" w:cs="Times New Roman"/>
          <w:b/>
          <w:bCs/>
          <w:color w:val="000000" w:themeColor="text1"/>
          <w:sz w:val="26"/>
          <w:szCs w:val="26"/>
          <w:lang w:eastAsia="lv-LV"/>
        </w:rPr>
      </w:pPr>
    </w:p>
    <w:p w14:paraId="53F7AFE2" w14:textId="77777777" w:rsidR="009D7EB1" w:rsidRPr="000E63AC" w:rsidRDefault="009D7EB1" w:rsidP="0099414B">
      <w:pPr>
        <w:spacing w:after="0" w:line="240" w:lineRule="auto"/>
        <w:jc w:val="center"/>
        <w:rPr>
          <w:rFonts w:ascii="Times New Roman" w:eastAsia="Times New Roman" w:hAnsi="Times New Roman" w:cs="Times New Roman"/>
          <w:b/>
          <w:bCs/>
          <w:color w:val="000000" w:themeColor="text1"/>
          <w:sz w:val="26"/>
          <w:szCs w:val="26"/>
          <w:lang w:eastAsia="lv-LV"/>
        </w:rPr>
      </w:pPr>
    </w:p>
    <w:p w14:paraId="60234924" w14:textId="77777777" w:rsidR="009D7EB1" w:rsidRPr="000E63AC" w:rsidRDefault="009D7EB1" w:rsidP="0099414B">
      <w:pPr>
        <w:spacing w:after="0" w:line="240" w:lineRule="auto"/>
        <w:jc w:val="center"/>
        <w:rPr>
          <w:rFonts w:ascii="Times New Roman" w:eastAsia="Times New Roman" w:hAnsi="Times New Roman" w:cs="Times New Roman"/>
          <w:b/>
          <w:bCs/>
          <w:color w:val="000000" w:themeColor="text1"/>
          <w:sz w:val="26"/>
          <w:szCs w:val="26"/>
          <w:lang w:eastAsia="lv-LV"/>
        </w:rPr>
      </w:pPr>
    </w:p>
    <w:p w14:paraId="44B9D454" w14:textId="77777777" w:rsidR="009D7EB1" w:rsidRPr="000E63AC" w:rsidRDefault="009D7EB1" w:rsidP="0099414B">
      <w:pPr>
        <w:spacing w:after="0" w:line="240" w:lineRule="auto"/>
        <w:jc w:val="center"/>
        <w:rPr>
          <w:rFonts w:ascii="Times New Roman" w:eastAsia="Times New Roman" w:hAnsi="Times New Roman" w:cs="Times New Roman"/>
          <w:b/>
          <w:bCs/>
          <w:color w:val="000000" w:themeColor="text1"/>
          <w:sz w:val="26"/>
          <w:szCs w:val="26"/>
          <w:lang w:eastAsia="lv-LV"/>
        </w:rPr>
      </w:pPr>
      <w:r w:rsidRPr="000E63AC">
        <w:rPr>
          <w:rFonts w:ascii="Times New Roman" w:eastAsia="Times New Roman" w:hAnsi="Times New Roman" w:cs="Times New Roman"/>
          <w:b/>
          <w:bCs/>
          <w:color w:val="000000" w:themeColor="text1"/>
          <w:sz w:val="26"/>
          <w:szCs w:val="26"/>
          <w:lang w:eastAsia="lv-LV"/>
        </w:rPr>
        <w:t>Konceptuāls ziņojums</w:t>
      </w:r>
    </w:p>
    <w:p w14:paraId="281363B9" w14:textId="77777777" w:rsidR="009D7EB1" w:rsidRPr="000E63AC" w:rsidRDefault="009D7EB1" w:rsidP="0099414B">
      <w:pPr>
        <w:spacing w:after="0" w:line="240" w:lineRule="auto"/>
        <w:ind w:firstLine="709"/>
        <w:jc w:val="center"/>
        <w:rPr>
          <w:rFonts w:ascii="Times New Roman" w:eastAsia="Times New Roman" w:hAnsi="Times New Roman" w:cs="Times New Roman"/>
          <w:b/>
          <w:bCs/>
          <w:color w:val="000000" w:themeColor="text1"/>
          <w:sz w:val="26"/>
          <w:szCs w:val="26"/>
          <w:lang w:eastAsia="lv-LV"/>
        </w:rPr>
      </w:pPr>
    </w:p>
    <w:p w14:paraId="0AE57572" w14:textId="77777777" w:rsidR="009D7EB1" w:rsidRPr="000E63AC" w:rsidRDefault="009D7EB1" w:rsidP="0099414B">
      <w:pPr>
        <w:spacing w:after="0" w:line="240" w:lineRule="auto"/>
        <w:ind w:firstLine="709"/>
        <w:jc w:val="center"/>
        <w:rPr>
          <w:rFonts w:ascii="Times New Roman" w:eastAsia="Times New Roman" w:hAnsi="Times New Roman" w:cs="Times New Roman"/>
          <w:b/>
          <w:bCs/>
          <w:color w:val="414142"/>
          <w:sz w:val="26"/>
          <w:szCs w:val="26"/>
          <w:lang w:eastAsia="lv-LV"/>
        </w:rPr>
      </w:pPr>
    </w:p>
    <w:p w14:paraId="1FD74399" w14:textId="7372693B" w:rsidR="009D7EB1" w:rsidRPr="000E63AC" w:rsidRDefault="009D7EB1" w:rsidP="0099414B">
      <w:pPr>
        <w:spacing w:after="0" w:line="240" w:lineRule="auto"/>
        <w:jc w:val="center"/>
        <w:rPr>
          <w:rFonts w:ascii="Times New Roman" w:hAnsi="Times New Roman" w:cs="Times New Roman"/>
          <w:b/>
          <w:sz w:val="26"/>
          <w:szCs w:val="26"/>
        </w:rPr>
      </w:pPr>
      <w:r w:rsidRPr="000E63AC">
        <w:rPr>
          <w:rFonts w:ascii="Times New Roman" w:hAnsi="Times New Roman" w:cs="Times New Roman"/>
          <w:b/>
          <w:sz w:val="26"/>
          <w:szCs w:val="26"/>
        </w:rPr>
        <w:t>Par Padziļinātās sadarbības programmas darbību un tās attīstības mode</w:t>
      </w:r>
      <w:r w:rsidR="00E376D5" w:rsidRPr="000E63AC">
        <w:rPr>
          <w:rFonts w:ascii="Times New Roman" w:hAnsi="Times New Roman" w:cs="Times New Roman"/>
          <w:b/>
          <w:sz w:val="26"/>
          <w:szCs w:val="26"/>
        </w:rPr>
        <w:t>li</w:t>
      </w:r>
      <w:r w:rsidRPr="000E63AC">
        <w:rPr>
          <w:rFonts w:ascii="Times New Roman" w:hAnsi="Times New Roman" w:cs="Times New Roman"/>
          <w:b/>
          <w:sz w:val="26"/>
          <w:szCs w:val="26"/>
        </w:rPr>
        <w:t xml:space="preserve"> </w:t>
      </w:r>
    </w:p>
    <w:p w14:paraId="20490C5E" w14:textId="77777777" w:rsidR="009D7EB1" w:rsidRPr="000E63AC" w:rsidRDefault="009D7EB1" w:rsidP="0099414B">
      <w:pPr>
        <w:spacing w:after="0" w:line="240" w:lineRule="auto"/>
        <w:rPr>
          <w:rFonts w:ascii="Times New Roman" w:hAnsi="Times New Roman" w:cs="Times New Roman"/>
          <w:b/>
          <w:sz w:val="26"/>
          <w:szCs w:val="26"/>
        </w:rPr>
      </w:pPr>
      <w:r w:rsidRPr="000E63AC">
        <w:rPr>
          <w:rFonts w:ascii="Times New Roman" w:hAnsi="Times New Roman" w:cs="Times New Roman"/>
          <w:b/>
          <w:sz w:val="26"/>
          <w:szCs w:val="26"/>
        </w:rPr>
        <w:br w:type="page"/>
      </w:r>
    </w:p>
    <w:p w14:paraId="2D6C2613" w14:textId="42C57AE9" w:rsidR="006B3B90" w:rsidRPr="000E63AC" w:rsidRDefault="006B3B90" w:rsidP="0099414B">
      <w:pPr>
        <w:spacing w:after="0" w:line="240" w:lineRule="auto"/>
        <w:jc w:val="center"/>
        <w:rPr>
          <w:rFonts w:ascii="Times New Roman" w:eastAsia="Times New Roman" w:hAnsi="Times New Roman" w:cs="Times New Roman"/>
          <w:b/>
          <w:bCs/>
          <w:sz w:val="26"/>
          <w:szCs w:val="26"/>
          <w:lang w:eastAsia="lv-LV"/>
        </w:rPr>
      </w:pPr>
      <w:r w:rsidRPr="000E63AC">
        <w:rPr>
          <w:rFonts w:ascii="Times New Roman" w:eastAsia="Times New Roman" w:hAnsi="Times New Roman" w:cs="Times New Roman"/>
          <w:b/>
          <w:bCs/>
          <w:sz w:val="26"/>
          <w:szCs w:val="26"/>
          <w:lang w:eastAsia="lv-LV"/>
        </w:rPr>
        <w:lastRenderedPageBreak/>
        <w:t xml:space="preserve">1. </w:t>
      </w:r>
      <w:r w:rsidR="00E30886" w:rsidRPr="000E63AC">
        <w:rPr>
          <w:rFonts w:ascii="Times New Roman" w:eastAsia="Times New Roman" w:hAnsi="Times New Roman" w:cs="Times New Roman"/>
          <w:b/>
          <w:bCs/>
          <w:sz w:val="26"/>
          <w:szCs w:val="26"/>
          <w:lang w:eastAsia="lv-LV"/>
        </w:rPr>
        <w:t>K</w:t>
      </w:r>
      <w:r w:rsidRPr="000E63AC">
        <w:rPr>
          <w:rFonts w:ascii="Times New Roman" w:eastAsia="Times New Roman" w:hAnsi="Times New Roman" w:cs="Times New Roman"/>
          <w:b/>
          <w:bCs/>
          <w:sz w:val="26"/>
          <w:szCs w:val="26"/>
          <w:lang w:eastAsia="lv-LV"/>
        </w:rPr>
        <w:t>opsavilkums</w:t>
      </w:r>
    </w:p>
    <w:p w14:paraId="28FD7C06" w14:textId="77777777" w:rsidR="006B3B90" w:rsidRPr="000E63AC" w:rsidRDefault="006B3B90" w:rsidP="0099414B">
      <w:pPr>
        <w:spacing w:after="0" w:line="240" w:lineRule="auto"/>
        <w:ind w:firstLine="709"/>
        <w:jc w:val="center"/>
        <w:rPr>
          <w:rFonts w:ascii="Times New Roman" w:eastAsia="Times New Roman" w:hAnsi="Times New Roman" w:cs="Times New Roman"/>
          <w:b/>
          <w:bCs/>
          <w:sz w:val="26"/>
          <w:szCs w:val="26"/>
          <w:lang w:eastAsia="lv-LV"/>
        </w:rPr>
      </w:pPr>
    </w:p>
    <w:p w14:paraId="1F8BB2D8" w14:textId="77777777" w:rsidR="006B3B90" w:rsidRPr="000E63AC" w:rsidRDefault="005A3B81" w:rsidP="0099414B">
      <w:pPr>
        <w:spacing w:after="0" w:line="240" w:lineRule="auto"/>
        <w:ind w:firstLine="709"/>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Ministru kabineta 2016</w:t>
      </w:r>
      <w:r w:rsidR="006B3B90" w:rsidRPr="000E63AC">
        <w:rPr>
          <w:rFonts w:ascii="Times New Roman" w:eastAsia="Times New Roman" w:hAnsi="Times New Roman" w:cs="Times New Roman"/>
          <w:sz w:val="26"/>
          <w:szCs w:val="26"/>
          <w:lang w:eastAsia="lv-LV"/>
        </w:rPr>
        <w:t xml:space="preserve">.gada </w:t>
      </w:r>
      <w:r w:rsidRPr="000E63AC">
        <w:rPr>
          <w:rFonts w:ascii="Times New Roman" w:eastAsia="Times New Roman" w:hAnsi="Times New Roman" w:cs="Times New Roman"/>
          <w:sz w:val="26"/>
          <w:szCs w:val="26"/>
          <w:lang w:eastAsia="lv-LV"/>
        </w:rPr>
        <w:t>3.maija rīkojuma</w:t>
      </w:r>
      <w:r w:rsidR="006B3B90" w:rsidRPr="000E63AC">
        <w:rPr>
          <w:rFonts w:ascii="Times New Roman" w:eastAsia="Times New Roman" w:hAnsi="Times New Roman" w:cs="Times New Roman"/>
          <w:sz w:val="26"/>
          <w:szCs w:val="26"/>
          <w:lang w:eastAsia="lv-LV"/>
        </w:rPr>
        <w:t xml:space="preserve"> Nr.</w:t>
      </w:r>
      <w:r w:rsidRPr="000E63AC">
        <w:rPr>
          <w:rFonts w:ascii="Times New Roman" w:eastAsia="Times New Roman" w:hAnsi="Times New Roman" w:cs="Times New Roman"/>
          <w:sz w:val="26"/>
          <w:szCs w:val="26"/>
          <w:lang w:eastAsia="lv-LV"/>
        </w:rPr>
        <w:t>275</w:t>
      </w:r>
      <w:r w:rsidR="006B3B90" w:rsidRPr="000E63AC">
        <w:rPr>
          <w:rFonts w:ascii="Times New Roman" w:eastAsia="Times New Roman" w:hAnsi="Times New Roman" w:cs="Times New Roman"/>
          <w:sz w:val="26"/>
          <w:szCs w:val="26"/>
          <w:lang w:eastAsia="lv-LV"/>
        </w:rPr>
        <w:t xml:space="preserve"> “Par </w:t>
      </w:r>
      <w:r w:rsidRPr="000E63AC">
        <w:rPr>
          <w:rFonts w:ascii="Times New Roman" w:eastAsia="Times New Roman" w:hAnsi="Times New Roman" w:cs="Times New Roman"/>
          <w:sz w:val="26"/>
          <w:szCs w:val="26"/>
          <w:lang w:eastAsia="lv-LV"/>
        </w:rPr>
        <w:t>Valdības rīcības plānu Deklarācijas par Māra Kučinska vadītā Ministru kabineta iecerēto darbību īstenošanai</w:t>
      </w:r>
      <w:r w:rsidR="006B3B90" w:rsidRPr="000E63AC">
        <w:rPr>
          <w:rFonts w:ascii="Times New Roman" w:eastAsia="Times New Roman" w:hAnsi="Times New Roman" w:cs="Times New Roman"/>
          <w:sz w:val="26"/>
          <w:szCs w:val="26"/>
          <w:lang w:eastAsia="lv-LV"/>
        </w:rPr>
        <w:t>”</w:t>
      </w:r>
      <w:r w:rsidRPr="000E63AC">
        <w:rPr>
          <w:rFonts w:ascii="Times New Roman" w:eastAsia="Times New Roman" w:hAnsi="Times New Roman" w:cs="Times New Roman"/>
          <w:sz w:val="26"/>
          <w:szCs w:val="26"/>
          <w:lang w:eastAsia="lv-LV"/>
        </w:rPr>
        <w:t xml:space="preserve"> pielikuma “Valdības rīcības plāns Deklarācijas par Māra Kučinska vadītā Ministru kabineta iecerēto darbību īstenošanai” 30.1.pasākums </w:t>
      </w:r>
      <w:r w:rsidR="00F272E3" w:rsidRPr="000E63AC">
        <w:rPr>
          <w:rFonts w:ascii="Times New Roman" w:eastAsia="Times New Roman" w:hAnsi="Times New Roman" w:cs="Times New Roman"/>
          <w:sz w:val="26"/>
          <w:szCs w:val="26"/>
          <w:lang w:eastAsia="lv-LV"/>
        </w:rPr>
        <w:t xml:space="preserve">paredz izvērtēt iespēju paplašināt Padziļinātās sadarbības programmas priekšrocību klāstu, tādējādi piesaistot aizvien plašāku komersantu loku. Pilnveidot programmas darbību, samazinot administratīvo slogu valsts iestādēm, mainot līdzšinējo informācijas aprites kārtību un komersantiem, kas ir Padziļinātās sadarbības programmas dalībnieki. </w:t>
      </w:r>
      <w:r w:rsidR="006B3B90" w:rsidRPr="000E63AC">
        <w:rPr>
          <w:rFonts w:ascii="Times New Roman" w:eastAsia="Times New Roman" w:hAnsi="Times New Roman" w:cs="Times New Roman"/>
          <w:sz w:val="26"/>
          <w:szCs w:val="26"/>
          <w:lang w:eastAsia="lv-LV"/>
        </w:rPr>
        <w:t xml:space="preserve">Kā atbildīgā par uzdevuma izpildi noteikta </w:t>
      </w:r>
      <w:r w:rsidR="00F272E3" w:rsidRPr="000E63AC">
        <w:rPr>
          <w:rFonts w:ascii="Times New Roman" w:eastAsia="Times New Roman" w:hAnsi="Times New Roman" w:cs="Times New Roman"/>
          <w:sz w:val="26"/>
          <w:szCs w:val="26"/>
          <w:lang w:eastAsia="lv-LV"/>
        </w:rPr>
        <w:t>Finanšu</w:t>
      </w:r>
      <w:r w:rsidR="006B3B90" w:rsidRPr="000E63AC">
        <w:rPr>
          <w:rFonts w:ascii="Times New Roman" w:eastAsia="Times New Roman" w:hAnsi="Times New Roman" w:cs="Times New Roman"/>
          <w:sz w:val="26"/>
          <w:szCs w:val="26"/>
          <w:lang w:eastAsia="lv-LV"/>
        </w:rPr>
        <w:t xml:space="preserve"> minist</w:t>
      </w:r>
      <w:r w:rsidR="001E1993" w:rsidRPr="000E63AC">
        <w:rPr>
          <w:rFonts w:ascii="Times New Roman" w:eastAsia="Times New Roman" w:hAnsi="Times New Roman" w:cs="Times New Roman"/>
          <w:sz w:val="26"/>
          <w:szCs w:val="26"/>
          <w:lang w:eastAsia="lv-LV"/>
        </w:rPr>
        <w:t>rija, savukārt kā līdzatbildīgā iestāde</w:t>
      </w:r>
      <w:r w:rsidR="006B3B90" w:rsidRPr="000E63AC">
        <w:rPr>
          <w:rFonts w:ascii="Times New Roman" w:eastAsia="Times New Roman" w:hAnsi="Times New Roman" w:cs="Times New Roman"/>
          <w:sz w:val="26"/>
          <w:szCs w:val="26"/>
          <w:lang w:eastAsia="lv-LV"/>
        </w:rPr>
        <w:t xml:space="preserve"> </w:t>
      </w:r>
      <w:r w:rsidR="001E1993" w:rsidRPr="000E63AC">
        <w:rPr>
          <w:rFonts w:ascii="Times New Roman" w:eastAsia="Times New Roman" w:hAnsi="Times New Roman" w:cs="Times New Roman"/>
          <w:sz w:val="26"/>
          <w:szCs w:val="26"/>
          <w:lang w:eastAsia="lv-LV"/>
        </w:rPr>
        <w:t>Valsts ieņēmumu dienests</w:t>
      </w:r>
      <w:r w:rsidR="006B3B90" w:rsidRPr="000E63AC">
        <w:rPr>
          <w:rFonts w:ascii="Times New Roman" w:eastAsia="Times New Roman" w:hAnsi="Times New Roman" w:cs="Times New Roman"/>
          <w:sz w:val="26"/>
          <w:szCs w:val="26"/>
          <w:lang w:eastAsia="lv-LV"/>
        </w:rPr>
        <w:t>.</w:t>
      </w:r>
    </w:p>
    <w:p w14:paraId="4D58D8F1" w14:textId="220871FF" w:rsidR="006B3B90" w:rsidRPr="000E63AC" w:rsidRDefault="006B3B90"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Lai izpildītu attiecīgo uzdevumu</w:t>
      </w:r>
      <w:r w:rsidR="0064650E" w:rsidRPr="000E63AC">
        <w:rPr>
          <w:rFonts w:ascii="Times New Roman" w:hAnsi="Times New Roman" w:cs="Times New Roman"/>
          <w:sz w:val="26"/>
          <w:szCs w:val="26"/>
        </w:rPr>
        <w:t>,</w:t>
      </w:r>
      <w:r w:rsidRPr="000E63AC">
        <w:rPr>
          <w:rFonts w:ascii="Times New Roman" w:hAnsi="Times New Roman" w:cs="Times New Roman"/>
          <w:sz w:val="26"/>
          <w:szCs w:val="26"/>
        </w:rPr>
        <w:t xml:space="preserve"> </w:t>
      </w:r>
      <w:r w:rsidR="005A3B81" w:rsidRPr="000E63AC">
        <w:rPr>
          <w:rFonts w:ascii="Times New Roman" w:hAnsi="Times New Roman" w:cs="Times New Roman"/>
          <w:sz w:val="26"/>
          <w:szCs w:val="26"/>
        </w:rPr>
        <w:t xml:space="preserve">Finanšu ministrijai sadarbībā ar Ekonomikas ministriju un Valsts ieņēmumu dienestu ir </w:t>
      </w:r>
      <w:r w:rsidRPr="000E63AC">
        <w:rPr>
          <w:rFonts w:ascii="Times New Roman" w:hAnsi="Times New Roman" w:cs="Times New Roman"/>
          <w:sz w:val="26"/>
          <w:szCs w:val="26"/>
        </w:rPr>
        <w:t xml:space="preserve">notikušas konsultācijas </w:t>
      </w:r>
      <w:r w:rsidR="006A5CC0" w:rsidRPr="000E63AC">
        <w:rPr>
          <w:rFonts w:ascii="Times New Roman" w:hAnsi="Times New Roman" w:cs="Times New Roman"/>
          <w:sz w:val="26"/>
          <w:szCs w:val="26"/>
        </w:rPr>
        <w:t xml:space="preserve">ar </w:t>
      </w:r>
      <w:r w:rsidR="007053F2" w:rsidRPr="000E63AC">
        <w:rPr>
          <w:rFonts w:ascii="Times New Roman" w:hAnsi="Times New Roman" w:cs="Times New Roman"/>
          <w:sz w:val="26"/>
          <w:szCs w:val="26"/>
        </w:rPr>
        <w:t>sociāliem un sadarbības partneriem</w:t>
      </w:r>
      <w:r w:rsidR="006A5CC0" w:rsidRPr="000E63AC">
        <w:rPr>
          <w:rFonts w:ascii="Times New Roman" w:hAnsi="Times New Roman" w:cs="Times New Roman"/>
          <w:sz w:val="26"/>
          <w:szCs w:val="26"/>
        </w:rPr>
        <w:t xml:space="preserve">, </w:t>
      </w:r>
      <w:r w:rsidR="00CF167E" w:rsidRPr="000E63AC">
        <w:rPr>
          <w:rFonts w:ascii="Times New Roman" w:hAnsi="Times New Roman" w:cs="Times New Roman"/>
          <w:sz w:val="26"/>
          <w:szCs w:val="26"/>
        </w:rPr>
        <w:t xml:space="preserve">vienlaikus jautājums ir izdiskutēts arī Valsts ieņēmuma dienesta </w:t>
      </w:r>
      <w:r w:rsidR="0064650E" w:rsidRPr="000E63AC">
        <w:rPr>
          <w:rFonts w:ascii="Times New Roman" w:hAnsi="Times New Roman" w:cs="Times New Roman"/>
          <w:sz w:val="26"/>
          <w:szCs w:val="26"/>
        </w:rPr>
        <w:t>K</w:t>
      </w:r>
      <w:r w:rsidR="00CF167E" w:rsidRPr="000E63AC">
        <w:rPr>
          <w:rFonts w:ascii="Times New Roman" w:hAnsi="Times New Roman" w:cs="Times New Roman"/>
          <w:sz w:val="26"/>
          <w:szCs w:val="26"/>
        </w:rPr>
        <w:t>onsultatīvās padomes sēdē</w:t>
      </w:r>
      <w:r w:rsidRPr="000E63AC">
        <w:rPr>
          <w:rFonts w:ascii="Times New Roman" w:hAnsi="Times New Roman" w:cs="Times New Roman"/>
          <w:sz w:val="26"/>
          <w:szCs w:val="26"/>
        </w:rPr>
        <w:t xml:space="preserve">. </w:t>
      </w:r>
      <w:r w:rsidR="00A8758B" w:rsidRPr="000E63AC">
        <w:rPr>
          <w:rFonts w:ascii="Times New Roman" w:hAnsi="Times New Roman" w:cs="Times New Roman"/>
          <w:sz w:val="26"/>
          <w:szCs w:val="26"/>
        </w:rPr>
        <w:t>Papildus iepriekš minēta</w:t>
      </w:r>
      <w:r w:rsidR="00710381" w:rsidRPr="000E63AC">
        <w:rPr>
          <w:rFonts w:ascii="Times New Roman" w:hAnsi="Times New Roman" w:cs="Times New Roman"/>
          <w:sz w:val="26"/>
          <w:szCs w:val="26"/>
        </w:rPr>
        <w:t>ja</w:t>
      </w:r>
      <w:r w:rsidR="00A8758B" w:rsidRPr="000E63AC">
        <w:rPr>
          <w:rFonts w:ascii="Times New Roman" w:hAnsi="Times New Roman" w:cs="Times New Roman"/>
          <w:sz w:val="26"/>
          <w:szCs w:val="26"/>
        </w:rPr>
        <w:t>m, s</w:t>
      </w:r>
      <w:r w:rsidR="00CF167E" w:rsidRPr="000E63AC">
        <w:rPr>
          <w:rFonts w:ascii="Times New Roman" w:hAnsi="Times New Roman" w:cs="Times New Roman"/>
          <w:sz w:val="26"/>
          <w:szCs w:val="26"/>
        </w:rPr>
        <w:t xml:space="preserve">adarbībā ar </w:t>
      </w:r>
      <w:r w:rsidR="000C7165" w:rsidRPr="000E63AC">
        <w:rPr>
          <w:rFonts w:ascii="Times New Roman" w:hAnsi="Times New Roman" w:cs="Times New Roman"/>
          <w:sz w:val="26"/>
          <w:szCs w:val="26"/>
        </w:rPr>
        <w:t>Latvijas T</w:t>
      </w:r>
      <w:r w:rsidR="00CF167E" w:rsidRPr="000E63AC">
        <w:rPr>
          <w:rFonts w:ascii="Times New Roman" w:hAnsi="Times New Roman" w:cs="Times New Roman"/>
          <w:sz w:val="26"/>
          <w:szCs w:val="26"/>
        </w:rPr>
        <w:t>irdzniecības un rūpniecības kameru</w:t>
      </w:r>
      <w:r w:rsidR="002E355F" w:rsidRPr="000E63AC">
        <w:rPr>
          <w:rFonts w:ascii="Times New Roman" w:hAnsi="Times New Roman" w:cs="Times New Roman"/>
          <w:sz w:val="26"/>
          <w:szCs w:val="26"/>
        </w:rPr>
        <w:t xml:space="preserve"> (turpmāk – LTRK) un SIA “PricewaterhouseCoopers”</w:t>
      </w:r>
      <w:r w:rsidR="00CF167E" w:rsidRPr="000E63AC">
        <w:rPr>
          <w:rFonts w:ascii="Times New Roman" w:hAnsi="Times New Roman" w:cs="Times New Roman"/>
          <w:sz w:val="26"/>
          <w:szCs w:val="26"/>
        </w:rPr>
        <w:t xml:space="preserve"> veikts pētījums par Padziļinātās sadarbības programmas</w:t>
      </w:r>
      <w:r w:rsidR="00710381" w:rsidRPr="000E63AC">
        <w:rPr>
          <w:rFonts w:ascii="Times New Roman" w:hAnsi="Times New Roman" w:cs="Times New Roman"/>
          <w:sz w:val="26"/>
          <w:szCs w:val="26"/>
        </w:rPr>
        <w:t xml:space="preserve"> līdzšinējo darbību un </w:t>
      </w:r>
      <w:r w:rsidR="00CF167E" w:rsidRPr="000E63AC">
        <w:rPr>
          <w:rFonts w:ascii="Times New Roman" w:hAnsi="Times New Roman" w:cs="Times New Roman"/>
          <w:sz w:val="26"/>
          <w:szCs w:val="26"/>
        </w:rPr>
        <w:t xml:space="preserve">nepieciešamajiem uzlabojumiem. </w:t>
      </w:r>
      <w:r w:rsidR="002E355F" w:rsidRPr="000E63AC">
        <w:rPr>
          <w:rFonts w:ascii="Times New Roman" w:hAnsi="Times New Roman" w:cs="Times New Roman"/>
          <w:sz w:val="26"/>
          <w:szCs w:val="26"/>
        </w:rPr>
        <w:t>I</w:t>
      </w:r>
      <w:r w:rsidRPr="000E63AC">
        <w:rPr>
          <w:rFonts w:ascii="Times New Roman" w:hAnsi="Times New Roman" w:cs="Times New Roman"/>
          <w:sz w:val="26"/>
          <w:szCs w:val="26"/>
        </w:rPr>
        <w:t xml:space="preserve">zteiktie viedokļi un piedāvātie risinājumi atspoguļoti </w:t>
      </w:r>
      <w:r w:rsidR="00CF167E" w:rsidRPr="000E63AC">
        <w:rPr>
          <w:rFonts w:ascii="Times New Roman" w:hAnsi="Times New Roman" w:cs="Times New Roman"/>
          <w:sz w:val="26"/>
          <w:szCs w:val="26"/>
        </w:rPr>
        <w:t xml:space="preserve">konceptuālajā </w:t>
      </w:r>
      <w:r w:rsidRPr="000E63AC">
        <w:rPr>
          <w:rFonts w:ascii="Times New Roman" w:hAnsi="Times New Roman" w:cs="Times New Roman"/>
          <w:sz w:val="26"/>
          <w:szCs w:val="26"/>
        </w:rPr>
        <w:t>ziņojumā</w:t>
      </w:r>
      <w:r w:rsidR="00E30886" w:rsidRPr="000E63AC">
        <w:rPr>
          <w:rFonts w:ascii="Times New Roman" w:hAnsi="Times New Roman" w:cs="Times New Roman"/>
          <w:sz w:val="26"/>
          <w:szCs w:val="26"/>
        </w:rPr>
        <w:t xml:space="preserve"> “Par Padziļinātās sadarbības programmas darbību un tās attīstības modeli” (turpmāk – konceptuālais ziņojums)</w:t>
      </w:r>
      <w:r w:rsidRPr="000E63AC">
        <w:rPr>
          <w:rFonts w:ascii="Times New Roman" w:hAnsi="Times New Roman" w:cs="Times New Roman"/>
          <w:sz w:val="26"/>
          <w:szCs w:val="26"/>
        </w:rPr>
        <w:t>.</w:t>
      </w:r>
    </w:p>
    <w:p w14:paraId="64877289" w14:textId="6250025A" w:rsidR="00857413" w:rsidRPr="000E63AC" w:rsidRDefault="006B3B90"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Konce</w:t>
      </w:r>
      <w:r w:rsidR="00CF167E" w:rsidRPr="000E63AC">
        <w:rPr>
          <w:rFonts w:ascii="Times New Roman" w:hAnsi="Times New Roman" w:cs="Times New Roman"/>
          <w:sz w:val="26"/>
          <w:szCs w:val="26"/>
        </w:rPr>
        <w:t>ptuālajā ziņojumā apskatītas arī citas atbildīgas uzņēmējdarbības iniciatīvas. Tāpat analizēti pētījuma rezultāti par Padziļinātās sadarbības programmas darbību</w:t>
      </w:r>
      <w:r w:rsidRPr="000E63AC">
        <w:rPr>
          <w:rFonts w:ascii="Times New Roman" w:hAnsi="Times New Roman" w:cs="Times New Roman"/>
          <w:sz w:val="26"/>
          <w:szCs w:val="26"/>
        </w:rPr>
        <w:t>,</w:t>
      </w:r>
      <w:r w:rsidR="00CF167E" w:rsidRPr="000E63AC">
        <w:rPr>
          <w:rFonts w:ascii="Times New Roman" w:hAnsi="Times New Roman" w:cs="Times New Roman"/>
          <w:sz w:val="26"/>
          <w:szCs w:val="26"/>
        </w:rPr>
        <w:t xml:space="preserve"> </w:t>
      </w:r>
      <w:r w:rsidRPr="000E63AC">
        <w:rPr>
          <w:rFonts w:ascii="Times New Roman" w:hAnsi="Times New Roman" w:cs="Times New Roman"/>
          <w:sz w:val="26"/>
          <w:szCs w:val="26"/>
        </w:rPr>
        <w:t>kā arī piedāvāti i</w:t>
      </w:r>
      <w:r w:rsidR="00CF167E" w:rsidRPr="000E63AC">
        <w:rPr>
          <w:rFonts w:ascii="Times New Roman" w:hAnsi="Times New Roman" w:cs="Times New Roman"/>
          <w:sz w:val="26"/>
          <w:szCs w:val="26"/>
        </w:rPr>
        <w:t>espējamie risinājumi, par kuru atbalstu</w:t>
      </w:r>
      <w:r w:rsidRPr="000E63AC">
        <w:rPr>
          <w:rFonts w:ascii="Times New Roman" w:hAnsi="Times New Roman" w:cs="Times New Roman"/>
          <w:sz w:val="26"/>
          <w:szCs w:val="26"/>
        </w:rPr>
        <w:t xml:space="preserve"> lēmums jāpieņem Ministru kabinetam.</w:t>
      </w:r>
    </w:p>
    <w:p w14:paraId="32771A47" w14:textId="6AFB0E2B" w:rsidR="00E6135D" w:rsidRPr="000E63AC" w:rsidRDefault="00E6135D"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Papildus konceptuālajā ziņojumā tiek izvērtēt</w:t>
      </w:r>
      <w:r w:rsidR="00522B85" w:rsidRPr="000E63AC">
        <w:rPr>
          <w:rFonts w:ascii="Times New Roman" w:hAnsi="Times New Roman" w:cs="Times New Roman"/>
          <w:sz w:val="26"/>
          <w:szCs w:val="26"/>
        </w:rPr>
        <w:t>a</w:t>
      </w:r>
      <w:r w:rsidRPr="000E63AC">
        <w:rPr>
          <w:rFonts w:ascii="Times New Roman" w:hAnsi="Times New Roman" w:cs="Times New Roman"/>
          <w:sz w:val="26"/>
          <w:szCs w:val="26"/>
        </w:rPr>
        <w:t xml:space="preserve"> </w:t>
      </w:r>
      <w:r w:rsidR="00522B85" w:rsidRPr="000E63AC">
        <w:rPr>
          <w:rFonts w:ascii="Times New Roman" w:hAnsi="Times New Roman" w:cs="Times New Roman"/>
          <w:sz w:val="26"/>
          <w:szCs w:val="26"/>
        </w:rPr>
        <w:t xml:space="preserve">iespēja </w:t>
      </w:r>
      <w:r w:rsidRPr="000E63AC">
        <w:rPr>
          <w:rFonts w:ascii="Times New Roman" w:hAnsi="Times New Roman" w:cs="Times New Roman"/>
          <w:sz w:val="26"/>
          <w:szCs w:val="26"/>
        </w:rPr>
        <w:t xml:space="preserve">paplašināt sadarbības programmu, kas vērsta arī uz mazajiem un vidējiem uzņēmumiem. </w:t>
      </w:r>
      <w:r w:rsidR="00D57CE0" w:rsidRPr="000E63AC">
        <w:rPr>
          <w:rFonts w:ascii="Times New Roman" w:hAnsi="Times New Roman" w:cs="Times New Roman"/>
          <w:sz w:val="26"/>
          <w:szCs w:val="26"/>
        </w:rPr>
        <w:t>Turklāt</w:t>
      </w:r>
      <w:r w:rsidR="00547EC5">
        <w:rPr>
          <w:rFonts w:ascii="Times New Roman" w:hAnsi="Times New Roman" w:cs="Times New Roman"/>
          <w:sz w:val="26"/>
          <w:szCs w:val="26"/>
        </w:rPr>
        <w:t>,</w:t>
      </w:r>
      <w:bookmarkStart w:id="0" w:name="_GoBack"/>
      <w:bookmarkEnd w:id="0"/>
      <w:r w:rsidRPr="000E63AC">
        <w:rPr>
          <w:rFonts w:ascii="Times New Roman" w:hAnsi="Times New Roman" w:cs="Times New Roman"/>
          <w:sz w:val="26"/>
          <w:szCs w:val="26"/>
        </w:rPr>
        <w:t xml:space="preserve"> main</w:t>
      </w:r>
      <w:r w:rsidR="00D57CE0" w:rsidRPr="000E63AC">
        <w:rPr>
          <w:rFonts w:ascii="Times New Roman" w:hAnsi="Times New Roman" w:cs="Times New Roman"/>
          <w:sz w:val="26"/>
          <w:szCs w:val="26"/>
        </w:rPr>
        <w:t>o</w:t>
      </w:r>
      <w:r w:rsidRPr="000E63AC">
        <w:rPr>
          <w:rFonts w:ascii="Times New Roman" w:hAnsi="Times New Roman" w:cs="Times New Roman"/>
          <w:sz w:val="26"/>
          <w:szCs w:val="26"/>
        </w:rPr>
        <w:t>t gan administratīvo procesu</w:t>
      </w:r>
      <w:r w:rsidR="00522B85" w:rsidRPr="000E63AC">
        <w:rPr>
          <w:rFonts w:ascii="Times New Roman" w:hAnsi="Times New Roman" w:cs="Times New Roman"/>
          <w:sz w:val="26"/>
          <w:szCs w:val="26"/>
        </w:rPr>
        <w:t xml:space="preserve"> uzņēmuma </w:t>
      </w:r>
      <w:r w:rsidRPr="000E63AC">
        <w:rPr>
          <w:rFonts w:ascii="Times New Roman" w:hAnsi="Times New Roman" w:cs="Times New Roman"/>
          <w:sz w:val="26"/>
          <w:szCs w:val="26"/>
        </w:rPr>
        <w:t>iekļau</w:t>
      </w:r>
      <w:r w:rsidR="00522B85" w:rsidRPr="000E63AC">
        <w:rPr>
          <w:rFonts w:ascii="Times New Roman" w:hAnsi="Times New Roman" w:cs="Times New Roman"/>
          <w:sz w:val="26"/>
          <w:szCs w:val="26"/>
        </w:rPr>
        <w:t>šanai</w:t>
      </w:r>
      <w:r w:rsidRPr="000E63AC">
        <w:rPr>
          <w:rFonts w:ascii="Times New Roman" w:hAnsi="Times New Roman" w:cs="Times New Roman"/>
          <w:sz w:val="26"/>
          <w:szCs w:val="26"/>
        </w:rPr>
        <w:t xml:space="preserve"> programmā, gan piemērojamos kritērijus, gan pārskatot piedāvātās priekšrocības.</w:t>
      </w:r>
    </w:p>
    <w:p w14:paraId="3B41DB92" w14:textId="77777777" w:rsidR="00925622" w:rsidRPr="000E63AC" w:rsidRDefault="00925622" w:rsidP="0099414B">
      <w:pPr>
        <w:spacing w:after="0" w:line="240" w:lineRule="auto"/>
        <w:ind w:firstLine="709"/>
        <w:jc w:val="both"/>
        <w:rPr>
          <w:rFonts w:ascii="Times New Roman" w:hAnsi="Times New Roman" w:cs="Times New Roman"/>
          <w:sz w:val="26"/>
          <w:szCs w:val="26"/>
        </w:rPr>
      </w:pPr>
    </w:p>
    <w:p w14:paraId="689135CC" w14:textId="77777777" w:rsidR="006B3B90" w:rsidRPr="000E63AC" w:rsidRDefault="006B3B90" w:rsidP="0099414B">
      <w:pPr>
        <w:spacing w:after="0" w:line="240" w:lineRule="auto"/>
        <w:jc w:val="center"/>
        <w:rPr>
          <w:rFonts w:ascii="Times New Roman" w:eastAsia="Times New Roman" w:hAnsi="Times New Roman" w:cs="Times New Roman"/>
          <w:b/>
          <w:bCs/>
          <w:sz w:val="26"/>
          <w:szCs w:val="26"/>
          <w:lang w:eastAsia="lv-LV"/>
        </w:rPr>
      </w:pPr>
      <w:r w:rsidRPr="000E63AC">
        <w:rPr>
          <w:rFonts w:ascii="Times New Roman" w:eastAsia="Times New Roman" w:hAnsi="Times New Roman" w:cs="Times New Roman"/>
          <w:b/>
          <w:bCs/>
          <w:sz w:val="26"/>
          <w:szCs w:val="26"/>
          <w:lang w:eastAsia="lv-LV"/>
        </w:rPr>
        <w:t>2. Situācijas apraksts</w:t>
      </w:r>
    </w:p>
    <w:p w14:paraId="25C9B112" w14:textId="77777777" w:rsidR="00E0658A" w:rsidRPr="000E63AC" w:rsidRDefault="00E0658A" w:rsidP="0099414B">
      <w:pPr>
        <w:spacing w:after="0" w:line="240" w:lineRule="auto"/>
        <w:jc w:val="center"/>
        <w:rPr>
          <w:rFonts w:ascii="Times New Roman" w:eastAsia="Times New Roman" w:hAnsi="Times New Roman" w:cs="Times New Roman"/>
          <w:b/>
          <w:bCs/>
          <w:sz w:val="26"/>
          <w:szCs w:val="26"/>
          <w:lang w:eastAsia="lv-LV"/>
        </w:rPr>
      </w:pPr>
    </w:p>
    <w:p w14:paraId="459AD0D6" w14:textId="77777777" w:rsidR="006B3B90" w:rsidRPr="000E63AC" w:rsidRDefault="009318D5" w:rsidP="0099414B">
      <w:pPr>
        <w:spacing w:after="0" w:line="240" w:lineRule="auto"/>
        <w:ind w:firstLine="709"/>
        <w:jc w:val="center"/>
        <w:rPr>
          <w:rFonts w:ascii="Times New Roman" w:eastAsia="Times New Roman" w:hAnsi="Times New Roman" w:cs="Times New Roman"/>
          <w:b/>
          <w:bCs/>
          <w:sz w:val="26"/>
          <w:szCs w:val="26"/>
          <w:lang w:eastAsia="lv-LV"/>
        </w:rPr>
      </w:pPr>
      <w:r w:rsidRPr="000E63AC">
        <w:rPr>
          <w:rFonts w:ascii="Times New Roman" w:eastAsia="Times New Roman" w:hAnsi="Times New Roman" w:cs="Times New Roman"/>
          <w:b/>
          <w:bCs/>
          <w:sz w:val="26"/>
          <w:szCs w:val="26"/>
          <w:lang w:eastAsia="lv-LV"/>
        </w:rPr>
        <w:t>2.1. Esošā</w:t>
      </w:r>
      <w:r w:rsidR="00E0658A" w:rsidRPr="000E63AC">
        <w:rPr>
          <w:rFonts w:ascii="Times New Roman" w:eastAsia="Times New Roman" w:hAnsi="Times New Roman" w:cs="Times New Roman"/>
          <w:b/>
          <w:bCs/>
          <w:sz w:val="26"/>
          <w:szCs w:val="26"/>
          <w:lang w:eastAsia="lv-LV"/>
        </w:rPr>
        <w:t>s</w:t>
      </w:r>
      <w:r w:rsidRPr="000E63AC">
        <w:rPr>
          <w:rFonts w:ascii="Times New Roman" w:eastAsia="Times New Roman" w:hAnsi="Times New Roman" w:cs="Times New Roman"/>
          <w:b/>
          <w:bCs/>
          <w:sz w:val="26"/>
          <w:szCs w:val="26"/>
          <w:lang w:eastAsia="lv-LV"/>
        </w:rPr>
        <w:t xml:space="preserve"> situācija</w:t>
      </w:r>
      <w:r w:rsidR="00E0658A" w:rsidRPr="000E63AC">
        <w:rPr>
          <w:rFonts w:ascii="Times New Roman" w:eastAsia="Times New Roman" w:hAnsi="Times New Roman" w:cs="Times New Roman"/>
          <w:b/>
          <w:bCs/>
          <w:sz w:val="26"/>
          <w:szCs w:val="26"/>
          <w:lang w:eastAsia="lv-LV"/>
        </w:rPr>
        <w:t>s apraksts</w:t>
      </w:r>
      <w:r w:rsidRPr="000E63AC">
        <w:rPr>
          <w:rFonts w:ascii="Times New Roman" w:eastAsia="Times New Roman" w:hAnsi="Times New Roman" w:cs="Times New Roman"/>
          <w:b/>
          <w:bCs/>
          <w:sz w:val="26"/>
          <w:szCs w:val="26"/>
          <w:lang w:eastAsia="lv-LV"/>
        </w:rPr>
        <w:t xml:space="preserve"> Latvijā </w:t>
      </w:r>
    </w:p>
    <w:p w14:paraId="5F4A7EA7" w14:textId="77777777" w:rsidR="00A16507" w:rsidRPr="000E63AC" w:rsidRDefault="00A16507" w:rsidP="0099414B">
      <w:pPr>
        <w:spacing w:after="0" w:line="240" w:lineRule="auto"/>
        <w:ind w:firstLine="709"/>
        <w:jc w:val="center"/>
        <w:rPr>
          <w:rFonts w:ascii="Times New Roman" w:eastAsia="Times New Roman" w:hAnsi="Times New Roman" w:cs="Times New Roman"/>
          <w:b/>
          <w:bCs/>
          <w:sz w:val="26"/>
          <w:szCs w:val="26"/>
          <w:lang w:eastAsia="lv-LV"/>
        </w:rPr>
      </w:pPr>
    </w:p>
    <w:p w14:paraId="47E9AF80" w14:textId="133302F8" w:rsidR="00FA0A06" w:rsidRPr="000E63AC" w:rsidRDefault="00FA0A06" w:rsidP="0099414B">
      <w:pPr>
        <w:spacing w:after="0" w:line="240" w:lineRule="auto"/>
        <w:ind w:firstLine="709"/>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 xml:space="preserve">Ar </w:t>
      </w:r>
      <w:r w:rsidR="003E14D8" w:rsidRPr="000E63AC">
        <w:rPr>
          <w:rFonts w:ascii="Times New Roman" w:eastAsia="Times New Roman" w:hAnsi="Times New Roman" w:cs="Times New Roman"/>
          <w:sz w:val="26"/>
          <w:szCs w:val="26"/>
          <w:lang w:eastAsia="lv-LV"/>
        </w:rPr>
        <w:t xml:space="preserve">Ministru kabineta </w:t>
      </w:r>
      <w:r w:rsidRPr="000E63AC">
        <w:rPr>
          <w:rFonts w:ascii="Times New Roman" w:eastAsia="Times New Roman" w:hAnsi="Times New Roman" w:cs="Times New Roman"/>
          <w:sz w:val="26"/>
          <w:szCs w:val="26"/>
          <w:lang w:eastAsia="lv-LV"/>
        </w:rPr>
        <w:t>2011.gada 19.decembra rīkojumu Nr.673 tika atbalstīta koncepcija “Par Padziļinātās sadarbības programmu”</w:t>
      </w:r>
      <w:r w:rsidR="00E30886" w:rsidRPr="000E63AC">
        <w:rPr>
          <w:rFonts w:ascii="Times New Roman" w:eastAsia="Times New Roman" w:hAnsi="Times New Roman" w:cs="Times New Roman"/>
          <w:sz w:val="26"/>
          <w:szCs w:val="26"/>
          <w:lang w:eastAsia="lv-LV"/>
        </w:rPr>
        <w:t xml:space="preserve"> (turpmāk – koncepcija)</w:t>
      </w:r>
      <w:r w:rsidRPr="000E63AC">
        <w:rPr>
          <w:rFonts w:ascii="Times New Roman" w:eastAsia="Times New Roman" w:hAnsi="Times New Roman" w:cs="Times New Roman"/>
          <w:sz w:val="26"/>
          <w:szCs w:val="26"/>
          <w:lang w:eastAsia="lv-LV"/>
        </w:rPr>
        <w:t>, ar mērķi radīt sistēmu, kurā uzņēmumi, kas ir pierādījuši savu izcilību attieksmē pret valsti, no valsts puses saņem īpašu attieksmi un pretimnākošu sa</w:t>
      </w:r>
      <w:r w:rsidR="00E30DD3" w:rsidRPr="000E63AC">
        <w:rPr>
          <w:rFonts w:ascii="Times New Roman" w:eastAsia="Times New Roman" w:hAnsi="Times New Roman" w:cs="Times New Roman"/>
          <w:sz w:val="26"/>
          <w:szCs w:val="26"/>
          <w:lang w:eastAsia="lv-LV"/>
        </w:rPr>
        <w:t xml:space="preserve">darbību. Tās ietvaros tika paredzēts </w:t>
      </w:r>
      <w:r w:rsidRPr="000E63AC">
        <w:rPr>
          <w:rFonts w:ascii="Times New Roman" w:eastAsia="Times New Roman" w:hAnsi="Times New Roman" w:cs="Times New Roman"/>
          <w:sz w:val="26"/>
          <w:szCs w:val="26"/>
          <w:lang w:eastAsia="lv-LV"/>
        </w:rPr>
        <w:t>uzlabot sadar</w:t>
      </w:r>
      <w:r w:rsidR="00E30DD3" w:rsidRPr="000E63AC">
        <w:rPr>
          <w:rFonts w:ascii="Times New Roman" w:eastAsia="Times New Roman" w:hAnsi="Times New Roman" w:cs="Times New Roman"/>
          <w:sz w:val="26"/>
          <w:szCs w:val="26"/>
          <w:lang w:eastAsia="lv-LV"/>
        </w:rPr>
        <w:t xml:space="preserve">bību starp valsti un uzņēmumiem, </w:t>
      </w:r>
      <w:r w:rsidRPr="000E63AC">
        <w:rPr>
          <w:rFonts w:ascii="Times New Roman" w:eastAsia="Times New Roman" w:hAnsi="Times New Roman" w:cs="Times New Roman"/>
          <w:sz w:val="26"/>
          <w:szCs w:val="26"/>
          <w:lang w:eastAsia="lv-LV"/>
        </w:rPr>
        <w:t>samazināt administratī</w:t>
      </w:r>
      <w:r w:rsidR="00E30DD3" w:rsidRPr="000E63AC">
        <w:rPr>
          <w:rFonts w:ascii="Times New Roman" w:eastAsia="Times New Roman" w:hAnsi="Times New Roman" w:cs="Times New Roman"/>
          <w:sz w:val="26"/>
          <w:szCs w:val="26"/>
          <w:lang w:eastAsia="lv-LV"/>
        </w:rPr>
        <w:t xml:space="preserve">vo slogu juridiskajām personām, kā arī </w:t>
      </w:r>
      <w:r w:rsidRPr="000E63AC">
        <w:rPr>
          <w:rFonts w:ascii="Times New Roman" w:eastAsia="Times New Roman" w:hAnsi="Times New Roman" w:cs="Times New Roman"/>
          <w:sz w:val="26"/>
          <w:szCs w:val="26"/>
          <w:lang w:eastAsia="lv-LV"/>
        </w:rPr>
        <w:t>uzlabot juridisko personu savstarpējo sadarbību.</w:t>
      </w:r>
      <w:r w:rsidR="00E30DD3" w:rsidRPr="000E63AC">
        <w:rPr>
          <w:rFonts w:ascii="Times New Roman" w:eastAsia="Times New Roman" w:hAnsi="Times New Roman" w:cs="Times New Roman"/>
          <w:sz w:val="26"/>
          <w:szCs w:val="26"/>
          <w:lang w:eastAsia="lv-LV"/>
        </w:rPr>
        <w:t xml:space="preserve"> </w:t>
      </w:r>
    </w:p>
    <w:p w14:paraId="6AFE8B61" w14:textId="7A9DA777" w:rsidR="00A16507" w:rsidRPr="000E63AC" w:rsidRDefault="000F378D" w:rsidP="0099414B">
      <w:pPr>
        <w:spacing w:after="0" w:line="240" w:lineRule="auto"/>
        <w:ind w:firstLine="709"/>
        <w:jc w:val="both"/>
        <w:rPr>
          <w:rFonts w:ascii="Times New Roman" w:eastAsia="Times New Roman" w:hAnsi="Times New Roman" w:cs="Times New Roman"/>
          <w:color w:val="FF0000"/>
          <w:sz w:val="26"/>
          <w:szCs w:val="26"/>
          <w:lang w:eastAsia="lv-LV"/>
        </w:rPr>
      </w:pPr>
      <w:r w:rsidRPr="000E63AC">
        <w:rPr>
          <w:rFonts w:ascii="Times New Roman" w:eastAsia="Times New Roman" w:hAnsi="Times New Roman" w:cs="Times New Roman"/>
          <w:sz w:val="26"/>
          <w:szCs w:val="26"/>
          <w:lang w:eastAsia="lv-LV"/>
        </w:rPr>
        <w:t>Pamatojieties uz Ministra kabineta atbalstīto koncepciju</w:t>
      </w:r>
      <w:r w:rsidR="003A6B3B">
        <w:rPr>
          <w:rFonts w:ascii="Times New Roman" w:eastAsia="Times New Roman" w:hAnsi="Times New Roman" w:cs="Times New Roman"/>
          <w:sz w:val="26"/>
          <w:szCs w:val="26"/>
          <w:lang w:eastAsia="lv-LV"/>
        </w:rPr>
        <w:t>,</w:t>
      </w:r>
      <w:r w:rsidRPr="000E63AC">
        <w:rPr>
          <w:rFonts w:ascii="Times New Roman" w:eastAsia="Times New Roman" w:hAnsi="Times New Roman" w:cs="Times New Roman"/>
          <w:sz w:val="26"/>
          <w:szCs w:val="26"/>
          <w:lang w:eastAsia="lv-LV"/>
        </w:rPr>
        <w:t xml:space="preserve"> </w:t>
      </w:r>
      <w:r w:rsidR="00CC570B" w:rsidRPr="000E63AC">
        <w:rPr>
          <w:rFonts w:ascii="Times New Roman" w:eastAsia="Times New Roman" w:hAnsi="Times New Roman" w:cs="Times New Roman"/>
          <w:sz w:val="26"/>
          <w:szCs w:val="26"/>
          <w:lang w:eastAsia="lv-LV"/>
        </w:rPr>
        <w:t>ar 2012.gada 1.jūliju savu darbību uzsāka Pa</w:t>
      </w:r>
      <w:r w:rsidR="0064650E" w:rsidRPr="000E63AC">
        <w:rPr>
          <w:rFonts w:ascii="Times New Roman" w:eastAsia="Times New Roman" w:hAnsi="Times New Roman" w:cs="Times New Roman"/>
          <w:sz w:val="26"/>
          <w:szCs w:val="26"/>
          <w:lang w:eastAsia="lv-LV"/>
        </w:rPr>
        <w:t>dziļinātā sadarbības programma</w:t>
      </w:r>
      <w:r w:rsidR="00193E01" w:rsidRPr="000E63AC">
        <w:rPr>
          <w:rFonts w:ascii="Times New Roman" w:eastAsia="Times New Roman" w:hAnsi="Times New Roman" w:cs="Times New Roman"/>
          <w:sz w:val="26"/>
          <w:szCs w:val="26"/>
          <w:lang w:eastAsia="lv-LV"/>
        </w:rPr>
        <w:t xml:space="preserve">. Padziļinātā sadarbības programma paredz, ka uzņēmēji, kuri atbilst Ministru kabineta 2012.gada 26.jūnija noteikumos Nr.459 </w:t>
      </w:r>
      <w:r w:rsidR="0064650E" w:rsidRPr="000E63AC">
        <w:rPr>
          <w:rFonts w:ascii="Times New Roman" w:eastAsia="Times New Roman" w:hAnsi="Times New Roman" w:cs="Times New Roman"/>
          <w:sz w:val="26"/>
          <w:szCs w:val="26"/>
          <w:lang w:eastAsia="lv-LV"/>
        </w:rPr>
        <w:t>“</w:t>
      </w:r>
      <w:r w:rsidR="00193E01" w:rsidRPr="000E63AC">
        <w:rPr>
          <w:rFonts w:ascii="Times New Roman" w:eastAsia="Times New Roman" w:hAnsi="Times New Roman" w:cs="Times New Roman"/>
          <w:sz w:val="26"/>
          <w:szCs w:val="26"/>
          <w:lang w:eastAsia="lv-LV"/>
        </w:rPr>
        <w:t xml:space="preserve">Noteikumi par Padziļinātās sadarbības programmas darbību” definētajiem kritērijiem, var pieteikties dalībai Padziļinātajā sadarbības programmā un tādejādi iespējami atviegloti komunicēt ar Valsts ieņēmumu dienestu un izmantot programmas </w:t>
      </w:r>
      <w:r w:rsidR="00F7591E" w:rsidRPr="000E63AC">
        <w:rPr>
          <w:rFonts w:ascii="Times New Roman" w:eastAsia="Times New Roman" w:hAnsi="Times New Roman" w:cs="Times New Roman"/>
          <w:sz w:val="26"/>
          <w:szCs w:val="26"/>
          <w:lang w:eastAsia="lv-LV"/>
        </w:rPr>
        <w:t xml:space="preserve">sniegtās </w:t>
      </w:r>
      <w:r w:rsidR="00193E01" w:rsidRPr="000E63AC">
        <w:rPr>
          <w:rFonts w:ascii="Times New Roman" w:eastAsia="Times New Roman" w:hAnsi="Times New Roman" w:cs="Times New Roman"/>
          <w:sz w:val="26"/>
          <w:szCs w:val="26"/>
          <w:lang w:eastAsia="lv-LV"/>
        </w:rPr>
        <w:t>priekšrocības</w:t>
      </w:r>
      <w:r w:rsidR="00265EF2" w:rsidRPr="000E63AC">
        <w:rPr>
          <w:rFonts w:ascii="Times New Roman" w:eastAsia="Times New Roman" w:hAnsi="Times New Roman" w:cs="Times New Roman"/>
          <w:sz w:val="26"/>
          <w:szCs w:val="26"/>
          <w:lang w:eastAsia="lv-LV"/>
        </w:rPr>
        <w:t>.</w:t>
      </w:r>
      <w:r w:rsidR="009B621A" w:rsidRPr="000E63AC">
        <w:rPr>
          <w:rFonts w:ascii="Times New Roman" w:eastAsia="Times New Roman" w:hAnsi="Times New Roman" w:cs="Times New Roman"/>
          <w:color w:val="FF0000"/>
          <w:sz w:val="26"/>
          <w:szCs w:val="26"/>
          <w:lang w:eastAsia="lv-LV"/>
        </w:rPr>
        <w:t xml:space="preserve"> </w:t>
      </w:r>
    </w:p>
    <w:p w14:paraId="4235E5D3" w14:textId="7E1E36DC" w:rsidR="00E87B4E" w:rsidRPr="000E63AC" w:rsidRDefault="002E355F" w:rsidP="0099414B">
      <w:pPr>
        <w:spacing w:after="0" w:line="240" w:lineRule="auto"/>
        <w:ind w:firstLine="709"/>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lastRenderedPageBreak/>
        <w:t>Līdz šim p</w:t>
      </w:r>
      <w:r w:rsidR="0034134C" w:rsidRPr="000E63AC">
        <w:rPr>
          <w:rFonts w:ascii="Times New Roman" w:eastAsia="Times New Roman" w:hAnsi="Times New Roman" w:cs="Times New Roman"/>
          <w:sz w:val="26"/>
          <w:szCs w:val="26"/>
          <w:lang w:eastAsia="lv-LV"/>
        </w:rPr>
        <w:t>rogramma sevi ir pierādījusi kā nozīmīgu atbalsta rīku sadarbībai starp valsts pārvaldi un nodokļu maksātājiem</w:t>
      </w:r>
      <w:r w:rsidRPr="000E63AC">
        <w:rPr>
          <w:rFonts w:ascii="Times New Roman" w:eastAsia="Times New Roman" w:hAnsi="Times New Roman" w:cs="Times New Roman"/>
          <w:sz w:val="26"/>
          <w:szCs w:val="26"/>
          <w:lang w:eastAsia="lv-LV"/>
        </w:rPr>
        <w:t>,</w:t>
      </w:r>
      <w:r w:rsidR="00AD1A40" w:rsidRPr="000E63AC">
        <w:rPr>
          <w:rFonts w:ascii="Times New Roman" w:eastAsia="Times New Roman" w:hAnsi="Times New Roman" w:cs="Times New Roman"/>
          <w:sz w:val="26"/>
          <w:szCs w:val="26"/>
          <w:lang w:eastAsia="lv-LV"/>
        </w:rPr>
        <w:t xml:space="preserve"> un tajā </w:t>
      </w:r>
      <w:r w:rsidR="00B804F5" w:rsidRPr="000E63AC">
        <w:rPr>
          <w:rFonts w:ascii="Times New Roman" w:eastAsia="Times New Roman" w:hAnsi="Times New Roman" w:cs="Times New Roman"/>
          <w:sz w:val="26"/>
          <w:szCs w:val="26"/>
          <w:lang w:eastAsia="lv-LV"/>
        </w:rPr>
        <w:t>ir iekļauti 7</w:t>
      </w:r>
      <w:r w:rsidR="003A6B3B">
        <w:rPr>
          <w:rFonts w:ascii="Times New Roman" w:eastAsia="Times New Roman" w:hAnsi="Times New Roman" w:cs="Times New Roman"/>
          <w:sz w:val="26"/>
          <w:szCs w:val="26"/>
          <w:lang w:eastAsia="lv-LV"/>
        </w:rPr>
        <w:t>5</w:t>
      </w:r>
      <w:r w:rsidR="00B804F5" w:rsidRPr="000E63AC">
        <w:rPr>
          <w:rFonts w:ascii="Times New Roman" w:eastAsia="Times New Roman" w:hAnsi="Times New Roman" w:cs="Times New Roman"/>
          <w:sz w:val="26"/>
          <w:szCs w:val="26"/>
          <w:lang w:eastAsia="lv-LV"/>
        </w:rPr>
        <w:t xml:space="preserve"> dalībnieki</w:t>
      </w:r>
      <w:r w:rsidR="00666F79" w:rsidRPr="000E63AC">
        <w:rPr>
          <w:rFonts w:ascii="Times New Roman" w:eastAsia="Times New Roman" w:hAnsi="Times New Roman" w:cs="Times New Roman"/>
          <w:sz w:val="26"/>
          <w:szCs w:val="26"/>
          <w:lang w:eastAsia="lv-LV"/>
        </w:rPr>
        <w:t>.</w:t>
      </w:r>
    </w:p>
    <w:p w14:paraId="28BEA48C" w14:textId="7DB287C2" w:rsidR="00666F79" w:rsidRPr="000E63AC" w:rsidRDefault="00C37F13" w:rsidP="0099414B">
      <w:pPr>
        <w:spacing w:after="0" w:line="240" w:lineRule="auto"/>
        <w:ind w:firstLine="709"/>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 xml:space="preserve">Valsts ieņēmumu dienests un Iekšlietu </w:t>
      </w:r>
      <w:r w:rsidR="006E7B5B" w:rsidRPr="000E63AC">
        <w:rPr>
          <w:rFonts w:ascii="Times New Roman" w:eastAsia="Times New Roman" w:hAnsi="Times New Roman" w:cs="Times New Roman"/>
          <w:sz w:val="26"/>
          <w:szCs w:val="26"/>
          <w:lang w:eastAsia="lv-LV"/>
        </w:rPr>
        <w:t>m</w:t>
      </w:r>
      <w:r w:rsidRPr="000E63AC">
        <w:rPr>
          <w:rFonts w:ascii="Times New Roman" w:eastAsia="Times New Roman" w:hAnsi="Times New Roman" w:cs="Times New Roman"/>
          <w:sz w:val="26"/>
          <w:szCs w:val="26"/>
          <w:lang w:eastAsia="lv-LV"/>
        </w:rPr>
        <w:t xml:space="preserve">inistrijas </w:t>
      </w:r>
      <w:r w:rsidR="006E7B5B" w:rsidRPr="000E63AC">
        <w:rPr>
          <w:rFonts w:ascii="Times New Roman" w:eastAsia="Times New Roman" w:hAnsi="Times New Roman" w:cs="Times New Roman"/>
          <w:sz w:val="26"/>
          <w:szCs w:val="26"/>
          <w:lang w:eastAsia="lv-LV"/>
        </w:rPr>
        <w:t xml:space="preserve">padotībā esošā </w:t>
      </w:r>
      <w:r w:rsidRPr="000E63AC">
        <w:rPr>
          <w:rFonts w:ascii="Times New Roman" w:eastAsia="Times New Roman" w:hAnsi="Times New Roman" w:cs="Times New Roman"/>
          <w:sz w:val="26"/>
          <w:szCs w:val="26"/>
          <w:lang w:eastAsia="lv-LV"/>
        </w:rPr>
        <w:t>Pilsonības un migrācijas lietu pārvalde šobrīd nodrošina virkni priekšrocību Padziļinātās sadarbības programmas dalībniekiem. Kā būtiskākās priekšrocības minot</w:t>
      </w:r>
      <w:r w:rsidR="004A5D29" w:rsidRPr="000E63AC">
        <w:rPr>
          <w:rFonts w:ascii="Times New Roman" w:eastAsia="Times New Roman" w:hAnsi="Times New Roman" w:cs="Times New Roman"/>
          <w:sz w:val="26"/>
          <w:szCs w:val="26"/>
          <w:lang w:eastAsia="lv-LV"/>
        </w:rPr>
        <w:t xml:space="preserve"> ar</w:t>
      </w:r>
      <w:r w:rsidRPr="000E63AC">
        <w:rPr>
          <w:rFonts w:ascii="Times New Roman" w:eastAsia="Times New Roman" w:hAnsi="Times New Roman" w:cs="Times New Roman"/>
          <w:sz w:val="26"/>
          <w:szCs w:val="26"/>
          <w:lang w:eastAsia="lv-LV"/>
        </w:rPr>
        <w:t xml:space="preserve"> pozitīvu finansiālu ietekmi uz komersanta darbību, piem., grozījumi normatīvajos aktos, kas paredz, ka</w:t>
      </w:r>
      <w:r w:rsidR="006B0A5E">
        <w:rPr>
          <w:rFonts w:ascii="Times New Roman" w:eastAsia="Times New Roman" w:hAnsi="Times New Roman" w:cs="Times New Roman"/>
          <w:sz w:val="26"/>
          <w:szCs w:val="26"/>
          <w:lang w:eastAsia="lv-LV"/>
        </w:rPr>
        <w:t xml:space="preserve"> kopumā komersanti</w:t>
      </w:r>
      <w:r w:rsidRPr="000E63AC">
        <w:rPr>
          <w:rFonts w:ascii="Times New Roman" w:eastAsia="Times New Roman" w:hAnsi="Times New Roman" w:cs="Times New Roman"/>
          <w:sz w:val="26"/>
          <w:szCs w:val="26"/>
          <w:lang w:eastAsia="lv-LV"/>
        </w:rPr>
        <w:t xml:space="preserve"> jaunos kases aparātus, hibrīda kases aparātus vai kases sistēmas sāk lietot ne vēlāk kā 2017.gada 1.janvārī, savukārt Padziļinātās sadarbības programmas dalībnieki kases aparātus, hibrīda kases aparātus vai kases sistēmas sāk lietot ne vēlāk kā 2019.gada 1.janvārī,</w:t>
      </w:r>
      <w:r w:rsidR="003F43F5" w:rsidRPr="000E63AC">
        <w:rPr>
          <w:rFonts w:ascii="Times New Roman" w:eastAsia="Times New Roman" w:hAnsi="Times New Roman" w:cs="Times New Roman"/>
          <w:sz w:val="26"/>
          <w:szCs w:val="26"/>
          <w:lang w:eastAsia="lv-LV"/>
        </w:rPr>
        <w:t xml:space="preserve"> kā arī</w:t>
      </w:r>
      <w:r w:rsidRPr="000E63AC">
        <w:rPr>
          <w:rFonts w:ascii="Times New Roman" w:eastAsia="Times New Roman" w:hAnsi="Times New Roman" w:cs="Times New Roman"/>
          <w:sz w:val="26"/>
          <w:szCs w:val="26"/>
          <w:lang w:eastAsia="lv-LV"/>
        </w:rPr>
        <w:t xml:space="preserve"> </w:t>
      </w:r>
      <w:r w:rsidR="003F43F5" w:rsidRPr="000E63AC">
        <w:rPr>
          <w:rFonts w:ascii="Times New Roman" w:eastAsia="Times New Roman" w:hAnsi="Times New Roman" w:cs="Times New Roman"/>
          <w:sz w:val="26"/>
          <w:szCs w:val="26"/>
          <w:lang w:eastAsia="lv-LV"/>
        </w:rPr>
        <w:t>iespēja akcīzes preču noliktavas turētājam piemērot akcīzes nodokļa vispārējā nodrošinājuma samazinājumu 100% apmērā</w:t>
      </w:r>
      <w:r w:rsidRPr="000E63AC">
        <w:rPr>
          <w:rFonts w:ascii="Times New Roman" w:eastAsia="Times New Roman" w:hAnsi="Times New Roman" w:cs="Times New Roman"/>
          <w:sz w:val="26"/>
          <w:szCs w:val="26"/>
          <w:lang w:eastAsia="lv-LV"/>
        </w:rPr>
        <w:t>.</w:t>
      </w:r>
    </w:p>
    <w:p w14:paraId="13845A06" w14:textId="77777777" w:rsidR="00FA0A06" w:rsidRPr="000E63AC" w:rsidRDefault="00FA0A06" w:rsidP="0099414B">
      <w:pPr>
        <w:spacing w:after="0" w:line="240" w:lineRule="auto"/>
        <w:ind w:firstLine="709"/>
        <w:jc w:val="both"/>
        <w:rPr>
          <w:rFonts w:ascii="Times New Roman" w:eastAsia="Times New Roman" w:hAnsi="Times New Roman" w:cs="Times New Roman"/>
          <w:sz w:val="26"/>
          <w:szCs w:val="26"/>
          <w:lang w:eastAsia="lv-LV"/>
        </w:rPr>
      </w:pPr>
    </w:p>
    <w:p w14:paraId="577E4DAD" w14:textId="77777777" w:rsidR="00D10137" w:rsidRPr="000E63AC" w:rsidRDefault="0020350D" w:rsidP="0099414B">
      <w:pPr>
        <w:spacing w:after="0" w:line="240" w:lineRule="auto"/>
        <w:jc w:val="center"/>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t xml:space="preserve">2.2. Citas iniciatīvas </w:t>
      </w:r>
      <w:r w:rsidR="00721454" w:rsidRPr="000E63AC">
        <w:rPr>
          <w:rFonts w:ascii="Times New Roman" w:eastAsia="Times New Roman" w:hAnsi="Times New Roman" w:cs="Times New Roman"/>
          <w:b/>
          <w:sz w:val="26"/>
          <w:szCs w:val="26"/>
          <w:lang w:eastAsia="lv-LV"/>
        </w:rPr>
        <w:t xml:space="preserve">un instrumenti </w:t>
      </w:r>
    </w:p>
    <w:p w14:paraId="2376DA37" w14:textId="77777777" w:rsidR="00B121AB" w:rsidRPr="000E63AC" w:rsidRDefault="00B121AB" w:rsidP="0099414B">
      <w:pPr>
        <w:spacing w:after="0"/>
        <w:ind w:firstLine="709"/>
        <w:jc w:val="both"/>
        <w:rPr>
          <w:rFonts w:ascii="Times New Roman" w:hAnsi="Times New Roman" w:cs="Times New Roman"/>
          <w:sz w:val="26"/>
          <w:szCs w:val="26"/>
        </w:rPr>
      </w:pPr>
    </w:p>
    <w:p w14:paraId="219E26D5" w14:textId="3A9DBA82" w:rsidR="00EB7363" w:rsidRPr="000E63AC" w:rsidRDefault="000C7165"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Padziļināto </w:t>
      </w:r>
      <w:r w:rsidR="00E4003A" w:rsidRPr="000E63AC">
        <w:rPr>
          <w:rFonts w:ascii="Times New Roman" w:hAnsi="Times New Roman" w:cs="Times New Roman"/>
          <w:sz w:val="26"/>
          <w:szCs w:val="26"/>
        </w:rPr>
        <w:t>sadarbības</w:t>
      </w:r>
      <w:r w:rsidRPr="000E63AC">
        <w:rPr>
          <w:rFonts w:ascii="Times New Roman" w:hAnsi="Times New Roman" w:cs="Times New Roman"/>
          <w:sz w:val="26"/>
          <w:szCs w:val="26"/>
        </w:rPr>
        <w:t xml:space="preserve"> programma atspoguļo mūsdienīgu nodokļu administrācijas pieeju nodokļu maksātājiem un nodokļu starpniekiem. Pat ja šī pieeja ir samērā jauna, tā veiksmīgi darbojās vairākās valstīs, tā uzlabo nodokļu administrāciju un nodokļu maksātāju sadarbību. Tā rezultāts i</w:t>
      </w:r>
      <w:r w:rsidR="004B33B8" w:rsidRPr="000E63AC">
        <w:rPr>
          <w:rFonts w:ascii="Times New Roman" w:hAnsi="Times New Roman" w:cs="Times New Roman"/>
          <w:sz w:val="26"/>
          <w:szCs w:val="26"/>
        </w:rPr>
        <w:t>r labāka uzraudzība</w:t>
      </w:r>
      <w:r w:rsidR="00794D21" w:rsidRPr="000E63AC">
        <w:rPr>
          <w:rFonts w:ascii="Times New Roman" w:hAnsi="Times New Roman" w:cs="Times New Roman"/>
          <w:sz w:val="26"/>
          <w:szCs w:val="26"/>
        </w:rPr>
        <w:t xml:space="preserve"> un augstāks </w:t>
      </w:r>
      <w:r w:rsidRPr="000E63AC">
        <w:rPr>
          <w:rFonts w:ascii="Times New Roman" w:hAnsi="Times New Roman" w:cs="Times New Roman"/>
          <w:sz w:val="26"/>
          <w:szCs w:val="26"/>
        </w:rPr>
        <w:t>labprātīgu nodokļu saistību izpildes līmenis.</w:t>
      </w:r>
      <w:r w:rsidR="00B121AB" w:rsidRPr="000E63AC">
        <w:rPr>
          <w:rStyle w:val="FootnoteReference"/>
          <w:rFonts w:ascii="Times New Roman" w:hAnsi="Times New Roman" w:cs="Times New Roman"/>
          <w:sz w:val="26"/>
          <w:szCs w:val="26"/>
        </w:rPr>
        <w:footnoteReference w:id="1"/>
      </w:r>
      <w:r w:rsidR="00161F71" w:rsidRPr="000E63AC">
        <w:rPr>
          <w:rFonts w:ascii="Times New Roman" w:hAnsi="Times New Roman" w:cs="Times New Roman"/>
          <w:sz w:val="26"/>
          <w:szCs w:val="26"/>
        </w:rPr>
        <w:t xml:space="preserve"> </w:t>
      </w:r>
      <w:r w:rsidR="00B121AB" w:rsidRPr="000E63AC">
        <w:rPr>
          <w:rFonts w:ascii="Times New Roman" w:hAnsi="Times New Roman" w:cs="Times New Roman"/>
          <w:sz w:val="26"/>
          <w:szCs w:val="26"/>
        </w:rPr>
        <w:t>Svarīg</w:t>
      </w:r>
      <w:r w:rsidR="00B4322D" w:rsidRPr="000E63AC">
        <w:rPr>
          <w:rFonts w:ascii="Times New Roman" w:hAnsi="Times New Roman" w:cs="Times New Roman"/>
          <w:sz w:val="26"/>
          <w:szCs w:val="26"/>
        </w:rPr>
        <w:t xml:space="preserve">a </w:t>
      </w:r>
      <w:r w:rsidR="00E4003A" w:rsidRPr="000E63AC">
        <w:rPr>
          <w:rFonts w:ascii="Times New Roman" w:hAnsi="Times New Roman" w:cs="Times New Roman"/>
          <w:sz w:val="26"/>
          <w:szCs w:val="26"/>
        </w:rPr>
        <w:t>sadarbības</w:t>
      </w:r>
      <w:r w:rsidR="00B4322D" w:rsidRPr="000E63AC">
        <w:rPr>
          <w:rFonts w:ascii="Times New Roman" w:hAnsi="Times New Roman" w:cs="Times New Roman"/>
          <w:sz w:val="26"/>
          <w:szCs w:val="26"/>
        </w:rPr>
        <w:t xml:space="preserve"> principa</w:t>
      </w:r>
      <w:r w:rsidR="00B121AB" w:rsidRPr="000E63AC">
        <w:rPr>
          <w:rFonts w:ascii="Times New Roman" w:hAnsi="Times New Roman" w:cs="Times New Roman"/>
          <w:sz w:val="26"/>
          <w:szCs w:val="26"/>
        </w:rPr>
        <w:t xml:space="preserve"> daļa ir tā, </w:t>
      </w:r>
      <w:r w:rsidR="00B4322D" w:rsidRPr="000E63AC">
        <w:rPr>
          <w:rFonts w:ascii="Times New Roman" w:hAnsi="Times New Roman" w:cs="Times New Roman"/>
          <w:sz w:val="26"/>
          <w:szCs w:val="26"/>
        </w:rPr>
        <w:t xml:space="preserve">ka </w:t>
      </w:r>
      <w:r w:rsidR="00161F71" w:rsidRPr="000E63AC">
        <w:rPr>
          <w:rFonts w:ascii="Times New Roman" w:hAnsi="Times New Roman" w:cs="Times New Roman"/>
          <w:sz w:val="26"/>
          <w:szCs w:val="26"/>
        </w:rPr>
        <w:t>šāda pieeja ir</w:t>
      </w:r>
      <w:r w:rsidR="00B121AB" w:rsidRPr="000E63AC">
        <w:rPr>
          <w:rFonts w:ascii="Times New Roman" w:hAnsi="Times New Roman" w:cs="Times New Roman"/>
          <w:sz w:val="26"/>
          <w:szCs w:val="26"/>
        </w:rPr>
        <w:t xml:space="preserve"> tikai atsevišķiem nodokļu maksātājiem, proti, tiem, kuriem tiek novērtēts pietiekami zems nodokļu </w:t>
      </w:r>
      <w:r w:rsidR="00BC386F" w:rsidRPr="000E63AC">
        <w:rPr>
          <w:rFonts w:ascii="Times New Roman" w:hAnsi="Times New Roman" w:cs="Times New Roman"/>
          <w:sz w:val="26"/>
          <w:szCs w:val="26"/>
        </w:rPr>
        <w:t xml:space="preserve">nenomaksas </w:t>
      </w:r>
      <w:r w:rsidR="00B121AB" w:rsidRPr="000E63AC">
        <w:rPr>
          <w:rFonts w:ascii="Times New Roman" w:hAnsi="Times New Roman" w:cs="Times New Roman"/>
          <w:sz w:val="26"/>
          <w:szCs w:val="26"/>
        </w:rPr>
        <w:t>risks. Padziļināt</w:t>
      </w:r>
      <w:r w:rsidR="007E3C84" w:rsidRPr="000E63AC">
        <w:rPr>
          <w:rFonts w:ascii="Times New Roman" w:hAnsi="Times New Roman" w:cs="Times New Roman"/>
          <w:sz w:val="26"/>
          <w:szCs w:val="26"/>
        </w:rPr>
        <w:t>ās</w:t>
      </w:r>
      <w:r w:rsidR="00B121AB" w:rsidRPr="000E63AC">
        <w:rPr>
          <w:rFonts w:ascii="Times New Roman" w:hAnsi="Times New Roman" w:cs="Times New Roman"/>
          <w:sz w:val="26"/>
          <w:szCs w:val="26"/>
        </w:rPr>
        <w:t xml:space="preserve"> </w:t>
      </w:r>
      <w:r w:rsidR="007E3C84" w:rsidRPr="000E63AC">
        <w:rPr>
          <w:rFonts w:ascii="Times New Roman" w:hAnsi="Times New Roman" w:cs="Times New Roman"/>
          <w:sz w:val="26"/>
          <w:szCs w:val="26"/>
        </w:rPr>
        <w:t>sadarbības</w:t>
      </w:r>
      <w:r w:rsidR="00B121AB" w:rsidRPr="000E63AC">
        <w:rPr>
          <w:rFonts w:ascii="Times New Roman" w:hAnsi="Times New Roman" w:cs="Times New Roman"/>
          <w:sz w:val="26"/>
          <w:szCs w:val="26"/>
        </w:rPr>
        <w:t xml:space="preserve"> programmas </w:t>
      </w:r>
      <w:r w:rsidR="00B4322D" w:rsidRPr="000E63AC">
        <w:rPr>
          <w:rFonts w:ascii="Times New Roman" w:hAnsi="Times New Roman" w:cs="Times New Roman"/>
          <w:sz w:val="26"/>
          <w:szCs w:val="26"/>
        </w:rPr>
        <w:t>būtība</w:t>
      </w:r>
      <w:r w:rsidR="00B121AB" w:rsidRPr="000E63AC">
        <w:rPr>
          <w:rFonts w:ascii="Times New Roman" w:hAnsi="Times New Roman" w:cs="Times New Roman"/>
          <w:sz w:val="26"/>
          <w:szCs w:val="26"/>
        </w:rPr>
        <w:t xml:space="preserve"> ir tāda, ka nodokļu administrācija var koncentrēt savus ierobežotos resursus uz tiem nodokļu maksātājiem, kuri netiek uzskatīti par </w:t>
      </w:r>
      <w:r w:rsidR="00265EF2" w:rsidRPr="000E63AC">
        <w:rPr>
          <w:rFonts w:ascii="Times New Roman" w:hAnsi="Times New Roman" w:cs="Times New Roman"/>
          <w:sz w:val="26"/>
          <w:szCs w:val="26"/>
        </w:rPr>
        <w:t>“</w:t>
      </w:r>
      <w:r w:rsidR="00B121AB" w:rsidRPr="000E63AC">
        <w:rPr>
          <w:rFonts w:ascii="Times New Roman" w:hAnsi="Times New Roman" w:cs="Times New Roman"/>
          <w:sz w:val="26"/>
          <w:szCs w:val="26"/>
        </w:rPr>
        <w:t>zema riska</w:t>
      </w:r>
      <w:r w:rsidR="00265EF2" w:rsidRPr="000E63AC">
        <w:rPr>
          <w:rFonts w:ascii="Times New Roman" w:hAnsi="Times New Roman" w:cs="Times New Roman"/>
          <w:sz w:val="26"/>
          <w:szCs w:val="26"/>
        </w:rPr>
        <w:t>”</w:t>
      </w:r>
      <w:r w:rsidR="00B4322D" w:rsidRPr="000E63AC">
        <w:rPr>
          <w:rFonts w:ascii="Times New Roman" w:hAnsi="Times New Roman" w:cs="Times New Roman"/>
          <w:sz w:val="26"/>
          <w:szCs w:val="26"/>
        </w:rPr>
        <w:t xml:space="preserve"> nodokļa maksātājiem</w:t>
      </w:r>
      <w:r w:rsidR="00B121AB" w:rsidRPr="000E63AC">
        <w:rPr>
          <w:rFonts w:ascii="Times New Roman" w:hAnsi="Times New Roman" w:cs="Times New Roman"/>
          <w:sz w:val="26"/>
          <w:szCs w:val="26"/>
        </w:rPr>
        <w:t xml:space="preserve">. Tādā veidā nodokļu administrācija palielina iespēju konstatēt nodokļu </w:t>
      </w:r>
      <w:r w:rsidR="00B4322D" w:rsidRPr="000E63AC">
        <w:rPr>
          <w:rFonts w:ascii="Times New Roman" w:hAnsi="Times New Roman" w:cs="Times New Roman"/>
          <w:sz w:val="26"/>
          <w:szCs w:val="26"/>
        </w:rPr>
        <w:t>saistību</w:t>
      </w:r>
      <w:r w:rsidR="00161F71" w:rsidRPr="000E63AC">
        <w:rPr>
          <w:rFonts w:ascii="Times New Roman" w:hAnsi="Times New Roman" w:cs="Times New Roman"/>
          <w:sz w:val="26"/>
          <w:szCs w:val="26"/>
        </w:rPr>
        <w:t xml:space="preserve"> izpildes neatbilstību. </w:t>
      </w:r>
      <w:r w:rsidR="00B121AB" w:rsidRPr="000E63AC">
        <w:rPr>
          <w:rFonts w:ascii="Times New Roman" w:hAnsi="Times New Roman" w:cs="Times New Roman"/>
          <w:sz w:val="26"/>
          <w:szCs w:val="26"/>
        </w:rPr>
        <w:t>Padziļināt</w:t>
      </w:r>
      <w:r w:rsidR="007E3C84" w:rsidRPr="000E63AC">
        <w:rPr>
          <w:rFonts w:ascii="Times New Roman" w:hAnsi="Times New Roman" w:cs="Times New Roman"/>
          <w:sz w:val="26"/>
          <w:szCs w:val="26"/>
        </w:rPr>
        <w:t>ās</w:t>
      </w:r>
      <w:r w:rsidR="00B121AB" w:rsidRPr="000E63AC">
        <w:rPr>
          <w:rFonts w:ascii="Times New Roman" w:hAnsi="Times New Roman" w:cs="Times New Roman"/>
          <w:sz w:val="26"/>
          <w:szCs w:val="26"/>
        </w:rPr>
        <w:t xml:space="preserve"> </w:t>
      </w:r>
      <w:r w:rsidR="007E3C84" w:rsidRPr="000E63AC">
        <w:rPr>
          <w:rFonts w:ascii="Times New Roman" w:hAnsi="Times New Roman" w:cs="Times New Roman"/>
          <w:sz w:val="26"/>
          <w:szCs w:val="26"/>
        </w:rPr>
        <w:t>sadarbības</w:t>
      </w:r>
      <w:r w:rsidR="00B121AB" w:rsidRPr="000E63AC">
        <w:rPr>
          <w:rFonts w:ascii="Times New Roman" w:hAnsi="Times New Roman" w:cs="Times New Roman"/>
          <w:sz w:val="26"/>
          <w:szCs w:val="26"/>
        </w:rPr>
        <w:t xml:space="preserve"> programmas veiksmīgas ieviešanas galarezultāts ir tāds, ka ir nodokļu maksātāji ar tiešiem padziļinātās </w:t>
      </w:r>
      <w:r w:rsidR="007E3C84" w:rsidRPr="000E63AC">
        <w:rPr>
          <w:rFonts w:ascii="Times New Roman" w:hAnsi="Times New Roman" w:cs="Times New Roman"/>
          <w:sz w:val="26"/>
          <w:szCs w:val="26"/>
        </w:rPr>
        <w:t>sadarbības</w:t>
      </w:r>
      <w:r w:rsidR="002E355F" w:rsidRPr="000E63AC">
        <w:rPr>
          <w:rFonts w:ascii="Times New Roman" w:hAnsi="Times New Roman" w:cs="Times New Roman"/>
          <w:sz w:val="26"/>
          <w:szCs w:val="26"/>
        </w:rPr>
        <w:t xml:space="preserve"> </w:t>
      </w:r>
      <w:r w:rsidR="00B121AB" w:rsidRPr="000E63AC">
        <w:rPr>
          <w:rFonts w:ascii="Times New Roman" w:hAnsi="Times New Roman" w:cs="Times New Roman"/>
          <w:sz w:val="26"/>
          <w:szCs w:val="26"/>
        </w:rPr>
        <w:t xml:space="preserve">programmas ieguvumiem un nodokļu maksātāji bez tiešiem padziļinātās </w:t>
      </w:r>
      <w:r w:rsidR="007E3C84" w:rsidRPr="000E63AC">
        <w:rPr>
          <w:rFonts w:ascii="Times New Roman" w:hAnsi="Times New Roman" w:cs="Times New Roman"/>
          <w:sz w:val="26"/>
          <w:szCs w:val="26"/>
        </w:rPr>
        <w:t>sadarbības</w:t>
      </w:r>
      <w:r w:rsidR="002E355F" w:rsidRPr="000E63AC">
        <w:rPr>
          <w:rFonts w:ascii="Times New Roman" w:hAnsi="Times New Roman" w:cs="Times New Roman"/>
          <w:sz w:val="26"/>
          <w:szCs w:val="26"/>
        </w:rPr>
        <w:t xml:space="preserve"> programmas</w:t>
      </w:r>
      <w:r w:rsidR="00B121AB" w:rsidRPr="000E63AC">
        <w:rPr>
          <w:rFonts w:ascii="Times New Roman" w:hAnsi="Times New Roman" w:cs="Times New Roman"/>
          <w:sz w:val="26"/>
          <w:szCs w:val="26"/>
        </w:rPr>
        <w:t xml:space="preserve"> ieguvumiem, kuriem tiek piemērotas stingrākas pārbaudes. To var </w:t>
      </w:r>
      <w:r w:rsidR="00E4599C" w:rsidRPr="000E63AC">
        <w:rPr>
          <w:rFonts w:ascii="Times New Roman" w:hAnsi="Times New Roman" w:cs="Times New Roman"/>
          <w:sz w:val="26"/>
          <w:szCs w:val="26"/>
        </w:rPr>
        <w:t>iztei</w:t>
      </w:r>
      <w:r w:rsidR="00161F71" w:rsidRPr="000E63AC">
        <w:rPr>
          <w:rFonts w:ascii="Times New Roman" w:hAnsi="Times New Roman" w:cs="Times New Roman"/>
          <w:sz w:val="26"/>
          <w:szCs w:val="26"/>
        </w:rPr>
        <w:t>kt</w:t>
      </w:r>
      <w:r w:rsidR="00B121AB" w:rsidRPr="000E63AC">
        <w:rPr>
          <w:rFonts w:ascii="Times New Roman" w:hAnsi="Times New Roman" w:cs="Times New Roman"/>
          <w:sz w:val="26"/>
          <w:szCs w:val="26"/>
        </w:rPr>
        <w:t xml:space="preserve"> arī kā </w:t>
      </w:r>
      <w:r w:rsidR="00265EF2" w:rsidRPr="000E63AC">
        <w:rPr>
          <w:rFonts w:ascii="Times New Roman" w:hAnsi="Times New Roman" w:cs="Times New Roman"/>
          <w:sz w:val="26"/>
          <w:szCs w:val="26"/>
        </w:rPr>
        <w:t>“</w:t>
      </w:r>
      <w:r w:rsidR="00B121AB" w:rsidRPr="000E63AC">
        <w:rPr>
          <w:rFonts w:ascii="Times New Roman" w:hAnsi="Times New Roman" w:cs="Times New Roman"/>
          <w:sz w:val="26"/>
          <w:szCs w:val="26"/>
        </w:rPr>
        <w:t>burkāna un pātagas</w:t>
      </w:r>
      <w:r w:rsidR="00265EF2" w:rsidRPr="000E63AC">
        <w:rPr>
          <w:rFonts w:ascii="Times New Roman" w:hAnsi="Times New Roman" w:cs="Times New Roman"/>
          <w:sz w:val="26"/>
          <w:szCs w:val="26"/>
        </w:rPr>
        <w:t>”</w:t>
      </w:r>
      <w:r w:rsidR="00B121AB" w:rsidRPr="000E63AC">
        <w:rPr>
          <w:rFonts w:ascii="Times New Roman" w:hAnsi="Times New Roman" w:cs="Times New Roman"/>
          <w:sz w:val="26"/>
          <w:szCs w:val="26"/>
        </w:rPr>
        <w:t xml:space="preserve"> pieeju nodokļu administrēšanā.</w:t>
      </w:r>
      <w:r w:rsidR="00F4524D" w:rsidRPr="000E63AC">
        <w:rPr>
          <w:rStyle w:val="FootnoteReference"/>
          <w:rFonts w:ascii="Times New Roman" w:hAnsi="Times New Roman" w:cs="Times New Roman"/>
          <w:sz w:val="26"/>
          <w:szCs w:val="26"/>
        </w:rPr>
        <w:footnoteReference w:id="2"/>
      </w:r>
    </w:p>
    <w:p w14:paraId="4B446B5B" w14:textId="77777777" w:rsidR="00D861D3" w:rsidRPr="000E63AC" w:rsidRDefault="00D861D3"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Uzņēmējdarbības vidē arvien vairāk </w:t>
      </w:r>
      <w:r w:rsidR="00EB7363" w:rsidRPr="000E63AC">
        <w:rPr>
          <w:rFonts w:ascii="Times New Roman" w:hAnsi="Times New Roman" w:cs="Times New Roman"/>
          <w:sz w:val="26"/>
          <w:szCs w:val="26"/>
        </w:rPr>
        <w:t>no</w:t>
      </w:r>
      <w:r w:rsidRPr="000E63AC">
        <w:rPr>
          <w:rFonts w:ascii="Times New Roman" w:hAnsi="Times New Roman" w:cs="Times New Roman"/>
          <w:sz w:val="26"/>
          <w:szCs w:val="26"/>
        </w:rPr>
        <w:t xml:space="preserve">vērojama </w:t>
      </w:r>
      <w:r w:rsidR="00EB7363" w:rsidRPr="000E63AC">
        <w:rPr>
          <w:rFonts w:ascii="Times New Roman" w:hAnsi="Times New Roman" w:cs="Times New Roman"/>
          <w:sz w:val="26"/>
          <w:szCs w:val="26"/>
        </w:rPr>
        <w:t>vērtību maiņa, t</w:t>
      </w:r>
      <w:r w:rsidRPr="000E63AC">
        <w:rPr>
          <w:rFonts w:ascii="Times New Roman" w:hAnsi="Times New Roman" w:cs="Times New Roman"/>
          <w:sz w:val="26"/>
          <w:szCs w:val="26"/>
        </w:rPr>
        <w:t>āpēc arvien skaļāki kļūs</w:t>
      </w:r>
      <w:r w:rsidR="00EB7363" w:rsidRPr="000E63AC">
        <w:rPr>
          <w:rFonts w:ascii="Times New Roman" w:hAnsi="Times New Roman" w:cs="Times New Roman"/>
          <w:sz w:val="26"/>
          <w:szCs w:val="26"/>
        </w:rPr>
        <w:t xml:space="preserve">t aicinājumi par biznesa modeļa </w:t>
      </w:r>
      <w:r w:rsidRPr="000E63AC">
        <w:rPr>
          <w:rFonts w:ascii="Times New Roman" w:hAnsi="Times New Roman" w:cs="Times New Roman"/>
          <w:sz w:val="26"/>
          <w:szCs w:val="26"/>
        </w:rPr>
        <w:t>pārdomāšanu, institūciju pārveidoš</w:t>
      </w:r>
      <w:r w:rsidR="00EB7363" w:rsidRPr="000E63AC">
        <w:rPr>
          <w:rFonts w:ascii="Times New Roman" w:hAnsi="Times New Roman" w:cs="Times New Roman"/>
          <w:sz w:val="26"/>
          <w:szCs w:val="26"/>
        </w:rPr>
        <w:t xml:space="preserve">anu un uzticības un pārliecības </w:t>
      </w:r>
      <w:r w:rsidRPr="000E63AC">
        <w:rPr>
          <w:rFonts w:ascii="Times New Roman" w:hAnsi="Times New Roman" w:cs="Times New Roman"/>
          <w:sz w:val="26"/>
          <w:szCs w:val="26"/>
        </w:rPr>
        <w:t xml:space="preserve">atjaunošanu, citiem </w:t>
      </w:r>
      <w:r w:rsidR="00EB7363" w:rsidRPr="000E63AC">
        <w:rPr>
          <w:rFonts w:ascii="Times New Roman" w:hAnsi="Times New Roman" w:cs="Times New Roman"/>
          <w:sz w:val="26"/>
          <w:szCs w:val="26"/>
        </w:rPr>
        <w:t xml:space="preserve">vārdiem sakot – par korporatīvo </w:t>
      </w:r>
      <w:r w:rsidRPr="000E63AC">
        <w:rPr>
          <w:rFonts w:ascii="Times New Roman" w:hAnsi="Times New Roman" w:cs="Times New Roman"/>
          <w:sz w:val="26"/>
          <w:szCs w:val="26"/>
        </w:rPr>
        <w:t>sociālo atbildību</w:t>
      </w:r>
      <w:r w:rsidR="00EB7363" w:rsidRPr="000E63AC">
        <w:rPr>
          <w:rFonts w:ascii="Times New Roman" w:hAnsi="Times New Roman" w:cs="Times New Roman"/>
          <w:sz w:val="26"/>
          <w:szCs w:val="26"/>
        </w:rPr>
        <w:t xml:space="preserve">, kas pēdējo 10 gadu laikā kļuvusi par neatņemamu uzņēmumu stratēģiju sastāvdaļu. </w:t>
      </w:r>
    </w:p>
    <w:p w14:paraId="1AD761D2" w14:textId="48BE62A1" w:rsidR="00EB7363" w:rsidRPr="000E63AC" w:rsidRDefault="00EB7363" w:rsidP="0099414B">
      <w:pPr>
        <w:spacing w:after="0" w:line="240" w:lineRule="auto"/>
        <w:ind w:firstLine="720"/>
        <w:jc w:val="both"/>
        <w:rPr>
          <w:rFonts w:ascii="Times New Roman" w:hAnsi="Times New Roman" w:cs="Times New Roman"/>
          <w:sz w:val="26"/>
          <w:szCs w:val="26"/>
        </w:rPr>
      </w:pPr>
      <w:proofErr w:type="spellStart"/>
      <w:r w:rsidRPr="000E63AC">
        <w:rPr>
          <w:rFonts w:ascii="Times New Roman" w:hAnsi="Times New Roman" w:cs="Times New Roman"/>
          <w:sz w:val="26"/>
          <w:szCs w:val="26"/>
        </w:rPr>
        <w:t>Ko</w:t>
      </w:r>
      <w:r w:rsidR="002E5BE3" w:rsidRPr="000E63AC">
        <w:rPr>
          <w:rFonts w:ascii="Times New Roman" w:hAnsi="Times New Roman" w:cs="Times New Roman"/>
          <w:sz w:val="26"/>
          <w:szCs w:val="26"/>
        </w:rPr>
        <w:t>r</w:t>
      </w:r>
      <w:r w:rsidRPr="000E63AC">
        <w:rPr>
          <w:rFonts w:ascii="Times New Roman" w:hAnsi="Times New Roman" w:cs="Times New Roman"/>
          <w:sz w:val="26"/>
          <w:szCs w:val="26"/>
        </w:rPr>
        <w:t>peratīvā</w:t>
      </w:r>
      <w:proofErr w:type="spellEnd"/>
      <w:r w:rsidRPr="000E63AC">
        <w:rPr>
          <w:rFonts w:ascii="Times New Roman" w:hAnsi="Times New Roman" w:cs="Times New Roman"/>
          <w:sz w:val="26"/>
          <w:szCs w:val="26"/>
        </w:rPr>
        <w:t xml:space="preserve"> sociālā atbildība rosina sabiedrību un uzņēmējus uz soc</w:t>
      </w:r>
      <w:r w:rsidR="000B0E25" w:rsidRPr="000E63AC">
        <w:rPr>
          <w:rFonts w:ascii="Times New Roman" w:hAnsi="Times New Roman" w:cs="Times New Roman"/>
          <w:sz w:val="26"/>
          <w:szCs w:val="26"/>
        </w:rPr>
        <w:t>iāli atbildīgu uzņēmējdarbību</w:t>
      </w:r>
      <w:r w:rsidR="00614C1F" w:rsidRPr="000E63AC">
        <w:rPr>
          <w:rFonts w:ascii="Times New Roman" w:hAnsi="Times New Roman" w:cs="Times New Roman"/>
          <w:sz w:val="26"/>
          <w:szCs w:val="26"/>
        </w:rPr>
        <w:t xml:space="preserve"> un tā</w:t>
      </w:r>
      <w:r w:rsidR="00245A1C" w:rsidRPr="000E63AC">
        <w:rPr>
          <w:rFonts w:ascii="Times New Roman" w:hAnsi="Times New Roman" w:cs="Times New Roman"/>
          <w:sz w:val="26"/>
          <w:szCs w:val="26"/>
        </w:rPr>
        <w:t xml:space="preserve">s </w:t>
      </w:r>
      <w:r w:rsidRPr="000E63AC">
        <w:rPr>
          <w:rFonts w:ascii="Times New Roman" w:hAnsi="Times New Roman" w:cs="Times New Roman"/>
          <w:sz w:val="26"/>
          <w:szCs w:val="26"/>
        </w:rPr>
        <w:t>attīstību globālajā līmenī ietekmē divi galveni faktori:</w:t>
      </w:r>
    </w:p>
    <w:p w14:paraId="53D06E02" w14:textId="77777777" w:rsidR="00EB7363" w:rsidRPr="000E63AC" w:rsidRDefault="00EB7363"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1) pieprasījums pēc sakārtotas uzņēmuma struktūras un sociāli atbildīgas uzņēmējdarbības vides, skaidriem principiem un labas reputācijas, kļūstot par piegādātāju ārvalstu kompānijām vai to partneri;</w:t>
      </w:r>
    </w:p>
    <w:p w14:paraId="7E192FD2" w14:textId="77777777" w:rsidR="00EB7363" w:rsidRPr="000E63AC" w:rsidRDefault="00EB7363"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2) nepieciešamība iekļūt globālajā tirgū un būt līdzvērtīgam spēlētājam, piedāvājot kvalitatīvus un atbildīgas uzņēmējdarbības principiem atbilstošus pakalpojumus un produktus.</w:t>
      </w:r>
    </w:p>
    <w:p w14:paraId="274C771D" w14:textId="7FB318C1" w:rsidR="002E3CD0" w:rsidRPr="000E63AC" w:rsidRDefault="00F014A6"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Vadoties pēc ko</w:t>
      </w:r>
      <w:r w:rsidR="00FA69BE" w:rsidRPr="000E63AC">
        <w:rPr>
          <w:rFonts w:ascii="Times New Roman" w:hAnsi="Times New Roman" w:cs="Times New Roman"/>
          <w:sz w:val="26"/>
          <w:szCs w:val="26"/>
        </w:rPr>
        <w:t>rporatīvās</w:t>
      </w:r>
      <w:r w:rsidRPr="000E63AC">
        <w:rPr>
          <w:rFonts w:ascii="Times New Roman" w:hAnsi="Times New Roman" w:cs="Times New Roman"/>
          <w:sz w:val="26"/>
          <w:szCs w:val="26"/>
        </w:rPr>
        <w:t xml:space="preserve"> sociālās atbildības principiem gan Latvijā, gan citās valstīs ir attīstījušās dažādas iniciatīvas uzņēmēju motivēšanai, t.sk. godprātīgas nodokļu nomaksas veicināšanā. </w:t>
      </w:r>
    </w:p>
    <w:p w14:paraId="3B8255B3" w14:textId="77777777" w:rsidR="001810EB" w:rsidRPr="000E63AC" w:rsidRDefault="001810EB" w:rsidP="0099414B">
      <w:pPr>
        <w:spacing w:after="0"/>
        <w:ind w:firstLine="720"/>
        <w:jc w:val="both"/>
        <w:rPr>
          <w:rFonts w:ascii="Times New Roman" w:hAnsi="Times New Roman" w:cs="Times New Roman"/>
          <w:sz w:val="26"/>
          <w:szCs w:val="26"/>
        </w:rPr>
      </w:pPr>
    </w:p>
    <w:p w14:paraId="67C26B74" w14:textId="4C2FDDE1" w:rsidR="00565804" w:rsidRPr="000E63AC" w:rsidRDefault="00B53D03" w:rsidP="00BD2912">
      <w:pPr>
        <w:spacing w:after="0"/>
        <w:ind w:firstLine="720"/>
        <w:jc w:val="both"/>
        <w:rPr>
          <w:rFonts w:ascii="Times New Roman" w:hAnsi="Times New Roman" w:cs="Times New Roman"/>
          <w:b/>
          <w:sz w:val="26"/>
          <w:szCs w:val="26"/>
        </w:rPr>
      </w:pPr>
      <w:r w:rsidRPr="000E63AC">
        <w:rPr>
          <w:rFonts w:ascii="Times New Roman" w:hAnsi="Times New Roman" w:cs="Times New Roman"/>
          <w:b/>
          <w:sz w:val="26"/>
          <w:szCs w:val="26"/>
        </w:rPr>
        <w:t>Lietuva</w:t>
      </w:r>
      <w:r w:rsidR="003F43F5" w:rsidRPr="000E63AC">
        <w:rPr>
          <w:rFonts w:ascii="Times New Roman" w:hAnsi="Times New Roman" w:cs="Times New Roman"/>
          <w:b/>
          <w:sz w:val="26"/>
          <w:szCs w:val="26"/>
        </w:rPr>
        <w:t>s</w:t>
      </w:r>
      <w:r w:rsidRPr="000E63AC">
        <w:rPr>
          <w:rFonts w:ascii="Times New Roman" w:hAnsi="Times New Roman" w:cs="Times New Roman"/>
          <w:b/>
          <w:sz w:val="26"/>
          <w:szCs w:val="26"/>
        </w:rPr>
        <w:t xml:space="preserve"> </w:t>
      </w:r>
      <w:r w:rsidR="004B7ADC" w:rsidRPr="000E63AC">
        <w:rPr>
          <w:rFonts w:ascii="Times New Roman" w:hAnsi="Times New Roman" w:cs="Times New Roman"/>
          <w:b/>
          <w:sz w:val="26"/>
          <w:szCs w:val="26"/>
        </w:rPr>
        <w:t>iniciatīva “Baltais vilnis”</w:t>
      </w:r>
    </w:p>
    <w:p w14:paraId="35B197CD" w14:textId="77777777" w:rsidR="003E30B9" w:rsidRPr="000E63AC" w:rsidRDefault="00B53D03"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Iniciatīvas mērķis ir sekmēt pārredzamu uzņēmējdarbības praksi Lietuvā, nodrošinot godīgu konkurenci attiecīb</w:t>
      </w:r>
      <w:r w:rsidR="002E355F" w:rsidRPr="000E63AC">
        <w:rPr>
          <w:rFonts w:ascii="Times New Roman" w:hAnsi="Times New Roman" w:cs="Times New Roman"/>
          <w:sz w:val="26"/>
          <w:szCs w:val="26"/>
        </w:rPr>
        <w:t>ā</w:t>
      </w:r>
      <w:r w:rsidRPr="000E63AC">
        <w:rPr>
          <w:rFonts w:ascii="Times New Roman" w:hAnsi="Times New Roman" w:cs="Times New Roman"/>
          <w:sz w:val="26"/>
          <w:szCs w:val="26"/>
        </w:rPr>
        <w:t>s ar darbiniekiem, klientiem, partneriem un valsti. Iniciatīva ir vērsta uz pārredzamu un a</w:t>
      </w:r>
      <w:r w:rsidR="003E30B9" w:rsidRPr="000E63AC">
        <w:rPr>
          <w:rFonts w:ascii="Times New Roman" w:hAnsi="Times New Roman" w:cs="Times New Roman"/>
          <w:sz w:val="26"/>
          <w:szCs w:val="26"/>
        </w:rPr>
        <w:t>tbildīgu uzņēmējdarbības praksi,</w:t>
      </w:r>
      <w:r w:rsidRPr="000E63AC">
        <w:rPr>
          <w:rFonts w:ascii="Times New Roman" w:hAnsi="Times New Roman" w:cs="Times New Roman"/>
          <w:sz w:val="26"/>
          <w:szCs w:val="26"/>
        </w:rPr>
        <w:t xml:space="preserve"> caurspīdīgu algu politiku, caurspīdīgu piedalīšanos publiskos iepirkumos un godprātīgu nodokļu samaksu atbilstoši Lietuvas R</w:t>
      </w:r>
      <w:r w:rsidR="003E30B9" w:rsidRPr="000E63AC">
        <w:rPr>
          <w:rFonts w:ascii="Times New Roman" w:hAnsi="Times New Roman" w:cs="Times New Roman"/>
          <w:sz w:val="26"/>
          <w:szCs w:val="26"/>
        </w:rPr>
        <w:t>epublikas normatīvajiem aktiem.</w:t>
      </w:r>
    </w:p>
    <w:p w14:paraId="79195E66" w14:textId="77777777" w:rsidR="00B53D03" w:rsidRPr="000E63AC" w:rsidRDefault="00B53D03"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Zīmols “Baltais vilnis” ir pirmais un vienīgais atbildīgas un pārredzamas uzņēmējdarbības zīmes marķējums Lietuvā</w:t>
      </w:r>
      <w:r w:rsidR="000A302D" w:rsidRPr="000E63AC">
        <w:rPr>
          <w:rFonts w:ascii="Times New Roman" w:hAnsi="Times New Roman" w:cs="Times New Roman"/>
          <w:sz w:val="26"/>
          <w:szCs w:val="26"/>
        </w:rPr>
        <w:t xml:space="preserve">. </w:t>
      </w:r>
      <w:r w:rsidRPr="000E63AC">
        <w:rPr>
          <w:rFonts w:ascii="Times New Roman" w:hAnsi="Times New Roman" w:cs="Times New Roman"/>
          <w:sz w:val="26"/>
          <w:szCs w:val="26"/>
        </w:rPr>
        <w:t xml:space="preserve">Iniciatīvas zīmols tiek piešķirts uzņēmumiem vai organizācijām, kas atbalsta pārredzamas un godīgas uzņēmējdarbības principus Lietuvā un šo marķējumu uzņēmumi vai organizācijas izmanto marketinga materiālos, informatīvās kampaņās, lai informētu savus klientus, partnerus un sabiedrību par uzņēmuma vērtībām, kā arī aktīvi veicinot citus uzņēmumus pievienoties iniciatīvai, tādejādi padarot pievilcīgāku Lietuvas biznesa kultūru. </w:t>
      </w:r>
      <w:r w:rsidR="000A302D" w:rsidRPr="000E63AC">
        <w:rPr>
          <w:rFonts w:ascii="Times New Roman" w:hAnsi="Times New Roman" w:cs="Times New Roman"/>
          <w:sz w:val="26"/>
          <w:szCs w:val="26"/>
        </w:rPr>
        <w:t>Iniciatīvu īsteno biedrība “Investoru Forums”.</w:t>
      </w:r>
    </w:p>
    <w:p w14:paraId="5D476178" w14:textId="77777777" w:rsidR="00B53D03" w:rsidRPr="000E63AC" w:rsidRDefault="00B53D03"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Iniciatīva ir dibināta 2007.gadā, un tā šobrīd apvieno gandrīz 60 uzņēmumus, kas pārstāv gan lielos un vidējos, gan mazos uzņēmumus. Iniciatīvas patronese ir Lietuvas valsts prezidente. </w:t>
      </w:r>
    </w:p>
    <w:p w14:paraId="16732086" w14:textId="292BC800" w:rsidR="00B53D03" w:rsidRPr="000E63AC" w:rsidRDefault="00B53D03"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Lai pieteiktos iniciatīvai</w:t>
      </w:r>
      <w:r w:rsidR="0064650E" w:rsidRPr="000E63AC">
        <w:rPr>
          <w:rFonts w:ascii="Times New Roman" w:hAnsi="Times New Roman" w:cs="Times New Roman"/>
          <w:sz w:val="26"/>
          <w:szCs w:val="26"/>
        </w:rPr>
        <w:t>,</w:t>
      </w:r>
      <w:r w:rsidRPr="000E63AC">
        <w:rPr>
          <w:rFonts w:ascii="Times New Roman" w:hAnsi="Times New Roman" w:cs="Times New Roman"/>
          <w:sz w:val="26"/>
          <w:szCs w:val="26"/>
        </w:rPr>
        <w:t xml:space="preserve"> elektroniski ir jāaizpilda pieteikuma veidlapa, norādot īsu un koncentrētu informāciju par uzņēmumu (pagājušā gada apgrozījumu, uzņēmuma galvenos darbības virzienus, motivāciju iestāties programmā), vienlaikus iesniedzot pieteikumu uzņēmums apliecina, ka tas ievēro </w:t>
      </w:r>
      <w:r w:rsidR="007053F2" w:rsidRPr="000E63AC">
        <w:rPr>
          <w:rFonts w:ascii="Times New Roman" w:hAnsi="Times New Roman" w:cs="Times New Roman"/>
          <w:sz w:val="26"/>
          <w:szCs w:val="26"/>
        </w:rPr>
        <w:t xml:space="preserve">caurskatāmu </w:t>
      </w:r>
      <w:r w:rsidRPr="000E63AC">
        <w:rPr>
          <w:rFonts w:ascii="Times New Roman" w:hAnsi="Times New Roman" w:cs="Times New Roman"/>
          <w:sz w:val="26"/>
          <w:szCs w:val="26"/>
        </w:rPr>
        <w:t xml:space="preserve">samaksas politiku, </w:t>
      </w:r>
      <w:r w:rsidR="007053F2" w:rsidRPr="000E63AC">
        <w:rPr>
          <w:rFonts w:ascii="Times New Roman" w:hAnsi="Times New Roman" w:cs="Times New Roman"/>
          <w:sz w:val="26"/>
          <w:szCs w:val="26"/>
        </w:rPr>
        <w:t xml:space="preserve">caurskatāmu </w:t>
      </w:r>
      <w:r w:rsidRPr="000E63AC">
        <w:rPr>
          <w:rFonts w:ascii="Times New Roman" w:hAnsi="Times New Roman" w:cs="Times New Roman"/>
          <w:sz w:val="26"/>
          <w:szCs w:val="26"/>
        </w:rPr>
        <w:t>dalību publiskos iepirkumos, kā arī veic nodokļu nomaksu saskaņā ar noteiktajiem likumiem Lietuvas Republikā. Minēto pieteikumu izvērtē iniciatīvas partneri, piemēram, Valsts nodokļu inspekcija, Lietuvas Īpašās izmeklēšanas dienests.</w:t>
      </w:r>
    </w:p>
    <w:p w14:paraId="0FA48105" w14:textId="77777777" w:rsidR="00565804" w:rsidRPr="000E63AC" w:rsidRDefault="00565804" w:rsidP="0099414B">
      <w:pPr>
        <w:spacing w:after="0" w:line="240" w:lineRule="auto"/>
        <w:ind w:firstLine="720"/>
        <w:jc w:val="both"/>
        <w:rPr>
          <w:rFonts w:ascii="Times New Roman" w:hAnsi="Times New Roman" w:cs="Times New Roman"/>
          <w:sz w:val="26"/>
          <w:szCs w:val="26"/>
        </w:rPr>
      </w:pPr>
    </w:p>
    <w:p w14:paraId="5042534B" w14:textId="71620FD5" w:rsidR="00565804" w:rsidRPr="000E63AC" w:rsidRDefault="00721454" w:rsidP="00BD2912">
      <w:pPr>
        <w:spacing w:after="0"/>
        <w:ind w:firstLine="720"/>
        <w:jc w:val="both"/>
        <w:rPr>
          <w:rFonts w:ascii="Times New Roman" w:hAnsi="Times New Roman" w:cs="Times New Roman"/>
          <w:b/>
          <w:sz w:val="26"/>
          <w:szCs w:val="26"/>
        </w:rPr>
      </w:pPr>
      <w:r w:rsidRPr="000E63AC">
        <w:rPr>
          <w:rFonts w:ascii="Times New Roman" w:hAnsi="Times New Roman" w:cs="Times New Roman"/>
          <w:b/>
          <w:sz w:val="26"/>
          <w:szCs w:val="26"/>
        </w:rPr>
        <w:t>Stratēģiskās vadības instruments “Ilgtspējas indekss”</w:t>
      </w:r>
    </w:p>
    <w:p w14:paraId="5250BC78" w14:textId="77777777" w:rsidR="008A33DC" w:rsidRPr="000E63AC" w:rsidRDefault="00245A1C"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Ilgtspējas indekss ir veidots, lai sekmētu atbildīga biznesa attīstību, vienlaikus publiskojot Latvijas uzņēmumus, kas atbilst starptautiski atzītiem kritērijiem. </w:t>
      </w:r>
      <w:r w:rsidR="00AA122C" w:rsidRPr="000E63AC">
        <w:rPr>
          <w:rFonts w:ascii="Times New Roman" w:hAnsi="Times New Roman" w:cs="Times New Roman"/>
          <w:sz w:val="26"/>
          <w:szCs w:val="26"/>
        </w:rPr>
        <w:t xml:space="preserve">Iniciatīvas partneri ir Korporatīvās ilgtspējas un atbildības institūts, Latvijas Darba devēju konfederācija un Latvijas Brīvo arodbiedrību savienība. </w:t>
      </w:r>
    </w:p>
    <w:p w14:paraId="7E5B35E2" w14:textId="0BD66DD5" w:rsidR="008A33DC" w:rsidRPr="000E63AC" w:rsidRDefault="00245A1C" w:rsidP="0099414B">
      <w:pPr>
        <w:spacing w:after="0" w:line="240" w:lineRule="auto"/>
        <w:ind w:firstLine="720"/>
        <w:jc w:val="both"/>
        <w:rPr>
          <w:sz w:val="26"/>
          <w:szCs w:val="26"/>
        </w:rPr>
      </w:pPr>
      <w:r w:rsidRPr="000E63AC">
        <w:rPr>
          <w:rFonts w:ascii="Times New Roman" w:hAnsi="Times New Roman" w:cs="Times New Roman"/>
          <w:sz w:val="26"/>
          <w:szCs w:val="26"/>
        </w:rPr>
        <w:t>Stratēģisk</w:t>
      </w:r>
      <w:r w:rsidR="00AA122C" w:rsidRPr="000E63AC">
        <w:rPr>
          <w:rFonts w:ascii="Times New Roman" w:hAnsi="Times New Roman" w:cs="Times New Roman"/>
          <w:sz w:val="26"/>
          <w:szCs w:val="26"/>
        </w:rPr>
        <w:t>ai</w:t>
      </w:r>
      <w:r w:rsidRPr="000E63AC">
        <w:rPr>
          <w:rFonts w:ascii="Times New Roman" w:hAnsi="Times New Roman" w:cs="Times New Roman"/>
          <w:sz w:val="26"/>
          <w:szCs w:val="26"/>
        </w:rPr>
        <w:t>s vadības instruments palīdz uzņēmumiem diagnosticēt savas darbības ilgtspēju un atbildības līmeni, vienlaikus sniedzot sabiedrībai, valsts un nevalstiskajām organizācijām objektīvus kritērijus, lai uzslavētu un atbalstītu tālredzīgākos un atbildīgākos Latvijas uzņēmumus.</w:t>
      </w:r>
      <w:r w:rsidR="00AA122C" w:rsidRPr="000E63AC">
        <w:rPr>
          <w:rFonts w:ascii="Times New Roman" w:hAnsi="Times New Roman" w:cs="Times New Roman"/>
          <w:sz w:val="26"/>
          <w:szCs w:val="26"/>
        </w:rPr>
        <w:t xml:space="preserve"> </w:t>
      </w:r>
      <w:r w:rsidR="00C65F31" w:rsidRPr="000E63AC">
        <w:rPr>
          <w:rFonts w:ascii="Times New Roman" w:hAnsi="Times New Roman" w:cs="Times New Roman"/>
          <w:sz w:val="26"/>
          <w:szCs w:val="26"/>
        </w:rPr>
        <w:t xml:space="preserve">Dalība Ilgtspējas indeksā ir brīvprātīga, bez maksas un pieejama jebkuram Latvijā reģistrētam uzņēmumam. </w:t>
      </w:r>
      <w:r w:rsidR="00B53863" w:rsidRPr="000E63AC">
        <w:rPr>
          <w:rFonts w:ascii="Times New Roman" w:hAnsi="Times New Roman" w:cs="Times New Roman"/>
          <w:sz w:val="26"/>
          <w:szCs w:val="26"/>
        </w:rPr>
        <w:t>Piecu gadu laikā indeksa pašvērtējuma iespējas izmantojuši vairāk nekā 200 uzņēmumi. Kā liecina pieredze un atsauksmes, vairākums uzņēmumu Ilgtspēja</w:t>
      </w:r>
      <w:r w:rsidR="00504CB2" w:rsidRPr="000E63AC">
        <w:rPr>
          <w:rFonts w:ascii="Times New Roman" w:hAnsi="Times New Roman" w:cs="Times New Roman"/>
          <w:sz w:val="26"/>
          <w:szCs w:val="26"/>
        </w:rPr>
        <w:t xml:space="preserve">s indeksā piedalās, lai sekotu līdzi sava snieguma dinamikai, salīdzinātu to ar citu uzņēmumu rezultātiem, </w:t>
      </w:r>
      <w:r w:rsidR="001915BB" w:rsidRPr="000E63AC">
        <w:rPr>
          <w:rFonts w:ascii="Times New Roman" w:hAnsi="Times New Roman" w:cs="Times New Roman"/>
          <w:sz w:val="26"/>
          <w:szCs w:val="26"/>
        </w:rPr>
        <w:t xml:space="preserve">saņemtu ekspertu rekomendācijas par prioritāri uzlabojamiem procesiem, kā arī </w:t>
      </w:r>
      <w:r w:rsidR="00135ABB" w:rsidRPr="000E63AC">
        <w:rPr>
          <w:rFonts w:ascii="Times New Roman" w:hAnsi="Times New Roman" w:cs="Times New Roman"/>
          <w:sz w:val="26"/>
          <w:szCs w:val="26"/>
        </w:rPr>
        <w:t xml:space="preserve">lai </w:t>
      </w:r>
      <w:r w:rsidR="001915BB" w:rsidRPr="000E63AC">
        <w:rPr>
          <w:rFonts w:ascii="Times New Roman" w:hAnsi="Times New Roman" w:cs="Times New Roman"/>
          <w:sz w:val="26"/>
          <w:szCs w:val="26"/>
        </w:rPr>
        <w:t xml:space="preserve">labāk izprastu uzņēmuma atbilstību ilgtspējas jēdziena starptautiskajiem kritērijiem. </w:t>
      </w:r>
      <w:r w:rsidR="008A33DC" w:rsidRPr="000E63AC">
        <w:rPr>
          <w:rFonts w:ascii="Times New Roman" w:hAnsi="Times New Roman" w:cs="Times New Roman"/>
          <w:sz w:val="26"/>
          <w:szCs w:val="26"/>
        </w:rPr>
        <w:t>Vienlaikus Ilgtspējas indekss kalpo kā būtisks mārketinga instruments biznesa attiecību dibināšanā vai nostiprināšanā.</w:t>
      </w:r>
      <w:r w:rsidR="008A33DC" w:rsidRPr="000E63AC">
        <w:rPr>
          <w:rStyle w:val="FootnoteReference"/>
          <w:rFonts w:ascii="Times New Roman" w:hAnsi="Times New Roman" w:cs="Times New Roman"/>
          <w:sz w:val="26"/>
          <w:szCs w:val="26"/>
        </w:rPr>
        <w:footnoteReference w:id="3"/>
      </w:r>
      <w:r w:rsidR="008A33DC" w:rsidRPr="000E63AC">
        <w:rPr>
          <w:rFonts w:ascii="Times New Roman" w:hAnsi="Times New Roman" w:cs="Times New Roman"/>
          <w:sz w:val="26"/>
          <w:szCs w:val="26"/>
        </w:rPr>
        <w:t xml:space="preserve"> </w:t>
      </w:r>
    </w:p>
    <w:p w14:paraId="0C2F2DB2" w14:textId="3DCAF175" w:rsidR="00E47177" w:rsidRPr="000E63AC" w:rsidRDefault="00E47177"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Lai piedalītos un iegūtu </w:t>
      </w:r>
      <w:r w:rsidR="004C5E64" w:rsidRPr="000E63AC">
        <w:rPr>
          <w:rFonts w:ascii="Times New Roman" w:hAnsi="Times New Roman" w:cs="Times New Roman"/>
          <w:sz w:val="26"/>
          <w:szCs w:val="26"/>
        </w:rPr>
        <w:t>ilgtspējas</w:t>
      </w:r>
      <w:r w:rsidR="00355E61" w:rsidRPr="000E63AC">
        <w:rPr>
          <w:rFonts w:ascii="Times New Roman" w:hAnsi="Times New Roman" w:cs="Times New Roman"/>
          <w:sz w:val="26"/>
          <w:szCs w:val="26"/>
        </w:rPr>
        <w:t xml:space="preserve"> </w:t>
      </w:r>
      <w:r w:rsidR="00656ACA" w:rsidRPr="000E63AC">
        <w:rPr>
          <w:rFonts w:ascii="Times New Roman" w:hAnsi="Times New Roman" w:cs="Times New Roman"/>
          <w:sz w:val="26"/>
          <w:szCs w:val="26"/>
        </w:rPr>
        <w:t>indeksa novērtējumu</w:t>
      </w:r>
      <w:r w:rsidR="002E355F" w:rsidRPr="000E63AC">
        <w:rPr>
          <w:rFonts w:ascii="Times New Roman" w:hAnsi="Times New Roman" w:cs="Times New Roman"/>
          <w:sz w:val="26"/>
          <w:szCs w:val="26"/>
        </w:rPr>
        <w:t>,</w:t>
      </w:r>
      <w:r w:rsidR="00355E61" w:rsidRPr="000E63AC">
        <w:rPr>
          <w:rFonts w:ascii="Times New Roman" w:hAnsi="Times New Roman" w:cs="Times New Roman"/>
          <w:sz w:val="26"/>
          <w:szCs w:val="26"/>
        </w:rPr>
        <w:t xml:space="preserve"> uzņēmumam ir jāparaksta apliecinājums</w:t>
      </w:r>
      <w:r w:rsidRPr="000E63AC">
        <w:rPr>
          <w:rFonts w:ascii="Times New Roman" w:hAnsi="Times New Roman" w:cs="Times New Roman"/>
          <w:sz w:val="26"/>
          <w:szCs w:val="26"/>
        </w:rPr>
        <w:t xml:space="preserve"> par maksātnespējas statusa un nodokļu parādu neesamību</w:t>
      </w:r>
      <w:r w:rsidR="002E355F" w:rsidRPr="000E63AC">
        <w:rPr>
          <w:rFonts w:ascii="Times New Roman" w:hAnsi="Times New Roman" w:cs="Times New Roman"/>
          <w:sz w:val="26"/>
          <w:szCs w:val="26"/>
        </w:rPr>
        <w:t>,</w:t>
      </w:r>
      <w:r w:rsidRPr="000E63AC">
        <w:rPr>
          <w:rFonts w:ascii="Times New Roman" w:hAnsi="Times New Roman" w:cs="Times New Roman"/>
          <w:sz w:val="26"/>
          <w:szCs w:val="26"/>
        </w:rPr>
        <w:t xml:space="preserve"> </w:t>
      </w:r>
      <w:r w:rsidR="00355E61" w:rsidRPr="000E63AC">
        <w:rPr>
          <w:rFonts w:ascii="Times New Roman" w:hAnsi="Times New Roman" w:cs="Times New Roman"/>
          <w:sz w:val="26"/>
          <w:szCs w:val="26"/>
        </w:rPr>
        <w:t xml:space="preserve">kā </w:t>
      </w:r>
      <w:r w:rsidR="00355E61" w:rsidRPr="000E63AC">
        <w:rPr>
          <w:rFonts w:ascii="Times New Roman" w:hAnsi="Times New Roman" w:cs="Times New Roman"/>
          <w:sz w:val="26"/>
          <w:szCs w:val="26"/>
        </w:rPr>
        <w:lastRenderedPageBreak/>
        <w:t xml:space="preserve">arī </w:t>
      </w:r>
      <w:r w:rsidRPr="000E63AC">
        <w:rPr>
          <w:rFonts w:ascii="Times New Roman" w:hAnsi="Times New Roman" w:cs="Times New Roman"/>
          <w:sz w:val="26"/>
          <w:szCs w:val="26"/>
        </w:rPr>
        <w:t>jāaizpilda pašvērtējuma anketa</w:t>
      </w:r>
      <w:r w:rsidR="00FA6C38" w:rsidRPr="000E63AC">
        <w:rPr>
          <w:rFonts w:ascii="Times New Roman" w:hAnsi="Times New Roman" w:cs="Times New Roman"/>
          <w:sz w:val="26"/>
          <w:szCs w:val="26"/>
        </w:rPr>
        <w:t>, kuru izvērtē eksperti atbilstoši starptautiski atzītai metodoloģijai. Ilgtspējas indeksa rezultāti tiek paziņoti ikgadējā noslēguma pasākumā, publicēti interneta vietnē ilgtspejasindekss.lv un īpaši veidotā pārskatā. Tā kā indeksa mērķis ir veicināt uzņēmumu izaugsmi</w:t>
      </w:r>
      <w:r w:rsidR="00614C1F" w:rsidRPr="000E63AC">
        <w:rPr>
          <w:rFonts w:ascii="Times New Roman" w:hAnsi="Times New Roman" w:cs="Times New Roman"/>
          <w:sz w:val="26"/>
          <w:szCs w:val="26"/>
        </w:rPr>
        <w:t>, nevis</w:t>
      </w:r>
      <w:r w:rsidR="00FA6C38" w:rsidRPr="000E63AC">
        <w:rPr>
          <w:rFonts w:ascii="Times New Roman" w:hAnsi="Times New Roman" w:cs="Times New Roman"/>
          <w:sz w:val="26"/>
          <w:szCs w:val="26"/>
        </w:rPr>
        <w:t xml:space="preserve"> sāncensību, publiskots tiek tikai uzņēmumu dalījums kategorijās atkarībā no to indeksa rādītājiem: platīna, zelta, sudraba un bronzas. Katrs Ilgtspējas indeksa dalībnieks saņem ekspertu padomes sagatavotu individuālu vērtējumu, kurā norādīts uzņēmuma iegūtais summārais rezultāts un katras sadaļas ietekme uz to, uzskaitīti pasākumi, ko uzņēmums apņēmies īstenot konkrētajā gadā, kā arī sniegti ekspertu komentāri un ieteikumi par soļiem, kuri palīdzētu uzņēmumam pilnveidot savu devumu </w:t>
      </w:r>
      <w:r w:rsidR="00847754" w:rsidRPr="000E63AC">
        <w:rPr>
          <w:rFonts w:ascii="Times New Roman" w:hAnsi="Times New Roman" w:cs="Times New Roman"/>
          <w:sz w:val="26"/>
          <w:szCs w:val="26"/>
        </w:rPr>
        <w:t xml:space="preserve">katrā no sadaļām. </w:t>
      </w:r>
      <w:r w:rsidR="00656ACA" w:rsidRPr="000E63AC">
        <w:rPr>
          <w:rFonts w:ascii="Times New Roman" w:hAnsi="Times New Roman" w:cs="Times New Roman"/>
          <w:sz w:val="26"/>
          <w:szCs w:val="26"/>
        </w:rPr>
        <w:t xml:space="preserve"> </w:t>
      </w:r>
    </w:p>
    <w:p w14:paraId="08F8AC41" w14:textId="77777777" w:rsidR="00D10137" w:rsidRPr="000E63AC" w:rsidRDefault="00D10137" w:rsidP="0099414B">
      <w:pPr>
        <w:spacing w:after="0" w:line="240" w:lineRule="auto"/>
        <w:jc w:val="both"/>
        <w:rPr>
          <w:rFonts w:ascii="Times New Roman" w:eastAsia="Times New Roman" w:hAnsi="Times New Roman" w:cs="Times New Roman"/>
          <w:sz w:val="26"/>
          <w:szCs w:val="26"/>
          <w:lang w:eastAsia="lv-LV"/>
        </w:rPr>
      </w:pPr>
    </w:p>
    <w:p w14:paraId="46F501FE" w14:textId="398B8776" w:rsidR="00C2310F" w:rsidRPr="000E63AC" w:rsidRDefault="009C37EB" w:rsidP="0099414B">
      <w:pPr>
        <w:spacing w:after="0"/>
        <w:jc w:val="center"/>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t>2.</w:t>
      </w:r>
      <w:r w:rsidR="00135ABB" w:rsidRPr="000E63AC">
        <w:rPr>
          <w:rFonts w:ascii="Times New Roman" w:eastAsia="Times New Roman" w:hAnsi="Times New Roman" w:cs="Times New Roman"/>
          <w:b/>
          <w:sz w:val="26"/>
          <w:szCs w:val="26"/>
          <w:lang w:eastAsia="lv-LV"/>
        </w:rPr>
        <w:t>3</w:t>
      </w:r>
      <w:r w:rsidRPr="000E63AC">
        <w:rPr>
          <w:rFonts w:ascii="Times New Roman" w:eastAsia="Times New Roman" w:hAnsi="Times New Roman" w:cs="Times New Roman"/>
          <w:b/>
          <w:sz w:val="26"/>
          <w:szCs w:val="26"/>
          <w:lang w:eastAsia="lv-LV"/>
        </w:rPr>
        <w:t>.</w:t>
      </w:r>
      <w:r w:rsidR="00532806" w:rsidRPr="000E63AC">
        <w:rPr>
          <w:rFonts w:ascii="Times New Roman" w:eastAsia="Times New Roman" w:hAnsi="Times New Roman" w:cs="Times New Roman"/>
          <w:b/>
          <w:sz w:val="26"/>
          <w:szCs w:val="26"/>
          <w:lang w:eastAsia="lv-LV"/>
        </w:rPr>
        <w:t xml:space="preserve"> </w:t>
      </w:r>
      <w:r w:rsidRPr="000E63AC">
        <w:rPr>
          <w:rFonts w:ascii="Times New Roman" w:eastAsia="Times New Roman" w:hAnsi="Times New Roman" w:cs="Times New Roman"/>
          <w:b/>
          <w:sz w:val="26"/>
          <w:szCs w:val="26"/>
          <w:lang w:eastAsia="lv-LV"/>
        </w:rPr>
        <w:t>Identificētā</w:t>
      </w:r>
      <w:r w:rsidR="00BA0F20" w:rsidRPr="000E63AC">
        <w:rPr>
          <w:rFonts w:ascii="Times New Roman" w:eastAsia="Times New Roman" w:hAnsi="Times New Roman" w:cs="Times New Roman"/>
          <w:b/>
          <w:sz w:val="26"/>
          <w:szCs w:val="26"/>
          <w:lang w:eastAsia="lv-LV"/>
        </w:rPr>
        <w:t xml:space="preserve"> problemātika</w:t>
      </w:r>
    </w:p>
    <w:p w14:paraId="1EE3C660" w14:textId="77777777" w:rsidR="00565804" w:rsidRPr="000E63AC" w:rsidRDefault="00565804" w:rsidP="0099414B">
      <w:pPr>
        <w:spacing w:after="0"/>
        <w:jc w:val="center"/>
        <w:rPr>
          <w:rFonts w:ascii="Times New Roman" w:eastAsia="Times New Roman" w:hAnsi="Times New Roman" w:cs="Times New Roman"/>
          <w:b/>
          <w:sz w:val="26"/>
          <w:szCs w:val="26"/>
          <w:lang w:eastAsia="lv-LV"/>
        </w:rPr>
      </w:pPr>
    </w:p>
    <w:p w14:paraId="405A58F2" w14:textId="77777777" w:rsidR="00F729DE" w:rsidRPr="000E63AC" w:rsidRDefault="004246BF"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Nenoliedzami u</w:t>
      </w:r>
      <w:r w:rsidR="00C2310F" w:rsidRPr="000E63AC">
        <w:rPr>
          <w:rFonts w:ascii="Times New Roman" w:eastAsia="Times New Roman" w:hAnsi="Times New Roman" w:cs="Times New Roman"/>
          <w:sz w:val="26"/>
          <w:szCs w:val="26"/>
          <w:lang w:eastAsia="lv-LV"/>
        </w:rPr>
        <w:t xml:space="preserve">zņēmējdarbības vide </w:t>
      </w:r>
      <w:r w:rsidR="0033760A" w:rsidRPr="000E63AC">
        <w:rPr>
          <w:rFonts w:ascii="Times New Roman" w:eastAsia="Times New Roman" w:hAnsi="Times New Roman" w:cs="Times New Roman"/>
          <w:sz w:val="26"/>
          <w:szCs w:val="26"/>
          <w:lang w:eastAsia="lv-LV"/>
        </w:rPr>
        <w:t>ir mainīga</w:t>
      </w:r>
      <w:r w:rsidR="003D3FB3" w:rsidRPr="000E63AC">
        <w:rPr>
          <w:rFonts w:ascii="Times New Roman" w:eastAsia="Times New Roman" w:hAnsi="Times New Roman" w:cs="Times New Roman"/>
          <w:sz w:val="26"/>
          <w:szCs w:val="26"/>
          <w:lang w:eastAsia="lv-LV"/>
        </w:rPr>
        <w:t xml:space="preserve">, līdz ar to </w:t>
      </w:r>
      <w:r w:rsidRPr="000E63AC">
        <w:rPr>
          <w:rFonts w:ascii="Times New Roman" w:eastAsia="Times New Roman" w:hAnsi="Times New Roman" w:cs="Times New Roman"/>
          <w:sz w:val="26"/>
          <w:szCs w:val="26"/>
          <w:lang w:eastAsia="lv-LV"/>
        </w:rPr>
        <w:t xml:space="preserve">arī </w:t>
      </w:r>
      <w:r w:rsidR="0033760A" w:rsidRPr="000E63AC">
        <w:rPr>
          <w:rFonts w:ascii="Times New Roman" w:eastAsia="Times New Roman" w:hAnsi="Times New Roman" w:cs="Times New Roman"/>
          <w:sz w:val="26"/>
          <w:szCs w:val="26"/>
          <w:lang w:eastAsia="lv-LV"/>
        </w:rPr>
        <w:t>sabiedrīb</w:t>
      </w:r>
      <w:r w:rsidR="007753E3" w:rsidRPr="000E63AC">
        <w:rPr>
          <w:rFonts w:ascii="Times New Roman" w:eastAsia="Times New Roman" w:hAnsi="Times New Roman" w:cs="Times New Roman"/>
          <w:sz w:val="26"/>
          <w:szCs w:val="26"/>
          <w:lang w:eastAsia="lv-LV"/>
        </w:rPr>
        <w:t xml:space="preserve">as uzdevums ir spēt pielāgoties </w:t>
      </w:r>
      <w:r w:rsidRPr="000E63AC">
        <w:rPr>
          <w:rFonts w:ascii="Times New Roman" w:eastAsia="Times New Roman" w:hAnsi="Times New Roman" w:cs="Times New Roman"/>
          <w:sz w:val="26"/>
          <w:szCs w:val="26"/>
          <w:lang w:eastAsia="lv-LV"/>
        </w:rPr>
        <w:t xml:space="preserve">šiem mainīgajiem apstākļiem, lai radītu visus priekšnosacījumus programmas turpmākai attīstībai, kā arī nodokļu maksātāju un nodokļu administrācijas ciešākai sadarbībai. </w:t>
      </w:r>
      <w:r w:rsidR="0064650E" w:rsidRPr="000E63AC">
        <w:rPr>
          <w:rFonts w:ascii="Times New Roman" w:eastAsia="Times New Roman" w:hAnsi="Times New Roman" w:cs="Times New Roman"/>
          <w:sz w:val="26"/>
          <w:szCs w:val="26"/>
          <w:lang w:eastAsia="lv-LV"/>
        </w:rPr>
        <w:t>L</w:t>
      </w:r>
      <w:r w:rsidR="00C2310F" w:rsidRPr="000E63AC">
        <w:rPr>
          <w:rFonts w:ascii="Times New Roman" w:eastAsia="Times New Roman" w:hAnsi="Times New Roman" w:cs="Times New Roman"/>
          <w:sz w:val="26"/>
          <w:szCs w:val="26"/>
          <w:lang w:eastAsia="lv-LV"/>
        </w:rPr>
        <w:t>īdz ar to</w:t>
      </w:r>
      <w:r w:rsidR="00495A75" w:rsidRPr="000E63AC">
        <w:rPr>
          <w:rFonts w:ascii="Times New Roman" w:eastAsia="Times New Roman" w:hAnsi="Times New Roman" w:cs="Times New Roman"/>
          <w:sz w:val="26"/>
          <w:szCs w:val="26"/>
          <w:lang w:eastAsia="lv-LV"/>
        </w:rPr>
        <w:t xml:space="preserve"> ir identificēti vairāki riski, kuru novēršanai programma būtu pilnveidojama</w:t>
      </w:r>
      <w:r w:rsidR="00457DB3" w:rsidRPr="000E63AC">
        <w:rPr>
          <w:rFonts w:ascii="Times New Roman" w:eastAsia="Times New Roman" w:hAnsi="Times New Roman" w:cs="Times New Roman"/>
          <w:sz w:val="26"/>
          <w:szCs w:val="26"/>
          <w:lang w:eastAsia="lv-LV"/>
        </w:rPr>
        <w:t>.</w:t>
      </w:r>
    </w:p>
    <w:p w14:paraId="6513166D" w14:textId="77777777" w:rsidR="00F729DE" w:rsidRPr="000E63AC" w:rsidRDefault="00F729DE" w:rsidP="0099414B">
      <w:pPr>
        <w:spacing w:after="0" w:line="240" w:lineRule="auto"/>
        <w:ind w:firstLine="720"/>
        <w:jc w:val="both"/>
        <w:rPr>
          <w:rFonts w:ascii="Times New Roman" w:eastAsia="Times New Roman" w:hAnsi="Times New Roman" w:cs="Times New Roman"/>
          <w:sz w:val="26"/>
          <w:szCs w:val="26"/>
          <w:lang w:eastAsia="lv-LV"/>
        </w:rPr>
      </w:pPr>
    </w:p>
    <w:p w14:paraId="28503D9F" w14:textId="289C2A2F" w:rsidR="00522B69" w:rsidRPr="000E63AC" w:rsidRDefault="00522B69" w:rsidP="00E4003A">
      <w:pPr>
        <w:spacing w:after="0" w:line="240" w:lineRule="auto"/>
        <w:ind w:firstLine="720"/>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t xml:space="preserve">Programmas administrēšana </w:t>
      </w:r>
      <w:r w:rsidR="00126DD3" w:rsidRPr="000E63AC">
        <w:rPr>
          <w:rFonts w:ascii="Times New Roman" w:eastAsia="Times New Roman" w:hAnsi="Times New Roman" w:cs="Times New Roman"/>
          <w:b/>
          <w:sz w:val="26"/>
          <w:szCs w:val="26"/>
          <w:lang w:eastAsia="lv-LV"/>
        </w:rPr>
        <w:t>un uzraudzība būtu vienkāršojama</w:t>
      </w:r>
    </w:p>
    <w:p w14:paraId="2958D76D" w14:textId="29CEE4F1" w:rsidR="005F10D9" w:rsidRPr="000E63AC" w:rsidRDefault="00E61654"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 xml:space="preserve">Programmas administrēšanas process ir laikietilpīgs. </w:t>
      </w:r>
      <w:r w:rsidR="00C2310F" w:rsidRPr="000E63AC">
        <w:rPr>
          <w:rFonts w:ascii="Times New Roman" w:eastAsia="Times New Roman" w:hAnsi="Times New Roman" w:cs="Times New Roman"/>
          <w:sz w:val="26"/>
          <w:szCs w:val="26"/>
          <w:lang w:eastAsia="lv-LV"/>
        </w:rPr>
        <w:t xml:space="preserve">Atbilstoši </w:t>
      </w:r>
      <w:r w:rsidR="003E14D8" w:rsidRPr="000E63AC">
        <w:rPr>
          <w:rFonts w:ascii="Times New Roman" w:eastAsia="Times New Roman" w:hAnsi="Times New Roman" w:cs="Times New Roman"/>
          <w:sz w:val="26"/>
          <w:szCs w:val="26"/>
          <w:lang w:eastAsia="lv-LV"/>
        </w:rPr>
        <w:t xml:space="preserve">Ministru kabineta </w:t>
      </w:r>
      <w:r w:rsidR="00CB1035" w:rsidRPr="000E63AC">
        <w:rPr>
          <w:rFonts w:ascii="Times New Roman" w:eastAsia="Times New Roman" w:hAnsi="Times New Roman" w:cs="Times New Roman"/>
          <w:sz w:val="26"/>
          <w:szCs w:val="26"/>
          <w:lang w:eastAsia="lv-LV"/>
        </w:rPr>
        <w:t xml:space="preserve">2012.gada 26.jūnija </w:t>
      </w:r>
      <w:r w:rsidR="00C2310F" w:rsidRPr="000E63AC">
        <w:rPr>
          <w:rFonts w:ascii="Times New Roman" w:eastAsia="Times New Roman" w:hAnsi="Times New Roman" w:cs="Times New Roman"/>
          <w:sz w:val="26"/>
          <w:szCs w:val="26"/>
          <w:lang w:eastAsia="lv-LV"/>
        </w:rPr>
        <w:t xml:space="preserve">noteikumiem </w:t>
      </w:r>
      <w:r w:rsidR="00CB1035" w:rsidRPr="000E63AC">
        <w:rPr>
          <w:rFonts w:ascii="Times New Roman" w:eastAsia="Times New Roman" w:hAnsi="Times New Roman" w:cs="Times New Roman"/>
          <w:sz w:val="26"/>
          <w:szCs w:val="26"/>
          <w:lang w:eastAsia="lv-LV"/>
        </w:rPr>
        <w:t xml:space="preserve">Nr.459 “Noteikumi par Padziļinātās sadarbības programmas darbību” </w:t>
      </w:r>
      <w:r w:rsidR="00C2310F" w:rsidRPr="000E63AC">
        <w:rPr>
          <w:rFonts w:ascii="Times New Roman" w:eastAsia="Times New Roman" w:hAnsi="Times New Roman" w:cs="Times New Roman"/>
          <w:sz w:val="26"/>
          <w:szCs w:val="26"/>
          <w:lang w:eastAsia="lv-LV"/>
        </w:rPr>
        <w:t xml:space="preserve">katru pretendenta atbilstību izvērtē </w:t>
      </w:r>
      <w:r w:rsidR="005F10D9" w:rsidRPr="000E63AC">
        <w:rPr>
          <w:rFonts w:ascii="Times New Roman" w:eastAsia="Times New Roman" w:hAnsi="Times New Roman" w:cs="Times New Roman"/>
          <w:sz w:val="26"/>
          <w:szCs w:val="26"/>
          <w:lang w:eastAsia="lv-LV"/>
        </w:rPr>
        <w:t xml:space="preserve">Valsts ieņēmuma dienests, savukārt Finanšu ministrija un tās izveidota komisija pieņem lēmumu Administratīvā procesa likuma </w:t>
      </w:r>
      <w:r w:rsidR="000527E3" w:rsidRPr="000E63AC">
        <w:rPr>
          <w:rFonts w:ascii="Times New Roman" w:eastAsia="Times New Roman" w:hAnsi="Times New Roman" w:cs="Times New Roman"/>
          <w:sz w:val="26"/>
          <w:szCs w:val="26"/>
          <w:lang w:eastAsia="lv-LV"/>
        </w:rPr>
        <w:t xml:space="preserve">noteiktajos termiņos </w:t>
      </w:r>
      <w:r w:rsidR="005F10D9" w:rsidRPr="000E63AC">
        <w:rPr>
          <w:rFonts w:ascii="Times New Roman" w:eastAsia="Times New Roman" w:hAnsi="Times New Roman" w:cs="Times New Roman"/>
          <w:sz w:val="26"/>
          <w:szCs w:val="26"/>
          <w:lang w:eastAsia="lv-LV"/>
        </w:rPr>
        <w:t xml:space="preserve">par katra programmas dalībnieka statusa piešķiršanu vai zaudēšanu. </w:t>
      </w:r>
    </w:p>
    <w:p w14:paraId="504D4232" w14:textId="3EBB162B" w:rsidR="00E61654" w:rsidRPr="000E63AC" w:rsidRDefault="005F10D9"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 xml:space="preserve">Vienlaikus jāvērš uzmanība, ka </w:t>
      </w:r>
      <w:r w:rsidR="003E14D8" w:rsidRPr="000E63AC">
        <w:rPr>
          <w:rFonts w:ascii="Times New Roman" w:eastAsia="Times New Roman" w:hAnsi="Times New Roman" w:cs="Times New Roman"/>
          <w:sz w:val="26"/>
          <w:szCs w:val="26"/>
          <w:lang w:eastAsia="lv-LV"/>
        </w:rPr>
        <w:t xml:space="preserve">Ministru kabineta </w:t>
      </w:r>
      <w:r w:rsidRPr="000E63AC">
        <w:rPr>
          <w:rFonts w:ascii="Times New Roman" w:eastAsia="Times New Roman" w:hAnsi="Times New Roman" w:cs="Times New Roman"/>
          <w:sz w:val="26"/>
          <w:szCs w:val="26"/>
          <w:lang w:eastAsia="lv-LV"/>
        </w:rPr>
        <w:t xml:space="preserve">2012.gada 26.jūnija noteikumi Nr.459 “Noteikumi par Padziļinātās sadarbības programmas darbību” </w:t>
      </w:r>
      <w:r w:rsidR="00E61654" w:rsidRPr="000E63AC">
        <w:rPr>
          <w:rFonts w:ascii="Times New Roman" w:eastAsia="Times New Roman" w:hAnsi="Times New Roman" w:cs="Times New Roman"/>
          <w:sz w:val="26"/>
          <w:szCs w:val="26"/>
          <w:lang w:eastAsia="lv-LV"/>
        </w:rPr>
        <w:t xml:space="preserve">nepieļauj novirzes no definētajiem kritērijiem, līdz ar to Finanšu ministrijai </w:t>
      </w:r>
      <w:r w:rsidRPr="000E63AC">
        <w:rPr>
          <w:rFonts w:ascii="Times New Roman" w:eastAsia="Times New Roman" w:hAnsi="Times New Roman" w:cs="Times New Roman"/>
          <w:sz w:val="26"/>
          <w:szCs w:val="26"/>
          <w:lang w:eastAsia="lv-LV"/>
        </w:rPr>
        <w:t xml:space="preserve">un tās izveidotajai komisijai </w:t>
      </w:r>
      <w:r w:rsidR="00E61654" w:rsidRPr="000E63AC">
        <w:rPr>
          <w:rFonts w:ascii="Times New Roman" w:eastAsia="Times New Roman" w:hAnsi="Times New Roman" w:cs="Times New Roman"/>
          <w:sz w:val="26"/>
          <w:szCs w:val="26"/>
          <w:lang w:eastAsia="lv-LV"/>
        </w:rPr>
        <w:t xml:space="preserve">par jebkuru novirzi </w:t>
      </w:r>
      <w:r w:rsidRPr="000E63AC">
        <w:rPr>
          <w:rFonts w:ascii="Times New Roman" w:eastAsia="Times New Roman" w:hAnsi="Times New Roman" w:cs="Times New Roman"/>
          <w:sz w:val="26"/>
          <w:szCs w:val="26"/>
          <w:lang w:eastAsia="lv-LV"/>
        </w:rPr>
        <w:t xml:space="preserve">no definētajiem kritērijiem </w:t>
      </w:r>
      <w:r w:rsidR="00E61654" w:rsidRPr="000E63AC">
        <w:rPr>
          <w:rFonts w:ascii="Times New Roman" w:eastAsia="Times New Roman" w:hAnsi="Times New Roman" w:cs="Times New Roman"/>
          <w:sz w:val="26"/>
          <w:szCs w:val="26"/>
          <w:lang w:eastAsia="lv-LV"/>
        </w:rPr>
        <w:t>ir jāveic izvērtēšana</w:t>
      </w:r>
      <w:r w:rsidRPr="000E63AC">
        <w:rPr>
          <w:rFonts w:ascii="Times New Roman" w:eastAsia="Times New Roman" w:hAnsi="Times New Roman" w:cs="Times New Roman"/>
          <w:sz w:val="26"/>
          <w:szCs w:val="26"/>
          <w:lang w:eastAsia="lv-LV"/>
        </w:rPr>
        <w:t xml:space="preserve"> un lēmuma pieņemšana administratīvā procesa kārtībā</w:t>
      </w:r>
      <w:r w:rsidR="00E61654" w:rsidRPr="000E63AC">
        <w:rPr>
          <w:rFonts w:ascii="Times New Roman" w:eastAsia="Times New Roman" w:hAnsi="Times New Roman" w:cs="Times New Roman"/>
          <w:sz w:val="26"/>
          <w:szCs w:val="26"/>
          <w:lang w:eastAsia="lv-LV"/>
        </w:rPr>
        <w:t>, lai gan atsevišķos gadījumos novirzes var būt nebūtiskas</w:t>
      </w:r>
      <w:r w:rsidR="00B752D6" w:rsidRPr="000E63AC">
        <w:rPr>
          <w:rFonts w:ascii="Times New Roman" w:eastAsia="Times New Roman" w:hAnsi="Times New Roman" w:cs="Times New Roman"/>
          <w:sz w:val="26"/>
          <w:szCs w:val="26"/>
          <w:lang w:eastAsia="lv-LV"/>
        </w:rPr>
        <w:t>, līdz ar to</w:t>
      </w:r>
      <w:r w:rsidR="00E61654" w:rsidRPr="000E63AC">
        <w:rPr>
          <w:rFonts w:ascii="Times New Roman" w:eastAsia="Times New Roman" w:hAnsi="Times New Roman" w:cs="Times New Roman"/>
          <w:sz w:val="26"/>
          <w:szCs w:val="26"/>
          <w:lang w:eastAsia="lv-LV"/>
        </w:rPr>
        <w:t xml:space="preserve"> ieguldītais laika un resursu patēriņš nav samērojams </w:t>
      </w:r>
      <w:r w:rsidR="00F602E2" w:rsidRPr="000E63AC">
        <w:rPr>
          <w:rFonts w:ascii="Times New Roman" w:eastAsia="Times New Roman" w:hAnsi="Times New Roman" w:cs="Times New Roman"/>
          <w:sz w:val="26"/>
          <w:szCs w:val="26"/>
          <w:lang w:eastAsia="lv-LV"/>
        </w:rPr>
        <w:t xml:space="preserve">ar </w:t>
      </w:r>
      <w:r w:rsidR="00E61654" w:rsidRPr="000E63AC">
        <w:rPr>
          <w:rFonts w:ascii="Times New Roman" w:eastAsia="Times New Roman" w:hAnsi="Times New Roman" w:cs="Times New Roman"/>
          <w:sz w:val="26"/>
          <w:szCs w:val="26"/>
          <w:lang w:eastAsia="lv-LV"/>
        </w:rPr>
        <w:t>konstatēt</w:t>
      </w:r>
      <w:r w:rsidR="002E355F" w:rsidRPr="000E63AC">
        <w:rPr>
          <w:rFonts w:ascii="Times New Roman" w:eastAsia="Times New Roman" w:hAnsi="Times New Roman" w:cs="Times New Roman"/>
          <w:sz w:val="26"/>
          <w:szCs w:val="26"/>
          <w:lang w:eastAsia="lv-LV"/>
        </w:rPr>
        <w:t>ās</w:t>
      </w:r>
      <w:r w:rsidR="00E61654" w:rsidRPr="000E63AC">
        <w:rPr>
          <w:rFonts w:ascii="Times New Roman" w:eastAsia="Times New Roman" w:hAnsi="Times New Roman" w:cs="Times New Roman"/>
          <w:sz w:val="26"/>
          <w:szCs w:val="26"/>
          <w:lang w:eastAsia="lv-LV"/>
        </w:rPr>
        <w:t xml:space="preserve"> novirz</w:t>
      </w:r>
      <w:r w:rsidR="002E355F" w:rsidRPr="000E63AC">
        <w:rPr>
          <w:rFonts w:ascii="Times New Roman" w:eastAsia="Times New Roman" w:hAnsi="Times New Roman" w:cs="Times New Roman"/>
          <w:sz w:val="26"/>
          <w:szCs w:val="26"/>
          <w:lang w:eastAsia="lv-LV"/>
        </w:rPr>
        <w:t>es ietekmi uz uzņēmuma dalību programmā</w:t>
      </w:r>
      <w:r w:rsidR="00E61654" w:rsidRPr="000E63AC">
        <w:rPr>
          <w:rFonts w:ascii="Times New Roman" w:eastAsia="Times New Roman" w:hAnsi="Times New Roman" w:cs="Times New Roman"/>
          <w:sz w:val="26"/>
          <w:szCs w:val="26"/>
          <w:lang w:eastAsia="lv-LV"/>
        </w:rPr>
        <w:t xml:space="preserve">. </w:t>
      </w:r>
    </w:p>
    <w:p w14:paraId="3EF14A96" w14:textId="7FB6A3AB" w:rsidR="00F5542A" w:rsidRPr="000E63AC" w:rsidRDefault="00E61654"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Ņemot vērā minēto</w:t>
      </w:r>
      <w:r w:rsidR="0064650E" w:rsidRPr="000E63AC">
        <w:rPr>
          <w:rFonts w:ascii="Times New Roman" w:eastAsia="Times New Roman" w:hAnsi="Times New Roman" w:cs="Times New Roman"/>
          <w:sz w:val="26"/>
          <w:szCs w:val="26"/>
          <w:lang w:eastAsia="lv-LV"/>
        </w:rPr>
        <w:t>,</w:t>
      </w:r>
      <w:r w:rsidRPr="000E63AC">
        <w:rPr>
          <w:rFonts w:ascii="Times New Roman" w:eastAsia="Times New Roman" w:hAnsi="Times New Roman" w:cs="Times New Roman"/>
          <w:sz w:val="26"/>
          <w:szCs w:val="26"/>
          <w:lang w:eastAsia="lv-LV"/>
        </w:rPr>
        <w:t xml:space="preserve"> Finanšu ministrija sadarbībā ar Ekonomikas ministriju</w:t>
      </w:r>
      <w:r w:rsidR="00F5542A" w:rsidRPr="000E63AC">
        <w:rPr>
          <w:rFonts w:ascii="Times New Roman" w:eastAsia="Times New Roman" w:hAnsi="Times New Roman" w:cs="Times New Roman"/>
          <w:sz w:val="26"/>
          <w:szCs w:val="26"/>
          <w:lang w:eastAsia="lv-LV"/>
        </w:rPr>
        <w:t xml:space="preserve"> un V</w:t>
      </w:r>
      <w:r w:rsidRPr="000E63AC">
        <w:rPr>
          <w:rFonts w:ascii="Times New Roman" w:eastAsia="Times New Roman" w:hAnsi="Times New Roman" w:cs="Times New Roman"/>
          <w:sz w:val="26"/>
          <w:szCs w:val="26"/>
          <w:lang w:eastAsia="lv-LV"/>
        </w:rPr>
        <w:t xml:space="preserve">alsts ieņēmumu dienestu </w:t>
      </w:r>
      <w:r w:rsidR="00F5542A" w:rsidRPr="000E63AC">
        <w:rPr>
          <w:rFonts w:ascii="Times New Roman" w:eastAsia="Times New Roman" w:hAnsi="Times New Roman" w:cs="Times New Roman"/>
          <w:sz w:val="26"/>
          <w:szCs w:val="26"/>
          <w:lang w:eastAsia="lv-LV"/>
        </w:rPr>
        <w:t>2017.gada uzsāka darbu pie P</w:t>
      </w:r>
      <w:r w:rsidRPr="000E63AC">
        <w:rPr>
          <w:rFonts w:ascii="Times New Roman" w:eastAsia="Times New Roman" w:hAnsi="Times New Roman" w:cs="Times New Roman"/>
          <w:sz w:val="26"/>
          <w:szCs w:val="26"/>
          <w:lang w:eastAsia="lv-LV"/>
        </w:rPr>
        <w:t xml:space="preserve">adziļinātās sadarbības </w:t>
      </w:r>
      <w:r w:rsidR="007753E3" w:rsidRPr="000E63AC">
        <w:rPr>
          <w:rFonts w:ascii="Times New Roman" w:eastAsia="Times New Roman" w:hAnsi="Times New Roman" w:cs="Times New Roman"/>
          <w:sz w:val="26"/>
          <w:szCs w:val="26"/>
          <w:lang w:eastAsia="lv-LV"/>
        </w:rPr>
        <w:t>programmas</w:t>
      </w:r>
      <w:r w:rsidR="00F5542A" w:rsidRPr="000E63AC">
        <w:rPr>
          <w:rFonts w:ascii="Times New Roman" w:eastAsia="Times New Roman" w:hAnsi="Times New Roman" w:cs="Times New Roman"/>
          <w:sz w:val="26"/>
          <w:szCs w:val="26"/>
          <w:lang w:eastAsia="lv-LV"/>
        </w:rPr>
        <w:t xml:space="preserve"> pilnveidošanas</w:t>
      </w:r>
      <w:r w:rsidR="00AC3F97" w:rsidRPr="000E63AC">
        <w:rPr>
          <w:rFonts w:ascii="Times New Roman" w:eastAsia="Times New Roman" w:hAnsi="Times New Roman" w:cs="Times New Roman"/>
          <w:sz w:val="26"/>
          <w:szCs w:val="26"/>
          <w:lang w:eastAsia="lv-LV"/>
        </w:rPr>
        <w:t xml:space="preserve"> un</w:t>
      </w:r>
      <w:r w:rsidR="00F5542A" w:rsidRPr="000E63AC">
        <w:rPr>
          <w:rFonts w:ascii="Times New Roman" w:eastAsia="Times New Roman" w:hAnsi="Times New Roman" w:cs="Times New Roman"/>
          <w:sz w:val="26"/>
          <w:szCs w:val="26"/>
          <w:lang w:eastAsia="lv-LV"/>
        </w:rPr>
        <w:t xml:space="preserve"> ir apz</w:t>
      </w:r>
      <w:r w:rsidR="002E355F" w:rsidRPr="000E63AC">
        <w:rPr>
          <w:rFonts w:ascii="Times New Roman" w:eastAsia="Times New Roman" w:hAnsi="Times New Roman" w:cs="Times New Roman"/>
          <w:sz w:val="26"/>
          <w:szCs w:val="26"/>
          <w:lang w:eastAsia="lv-LV"/>
        </w:rPr>
        <w:t xml:space="preserve">ināti </w:t>
      </w:r>
      <w:r w:rsidR="00406D43" w:rsidRPr="000E63AC">
        <w:rPr>
          <w:rFonts w:ascii="Times New Roman" w:eastAsia="Times New Roman" w:hAnsi="Times New Roman" w:cs="Times New Roman"/>
          <w:sz w:val="26"/>
          <w:szCs w:val="26"/>
          <w:lang w:eastAsia="lv-LV"/>
        </w:rPr>
        <w:t>sociālo un sadarbības partneru</w:t>
      </w:r>
      <w:r w:rsidR="002E355F" w:rsidRPr="000E63AC">
        <w:rPr>
          <w:rFonts w:ascii="Times New Roman" w:eastAsia="Times New Roman" w:hAnsi="Times New Roman" w:cs="Times New Roman"/>
          <w:sz w:val="26"/>
          <w:szCs w:val="26"/>
          <w:lang w:eastAsia="lv-LV"/>
        </w:rPr>
        <w:t xml:space="preserve"> viedokļi.</w:t>
      </w:r>
    </w:p>
    <w:p w14:paraId="49C72ED7" w14:textId="77777777" w:rsidR="00F729DE" w:rsidRPr="000E63AC" w:rsidRDefault="00F729DE" w:rsidP="0099414B">
      <w:pPr>
        <w:spacing w:after="0" w:line="240" w:lineRule="auto"/>
        <w:rPr>
          <w:rFonts w:ascii="Times New Roman" w:eastAsia="Times New Roman" w:hAnsi="Times New Roman" w:cs="Times New Roman"/>
          <w:b/>
          <w:sz w:val="26"/>
          <w:szCs w:val="26"/>
          <w:lang w:eastAsia="lv-LV"/>
        </w:rPr>
      </w:pPr>
    </w:p>
    <w:p w14:paraId="795CB97B" w14:textId="349B4B95" w:rsidR="00815C65" w:rsidRPr="000E63AC" w:rsidRDefault="00406D43" w:rsidP="00E4003A">
      <w:pPr>
        <w:spacing w:after="0" w:line="240" w:lineRule="auto"/>
        <w:ind w:firstLine="720"/>
        <w:jc w:val="both"/>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t>Sociālo un sadarbības partner</w:t>
      </w:r>
      <w:r w:rsidR="00EA575A" w:rsidRPr="000E63AC">
        <w:rPr>
          <w:rFonts w:ascii="Times New Roman" w:eastAsia="Times New Roman" w:hAnsi="Times New Roman" w:cs="Times New Roman"/>
          <w:b/>
          <w:sz w:val="26"/>
          <w:szCs w:val="26"/>
          <w:lang w:eastAsia="lv-LV"/>
        </w:rPr>
        <w:t>u identificētie</w:t>
      </w:r>
      <w:r w:rsidR="00815C65" w:rsidRPr="000E63AC">
        <w:rPr>
          <w:rFonts w:ascii="Times New Roman" w:eastAsia="Times New Roman" w:hAnsi="Times New Roman" w:cs="Times New Roman"/>
          <w:b/>
          <w:sz w:val="26"/>
          <w:szCs w:val="26"/>
          <w:lang w:eastAsia="lv-LV"/>
        </w:rPr>
        <w:t xml:space="preserve"> riski </w:t>
      </w:r>
      <w:r w:rsidR="001254F3" w:rsidRPr="000E63AC">
        <w:rPr>
          <w:rFonts w:ascii="Times New Roman" w:eastAsia="Times New Roman" w:hAnsi="Times New Roman" w:cs="Times New Roman"/>
          <w:b/>
          <w:sz w:val="26"/>
          <w:szCs w:val="26"/>
          <w:lang w:eastAsia="lv-LV"/>
        </w:rPr>
        <w:t xml:space="preserve">un sniegtās rekomendācijas </w:t>
      </w:r>
    </w:p>
    <w:p w14:paraId="7544998B" w14:textId="2A118856" w:rsidR="004854AC" w:rsidRPr="000E63AC" w:rsidRDefault="005D5320"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Ar </w:t>
      </w:r>
      <w:r w:rsidR="003E14D8" w:rsidRPr="000E63AC">
        <w:rPr>
          <w:rFonts w:ascii="Times New Roman" w:hAnsi="Times New Roman" w:cs="Times New Roman"/>
          <w:sz w:val="26"/>
          <w:szCs w:val="26"/>
        </w:rPr>
        <w:t xml:space="preserve">Ministru kabineta </w:t>
      </w:r>
      <w:r w:rsidR="00981EFB" w:rsidRPr="000E63AC">
        <w:rPr>
          <w:rFonts w:ascii="Times New Roman" w:hAnsi="Times New Roman" w:cs="Times New Roman"/>
          <w:sz w:val="26"/>
          <w:szCs w:val="26"/>
        </w:rPr>
        <w:t xml:space="preserve">2011.gada 19.decembra </w:t>
      </w:r>
      <w:r w:rsidRPr="000E63AC">
        <w:rPr>
          <w:rFonts w:ascii="Times New Roman" w:hAnsi="Times New Roman" w:cs="Times New Roman"/>
          <w:sz w:val="26"/>
          <w:szCs w:val="26"/>
        </w:rPr>
        <w:t xml:space="preserve">rīkojumu Nr.673 tika atbalstīta </w:t>
      </w:r>
      <w:r w:rsidR="007A615C" w:rsidRPr="000E63AC">
        <w:rPr>
          <w:rFonts w:ascii="Times New Roman" w:hAnsi="Times New Roman" w:cs="Times New Roman"/>
          <w:sz w:val="26"/>
          <w:szCs w:val="26"/>
        </w:rPr>
        <w:t>k</w:t>
      </w:r>
      <w:r w:rsidRPr="000E63AC">
        <w:rPr>
          <w:rFonts w:ascii="Times New Roman" w:hAnsi="Times New Roman" w:cs="Times New Roman"/>
          <w:sz w:val="26"/>
          <w:szCs w:val="26"/>
        </w:rPr>
        <w:t>oncepcija “Par Padziļinātās sadarbības programmu”, kurā noteikts, ka “paredzēts noteikt 12 mēnešu pārejas periodu, kurā dalībnieku saraksta kritērijiem kvalificētos ierobežots juridisko personu skaits, tas ir, galvenokārt lielie uzņēmumi. Savukārt pēc sākotnējās ieviešanas pārejas perioda beigām iespēja iekļūt dalībnieku sarakstā tiks nodrošināta jebkurai juridiskajai personai, kura pierādījusi izcilību attieksmē pret valsti. Likuma “Par nodokļiem un nodevām” 7.</w:t>
      </w:r>
      <w:r w:rsidRPr="000E63AC">
        <w:rPr>
          <w:rFonts w:ascii="Times New Roman" w:hAnsi="Times New Roman" w:cs="Times New Roman"/>
          <w:sz w:val="26"/>
          <w:szCs w:val="26"/>
          <w:vertAlign w:val="superscript"/>
        </w:rPr>
        <w:t xml:space="preserve">1 </w:t>
      </w:r>
      <w:r w:rsidRPr="000E63AC">
        <w:rPr>
          <w:rFonts w:ascii="Times New Roman" w:hAnsi="Times New Roman" w:cs="Times New Roman"/>
          <w:sz w:val="26"/>
          <w:szCs w:val="26"/>
        </w:rPr>
        <w:t xml:space="preserve">panta pirmajā daļā noteikts, ka “Padziļinātās sadarbības programmas mērķis ir veicināt nodokļu maksātāju un nodokļu administrācijas ciešāku un efektīvāku sadarbību un mazināt administratīvo slogu.” Tās </w:t>
      </w:r>
      <w:r w:rsidRPr="000E63AC">
        <w:rPr>
          <w:rFonts w:ascii="Times New Roman" w:hAnsi="Times New Roman" w:cs="Times New Roman"/>
          <w:sz w:val="26"/>
          <w:szCs w:val="26"/>
        </w:rPr>
        <w:lastRenderedPageBreak/>
        <w:t xml:space="preserve">ietvaros notiek </w:t>
      </w:r>
      <w:r w:rsidR="00F602E2" w:rsidRPr="000E63AC">
        <w:rPr>
          <w:rFonts w:ascii="Times New Roman" w:hAnsi="Times New Roman" w:cs="Times New Roman"/>
          <w:sz w:val="26"/>
          <w:szCs w:val="26"/>
        </w:rPr>
        <w:t xml:space="preserve">Padziļinātās sadarbības programmā </w:t>
      </w:r>
      <w:r w:rsidRPr="000E63AC">
        <w:rPr>
          <w:rFonts w:ascii="Times New Roman" w:hAnsi="Times New Roman" w:cs="Times New Roman"/>
          <w:sz w:val="26"/>
          <w:szCs w:val="26"/>
        </w:rPr>
        <w:t>iekļautā nodokļu maksātāja brīvprātīga sadarbī</w:t>
      </w:r>
      <w:r w:rsidR="00022C82" w:rsidRPr="000E63AC">
        <w:rPr>
          <w:rFonts w:ascii="Times New Roman" w:hAnsi="Times New Roman" w:cs="Times New Roman"/>
          <w:sz w:val="26"/>
          <w:szCs w:val="26"/>
        </w:rPr>
        <w:t xml:space="preserve">ba ar valsts pārvaldes iestādi. </w:t>
      </w:r>
      <w:r w:rsidR="0064650E" w:rsidRPr="000E63AC">
        <w:rPr>
          <w:rFonts w:ascii="Times New Roman" w:hAnsi="Times New Roman" w:cs="Times New Roman"/>
          <w:sz w:val="26"/>
          <w:szCs w:val="26"/>
        </w:rPr>
        <w:t xml:space="preserve">Kopš </w:t>
      </w:r>
      <w:r w:rsidRPr="000E63AC">
        <w:rPr>
          <w:rFonts w:ascii="Times New Roman" w:hAnsi="Times New Roman" w:cs="Times New Roman"/>
          <w:sz w:val="26"/>
          <w:szCs w:val="26"/>
        </w:rPr>
        <w:t xml:space="preserve">2012.gada 1.jūlija ir pagājuši </w:t>
      </w:r>
      <w:r w:rsidR="00E4003A" w:rsidRPr="000E63AC">
        <w:rPr>
          <w:rFonts w:ascii="Times New Roman" w:hAnsi="Times New Roman" w:cs="Times New Roman"/>
          <w:sz w:val="26"/>
          <w:szCs w:val="26"/>
        </w:rPr>
        <w:t>pieci</w:t>
      </w:r>
      <w:r w:rsidR="006C6D80" w:rsidRPr="000E63AC">
        <w:rPr>
          <w:rFonts w:ascii="Times New Roman" w:hAnsi="Times New Roman" w:cs="Times New Roman"/>
          <w:sz w:val="26"/>
          <w:szCs w:val="26"/>
        </w:rPr>
        <w:t xml:space="preserve"> gadi un Padziļinātās sadarbības programmas</w:t>
      </w:r>
      <w:r w:rsidRPr="000E63AC">
        <w:rPr>
          <w:rFonts w:ascii="Times New Roman" w:hAnsi="Times New Roman" w:cs="Times New Roman"/>
          <w:sz w:val="26"/>
          <w:szCs w:val="26"/>
        </w:rPr>
        <w:t xml:space="preserve"> kritēriji joprojām ir nesaderīgi ar </w:t>
      </w:r>
      <w:r w:rsidR="007A615C" w:rsidRPr="000E63AC">
        <w:rPr>
          <w:rFonts w:ascii="Times New Roman" w:hAnsi="Times New Roman" w:cs="Times New Roman"/>
          <w:sz w:val="26"/>
          <w:szCs w:val="26"/>
        </w:rPr>
        <w:t>k</w:t>
      </w:r>
      <w:r w:rsidRPr="000E63AC">
        <w:rPr>
          <w:rFonts w:ascii="Times New Roman" w:hAnsi="Times New Roman" w:cs="Times New Roman"/>
          <w:sz w:val="26"/>
          <w:szCs w:val="26"/>
        </w:rPr>
        <w:t>oncepcijā iekļauto, kā arī P</w:t>
      </w:r>
      <w:r w:rsidR="00022C82" w:rsidRPr="000E63AC">
        <w:rPr>
          <w:rFonts w:ascii="Times New Roman" w:hAnsi="Times New Roman" w:cs="Times New Roman"/>
          <w:sz w:val="26"/>
          <w:szCs w:val="26"/>
        </w:rPr>
        <w:t>adziļinātās sadarbības programmas</w:t>
      </w:r>
      <w:r w:rsidRPr="000E63AC">
        <w:rPr>
          <w:rFonts w:ascii="Times New Roman" w:hAnsi="Times New Roman" w:cs="Times New Roman"/>
          <w:sz w:val="26"/>
          <w:szCs w:val="26"/>
        </w:rPr>
        <w:t xml:space="preserve"> mērķi, liedzot </w:t>
      </w:r>
      <w:r w:rsidR="002E355F" w:rsidRPr="000E63AC">
        <w:rPr>
          <w:rFonts w:ascii="Times New Roman" w:hAnsi="Times New Roman" w:cs="Times New Roman"/>
          <w:sz w:val="26"/>
          <w:szCs w:val="26"/>
        </w:rPr>
        <w:t>P</w:t>
      </w:r>
      <w:r w:rsidR="00022C82" w:rsidRPr="000E63AC">
        <w:rPr>
          <w:rFonts w:ascii="Times New Roman" w:hAnsi="Times New Roman" w:cs="Times New Roman"/>
          <w:sz w:val="26"/>
          <w:szCs w:val="26"/>
        </w:rPr>
        <w:t>adziļinātā sadarbības programm</w:t>
      </w:r>
      <w:r w:rsidR="002E355F" w:rsidRPr="000E63AC">
        <w:rPr>
          <w:rFonts w:ascii="Times New Roman" w:hAnsi="Times New Roman" w:cs="Times New Roman"/>
          <w:sz w:val="26"/>
          <w:szCs w:val="26"/>
        </w:rPr>
        <w:t>ai</w:t>
      </w:r>
      <w:r w:rsidRPr="000E63AC">
        <w:rPr>
          <w:rFonts w:ascii="Times New Roman" w:hAnsi="Times New Roman" w:cs="Times New Roman"/>
          <w:sz w:val="26"/>
          <w:szCs w:val="26"/>
        </w:rPr>
        <w:t xml:space="preserve"> pievienoties jebkurai juridiskai personai, kas </w:t>
      </w:r>
      <w:r w:rsidR="00406D43" w:rsidRPr="000E63AC">
        <w:rPr>
          <w:rFonts w:ascii="Times New Roman" w:hAnsi="Times New Roman" w:cs="Times New Roman"/>
          <w:sz w:val="26"/>
          <w:szCs w:val="26"/>
        </w:rPr>
        <w:t>sociālo un sadarbības partneru</w:t>
      </w:r>
      <w:r w:rsidRPr="000E63AC">
        <w:rPr>
          <w:rFonts w:ascii="Times New Roman" w:hAnsi="Times New Roman" w:cs="Times New Roman"/>
          <w:sz w:val="26"/>
          <w:szCs w:val="26"/>
        </w:rPr>
        <w:t xml:space="preserve"> ieskatā ir būtisks priekšnoteikums P</w:t>
      </w:r>
      <w:r w:rsidR="000E1FFB" w:rsidRPr="000E63AC">
        <w:rPr>
          <w:rFonts w:ascii="Times New Roman" w:hAnsi="Times New Roman" w:cs="Times New Roman"/>
          <w:sz w:val="26"/>
          <w:szCs w:val="26"/>
        </w:rPr>
        <w:t>adziļinātās sadarbības programmas</w:t>
      </w:r>
      <w:r w:rsidRPr="000E63AC">
        <w:rPr>
          <w:rFonts w:ascii="Times New Roman" w:hAnsi="Times New Roman" w:cs="Times New Roman"/>
          <w:sz w:val="26"/>
          <w:szCs w:val="26"/>
        </w:rPr>
        <w:t xml:space="preserve"> mērķa sasniegšanai un jēgai. </w:t>
      </w:r>
      <w:r w:rsidR="000E1FFB" w:rsidRPr="000E63AC">
        <w:rPr>
          <w:rFonts w:ascii="Times New Roman" w:hAnsi="Times New Roman" w:cs="Times New Roman"/>
          <w:sz w:val="26"/>
          <w:szCs w:val="26"/>
        </w:rPr>
        <w:t>Sociālie partneri vērš uzmanību</w:t>
      </w:r>
      <w:r w:rsidRPr="000E63AC">
        <w:rPr>
          <w:rFonts w:ascii="Times New Roman" w:hAnsi="Times New Roman" w:cs="Times New Roman"/>
          <w:sz w:val="26"/>
          <w:szCs w:val="26"/>
        </w:rPr>
        <w:t>, ka jebkurš godprātīgs un valstij lojāls n</w:t>
      </w:r>
      <w:r w:rsidR="000E1FFB" w:rsidRPr="000E63AC">
        <w:rPr>
          <w:rFonts w:ascii="Times New Roman" w:hAnsi="Times New Roman" w:cs="Times New Roman"/>
          <w:sz w:val="26"/>
          <w:szCs w:val="26"/>
        </w:rPr>
        <w:t xml:space="preserve">odokļu maksātājs ir vērā ņemams, līdz ar to </w:t>
      </w:r>
      <w:r w:rsidRPr="000E63AC">
        <w:rPr>
          <w:rFonts w:ascii="Times New Roman" w:hAnsi="Times New Roman" w:cs="Times New Roman"/>
          <w:sz w:val="26"/>
          <w:szCs w:val="26"/>
        </w:rPr>
        <w:t>ir jādomā par visu nodokļu maksātāju nodokļu morāles celšanas un nodokļu nomaksas motivācijas rīkiem.</w:t>
      </w:r>
    </w:p>
    <w:p w14:paraId="63C35F0F" w14:textId="627D39DA" w:rsidR="004854AC" w:rsidRPr="000E63AC" w:rsidRDefault="00406D43"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Sociālo un sadarbības partner</w:t>
      </w:r>
      <w:r w:rsidR="0099116D" w:rsidRPr="000E63AC">
        <w:rPr>
          <w:rFonts w:ascii="Times New Roman" w:hAnsi="Times New Roman" w:cs="Times New Roman"/>
          <w:sz w:val="26"/>
          <w:szCs w:val="26"/>
        </w:rPr>
        <w:t>u</w:t>
      </w:r>
      <w:r w:rsidR="005D5320" w:rsidRPr="000E63AC">
        <w:rPr>
          <w:rFonts w:ascii="Times New Roman" w:hAnsi="Times New Roman" w:cs="Times New Roman"/>
          <w:sz w:val="26"/>
          <w:szCs w:val="26"/>
        </w:rPr>
        <w:t xml:space="preserve"> ieskatā </w:t>
      </w:r>
      <w:r w:rsidR="0099116D" w:rsidRPr="000E63AC">
        <w:rPr>
          <w:rFonts w:ascii="Times New Roman" w:hAnsi="Times New Roman" w:cs="Times New Roman"/>
          <w:sz w:val="26"/>
          <w:szCs w:val="26"/>
        </w:rPr>
        <w:t>Padziļinātās sadarbības programmas</w:t>
      </w:r>
      <w:r w:rsidR="005D5320" w:rsidRPr="000E63AC">
        <w:rPr>
          <w:rFonts w:ascii="Times New Roman" w:hAnsi="Times New Roman" w:cs="Times New Roman"/>
          <w:sz w:val="26"/>
          <w:szCs w:val="26"/>
        </w:rPr>
        <w:t xml:space="preserve"> kvalificēšanās kritēriji ir jāvienkāršo, paturot galvenos </w:t>
      </w:r>
      <w:proofErr w:type="spellStart"/>
      <w:r w:rsidR="005D5320" w:rsidRPr="000E63AC">
        <w:rPr>
          <w:rFonts w:ascii="Times New Roman" w:hAnsi="Times New Roman" w:cs="Times New Roman"/>
          <w:sz w:val="26"/>
          <w:szCs w:val="26"/>
        </w:rPr>
        <w:t>virsprincipus</w:t>
      </w:r>
      <w:proofErr w:type="spellEnd"/>
      <w:r w:rsidR="005D5320" w:rsidRPr="000E63AC">
        <w:rPr>
          <w:rFonts w:ascii="Times New Roman" w:hAnsi="Times New Roman" w:cs="Times New Roman"/>
          <w:sz w:val="26"/>
          <w:szCs w:val="26"/>
        </w:rPr>
        <w:t xml:space="preserve"> – </w:t>
      </w:r>
      <w:r w:rsidR="0099116D" w:rsidRPr="000E63AC">
        <w:rPr>
          <w:rFonts w:ascii="Times New Roman" w:hAnsi="Times New Roman" w:cs="Times New Roman"/>
          <w:sz w:val="26"/>
          <w:szCs w:val="26"/>
        </w:rPr>
        <w:t>nodokļu maksāšanas disciplīna, sekmīga uzņēmējdarbība, likumpaklausība un</w:t>
      </w:r>
      <w:r w:rsidR="005D5320" w:rsidRPr="000E63AC">
        <w:rPr>
          <w:rFonts w:ascii="Times New Roman" w:hAnsi="Times New Roman" w:cs="Times New Roman"/>
          <w:sz w:val="26"/>
          <w:szCs w:val="26"/>
        </w:rPr>
        <w:t xml:space="preserve"> uzņēmuma vadības reputācija.</w:t>
      </w:r>
    </w:p>
    <w:p w14:paraId="59229C23" w14:textId="6BCAF0EC" w:rsidR="004854AC" w:rsidRPr="000E63AC" w:rsidRDefault="001A0B0D"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Šobrīd </w:t>
      </w:r>
      <w:r w:rsidR="004300E6" w:rsidRPr="000E63AC">
        <w:rPr>
          <w:rFonts w:ascii="Times New Roman" w:hAnsi="Times New Roman" w:cs="Times New Roman"/>
          <w:sz w:val="26"/>
          <w:szCs w:val="26"/>
        </w:rPr>
        <w:t>Padziļinātās sadarbības programmas</w:t>
      </w:r>
      <w:r w:rsidR="005D5320" w:rsidRPr="000E63AC">
        <w:rPr>
          <w:rFonts w:ascii="Times New Roman" w:hAnsi="Times New Roman" w:cs="Times New Roman"/>
          <w:sz w:val="26"/>
          <w:szCs w:val="26"/>
        </w:rPr>
        <w:t xml:space="preserve"> kritēriju kopums ir nesaderīgs ar tās mērķi</w:t>
      </w:r>
      <w:r w:rsidR="00614C1F" w:rsidRPr="000E63AC">
        <w:rPr>
          <w:rFonts w:ascii="Times New Roman" w:hAnsi="Times New Roman" w:cs="Times New Roman"/>
          <w:sz w:val="26"/>
          <w:szCs w:val="26"/>
        </w:rPr>
        <w:t xml:space="preserve"> un</w:t>
      </w:r>
      <w:r w:rsidR="005D5320" w:rsidRPr="000E63AC">
        <w:rPr>
          <w:rFonts w:ascii="Times New Roman" w:hAnsi="Times New Roman" w:cs="Times New Roman"/>
          <w:sz w:val="26"/>
          <w:szCs w:val="26"/>
        </w:rPr>
        <w:t xml:space="preserve"> nesamērīgs ar izvirzīto kritēriju radīto administratīvo slogu nodokļu maksātājam, kā arī </w:t>
      </w:r>
      <w:r w:rsidR="00F602E2" w:rsidRPr="000E63AC">
        <w:rPr>
          <w:rFonts w:ascii="Times New Roman" w:hAnsi="Times New Roman" w:cs="Times New Roman"/>
          <w:sz w:val="26"/>
          <w:szCs w:val="26"/>
        </w:rPr>
        <w:t xml:space="preserve">Padziļinātās sadarbības programmā </w:t>
      </w:r>
      <w:r w:rsidR="005D5320" w:rsidRPr="000E63AC">
        <w:rPr>
          <w:rFonts w:ascii="Times New Roman" w:hAnsi="Times New Roman" w:cs="Times New Roman"/>
          <w:sz w:val="26"/>
          <w:szCs w:val="26"/>
        </w:rPr>
        <w:t>paredzētajām priekšrocībām, kas kopumā nemudina nodokļu maksātāju kļūt par P</w:t>
      </w:r>
      <w:r w:rsidR="00F602E2" w:rsidRPr="000E63AC">
        <w:rPr>
          <w:rFonts w:ascii="Times New Roman" w:hAnsi="Times New Roman" w:cs="Times New Roman"/>
          <w:sz w:val="26"/>
          <w:szCs w:val="26"/>
        </w:rPr>
        <w:t>adziļinātās sadarbības programmas</w:t>
      </w:r>
      <w:r w:rsidR="005D5320" w:rsidRPr="000E63AC">
        <w:rPr>
          <w:rFonts w:ascii="Times New Roman" w:hAnsi="Times New Roman" w:cs="Times New Roman"/>
          <w:sz w:val="26"/>
          <w:szCs w:val="26"/>
        </w:rPr>
        <w:t xml:space="preserve"> dalībnieku. Kritēriji rada iespaidu, ka nodokļu administrators (valsts) uzskata, ka nodokļu maksātāja izcilība attiecībā pret valsti ir mērāma pēc tā apgrozījuma, darbinieku skaita, ienesīguma u.c. specifiskiem kritērijiem, kuriem kvalificēties var vien aptuveni 1500 Latvijas (lielo) nodokļu maksātāju, no kuriem, jāatzīmē, 2016.gada nogalē</w:t>
      </w:r>
      <w:r w:rsidRPr="000E63AC">
        <w:rPr>
          <w:rFonts w:ascii="Times New Roman" w:hAnsi="Times New Roman" w:cs="Times New Roman"/>
          <w:sz w:val="26"/>
          <w:szCs w:val="26"/>
        </w:rPr>
        <w:t xml:space="preserve"> kvalificējušies</w:t>
      </w:r>
      <w:r w:rsidR="005D5320" w:rsidRPr="000E63AC">
        <w:rPr>
          <w:rFonts w:ascii="Times New Roman" w:hAnsi="Times New Roman" w:cs="Times New Roman"/>
          <w:sz w:val="26"/>
          <w:szCs w:val="26"/>
        </w:rPr>
        <w:t xml:space="preserve"> bija tikai 66. Liela daļa godprātīgo nodokļu maksātāju atbalsta P</w:t>
      </w:r>
      <w:r w:rsidR="00F602E2" w:rsidRPr="000E63AC">
        <w:rPr>
          <w:rFonts w:ascii="Times New Roman" w:hAnsi="Times New Roman" w:cs="Times New Roman"/>
          <w:sz w:val="26"/>
          <w:szCs w:val="26"/>
        </w:rPr>
        <w:t xml:space="preserve">adziļinātās sadarbības programmas </w:t>
      </w:r>
      <w:r w:rsidR="005D5320" w:rsidRPr="000E63AC">
        <w:rPr>
          <w:rFonts w:ascii="Times New Roman" w:hAnsi="Times New Roman" w:cs="Times New Roman"/>
          <w:sz w:val="26"/>
          <w:szCs w:val="26"/>
        </w:rPr>
        <w:t>mērķi un vēlas kļūt par programmas dalībniekiem, tomēr dalība programmā ir liegta, jo tie nekvalificējas P</w:t>
      </w:r>
      <w:r w:rsidR="00F602E2" w:rsidRPr="000E63AC">
        <w:rPr>
          <w:rFonts w:ascii="Times New Roman" w:hAnsi="Times New Roman" w:cs="Times New Roman"/>
          <w:sz w:val="26"/>
          <w:szCs w:val="26"/>
        </w:rPr>
        <w:t>adziļinātās sadarbības programmas</w:t>
      </w:r>
      <w:r w:rsidR="005D5320" w:rsidRPr="000E63AC">
        <w:rPr>
          <w:rFonts w:ascii="Times New Roman" w:hAnsi="Times New Roman" w:cs="Times New Roman"/>
          <w:sz w:val="26"/>
          <w:szCs w:val="26"/>
        </w:rPr>
        <w:t xml:space="preserve"> dalībai izvirzītajiem kritērijiem.</w:t>
      </w:r>
    </w:p>
    <w:p w14:paraId="1FCCD4D1" w14:textId="31BDFAC8" w:rsidR="005D5320" w:rsidRPr="000E63AC" w:rsidRDefault="0064650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Padziļinātās sadarbības programmas</w:t>
      </w:r>
      <w:r w:rsidR="005D5320" w:rsidRPr="000E63AC">
        <w:rPr>
          <w:rFonts w:ascii="Times New Roman" w:hAnsi="Times New Roman" w:cs="Times New Roman"/>
          <w:sz w:val="26"/>
          <w:szCs w:val="26"/>
        </w:rPr>
        <w:t xml:space="preserve"> kritērijiem un administrēšanai jānotiek automātiski, neparedzot tam atsevišķu personālsastāvu (Komisiju, kā tas ir šobrīd). Pieteikšanās </w:t>
      </w:r>
      <w:r w:rsidR="0046203A" w:rsidRPr="000E63AC">
        <w:rPr>
          <w:rFonts w:ascii="Times New Roman" w:hAnsi="Times New Roman" w:cs="Times New Roman"/>
          <w:sz w:val="26"/>
          <w:szCs w:val="26"/>
        </w:rPr>
        <w:t xml:space="preserve">procesam </w:t>
      </w:r>
      <w:r w:rsidRPr="000E63AC">
        <w:rPr>
          <w:rFonts w:ascii="Times New Roman" w:hAnsi="Times New Roman" w:cs="Times New Roman"/>
          <w:sz w:val="26"/>
          <w:szCs w:val="26"/>
        </w:rPr>
        <w:t>Padziļinātās sadarbības programmai</w:t>
      </w:r>
      <w:r w:rsidR="005D5320" w:rsidRPr="000E63AC">
        <w:rPr>
          <w:rFonts w:ascii="Times New Roman" w:hAnsi="Times New Roman" w:cs="Times New Roman"/>
          <w:sz w:val="26"/>
          <w:szCs w:val="26"/>
        </w:rPr>
        <w:t xml:space="preserve"> jābūt elektroniskam, iekļaušanai </w:t>
      </w:r>
      <w:r w:rsidRPr="000E63AC">
        <w:rPr>
          <w:rFonts w:ascii="Times New Roman" w:hAnsi="Times New Roman" w:cs="Times New Roman"/>
          <w:sz w:val="26"/>
          <w:szCs w:val="26"/>
        </w:rPr>
        <w:t>Padziļinātās sadarbības programmā</w:t>
      </w:r>
      <w:r w:rsidR="00EE16CC">
        <w:rPr>
          <w:rFonts w:ascii="Times New Roman" w:hAnsi="Times New Roman" w:cs="Times New Roman"/>
          <w:sz w:val="26"/>
          <w:szCs w:val="26"/>
        </w:rPr>
        <w:t>,</w:t>
      </w:r>
      <w:r w:rsidR="005D5320" w:rsidRPr="000E63AC">
        <w:rPr>
          <w:rFonts w:ascii="Times New Roman" w:hAnsi="Times New Roman" w:cs="Times New Roman"/>
          <w:sz w:val="26"/>
          <w:szCs w:val="26"/>
        </w:rPr>
        <w:t xml:space="preserve"> administrēšanai</w:t>
      </w:r>
      <w:r w:rsidR="00EE16CC">
        <w:rPr>
          <w:rFonts w:ascii="Times New Roman" w:hAnsi="Times New Roman" w:cs="Times New Roman"/>
          <w:sz w:val="26"/>
          <w:szCs w:val="26"/>
        </w:rPr>
        <w:t xml:space="preserve"> un</w:t>
      </w:r>
      <w:r w:rsidR="005D5320" w:rsidRPr="000E63AC">
        <w:rPr>
          <w:rFonts w:ascii="Times New Roman" w:hAnsi="Times New Roman" w:cs="Times New Roman"/>
          <w:sz w:val="26"/>
          <w:szCs w:val="26"/>
        </w:rPr>
        <w:t xml:space="preserve"> uzraudzībai jābūt automātiskai.</w:t>
      </w:r>
      <w:r w:rsidR="004854AC" w:rsidRPr="000E63AC">
        <w:rPr>
          <w:rFonts w:ascii="Times New Roman" w:hAnsi="Times New Roman" w:cs="Times New Roman"/>
          <w:sz w:val="26"/>
          <w:szCs w:val="26"/>
        </w:rPr>
        <w:t xml:space="preserve"> Attiecībā uz statusa atņemšanu, </w:t>
      </w:r>
      <w:r w:rsidR="005D5320" w:rsidRPr="000E63AC">
        <w:rPr>
          <w:rFonts w:ascii="Times New Roman" w:hAnsi="Times New Roman" w:cs="Times New Roman"/>
          <w:sz w:val="26"/>
          <w:szCs w:val="26"/>
        </w:rPr>
        <w:t xml:space="preserve">nesaskatām nepieciešamību katru reizi bez brīdinājuma izslēgt </w:t>
      </w:r>
      <w:r w:rsidRPr="000E63AC">
        <w:rPr>
          <w:rFonts w:ascii="Times New Roman" w:hAnsi="Times New Roman" w:cs="Times New Roman"/>
          <w:sz w:val="26"/>
          <w:szCs w:val="26"/>
        </w:rPr>
        <w:t>Padziļinātās sadarbības programmas</w:t>
      </w:r>
      <w:r w:rsidR="005D5320" w:rsidRPr="000E63AC">
        <w:rPr>
          <w:rFonts w:ascii="Times New Roman" w:hAnsi="Times New Roman" w:cs="Times New Roman"/>
          <w:sz w:val="26"/>
          <w:szCs w:val="26"/>
        </w:rPr>
        <w:t xml:space="preserve"> dalībniekus, ja tiek konstatēta kāda no statusa atņemšanas pazīmēm iestāšanās. Daudz lietderīgāk būtu apturēt uz laiku dalību </w:t>
      </w:r>
      <w:r w:rsidRPr="000E63AC">
        <w:rPr>
          <w:rFonts w:ascii="Times New Roman" w:hAnsi="Times New Roman" w:cs="Times New Roman"/>
          <w:sz w:val="26"/>
          <w:szCs w:val="26"/>
        </w:rPr>
        <w:t>Padziļinātās sadarbības programmā</w:t>
      </w:r>
      <w:r w:rsidR="005D5320" w:rsidRPr="000E63AC">
        <w:rPr>
          <w:rFonts w:ascii="Times New Roman" w:hAnsi="Times New Roman" w:cs="Times New Roman"/>
          <w:sz w:val="26"/>
          <w:szCs w:val="26"/>
        </w:rPr>
        <w:t xml:space="preserve">, ļaujot programmas dalībniekam novērst apstākļus, kas iestājušies un ir par pamatu tā dalības </w:t>
      </w:r>
      <w:r w:rsidRPr="000E63AC">
        <w:rPr>
          <w:rFonts w:ascii="Times New Roman" w:hAnsi="Times New Roman" w:cs="Times New Roman"/>
          <w:sz w:val="26"/>
          <w:szCs w:val="26"/>
        </w:rPr>
        <w:t>Padziļinātās sadarbības programmā</w:t>
      </w:r>
      <w:r w:rsidR="005D5320" w:rsidRPr="000E63AC">
        <w:rPr>
          <w:rFonts w:ascii="Times New Roman" w:hAnsi="Times New Roman" w:cs="Times New Roman"/>
          <w:sz w:val="26"/>
          <w:szCs w:val="26"/>
        </w:rPr>
        <w:t xml:space="preserve"> apturēšanai vai izslēgšanai.</w:t>
      </w:r>
    </w:p>
    <w:p w14:paraId="100D1133" w14:textId="0C66CCBD" w:rsidR="00033F2B" w:rsidRPr="000E63AC" w:rsidRDefault="003678D0"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Šobrīd liela daļa nodokļu maksātāju nav motivēti kļūt par </w:t>
      </w:r>
      <w:r w:rsidR="0064650E" w:rsidRPr="000E63AC">
        <w:rPr>
          <w:rFonts w:ascii="Times New Roman" w:hAnsi="Times New Roman" w:cs="Times New Roman"/>
          <w:sz w:val="26"/>
          <w:szCs w:val="26"/>
        </w:rPr>
        <w:t>Padziļinātās sadarbības programmas</w:t>
      </w:r>
      <w:r w:rsidRPr="000E63AC">
        <w:rPr>
          <w:rFonts w:ascii="Times New Roman" w:hAnsi="Times New Roman" w:cs="Times New Roman"/>
          <w:sz w:val="26"/>
          <w:szCs w:val="26"/>
        </w:rPr>
        <w:t xml:space="preserve"> dalībniekiem, jo piedāvātās priekšrocības nav aktuālas, kā arī samērīgas ar izvirzītajiem kritērijiem, kas nodokļu maksātājam jāizpilda. Daļa nodokļu maksātāju dalību </w:t>
      </w:r>
      <w:r w:rsidR="0064650E" w:rsidRPr="000E63AC">
        <w:rPr>
          <w:rFonts w:ascii="Times New Roman" w:hAnsi="Times New Roman" w:cs="Times New Roman"/>
          <w:sz w:val="26"/>
          <w:szCs w:val="26"/>
        </w:rPr>
        <w:t>Padziļinātās sadarbības programmā</w:t>
      </w:r>
      <w:r w:rsidRPr="000E63AC">
        <w:rPr>
          <w:rFonts w:ascii="Times New Roman" w:hAnsi="Times New Roman" w:cs="Times New Roman"/>
          <w:sz w:val="26"/>
          <w:szCs w:val="26"/>
        </w:rPr>
        <w:t xml:space="preserve"> uztver kā patriotisku pienākumu un/vai (uzņēmuma) korporatīvās sociālās atbildības politikas sastāvdaļu, savukārt praktisku labumu dalībai </w:t>
      </w:r>
      <w:r w:rsidR="0064650E" w:rsidRPr="000E63AC">
        <w:rPr>
          <w:rFonts w:ascii="Times New Roman" w:hAnsi="Times New Roman" w:cs="Times New Roman"/>
          <w:sz w:val="26"/>
          <w:szCs w:val="26"/>
        </w:rPr>
        <w:t>Padziļinātās sadarbības programmā</w:t>
      </w:r>
      <w:r w:rsidRPr="000E63AC">
        <w:rPr>
          <w:rFonts w:ascii="Times New Roman" w:hAnsi="Times New Roman" w:cs="Times New Roman"/>
          <w:sz w:val="26"/>
          <w:szCs w:val="26"/>
        </w:rPr>
        <w:t xml:space="preserve"> nesaskata. </w:t>
      </w:r>
      <w:r w:rsidR="00EE16CC">
        <w:rPr>
          <w:rFonts w:ascii="Times New Roman" w:hAnsi="Times New Roman" w:cs="Times New Roman"/>
          <w:sz w:val="26"/>
          <w:szCs w:val="26"/>
        </w:rPr>
        <w:t>Nodokļu maksātāju ieskatā p</w:t>
      </w:r>
      <w:r w:rsidRPr="000E63AC">
        <w:rPr>
          <w:rFonts w:ascii="Times New Roman" w:hAnsi="Times New Roman" w:cs="Times New Roman"/>
          <w:sz w:val="26"/>
          <w:szCs w:val="26"/>
        </w:rPr>
        <w:t>riekšrocību un privilēģiju grozs būtu pārskatāms, piemēram, piedāvājot atvieglotas procedūras, atlaides valsts pakalpojumiem, papildus punktus (priekšrocības) valsts un pašvaldību publiskajos iepirkumos utt.</w:t>
      </w:r>
    </w:p>
    <w:p w14:paraId="605978A3" w14:textId="77777777" w:rsidR="00F729DE" w:rsidRPr="000E63AC" w:rsidRDefault="00F729DE" w:rsidP="0099414B">
      <w:pPr>
        <w:spacing w:after="0" w:line="240" w:lineRule="auto"/>
        <w:jc w:val="both"/>
        <w:rPr>
          <w:rFonts w:ascii="Times New Roman" w:hAnsi="Times New Roman" w:cs="Times New Roman"/>
          <w:b/>
          <w:sz w:val="26"/>
          <w:szCs w:val="26"/>
        </w:rPr>
      </w:pPr>
    </w:p>
    <w:p w14:paraId="49B099D0" w14:textId="77777777" w:rsidR="001D4229" w:rsidRPr="000E63AC" w:rsidRDefault="001D4229" w:rsidP="0099414B">
      <w:pPr>
        <w:spacing w:after="0" w:line="240" w:lineRule="auto"/>
        <w:jc w:val="both"/>
        <w:rPr>
          <w:rFonts w:ascii="Times New Roman" w:hAnsi="Times New Roman" w:cs="Times New Roman"/>
          <w:b/>
          <w:sz w:val="26"/>
          <w:szCs w:val="26"/>
        </w:rPr>
      </w:pPr>
    </w:p>
    <w:p w14:paraId="1E39D0B2" w14:textId="77777777" w:rsidR="001D4229" w:rsidRPr="000E63AC" w:rsidRDefault="001D4229" w:rsidP="0099414B">
      <w:pPr>
        <w:spacing w:after="0" w:line="240" w:lineRule="auto"/>
        <w:jc w:val="both"/>
        <w:rPr>
          <w:rFonts w:ascii="Times New Roman" w:hAnsi="Times New Roman" w:cs="Times New Roman"/>
          <w:b/>
          <w:sz w:val="26"/>
          <w:szCs w:val="26"/>
        </w:rPr>
      </w:pPr>
    </w:p>
    <w:p w14:paraId="6375FE5F" w14:textId="27FE61A1" w:rsidR="00EA575A" w:rsidRPr="000E63AC" w:rsidRDefault="0061309A" w:rsidP="00BD2912">
      <w:pPr>
        <w:spacing w:after="0" w:line="240" w:lineRule="auto"/>
        <w:ind w:firstLine="360"/>
        <w:jc w:val="both"/>
        <w:rPr>
          <w:rFonts w:ascii="Times New Roman" w:hAnsi="Times New Roman" w:cs="Times New Roman"/>
          <w:sz w:val="26"/>
          <w:szCs w:val="26"/>
        </w:rPr>
      </w:pPr>
      <w:r>
        <w:rPr>
          <w:rFonts w:ascii="Times New Roman" w:hAnsi="Times New Roman" w:cs="Times New Roman"/>
          <w:b/>
          <w:sz w:val="26"/>
          <w:szCs w:val="26"/>
        </w:rPr>
        <w:lastRenderedPageBreak/>
        <w:t>Nodokļu maksātāju s</w:t>
      </w:r>
      <w:r w:rsidR="00EA575A" w:rsidRPr="000E63AC">
        <w:rPr>
          <w:rFonts w:ascii="Times New Roman" w:hAnsi="Times New Roman" w:cs="Times New Roman"/>
          <w:b/>
          <w:sz w:val="26"/>
          <w:szCs w:val="26"/>
        </w:rPr>
        <w:t>niegtās rekomendācijas</w:t>
      </w:r>
      <w:r w:rsidR="00EA575A" w:rsidRPr="000E63AC">
        <w:rPr>
          <w:rFonts w:ascii="Times New Roman" w:hAnsi="Times New Roman" w:cs="Times New Roman"/>
          <w:sz w:val="26"/>
          <w:szCs w:val="26"/>
        </w:rPr>
        <w:t>:</w:t>
      </w:r>
    </w:p>
    <w:p w14:paraId="40AC77B3" w14:textId="005FE581" w:rsidR="00EA575A" w:rsidRPr="000E63AC" w:rsidRDefault="00B30413" w:rsidP="0099414B">
      <w:pPr>
        <w:pStyle w:val="ListParagraph"/>
        <w:numPr>
          <w:ilvl w:val="0"/>
          <w:numId w:val="7"/>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 xml:space="preserve">rast iespēju </w:t>
      </w:r>
      <w:r w:rsidR="0064650E" w:rsidRPr="000E63AC">
        <w:rPr>
          <w:rFonts w:ascii="Times New Roman" w:hAnsi="Times New Roman" w:cs="Times New Roman"/>
          <w:sz w:val="26"/>
          <w:szCs w:val="26"/>
        </w:rPr>
        <w:t>Padziļinātās sadarbības programmā</w:t>
      </w:r>
      <w:r w:rsidRPr="000E63AC">
        <w:rPr>
          <w:rFonts w:ascii="Times New Roman" w:hAnsi="Times New Roman" w:cs="Times New Roman"/>
          <w:sz w:val="26"/>
          <w:szCs w:val="26"/>
        </w:rPr>
        <w:t xml:space="preserve"> iekļaut arī uzņēmumu grupas, piemēram, izmantojot kritērijus līdzīgi kā šobrīd ir </w:t>
      </w:r>
      <w:r w:rsidR="00EF6801" w:rsidRPr="000E63AC">
        <w:rPr>
          <w:rFonts w:ascii="Times New Roman" w:hAnsi="Times New Roman" w:cs="Times New Roman"/>
          <w:sz w:val="26"/>
          <w:szCs w:val="26"/>
        </w:rPr>
        <w:t xml:space="preserve">Pievienotās vērtības nodokļa (turpmāk </w:t>
      </w:r>
      <w:r w:rsidR="00580CB4" w:rsidRPr="000E63AC">
        <w:rPr>
          <w:rFonts w:ascii="Times New Roman" w:hAnsi="Times New Roman" w:cs="Times New Roman"/>
          <w:sz w:val="26"/>
          <w:szCs w:val="26"/>
        </w:rPr>
        <w:t>–</w:t>
      </w:r>
      <w:r w:rsidR="00EF6801" w:rsidRPr="000E63AC">
        <w:rPr>
          <w:rFonts w:ascii="Times New Roman" w:hAnsi="Times New Roman" w:cs="Times New Roman"/>
          <w:sz w:val="26"/>
          <w:szCs w:val="26"/>
        </w:rPr>
        <w:t xml:space="preserve"> PVN)</w:t>
      </w:r>
      <w:r w:rsidRPr="000E63AC">
        <w:rPr>
          <w:rFonts w:ascii="Times New Roman" w:hAnsi="Times New Roman" w:cs="Times New Roman"/>
          <w:sz w:val="26"/>
          <w:szCs w:val="26"/>
        </w:rPr>
        <w:t xml:space="preserve"> grupu</w:t>
      </w:r>
      <w:r w:rsidR="00B86383" w:rsidRPr="000E63AC">
        <w:rPr>
          <w:rFonts w:ascii="Times New Roman" w:hAnsi="Times New Roman" w:cs="Times New Roman"/>
          <w:sz w:val="26"/>
          <w:szCs w:val="26"/>
        </w:rPr>
        <w:t xml:space="preserve"> (PVN grupas mērķis ir optimizēt PVN grupā ietilpstošo uzņēmumu naudas plūsmu grupas ietvaros, lai par saņemtajiem un sniegtajiem pakalpojumiem savstarpēji nemaksātu nodokli)</w:t>
      </w:r>
      <w:r w:rsidRPr="000E63AC">
        <w:rPr>
          <w:rFonts w:ascii="Times New Roman" w:hAnsi="Times New Roman" w:cs="Times New Roman"/>
          <w:sz w:val="26"/>
          <w:szCs w:val="26"/>
        </w:rPr>
        <w:t xml:space="preserve"> veidošanas regulējumā;</w:t>
      </w:r>
    </w:p>
    <w:p w14:paraId="3378EB2A" w14:textId="77777777" w:rsidR="00EA575A" w:rsidRPr="000E63AC" w:rsidRDefault="00B30413" w:rsidP="0099414B">
      <w:pPr>
        <w:pStyle w:val="ListParagraph"/>
        <w:numPr>
          <w:ilvl w:val="0"/>
          <w:numId w:val="7"/>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 xml:space="preserve">samazināt </w:t>
      </w:r>
      <w:r w:rsidR="0064650E" w:rsidRPr="000E63AC">
        <w:rPr>
          <w:rFonts w:ascii="Times New Roman" w:hAnsi="Times New Roman" w:cs="Times New Roman"/>
          <w:sz w:val="26"/>
          <w:szCs w:val="26"/>
        </w:rPr>
        <w:t>Padziļinātās sadarbības programmas</w:t>
      </w:r>
      <w:r w:rsidRPr="000E63AC">
        <w:rPr>
          <w:rFonts w:ascii="Times New Roman" w:hAnsi="Times New Roman" w:cs="Times New Roman"/>
          <w:sz w:val="26"/>
          <w:szCs w:val="26"/>
        </w:rPr>
        <w:t xml:space="preserve"> dalībā esošām grupām administratīvo slogu attiecībā uz transferta cenām, proti, atbrīvot no dokumentācijas sagatavošanas par darījumiem Latvijas grupas ietvaros;</w:t>
      </w:r>
    </w:p>
    <w:p w14:paraId="40E27BA1" w14:textId="77777777" w:rsidR="00EA575A" w:rsidRPr="000E63AC" w:rsidRDefault="00B30413" w:rsidP="0099414B">
      <w:pPr>
        <w:pStyle w:val="ListParagraph"/>
        <w:numPr>
          <w:ilvl w:val="0"/>
          <w:numId w:val="7"/>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 xml:space="preserve">pārliecinoties par </w:t>
      </w:r>
      <w:r w:rsidR="00F637CC" w:rsidRPr="000E63AC">
        <w:rPr>
          <w:rFonts w:ascii="Times New Roman" w:hAnsi="Times New Roman" w:cs="Times New Roman"/>
          <w:sz w:val="26"/>
          <w:szCs w:val="26"/>
        </w:rPr>
        <w:t>Padziļinātās sadarbības programmas</w:t>
      </w:r>
      <w:r w:rsidRPr="000E63AC">
        <w:rPr>
          <w:rFonts w:ascii="Times New Roman" w:hAnsi="Times New Roman" w:cs="Times New Roman"/>
          <w:sz w:val="26"/>
          <w:szCs w:val="26"/>
        </w:rPr>
        <w:t xml:space="preserve"> uzņēmuma iekšējām nodokļu kontroles procedūrām un to kvalitāti, samazināt nodokļu auditam atvērto gadu skaitu līdz 1 vai 2;</w:t>
      </w:r>
    </w:p>
    <w:p w14:paraId="4BADB35E" w14:textId="77777777" w:rsidR="00EA575A" w:rsidRPr="000E63AC" w:rsidRDefault="00B30413" w:rsidP="0099414B">
      <w:pPr>
        <w:pStyle w:val="ListParagraph"/>
        <w:numPr>
          <w:ilvl w:val="0"/>
          <w:numId w:val="7"/>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 xml:space="preserve">atbrīvot </w:t>
      </w:r>
      <w:r w:rsidR="00F637CC" w:rsidRPr="000E63AC">
        <w:rPr>
          <w:rFonts w:ascii="Times New Roman" w:hAnsi="Times New Roman" w:cs="Times New Roman"/>
          <w:sz w:val="26"/>
          <w:szCs w:val="26"/>
        </w:rPr>
        <w:t>Padziļinātās sadarbības programmas</w:t>
      </w:r>
      <w:r w:rsidRPr="000E63AC">
        <w:rPr>
          <w:rFonts w:ascii="Times New Roman" w:hAnsi="Times New Roman" w:cs="Times New Roman"/>
          <w:sz w:val="26"/>
          <w:szCs w:val="26"/>
        </w:rPr>
        <w:t xml:space="preserve"> uzņēmumus no administratīvās prasības saņemt atļaujas maksājumiem ofšoru teritorijām (pakalpojumiem);</w:t>
      </w:r>
    </w:p>
    <w:p w14:paraId="61C6FBDB" w14:textId="75851967" w:rsidR="00EA575A" w:rsidRPr="000E63AC" w:rsidRDefault="00B30413" w:rsidP="0099414B">
      <w:pPr>
        <w:pStyle w:val="ListParagraph"/>
        <w:numPr>
          <w:ilvl w:val="0"/>
          <w:numId w:val="7"/>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 xml:space="preserve">attiecībā uz PVN datu salīdzināšanu, paļauties, ka </w:t>
      </w:r>
      <w:r w:rsidR="00F637CC" w:rsidRPr="000E63AC">
        <w:rPr>
          <w:rFonts w:ascii="Times New Roman" w:hAnsi="Times New Roman" w:cs="Times New Roman"/>
          <w:sz w:val="26"/>
          <w:szCs w:val="26"/>
        </w:rPr>
        <w:t>Padziļinātās sadarbības programmas</w:t>
      </w:r>
      <w:r w:rsidRPr="000E63AC">
        <w:rPr>
          <w:rFonts w:ascii="Times New Roman" w:hAnsi="Times New Roman" w:cs="Times New Roman"/>
          <w:sz w:val="26"/>
          <w:szCs w:val="26"/>
        </w:rPr>
        <w:t xml:space="preserve"> uzņēmums ir darījumus atspoguļoji</w:t>
      </w:r>
      <w:r w:rsidR="002240B7" w:rsidRPr="000E63AC">
        <w:rPr>
          <w:rFonts w:ascii="Times New Roman" w:hAnsi="Times New Roman" w:cs="Times New Roman"/>
          <w:sz w:val="26"/>
          <w:szCs w:val="26"/>
        </w:rPr>
        <w:t>s korekti un atbilstošā periodā;</w:t>
      </w:r>
    </w:p>
    <w:p w14:paraId="29B8F12D" w14:textId="2E9C4565" w:rsidR="00EA575A" w:rsidRPr="000E63AC" w:rsidRDefault="00E30886" w:rsidP="0099414B">
      <w:pPr>
        <w:pStyle w:val="ListParagraph"/>
        <w:numPr>
          <w:ilvl w:val="0"/>
          <w:numId w:val="7"/>
        </w:numPr>
        <w:spacing w:after="0" w:line="240" w:lineRule="auto"/>
        <w:jc w:val="both"/>
        <w:rPr>
          <w:rFonts w:ascii="Times New Roman" w:hAnsi="Times New Roman" w:cs="Times New Roman"/>
          <w:sz w:val="26"/>
          <w:szCs w:val="26"/>
        </w:rPr>
      </w:pPr>
      <w:r w:rsidRPr="000E63AC">
        <w:rPr>
          <w:rFonts w:ascii="Times New Roman" w:hAnsi="Times New Roman"/>
          <w:sz w:val="26"/>
          <w:szCs w:val="26"/>
        </w:rPr>
        <w:t>n</w:t>
      </w:r>
      <w:r w:rsidR="009E2923" w:rsidRPr="000E63AC">
        <w:rPr>
          <w:rFonts w:ascii="Times New Roman" w:hAnsi="Times New Roman"/>
          <w:sz w:val="26"/>
          <w:szCs w:val="26"/>
        </w:rPr>
        <w:t>odokļu maksātāju – programmas dalībnieku segmentēšana. Ieteicams pārvērtēt programmas mērķauditoriju un izstrādāt Valsts ieņēmumu individuālo sadarbības mo</w:t>
      </w:r>
      <w:r w:rsidR="002240B7" w:rsidRPr="000E63AC">
        <w:rPr>
          <w:rFonts w:ascii="Times New Roman" w:hAnsi="Times New Roman"/>
          <w:sz w:val="26"/>
          <w:szCs w:val="26"/>
        </w:rPr>
        <w:t>deli ar katru dalībnieku grupu;</w:t>
      </w:r>
    </w:p>
    <w:p w14:paraId="3709256A" w14:textId="7A16BC1A" w:rsidR="00EA575A" w:rsidRPr="000E63AC" w:rsidRDefault="00E30886" w:rsidP="0099414B">
      <w:pPr>
        <w:pStyle w:val="ListParagraph"/>
        <w:numPr>
          <w:ilvl w:val="0"/>
          <w:numId w:val="7"/>
        </w:numPr>
        <w:spacing w:after="0"/>
        <w:jc w:val="both"/>
        <w:rPr>
          <w:rFonts w:ascii="Times New Roman" w:hAnsi="Times New Roman" w:cs="Times New Roman"/>
          <w:sz w:val="26"/>
          <w:szCs w:val="26"/>
        </w:rPr>
      </w:pPr>
      <w:r w:rsidRPr="000E63AC">
        <w:rPr>
          <w:rFonts w:ascii="Times New Roman" w:hAnsi="Times New Roman"/>
          <w:sz w:val="26"/>
          <w:szCs w:val="26"/>
        </w:rPr>
        <w:t>p</w:t>
      </w:r>
      <w:r w:rsidR="009E2923" w:rsidRPr="000E63AC">
        <w:rPr>
          <w:rFonts w:ascii="Times New Roman" w:hAnsi="Times New Roman"/>
          <w:sz w:val="26"/>
          <w:szCs w:val="26"/>
        </w:rPr>
        <w:t>rogrammas dalībnieka statusa iegūšanas kritēriju izvērtēšana. Formālo kritēriju, kas neļauj V</w:t>
      </w:r>
      <w:r w:rsidR="00F602E2" w:rsidRPr="000E63AC">
        <w:rPr>
          <w:rFonts w:ascii="Times New Roman" w:hAnsi="Times New Roman"/>
          <w:sz w:val="26"/>
          <w:szCs w:val="26"/>
        </w:rPr>
        <w:t>alsts ieņēmumu dienestam</w:t>
      </w:r>
      <w:r w:rsidR="009E2923" w:rsidRPr="000E63AC">
        <w:rPr>
          <w:rFonts w:ascii="Times New Roman" w:hAnsi="Times New Roman"/>
          <w:sz w:val="26"/>
          <w:szCs w:val="26"/>
        </w:rPr>
        <w:t xml:space="preserve"> gūt pārliecību par nodokļa maksātāja godprātīgumu, to finansiālo stāvokli, atcelšana vai precizēšana (piem., </w:t>
      </w:r>
      <w:r w:rsidR="003E14D8" w:rsidRPr="000E63AC">
        <w:rPr>
          <w:rFonts w:ascii="Times New Roman" w:hAnsi="Times New Roman"/>
          <w:sz w:val="26"/>
          <w:szCs w:val="26"/>
        </w:rPr>
        <w:t xml:space="preserve">Ministru kabineta </w:t>
      </w:r>
      <w:r w:rsidR="009E2923" w:rsidRPr="000E63AC">
        <w:rPr>
          <w:rFonts w:ascii="Times New Roman" w:hAnsi="Times New Roman"/>
          <w:sz w:val="26"/>
          <w:szCs w:val="26"/>
        </w:rPr>
        <w:t xml:space="preserve">2012. gada 26. jūnija noteikumu Nr. 459 3.7. </w:t>
      </w:r>
      <w:r w:rsidR="002240B7" w:rsidRPr="000E63AC">
        <w:rPr>
          <w:rFonts w:ascii="Times New Roman" w:hAnsi="Times New Roman"/>
          <w:sz w:val="26"/>
          <w:szCs w:val="26"/>
        </w:rPr>
        <w:t xml:space="preserve">punkta </w:t>
      </w:r>
      <w:r w:rsidR="009E2923" w:rsidRPr="000E63AC">
        <w:rPr>
          <w:rFonts w:ascii="Times New Roman" w:hAnsi="Times New Roman"/>
          <w:sz w:val="26"/>
          <w:szCs w:val="26"/>
        </w:rPr>
        <w:t xml:space="preserve">(sodi par darba tiesisko attiecību pārkāpumiem), 3.8. </w:t>
      </w:r>
      <w:r w:rsidR="002240B7" w:rsidRPr="000E63AC">
        <w:rPr>
          <w:rFonts w:ascii="Times New Roman" w:hAnsi="Times New Roman"/>
          <w:sz w:val="26"/>
          <w:szCs w:val="26"/>
        </w:rPr>
        <w:t xml:space="preserve">punkta </w:t>
      </w:r>
      <w:r w:rsidR="009E2923" w:rsidRPr="000E63AC">
        <w:rPr>
          <w:rFonts w:ascii="Times New Roman" w:hAnsi="Times New Roman"/>
          <w:sz w:val="26"/>
          <w:szCs w:val="26"/>
        </w:rPr>
        <w:t xml:space="preserve">(finanšu rādītāju atbilstība vidējiem  rādītājiem nozarē pēc NACE2 klasifikatora), </w:t>
      </w:r>
      <w:r w:rsidR="002240B7" w:rsidRPr="000E63AC">
        <w:rPr>
          <w:rFonts w:ascii="Times New Roman" w:hAnsi="Times New Roman"/>
          <w:sz w:val="26"/>
          <w:szCs w:val="26"/>
        </w:rPr>
        <w:t>3.13. punkta (darbinieku skaits));</w:t>
      </w:r>
      <w:r w:rsidR="009E2923" w:rsidRPr="000E63AC">
        <w:rPr>
          <w:rFonts w:ascii="Times New Roman" w:hAnsi="Times New Roman"/>
          <w:sz w:val="26"/>
          <w:szCs w:val="26"/>
        </w:rPr>
        <w:t xml:space="preserve"> </w:t>
      </w:r>
    </w:p>
    <w:p w14:paraId="74ED13B8" w14:textId="6D6D5B1D" w:rsidR="00EA575A" w:rsidRPr="000E63AC" w:rsidRDefault="002240B7" w:rsidP="0099414B">
      <w:pPr>
        <w:pStyle w:val="ListParagraph"/>
        <w:numPr>
          <w:ilvl w:val="0"/>
          <w:numId w:val="7"/>
        </w:numPr>
        <w:spacing w:after="0"/>
        <w:jc w:val="both"/>
        <w:rPr>
          <w:rFonts w:ascii="Times New Roman" w:hAnsi="Times New Roman" w:cs="Times New Roman"/>
          <w:sz w:val="26"/>
          <w:szCs w:val="26"/>
        </w:rPr>
      </w:pPr>
      <w:r w:rsidRPr="000E63AC">
        <w:rPr>
          <w:rFonts w:ascii="Times New Roman" w:hAnsi="Times New Roman"/>
          <w:sz w:val="26"/>
          <w:szCs w:val="26"/>
        </w:rPr>
        <w:t>s</w:t>
      </w:r>
      <w:r w:rsidR="009E2923" w:rsidRPr="000E63AC">
        <w:rPr>
          <w:rFonts w:ascii="Times New Roman" w:hAnsi="Times New Roman"/>
          <w:sz w:val="26"/>
          <w:szCs w:val="26"/>
        </w:rPr>
        <w:t xml:space="preserve">lieksnis, kas atrunāts </w:t>
      </w:r>
      <w:r w:rsidR="003E14D8" w:rsidRPr="000E63AC">
        <w:rPr>
          <w:rFonts w:ascii="Times New Roman" w:hAnsi="Times New Roman"/>
          <w:sz w:val="26"/>
          <w:szCs w:val="26"/>
        </w:rPr>
        <w:t xml:space="preserve">Ministru kabineta </w:t>
      </w:r>
      <w:r w:rsidR="009E2923" w:rsidRPr="000E63AC">
        <w:rPr>
          <w:rFonts w:ascii="Times New Roman" w:hAnsi="Times New Roman"/>
          <w:sz w:val="26"/>
          <w:szCs w:val="26"/>
        </w:rPr>
        <w:t xml:space="preserve">2012. gada 26. jūnija noteikumu Nr. 459 3.7. </w:t>
      </w:r>
      <w:r w:rsidRPr="000E63AC">
        <w:rPr>
          <w:rFonts w:ascii="Times New Roman" w:hAnsi="Times New Roman"/>
          <w:sz w:val="26"/>
          <w:szCs w:val="26"/>
        </w:rPr>
        <w:t xml:space="preserve">punktā </w:t>
      </w:r>
      <w:r w:rsidR="009E2923" w:rsidRPr="000E63AC">
        <w:rPr>
          <w:rFonts w:ascii="Times New Roman" w:hAnsi="Times New Roman"/>
          <w:sz w:val="26"/>
          <w:szCs w:val="26"/>
        </w:rPr>
        <w:t>(sodi par darba tiesisko attiecību pārkāpumiem) var tikt noteikts procentuāli</w:t>
      </w:r>
      <w:r w:rsidR="00614C1F" w:rsidRPr="000E63AC">
        <w:rPr>
          <w:rFonts w:ascii="Times New Roman" w:hAnsi="Times New Roman"/>
          <w:sz w:val="26"/>
          <w:szCs w:val="26"/>
        </w:rPr>
        <w:t>,</w:t>
      </w:r>
      <w:r w:rsidR="009E2923" w:rsidRPr="000E63AC">
        <w:rPr>
          <w:rFonts w:ascii="Times New Roman" w:hAnsi="Times New Roman"/>
          <w:sz w:val="26"/>
          <w:szCs w:val="26"/>
        </w:rPr>
        <w:t xml:space="preserve"> vērtējot uzņēmuma darbinieku skaitu un kopējo atalgojuma summu. Šobrīd spēkā esošie kritēriji var radīt nevienlīdzīgu attieksmi un nostādīt lielākos nodokļu maksātājus </w:t>
      </w:r>
      <w:r w:rsidRPr="000E63AC">
        <w:rPr>
          <w:rFonts w:ascii="Times New Roman" w:hAnsi="Times New Roman"/>
          <w:sz w:val="26"/>
          <w:szCs w:val="26"/>
        </w:rPr>
        <w:t>sliktākā situācijā nekā pārējie;</w:t>
      </w:r>
    </w:p>
    <w:p w14:paraId="461A6D3C" w14:textId="6384FA4B" w:rsidR="00EA575A" w:rsidRPr="000E63AC" w:rsidRDefault="002240B7" w:rsidP="0099414B">
      <w:pPr>
        <w:pStyle w:val="ListParagraph"/>
        <w:numPr>
          <w:ilvl w:val="0"/>
          <w:numId w:val="7"/>
        </w:numPr>
        <w:spacing w:after="0" w:line="240" w:lineRule="auto"/>
        <w:ind w:left="714" w:hanging="357"/>
        <w:jc w:val="both"/>
        <w:rPr>
          <w:rFonts w:ascii="Times New Roman" w:hAnsi="Times New Roman" w:cs="Times New Roman"/>
          <w:sz w:val="26"/>
          <w:szCs w:val="26"/>
        </w:rPr>
      </w:pPr>
      <w:r w:rsidRPr="000E63AC">
        <w:rPr>
          <w:rFonts w:ascii="Times New Roman" w:hAnsi="Times New Roman"/>
          <w:sz w:val="26"/>
          <w:szCs w:val="26"/>
        </w:rPr>
        <w:t>n</w:t>
      </w:r>
      <w:r w:rsidR="009E2923" w:rsidRPr="000E63AC">
        <w:rPr>
          <w:rFonts w:ascii="Times New Roman" w:hAnsi="Times New Roman"/>
          <w:sz w:val="26"/>
          <w:szCs w:val="26"/>
        </w:rPr>
        <w:t>odokļu risku</w:t>
      </w:r>
      <w:r w:rsidRPr="000E63AC">
        <w:rPr>
          <w:rFonts w:ascii="Times New Roman" w:hAnsi="Times New Roman"/>
          <w:sz w:val="26"/>
          <w:szCs w:val="26"/>
        </w:rPr>
        <w:t xml:space="preserve"> vadības sistēmas pilnveidošana;</w:t>
      </w:r>
    </w:p>
    <w:p w14:paraId="7EDD6624" w14:textId="339AA274" w:rsidR="009E2923" w:rsidRPr="000E63AC" w:rsidRDefault="002240B7" w:rsidP="0099414B">
      <w:pPr>
        <w:pStyle w:val="ListParagraph"/>
        <w:numPr>
          <w:ilvl w:val="0"/>
          <w:numId w:val="7"/>
        </w:numPr>
        <w:spacing w:after="0" w:line="240" w:lineRule="auto"/>
        <w:ind w:left="709" w:hanging="357"/>
        <w:jc w:val="both"/>
        <w:rPr>
          <w:rFonts w:ascii="Times New Roman" w:hAnsi="Times New Roman" w:cs="Times New Roman"/>
          <w:sz w:val="26"/>
          <w:szCs w:val="26"/>
        </w:rPr>
      </w:pPr>
      <w:r w:rsidRPr="000E63AC">
        <w:rPr>
          <w:rFonts w:ascii="Times New Roman" w:hAnsi="Times New Roman"/>
          <w:sz w:val="26"/>
          <w:szCs w:val="26"/>
        </w:rPr>
        <w:t>p</w:t>
      </w:r>
      <w:r w:rsidR="009E2923" w:rsidRPr="000E63AC">
        <w:rPr>
          <w:rFonts w:ascii="Times New Roman" w:hAnsi="Times New Roman"/>
          <w:sz w:val="26"/>
          <w:szCs w:val="26"/>
        </w:rPr>
        <w:t>riekšrocību paplašināšana, piemēram, nodokļu atvieglojumu piešķiršana attiecībā uz izmaksām, kas ir saistītas ar iekšējo risku vadības sistēmas pilnveidošanu, atvieglojumi attiecībā uz transfertcenu iepriekšējo vienošanos ar Valsts ieņēmumu dienestu.</w:t>
      </w:r>
    </w:p>
    <w:p w14:paraId="0EA480FF" w14:textId="77777777" w:rsidR="00575F05" w:rsidRPr="000E63AC" w:rsidRDefault="00575F05" w:rsidP="0099414B">
      <w:pPr>
        <w:spacing w:after="0"/>
        <w:jc w:val="center"/>
        <w:rPr>
          <w:rFonts w:ascii="Times New Roman" w:eastAsia="Times New Roman" w:hAnsi="Times New Roman" w:cs="Times New Roman"/>
          <w:sz w:val="26"/>
          <w:szCs w:val="26"/>
          <w:lang w:eastAsia="lv-LV"/>
        </w:rPr>
      </w:pPr>
    </w:p>
    <w:p w14:paraId="57F56B4F" w14:textId="601B40F8" w:rsidR="00F5542A" w:rsidRPr="000E63AC" w:rsidRDefault="00F5542A" w:rsidP="0099414B">
      <w:pPr>
        <w:spacing w:after="0"/>
        <w:jc w:val="center"/>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t>2.</w:t>
      </w:r>
      <w:r w:rsidR="004E0739" w:rsidRPr="000E63AC">
        <w:rPr>
          <w:rFonts w:ascii="Times New Roman" w:eastAsia="Times New Roman" w:hAnsi="Times New Roman" w:cs="Times New Roman"/>
          <w:b/>
          <w:sz w:val="26"/>
          <w:szCs w:val="26"/>
          <w:lang w:eastAsia="lv-LV"/>
        </w:rPr>
        <w:t>4</w:t>
      </w:r>
      <w:r w:rsidRPr="000E63AC">
        <w:rPr>
          <w:rFonts w:ascii="Times New Roman" w:eastAsia="Times New Roman" w:hAnsi="Times New Roman" w:cs="Times New Roman"/>
          <w:b/>
          <w:sz w:val="26"/>
          <w:szCs w:val="26"/>
          <w:lang w:eastAsia="lv-LV"/>
        </w:rPr>
        <w:t>. Veiktie pētījumi par Padziļinātās sadarbības programmas darbību</w:t>
      </w:r>
    </w:p>
    <w:p w14:paraId="10985864" w14:textId="77777777" w:rsidR="00565804" w:rsidRPr="000E63AC" w:rsidRDefault="00565804" w:rsidP="0099414B">
      <w:pPr>
        <w:spacing w:after="0"/>
        <w:jc w:val="center"/>
        <w:rPr>
          <w:rFonts w:ascii="Times New Roman" w:eastAsia="Times New Roman" w:hAnsi="Times New Roman" w:cs="Times New Roman"/>
          <w:b/>
          <w:sz w:val="26"/>
          <w:szCs w:val="26"/>
          <w:lang w:eastAsia="lv-LV"/>
        </w:rPr>
      </w:pPr>
    </w:p>
    <w:p w14:paraId="7D22AA22" w14:textId="77777777" w:rsidR="00AE26AC" w:rsidRPr="000E63AC" w:rsidRDefault="00AE26AC" w:rsidP="0099414B">
      <w:pPr>
        <w:spacing w:after="0"/>
        <w:rPr>
          <w:rFonts w:ascii="Times New Roman" w:hAnsi="Times New Roman" w:cs="Times New Roman"/>
          <w:b/>
          <w:sz w:val="26"/>
          <w:szCs w:val="26"/>
        </w:rPr>
      </w:pPr>
      <w:r w:rsidRPr="000E63AC">
        <w:rPr>
          <w:rFonts w:ascii="Times New Roman" w:hAnsi="Times New Roman" w:cs="Times New Roman"/>
          <w:b/>
          <w:sz w:val="26"/>
          <w:szCs w:val="26"/>
        </w:rPr>
        <w:t>LTRK</w:t>
      </w:r>
      <w:r w:rsidR="00E6670A" w:rsidRPr="000E63AC">
        <w:rPr>
          <w:rFonts w:ascii="Times New Roman" w:hAnsi="Times New Roman" w:cs="Times New Roman"/>
          <w:b/>
          <w:sz w:val="26"/>
          <w:szCs w:val="26"/>
        </w:rPr>
        <w:t xml:space="preserve"> </w:t>
      </w:r>
      <w:r w:rsidRPr="000E63AC">
        <w:rPr>
          <w:rFonts w:ascii="Times New Roman" w:hAnsi="Times New Roman" w:cs="Times New Roman"/>
          <w:b/>
          <w:sz w:val="26"/>
          <w:szCs w:val="26"/>
        </w:rPr>
        <w:t xml:space="preserve">aptauja </w:t>
      </w:r>
    </w:p>
    <w:p w14:paraId="35E5E4E5" w14:textId="0FC873E3" w:rsidR="006A315A" w:rsidRPr="000E63AC" w:rsidRDefault="006A315A"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Laika periodā no 2017.gada 11.augusta līdz 28.augustam LTRK veica savu biedru aptauju par līdzšinējās Padziļinātās sadarbības programmas jeb “(uzņēmēju) baltais saraksts” īstenošanu, praktiskumu uzņēmējiem un nepieciešamajiem uzlabojumiem. Aptaujā piedalījās 90 respondentu no 4 dažādām uzņēmējdarbības nozarēm:</w:t>
      </w:r>
    </w:p>
    <w:p w14:paraId="18127979" w14:textId="24964747" w:rsidR="00115325" w:rsidRPr="000E63AC" w:rsidRDefault="00115325" w:rsidP="0099414B">
      <w:pPr>
        <w:spacing w:after="0" w:line="240" w:lineRule="auto"/>
        <w:ind w:firstLine="720"/>
        <w:jc w:val="both"/>
        <w:rPr>
          <w:rFonts w:ascii="Times New Roman" w:hAnsi="Times New Roman" w:cs="Times New Roman"/>
          <w:sz w:val="26"/>
          <w:szCs w:val="26"/>
        </w:rPr>
      </w:pPr>
    </w:p>
    <w:p w14:paraId="3439311B" w14:textId="11B21046" w:rsidR="00115325" w:rsidRPr="000E63AC" w:rsidRDefault="00115325" w:rsidP="0099414B">
      <w:pPr>
        <w:spacing w:after="0" w:line="240" w:lineRule="auto"/>
        <w:ind w:firstLine="720"/>
        <w:jc w:val="both"/>
        <w:rPr>
          <w:rFonts w:ascii="Times New Roman" w:hAnsi="Times New Roman" w:cs="Times New Roman"/>
          <w:sz w:val="26"/>
          <w:szCs w:val="26"/>
        </w:rPr>
      </w:pPr>
    </w:p>
    <w:p w14:paraId="7726FFC7" w14:textId="7150D490" w:rsidR="00115325" w:rsidRPr="000E63AC" w:rsidRDefault="00115325" w:rsidP="0099414B">
      <w:pPr>
        <w:spacing w:after="0" w:line="240" w:lineRule="auto"/>
        <w:ind w:firstLine="720"/>
        <w:jc w:val="both"/>
        <w:rPr>
          <w:rFonts w:ascii="Times New Roman" w:hAnsi="Times New Roman" w:cs="Times New Roman"/>
          <w:sz w:val="26"/>
          <w:szCs w:val="26"/>
        </w:rPr>
      </w:pPr>
    </w:p>
    <w:p w14:paraId="44F77F57" w14:textId="748878BC" w:rsidR="00115325" w:rsidRPr="000E63AC" w:rsidRDefault="00115325" w:rsidP="0099414B">
      <w:pPr>
        <w:spacing w:after="0" w:line="240" w:lineRule="auto"/>
        <w:ind w:firstLine="720"/>
        <w:jc w:val="both"/>
        <w:rPr>
          <w:rFonts w:ascii="Times New Roman" w:hAnsi="Times New Roman" w:cs="Times New Roman"/>
          <w:sz w:val="26"/>
          <w:szCs w:val="26"/>
        </w:rPr>
      </w:pPr>
    </w:p>
    <w:p w14:paraId="328CBA03" w14:textId="2E4C08A6" w:rsidR="00115325" w:rsidRPr="000E63AC" w:rsidRDefault="00115325" w:rsidP="0099414B">
      <w:pPr>
        <w:spacing w:after="0" w:line="240" w:lineRule="auto"/>
        <w:ind w:firstLine="720"/>
        <w:jc w:val="both"/>
        <w:rPr>
          <w:rFonts w:ascii="Times New Roman" w:hAnsi="Times New Roman" w:cs="Times New Roman"/>
          <w:sz w:val="26"/>
          <w:szCs w:val="26"/>
        </w:rPr>
      </w:pPr>
    </w:p>
    <w:p w14:paraId="35F48D51" w14:textId="2F4F165A" w:rsidR="00115325" w:rsidRPr="000E63AC" w:rsidRDefault="00115325" w:rsidP="0099414B">
      <w:pPr>
        <w:spacing w:after="0" w:line="240" w:lineRule="auto"/>
        <w:ind w:firstLine="720"/>
        <w:jc w:val="both"/>
        <w:rPr>
          <w:rFonts w:ascii="Times New Roman" w:hAnsi="Times New Roman" w:cs="Times New Roman"/>
          <w:sz w:val="26"/>
          <w:szCs w:val="26"/>
        </w:rPr>
      </w:pPr>
    </w:p>
    <w:p w14:paraId="08194840" w14:textId="307C765C" w:rsidR="00115325" w:rsidRPr="000E63AC" w:rsidRDefault="00115325" w:rsidP="0099414B">
      <w:pPr>
        <w:spacing w:after="0" w:line="240" w:lineRule="auto"/>
        <w:ind w:firstLine="720"/>
        <w:jc w:val="both"/>
        <w:rPr>
          <w:rFonts w:ascii="Times New Roman" w:hAnsi="Times New Roman" w:cs="Times New Roman"/>
          <w:sz w:val="26"/>
          <w:szCs w:val="26"/>
        </w:rPr>
      </w:pPr>
    </w:p>
    <w:p w14:paraId="31D56BC2" w14:textId="77777777" w:rsidR="00115325" w:rsidRPr="000E63AC" w:rsidRDefault="00115325" w:rsidP="0099414B">
      <w:pPr>
        <w:spacing w:after="0" w:line="240" w:lineRule="auto"/>
        <w:ind w:firstLine="720"/>
        <w:jc w:val="both"/>
        <w:rPr>
          <w:rFonts w:ascii="Times New Roman" w:hAnsi="Times New Roman" w:cs="Times New Roman"/>
          <w:sz w:val="26"/>
          <w:szCs w:val="26"/>
        </w:rPr>
      </w:pPr>
    </w:p>
    <w:p w14:paraId="4F8AF97C" w14:textId="77777777" w:rsidR="001B532B" w:rsidRPr="000E63AC" w:rsidRDefault="00037A3C" w:rsidP="0099414B">
      <w:pPr>
        <w:spacing w:after="0" w:line="240" w:lineRule="auto"/>
        <w:jc w:val="right"/>
        <w:rPr>
          <w:rFonts w:ascii="Times New Roman" w:hAnsi="Times New Roman" w:cs="Times New Roman"/>
          <w:i/>
          <w:sz w:val="24"/>
          <w:szCs w:val="24"/>
        </w:rPr>
      </w:pPr>
      <w:r w:rsidRPr="000E63AC">
        <w:rPr>
          <w:rFonts w:ascii="Times New Roman" w:hAnsi="Times New Roman" w:cs="Times New Roman"/>
          <w:i/>
          <w:sz w:val="24"/>
          <w:szCs w:val="24"/>
        </w:rPr>
        <w:t>Grafiks Nr.1</w:t>
      </w:r>
    </w:p>
    <w:p w14:paraId="2191F126" w14:textId="2DB98AE4" w:rsidR="006A315A" w:rsidRPr="000E63AC" w:rsidRDefault="006A315A" w:rsidP="0099414B">
      <w:pPr>
        <w:spacing w:after="0"/>
        <w:jc w:val="center"/>
        <w:rPr>
          <w:rFonts w:ascii="Times New Roman" w:hAnsi="Times New Roman" w:cs="Times New Roman"/>
        </w:rPr>
      </w:pPr>
      <w:r w:rsidRPr="000E63AC">
        <w:rPr>
          <w:rFonts w:ascii="Times New Roman" w:hAnsi="Times New Roman" w:cs="Times New Roman"/>
          <w:noProof/>
          <w:lang w:eastAsia="lv-LV"/>
        </w:rPr>
        <w:drawing>
          <wp:inline distT="0" distB="0" distL="0" distR="0" wp14:anchorId="6EC105C3" wp14:editId="7E06EA45">
            <wp:extent cx="5715000" cy="3533775"/>
            <wp:effectExtent l="0" t="0" r="0" b="9525"/>
            <wp:docPr id="2" name="Picture 2" descr="C:\Users\Elina.Karklina\Desktop\pīrāgs\Noza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a.Karklina\Desktop\pīrāgs\Noza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14:paraId="76DD163E" w14:textId="77777777" w:rsidR="006A315A" w:rsidRPr="000E63AC" w:rsidRDefault="006A315A" w:rsidP="0099414B">
      <w:pPr>
        <w:spacing w:after="0"/>
        <w:jc w:val="both"/>
        <w:rPr>
          <w:rFonts w:ascii="Cambria" w:hAnsi="Cambria"/>
        </w:rPr>
      </w:pPr>
      <w:r w:rsidRPr="000E63AC">
        <w:rPr>
          <w:rFonts w:ascii="Times New Roman" w:hAnsi="Times New Roman" w:cs="Times New Roman"/>
          <w:sz w:val="20"/>
          <w:szCs w:val="20"/>
        </w:rPr>
        <w:t>Avots: LTRK Aptauja, 2017</w:t>
      </w:r>
    </w:p>
    <w:p w14:paraId="1AAB47C1" w14:textId="77777777" w:rsidR="006A315A" w:rsidRPr="000E63AC" w:rsidRDefault="006A315A"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Aptaujas rezultāti liecina, ka lielākā daļa no tās dalībniekiem nav Finanšu ministrijas iniciētās Padziļinātās sadarbības programmas jeb “(uzņēmēju) baltais saraksts” dalībnieki, kas varētu liecināt par nepietiekamu informētību par iespējām piedalīties šajā programmā:</w:t>
      </w:r>
    </w:p>
    <w:p w14:paraId="37EC7B13" w14:textId="77777777" w:rsidR="00037A3C" w:rsidRPr="000E63AC" w:rsidRDefault="00037A3C" w:rsidP="0099414B">
      <w:pPr>
        <w:spacing w:after="0" w:line="240" w:lineRule="auto"/>
        <w:ind w:firstLine="720"/>
        <w:jc w:val="both"/>
        <w:rPr>
          <w:rFonts w:ascii="Times New Roman" w:hAnsi="Times New Roman" w:cs="Times New Roman"/>
          <w:sz w:val="26"/>
          <w:szCs w:val="26"/>
        </w:rPr>
      </w:pPr>
    </w:p>
    <w:p w14:paraId="063A5814" w14:textId="77777777" w:rsidR="00037A3C" w:rsidRPr="000E63AC" w:rsidRDefault="00037A3C" w:rsidP="0099414B">
      <w:pPr>
        <w:spacing w:after="0"/>
        <w:ind w:firstLine="720"/>
        <w:jc w:val="both"/>
        <w:rPr>
          <w:rFonts w:ascii="Times New Roman" w:hAnsi="Times New Roman" w:cs="Times New Roman"/>
          <w:sz w:val="26"/>
          <w:szCs w:val="26"/>
        </w:rPr>
      </w:pPr>
    </w:p>
    <w:p w14:paraId="0751B862" w14:textId="77777777" w:rsidR="00037A3C" w:rsidRPr="000E63AC" w:rsidRDefault="00037A3C" w:rsidP="0099414B">
      <w:pPr>
        <w:spacing w:after="0"/>
        <w:ind w:firstLine="720"/>
        <w:jc w:val="right"/>
        <w:rPr>
          <w:rFonts w:ascii="Times New Roman" w:hAnsi="Times New Roman" w:cs="Times New Roman"/>
          <w:i/>
          <w:sz w:val="24"/>
          <w:szCs w:val="24"/>
        </w:rPr>
      </w:pPr>
      <w:r w:rsidRPr="000E63AC">
        <w:rPr>
          <w:rFonts w:ascii="Times New Roman" w:hAnsi="Times New Roman" w:cs="Times New Roman"/>
          <w:i/>
          <w:sz w:val="24"/>
          <w:szCs w:val="24"/>
        </w:rPr>
        <w:t>Grafiks Nr.2</w:t>
      </w:r>
    </w:p>
    <w:p w14:paraId="651B3528" w14:textId="77777777" w:rsidR="006A315A" w:rsidRPr="000E63AC" w:rsidRDefault="006A315A" w:rsidP="0099414B">
      <w:pPr>
        <w:spacing w:after="0"/>
        <w:jc w:val="center"/>
        <w:rPr>
          <w:rFonts w:ascii="Cambria" w:hAnsi="Cambria"/>
        </w:rPr>
      </w:pPr>
      <w:r w:rsidRPr="000E63AC">
        <w:rPr>
          <w:rFonts w:ascii="Cambria" w:hAnsi="Cambria"/>
          <w:noProof/>
          <w:lang w:eastAsia="lv-LV"/>
        </w:rPr>
        <w:drawing>
          <wp:inline distT="0" distB="0" distL="0" distR="0" wp14:anchorId="6A565093" wp14:editId="0C5E0CD2">
            <wp:extent cx="3914775" cy="2420636"/>
            <wp:effectExtent l="0" t="0" r="0" b="0"/>
            <wp:docPr id="3" name="Picture 3" descr="C:\Users\Elina.Karklina\Desktop\pīrāgs\Dalībnieku skaits programm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na.Karklina\Desktop\pīrāgs\Dalībnieku skaits programm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6240" cy="2427725"/>
                    </a:xfrm>
                    <a:prstGeom prst="rect">
                      <a:avLst/>
                    </a:prstGeom>
                    <a:noFill/>
                    <a:ln>
                      <a:noFill/>
                    </a:ln>
                  </pic:spPr>
                </pic:pic>
              </a:graphicData>
            </a:graphic>
          </wp:inline>
        </w:drawing>
      </w:r>
    </w:p>
    <w:p w14:paraId="5FD32A27" w14:textId="15226E56" w:rsidR="006A315A" w:rsidRPr="000E63AC" w:rsidRDefault="006A315A" w:rsidP="0099414B">
      <w:pPr>
        <w:spacing w:after="0"/>
        <w:ind w:firstLine="720"/>
        <w:jc w:val="both"/>
        <w:rPr>
          <w:rFonts w:ascii="Times New Roman" w:hAnsi="Times New Roman" w:cs="Times New Roman"/>
          <w:sz w:val="20"/>
          <w:szCs w:val="20"/>
        </w:rPr>
      </w:pPr>
      <w:r w:rsidRPr="000E63AC">
        <w:rPr>
          <w:rFonts w:ascii="Times New Roman" w:hAnsi="Times New Roman" w:cs="Times New Roman"/>
          <w:sz w:val="20"/>
          <w:szCs w:val="20"/>
        </w:rPr>
        <w:lastRenderedPageBreak/>
        <w:t>Avots: LTRK Aptauja, 2017</w:t>
      </w:r>
    </w:p>
    <w:p w14:paraId="64EFA418" w14:textId="77777777" w:rsidR="00565804" w:rsidRPr="000E63AC" w:rsidRDefault="00565804" w:rsidP="0099414B">
      <w:pPr>
        <w:spacing w:after="0"/>
        <w:ind w:firstLine="720"/>
        <w:jc w:val="both"/>
        <w:rPr>
          <w:rFonts w:ascii="Times New Roman" w:hAnsi="Times New Roman" w:cs="Times New Roman"/>
          <w:sz w:val="26"/>
          <w:szCs w:val="26"/>
        </w:rPr>
      </w:pPr>
    </w:p>
    <w:p w14:paraId="43050637" w14:textId="665553EC" w:rsidR="006A315A" w:rsidRPr="000E63AC" w:rsidRDefault="006A315A"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Aptaujas dalībniekiem tika uzdotie jautājumi par 9 dažādām pozīcijām, kas tiek īstenotas šī brīža Padziļinātās sadarbības programmas ietvaros. Dalībnieki tika aicināti novērtēt īstenoto pasākumu noderīgumu komersantiem skalā no 1 (nav svarīgi) līdz 5 (ļoti svarīgi):</w:t>
      </w:r>
    </w:p>
    <w:p w14:paraId="72817BDE" w14:textId="77777777" w:rsidR="00115325" w:rsidRPr="000E63AC" w:rsidRDefault="00115325" w:rsidP="0099414B">
      <w:pPr>
        <w:spacing w:after="0"/>
        <w:ind w:firstLine="720"/>
        <w:jc w:val="both"/>
        <w:rPr>
          <w:rFonts w:ascii="Times New Roman" w:hAnsi="Times New Roman" w:cs="Times New Roman"/>
          <w:sz w:val="26"/>
          <w:szCs w:val="26"/>
        </w:rPr>
      </w:pPr>
    </w:p>
    <w:p w14:paraId="32CC42F9" w14:textId="77777777" w:rsidR="00037A3C" w:rsidRPr="000E63AC" w:rsidRDefault="00037A3C" w:rsidP="0099414B">
      <w:pPr>
        <w:spacing w:after="0"/>
        <w:jc w:val="right"/>
        <w:rPr>
          <w:rFonts w:ascii="Times New Roman" w:hAnsi="Times New Roman" w:cs="Times New Roman"/>
          <w:i/>
          <w:sz w:val="24"/>
          <w:szCs w:val="24"/>
        </w:rPr>
      </w:pPr>
      <w:r w:rsidRPr="000E63AC">
        <w:rPr>
          <w:rFonts w:ascii="Times New Roman" w:hAnsi="Times New Roman" w:cs="Times New Roman"/>
          <w:i/>
          <w:sz w:val="24"/>
          <w:szCs w:val="24"/>
        </w:rPr>
        <w:t>Attēls Nr.1</w:t>
      </w:r>
    </w:p>
    <w:p w14:paraId="61321FE0" w14:textId="77777777" w:rsidR="006A315A" w:rsidRPr="000E63AC" w:rsidRDefault="006A315A" w:rsidP="0099414B">
      <w:pPr>
        <w:spacing w:after="0"/>
        <w:ind w:left="-284"/>
        <w:jc w:val="center"/>
        <w:rPr>
          <w:rFonts w:ascii="Cambria" w:hAnsi="Cambria"/>
        </w:rPr>
      </w:pPr>
      <w:r w:rsidRPr="000E63AC">
        <w:rPr>
          <w:rFonts w:ascii="Cambria" w:hAnsi="Cambria"/>
          <w:noProof/>
          <w:lang w:eastAsia="lv-LV"/>
        </w:rPr>
        <w:drawing>
          <wp:inline distT="0" distB="0" distL="0" distR="0" wp14:anchorId="0F1E799B" wp14:editId="1F2BF452">
            <wp:extent cx="3080863" cy="1905000"/>
            <wp:effectExtent l="0" t="0" r="5715" b="0"/>
            <wp:docPr id="4" name="Picture 4" descr="C:\Users\Elina.Karklina\Desktop\VID EDS pieejama informācija par nodokļu un informatīvajās deklarācijās norādīto datu neatbilstību Valsts ieņēmumu dienesta rīcībā esošajai informācij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Karklina\Desktop\VID EDS pieejama informācija par nodokļu un informatīvajās deklarācijās norādīto datu neatbilstību Valsts ieņēmumu dienesta rīcībā esošajai informācija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947" cy="1908762"/>
                    </a:xfrm>
                    <a:prstGeom prst="rect">
                      <a:avLst/>
                    </a:prstGeom>
                    <a:noFill/>
                    <a:ln>
                      <a:noFill/>
                    </a:ln>
                  </pic:spPr>
                </pic:pic>
              </a:graphicData>
            </a:graphic>
          </wp:inline>
        </w:drawing>
      </w:r>
      <w:r w:rsidRPr="000E63AC">
        <w:rPr>
          <w:rFonts w:ascii="Cambria" w:hAnsi="Cambria"/>
          <w:noProof/>
          <w:lang w:eastAsia="lv-LV"/>
        </w:rPr>
        <w:drawing>
          <wp:inline distT="0" distB="0" distL="0" distR="0" wp14:anchorId="7448AC6D" wp14:editId="230BCC1C">
            <wp:extent cx="2847975" cy="1760998"/>
            <wp:effectExtent l="0" t="0" r="0" b="0"/>
            <wp:docPr id="10" name="Picture 10" descr="C:\Users\Elina.Karklina\Desktop\Atbilžu sniegšana uz iesniegumiem (izņemot uzziņas) 14 dienu laik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na.Karklina\Desktop\Atbilžu sniegšana uz iesniegumiem (izņemot uzziņas) 14 dienu laik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723" cy="1771354"/>
                    </a:xfrm>
                    <a:prstGeom prst="rect">
                      <a:avLst/>
                    </a:prstGeom>
                    <a:noFill/>
                    <a:ln>
                      <a:noFill/>
                    </a:ln>
                  </pic:spPr>
                </pic:pic>
              </a:graphicData>
            </a:graphic>
          </wp:inline>
        </w:drawing>
      </w:r>
    </w:p>
    <w:p w14:paraId="5AFDB0E9" w14:textId="77777777" w:rsidR="006A315A" w:rsidRPr="000E63AC" w:rsidRDefault="006A315A" w:rsidP="0099414B">
      <w:pPr>
        <w:spacing w:after="0"/>
        <w:ind w:left="-284"/>
        <w:jc w:val="center"/>
        <w:rPr>
          <w:rFonts w:ascii="Cambria" w:hAnsi="Cambria"/>
        </w:rPr>
      </w:pPr>
      <w:r w:rsidRPr="000E63AC">
        <w:rPr>
          <w:rFonts w:ascii="Cambria" w:hAnsi="Cambria"/>
          <w:noProof/>
          <w:lang w:eastAsia="lv-LV"/>
        </w:rPr>
        <w:drawing>
          <wp:inline distT="0" distB="0" distL="0" distR="0" wp14:anchorId="16A2010D" wp14:editId="600F1002">
            <wp:extent cx="3050054" cy="1885950"/>
            <wp:effectExtent l="0" t="0" r="0" b="0"/>
            <wp:docPr id="11" name="Picture 11" descr="C:\Users\Elina.Karklina\Desktop\Atbrīvojums no galvojuma iesniegšanas par akcīzes nodokļa parā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na.Karklina\Desktop\Atbrīvojums no galvojuma iesniegšanas par akcīzes nodokļa parād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8716" cy="1891306"/>
                    </a:xfrm>
                    <a:prstGeom prst="rect">
                      <a:avLst/>
                    </a:prstGeom>
                    <a:noFill/>
                    <a:ln>
                      <a:noFill/>
                    </a:ln>
                  </pic:spPr>
                </pic:pic>
              </a:graphicData>
            </a:graphic>
          </wp:inline>
        </w:drawing>
      </w:r>
      <w:r w:rsidRPr="000E63AC">
        <w:rPr>
          <w:rFonts w:ascii="Cambria" w:hAnsi="Cambria"/>
          <w:noProof/>
          <w:lang w:eastAsia="lv-LV"/>
        </w:rPr>
        <w:drawing>
          <wp:inline distT="0" distB="0" distL="0" distR="0" wp14:anchorId="3CE61716" wp14:editId="62107238">
            <wp:extent cx="2876550" cy="1778667"/>
            <wp:effectExtent l="0" t="0" r="0" b="0"/>
            <wp:docPr id="23" name="Picture 23" descr="C:\Users\Elina.Karklina\Desktop\Atbrīvojums no galvojuma iesniegšanas par PVN parā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na.Karklina\Desktop\Atbrīvojums no galvojuma iesniegšanas par PVN parād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2773" cy="1807249"/>
                    </a:xfrm>
                    <a:prstGeom prst="rect">
                      <a:avLst/>
                    </a:prstGeom>
                    <a:noFill/>
                    <a:ln>
                      <a:noFill/>
                    </a:ln>
                  </pic:spPr>
                </pic:pic>
              </a:graphicData>
            </a:graphic>
          </wp:inline>
        </w:drawing>
      </w:r>
    </w:p>
    <w:p w14:paraId="5178C0FF" w14:textId="77777777" w:rsidR="006A315A" w:rsidRPr="000E63AC" w:rsidRDefault="006A315A" w:rsidP="0099414B">
      <w:pPr>
        <w:spacing w:after="0"/>
        <w:jc w:val="both"/>
        <w:rPr>
          <w:rFonts w:ascii="Cambria" w:hAnsi="Cambria"/>
        </w:rPr>
      </w:pPr>
    </w:p>
    <w:p w14:paraId="2090D520" w14:textId="77777777" w:rsidR="006A315A" w:rsidRPr="000E63AC" w:rsidRDefault="006A315A" w:rsidP="0099414B">
      <w:pPr>
        <w:spacing w:after="0"/>
        <w:ind w:left="-284"/>
        <w:jc w:val="center"/>
        <w:rPr>
          <w:rFonts w:ascii="Cambria" w:hAnsi="Cambria"/>
        </w:rPr>
      </w:pPr>
      <w:r w:rsidRPr="000E63AC">
        <w:rPr>
          <w:rFonts w:ascii="Cambria" w:hAnsi="Cambria"/>
          <w:noProof/>
          <w:lang w:eastAsia="lv-LV"/>
        </w:rPr>
        <w:drawing>
          <wp:inline distT="0" distB="0" distL="0" distR="0" wp14:anchorId="2BFAB645" wp14:editId="4C2F4C6F">
            <wp:extent cx="2988437" cy="1847850"/>
            <wp:effectExtent l="0" t="0" r="2540" b="0"/>
            <wp:docPr id="24" name="Picture 24" descr="C:\Users\Elina.Karklina\Desktop\Atbrīvojums no vispārējā galvoju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na.Karklina\Desktop\Atbrīvojums no vispārējā galvojum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6707" cy="1852964"/>
                    </a:xfrm>
                    <a:prstGeom prst="rect">
                      <a:avLst/>
                    </a:prstGeom>
                    <a:noFill/>
                    <a:ln>
                      <a:noFill/>
                    </a:ln>
                  </pic:spPr>
                </pic:pic>
              </a:graphicData>
            </a:graphic>
          </wp:inline>
        </w:drawing>
      </w:r>
      <w:r w:rsidRPr="000E63AC">
        <w:rPr>
          <w:rFonts w:ascii="Cambria" w:hAnsi="Cambria"/>
          <w:noProof/>
          <w:lang w:eastAsia="lv-LV"/>
        </w:rPr>
        <w:drawing>
          <wp:inline distT="0" distB="0" distL="0" distR="0" wp14:anchorId="4D941038" wp14:editId="443F22A3">
            <wp:extent cx="2933700" cy="1814005"/>
            <wp:effectExtent l="0" t="0" r="0" b="0"/>
            <wp:docPr id="25" name="Picture 25" descr="C:\Users\Elina.Karklina\Desktop\Atvieglota piekļuve tranzīta procedūr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na.Karklina\Desktop\Atvieglota piekļuve tranzīta procedūra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2215" cy="1874920"/>
                    </a:xfrm>
                    <a:prstGeom prst="rect">
                      <a:avLst/>
                    </a:prstGeom>
                    <a:noFill/>
                    <a:ln>
                      <a:noFill/>
                    </a:ln>
                  </pic:spPr>
                </pic:pic>
              </a:graphicData>
            </a:graphic>
          </wp:inline>
        </w:drawing>
      </w:r>
    </w:p>
    <w:p w14:paraId="6F4CE1F9" w14:textId="77777777" w:rsidR="006A315A" w:rsidRPr="000E63AC" w:rsidRDefault="006A315A" w:rsidP="0099414B">
      <w:pPr>
        <w:spacing w:after="0"/>
        <w:jc w:val="center"/>
        <w:rPr>
          <w:rFonts w:ascii="Cambria" w:hAnsi="Cambria"/>
        </w:rPr>
      </w:pPr>
      <w:r w:rsidRPr="000E63AC">
        <w:rPr>
          <w:rFonts w:ascii="Cambria" w:hAnsi="Cambria"/>
          <w:noProof/>
          <w:lang w:eastAsia="lv-LV"/>
        </w:rPr>
        <w:lastRenderedPageBreak/>
        <w:drawing>
          <wp:inline distT="0" distB="0" distL="0" distR="0" wp14:anchorId="4520AF71" wp14:editId="11F74EEE">
            <wp:extent cx="2849797" cy="1762125"/>
            <wp:effectExtent l="0" t="0" r="8255" b="0"/>
            <wp:docPr id="26" name="Picture 26" descr="C:\Users\Elina.Karklina\Desktop\Iespēja akcīzes preču noliktavas turētājam piemērot akcīzes nodokļa vispārējā nodrošinājuma samazinājumu 100% apmēr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ina.Karklina\Desktop\Iespēja akcīzes preču noliktavas turētājam piemērot akcīzes nodokļa vispārējā nodrošinājuma samazinājumu 100% apmēr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2066" cy="1769712"/>
                    </a:xfrm>
                    <a:prstGeom prst="rect">
                      <a:avLst/>
                    </a:prstGeom>
                    <a:noFill/>
                    <a:ln>
                      <a:noFill/>
                    </a:ln>
                  </pic:spPr>
                </pic:pic>
              </a:graphicData>
            </a:graphic>
          </wp:inline>
        </w:drawing>
      </w:r>
      <w:r w:rsidRPr="000E63AC">
        <w:rPr>
          <w:rFonts w:ascii="Cambria" w:hAnsi="Cambria"/>
          <w:noProof/>
          <w:lang w:eastAsia="lv-LV"/>
        </w:rPr>
        <w:drawing>
          <wp:inline distT="0" distB="0" distL="0" distR="0" wp14:anchorId="579BC1DF" wp14:editId="0D6977CF">
            <wp:extent cx="2680350" cy="1657350"/>
            <wp:effectExtent l="0" t="0" r="5715" b="0"/>
            <wp:docPr id="27" name="Picture 27" descr="C:\Users\Elina.Karklina\Desktop\Individuāls VID konsult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na.Karklina\Desktop\Individuāls VID konsultant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2400" cy="1670984"/>
                    </a:xfrm>
                    <a:prstGeom prst="rect">
                      <a:avLst/>
                    </a:prstGeom>
                    <a:noFill/>
                    <a:ln>
                      <a:noFill/>
                    </a:ln>
                  </pic:spPr>
                </pic:pic>
              </a:graphicData>
            </a:graphic>
          </wp:inline>
        </w:drawing>
      </w:r>
      <w:r w:rsidRPr="000E63AC">
        <w:rPr>
          <w:rFonts w:ascii="Cambria" w:hAnsi="Cambria"/>
          <w:noProof/>
          <w:lang w:eastAsia="lv-LV"/>
        </w:rPr>
        <w:drawing>
          <wp:inline distT="0" distB="0" distL="0" distR="0" wp14:anchorId="2225F3FA" wp14:editId="250D8501">
            <wp:extent cx="5715000" cy="3533775"/>
            <wp:effectExtent l="0" t="0" r="0" b="9525"/>
            <wp:docPr id="28" name="Picture 28" descr="C:\Users\Elina.Karklina\Desktop\PVN atmaksa 5 dienā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na.Karklina\Desktop\PVN atmaksa 5 dienā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14:paraId="7385F3E2" w14:textId="65ECBB16" w:rsidR="006A315A" w:rsidRPr="000E63AC" w:rsidRDefault="006A315A" w:rsidP="0099414B">
      <w:pPr>
        <w:spacing w:after="0"/>
        <w:jc w:val="both"/>
        <w:rPr>
          <w:rFonts w:ascii="Times New Roman" w:hAnsi="Times New Roman" w:cs="Times New Roman"/>
          <w:sz w:val="20"/>
          <w:szCs w:val="20"/>
        </w:rPr>
      </w:pPr>
      <w:r w:rsidRPr="000E63AC">
        <w:rPr>
          <w:rFonts w:ascii="Times New Roman" w:hAnsi="Times New Roman" w:cs="Times New Roman"/>
          <w:sz w:val="20"/>
          <w:szCs w:val="20"/>
        </w:rPr>
        <w:t>Avots: LTRK Aptauja, 2017</w:t>
      </w:r>
    </w:p>
    <w:p w14:paraId="45D219B4" w14:textId="77777777" w:rsidR="00565804" w:rsidRPr="000E63AC" w:rsidRDefault="00565804" w:rsidP="0099414B">
      <w:pPr>
        <w:spacing w:after="0"/>
        <w:jc w:val="both"/>
        <w:rPr>
          <w:rFonts w:ascii="Cambria" w:hAnsi="Cambria"/>
        </w:rPr>
      </w:pPr>
    </w:p>
    <w:p w14:paraId="74EA0AA0" w14:textId="3226D7A7" w:rsidR="006A315A" w:rsidRPr="000E63AC" w:rsidRDefault="006A315A"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Aptaujas dalībniekiem tika piedāvātas 8 jaunas priekšrocības, kuras būtu papildus ieviešamas Padziļinātās sadarbības programmā. Dalībnieki tika aicināti novērtēt jaunieviešamo pasākumu noderīgumu skalā no 1 (nav svarīgi) līdz 5 (ļoti svarīgi):</w:t>
      </w:r>
    </w:p>
    <w:p w14:paraId="172BF0B8" w14:textId="1232987D" w:rsidR="00E4003A" w:rsidRPr="000E63AC" w:rsidRDefault="00E4003A" w:rsidP="0099414B">
      <w:pPr>
        <w:spacing w:after="0" w:line="240" w:lineRule="auto"/>
        <w:ind w:firstLine="720"/>
        <w:jc w:val="both"/>
        <w:rPr>
          <w:rFonts w:ascii="Times New Roman" w:hAnsi="Times New Roman" w:cs="Times New Roman"/>
          <w:sz w:val="26"/>
          <w:szCs w:val="26"/>
        </w:rPr>
      </w:pPr>
    </w:p>
    <w:p w14:paraId="3A109FEB" w14:textId="2528ECF6" w:rsidR="00E4003A" w:rsidRPr="000E63AC" w:rsidRDefault="00E4003A" w:rsidP="0099414B">
      <w:pPr>
        <w:spacing w:after="0" w:line="240" w:lineRule="auto"/>
        <w:ind w:firstLine="720"/>
        <w:jc w:val="both"/>
        <w:rPr>
          <w:rFonts w:ascii="Times New Roman" w:hAnsi="Times New Roman" w:cs="Times New Roman"/>
          <w:sz w:val="26"/>
          <w:szCs w:val="26"/>
        </w:rPr>
      </w:pPr>
    </w:p>
    <w:p w14:paraId="2E176665" w14:textId="527179E7" w:rsidR="00E4003A" w:rsidRPr="000E63AC" w:rsidRDefault="00E4003A" w:rsidP="0099414B">
      <w:pPr>
        <w:spacing w:after="0" w:line="240" w:lineRule="auto"/>
        <w:ind w:firstLine="720"/>
        <w:jc w:val="both"/>
        <w:rPr>
          <w:rFonts w:ascii="Times New Roman" w:hAnsi="Times New Roman" w:cs="Times New Roman"/>
          <w:sz w:val="26"/>
          <w:szCs w:val="26"/>
        </w:rPr>
      </w:pPr>
    </w:p>
    <w:p w14:paraId="665E7153" w14:textId="38FE0B80" w:rsidR="00E4003A" w:rsidRPr="000E63AC" w:rsidRDefault="00E4003A" w:rsidP="0099414B">
      <w:pPr>
        <w:spacing w:after="0" w:line="240" w:lineRule="auto"/>
        <w:ind w:firstLine="720"/>
        <w:jc w:val="both"/>
        <w:rPr>
          <w:rFonts w:ascii="Times New Roman" w:hAnsi="Times New Roman" w:cs="Times New Roman"/>
          <w:sz w:val="26"/>
          <w:szCs w:val="26"/>
        </w:rPr>
      </w:pPr>
    </w:p>
    <w:p w14:paraId="050C05FF" w14:textId="4D9677ED" w:rsidR="00E4003A" w:rsidRPr="000E63AC" w:rsidRDefault="00E4003A" w:rsidP="0099414B">
      <w:pPr>
        <w:spacing w:after="0" w:line="240" w:lineRule="auto"/>
        <w:ind w:firstLine="720"/>
        <w:jc w:val="both"/>
        <w:rPr>
          <w:rFonts w:ascii="Times New Roman" w:hAnsi="Times New Roman" w:cs="Times New Roman"/>
          <w:sz w:val="26"/>
          <w:szCs w:val="26"/>
        </w:rPr>
      </w:pPr>
    </w:p>
    <w:p w14:paraId="2083A1EE" w14:textId="5E219D63" w:rsidR="00E4003A" w:rsidRPr="000E63AC" w:rsidRDefault="00E4003A" w:rsidP="0099414B">
      <w:pPr>
        <w:spacing w:after="0" w:line="240" w:lineRule="auto"/>
        <w:ind w:firstLine="720"/>
        <w:jc w:val="both"/>
        <w:rPr>
          <w:rFonts w:ascii="Times New Roman" w:hAnsi="Times New Roman" w:cs="Times New Roman"/>
          <w:sz w:val="26"/>
          <w:szCs w:val="26"/>
        </w:rPr>
      </w:pPr>
    </w:p>
    <w:p w14:paraId="4A9FBA14" w14:textId="315E12BC" w:rsidR="00E4003A" w:rsidRPr="000E63AC" w:rsidRDefault="00E4003A" w:rsidP="0099414B">
      <w:pPr>
        <w:spacing w:after="0" w:line="240" w:lineRule="auto"/>
        <w:ind w:firstLine="720"/>
        <w:jc w:val="both"/>
        <w:rPr>
          <w:rFonts w:ascii="Times New Roman" w:hAnsi="Times New Roman" w:cs="Times New Roman"/>
          <w:sz w:val="26"/>
          <w:szCs w:val="26"/>
        </w:rPr>
      </w:pPr>
    </w:p>
    <w:p w14:paraId="0101965C" w14:textId="28382923" w:rsidR="00E4003A" w:rsidRPr="000E63AC" w:rsidRDefault="00E4003A" w:rsidP="0099414B">
      <w:pPr>
        <w:spacing w:after="0" w:line="240" w:lineRule="auto"/>
        <w:ind w:firstLine="720"/>
        <w:jc w:val="both"/>
        <w:rPr>
          <w:rFonts w:ascii="Times New Roman" w:hAnsi="Times New Roman" w:cs="Times New Roman"/>
          <w:sz w:val="26"/>
          <w:szCs w:val="26"/>
        </w:rPr>
      </w:pPr>
    </w:p>
    <w:p w14:paraId="0D8EFD7B" w14:textId="2D69D2C9" w:rsidR="00E4003A" w:rsidRPr="000E63AC" w:rsidRDefault="00E4003A" w:rsidP="0099414B">
      <w:pPr>
        <w:spacing w:after="0" w:line="240" w:lineRule="auto"/>
        <w:ind w:firstLine="720"/>
        <w:jc w:val="both"/>
        <w:rPr>
          <w:rFonts w:ascii="Times New Roman" w:hAnsi="Times New Roman" w:cs="Times New Roman"/>
          <w:sz w:val="26"/>
          <w:szCs w:val="26"/>
        </w:rPr>
      </w:pPr>
    </w:p>
    <w:p w14:paraId="4FC82F3A" w14:textId="09F493AE" w:rsidR="00E4003A" w:rsidRPr="000E63AC" w:rsidRDefault="00E4003A" w:rsidP="0099414B">
      <w:pPr>
        <w:spacing w:after="0" w:line="240" w:lineRule="auto"/>
        <w:ind w:firstLine="720"/>
        <w:jc w:val="both"/>
        <w:rPr>
          <w:rFonts w:ascii="Times New Roman" w:hAnsi="Times New Roman" w:cs="Times New Roman"/>
          <w:sz w:val="26"/>
          <w:szCs w:val="26"/>
        </w:rPr>
      </w:pPr>
    </w:p>
    <w:p w14:paraId="06D221A1" w14:textId="1A24B856" w:rsidR="00E4003A" w:rsidRPr="000E63AC" w:rsidRDefault="00E4003A" w:rsidP="0099414B">
      <w:pPr>
        <w:spacing w:after="0" w:line="240" w:lineRule="auto"/>
        <w:ind w:firstLine="720"/>
        <w:jc w:val="both"/>
        <w:rPr>
          <w:rFonts w:ascii="Times New Roman" w:hAnsi="Times New Roman" w:cs="Times New Roman"/>
          <w:sz w:val="26"/>
          <w:szCs w:val="26"/>
        </w:rPr>
      </w:pPr>
    </w:p>
    <w:p w14:paraId="0DC088F2" w14:textId="50527596" w:rsidR="00E4003A" w:rsidRPr="000E63AC" w:rsidRDefault="00E4003A" w:rsidP="0099414B">
      <w:pPr>
        <w:spacing w:after="0" w:line="240" w:lineRule="auto"/>
        <w:ind w:firstLine="720"/>
        <w:jc w:val="both"/>
        <w:rPr>
          <w:rFonts w:ascii="Times New Roman" w:hAnsi="Times New Roman" w:cs="Times New Roman"/>
          <w:sz w:val="26"/>
          <w:szCs w:val="26"/>
        </w:rPr>
      </w:pPr>
    </w:p>
    <w:p w14:paraId="0675D363" w14:textId="6EB6BBB3" w:rsidR="00E4003A" w:rsidRPr="000E63AC" w:rsidRDefault="00E4003A" w:rsidP="0099414B">
      <w:pPr>
        <w:spacing w:after="0" w:line="240" w:lineRule="auto"/>
        <w:ind w:firstLine="720"/>
        <w:jc w:val="both"/>
        <w:rPr>
          <w:rFonts w:ascii="Times New Roman" w:hAnsi="Times New Roman" w:cs="Times New Roman"/>
          <w:sz w:val="26"/>
          <w:szCs w:val="26"/>
        </w:rPr>
      </w:pPr>
    </w:p>
    <w:p w14:paraId="734BB018" w14:textId="77777777" w:rsidR="00E4003A" w:rsidRPr="000E63AC" w:rsidRDefault="00E4003A" w:rsidP="0099414B">
      <w:pPr>
        <w:spacing w:after="0" w:line="240" w:lineRule="auto"/>
        <w:ind w:firstLine="720"/>
        <w:jc w:val="both"/>
        <w:rPr>
          <w:rFonts w:ascii="Times New Roman" w:hAnsi="Times New Roman" w:cs="Times New Roman"/>
          <w:sz w:val="26"/>
          <w:szCs w:val="26"/>
        </w:rPr>
      </w:pPr>
    </w:p>
    <w:p w14:paraId="51A6A11F" w14:textId="77777777" w:rsidR="00037A3C" w:rsidRPr="000E63AC" w:rsidRDefault="00037A3C" w:rsidP="0099414B">
      <w:pPr>
        <w:spacing w:after="0"/>
        <w:jc w:val="right"/>
        <w:rPr>
          <w:rFonts w:ascii="Times New Roman" w:hAnsi="Times New Roman" w:cs="Times New Roman"/>
          <w:i/>
          <w:sz w:val="24"/>
          <w:szCs w:val="24"/>
        </w:rPr>
      </w:pPr>
      <w:r w:rsidRPr="000E63AC">
        <w:rPr>
          <w:rFonts w:ascii="Times New Roman" w:hAnsi="Times New Roman" w:cs="Times New Roman"/>
          <w:i/>
          <w:sz w:val="24"/>
          <w:szCs w:val="24"/>
        </w:rPr>
        <w:lastRenderedPageBreak/>
        <w:t>Attēls Nr.2</w:t>
      </w:r>
    </w:p>
    <w:p w14:paraId="00800BFD" w14:textId="77777777" w:rsidR="006A315A" w:rsidRPr="000E63AC" w:rsidRDefault="006A315A" w:rsidP="0099414B">
      <w:pPr>
        <w:spacing w:after="0"/>
        <w:jc w:val="center"/>
        <w:rPr>
          <w:rFonts w:ascii="Cambria" w:hAnsi="Cambria"/>
        </w:rPr>
      </w:pPr>
      <w:r w:rsidRPr="000E63AC">
        <w:rPr>
          <w:rFonts w:ascii="Cambria" w:hAnsi="Cambria"/>
          <w:noProof/>
          <w:lang w:eastAsia="lv-LV"/>
        </w:rPr>
        <w:drawing>
          <wp:inline distT="0" distB="0" distL="0" distR="0" wp14:anchorId="12B44046" wp14:editId="281266CB">
            <wp:extent cx="2726565" cy="1685925"/>
            <wp:effectExtent l="0" t="0" r="0" b="0"/>
            <wp:docPr id="29" name="Picture 29" descr="C:\Users\Elina.Karklina\Desktop\pīrāgs\Programmas dalībniekam nodrošina individuālu konsultantu valsts iestādē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ina.Karklina\Desktop\pīrāgs\Programmas dalībniekam nodrošina individuālu konsultantu valsts iestādē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4834" cy="1697222"/>
                    </a:xfrm>
                    <a:prstGeom prst="rect">
                      <a:avLst/>
                    </a:prstGeom>
                    <a:noFill/>
                    <a:ln>
                      <a:noFill/>
                    </a:ln>
                  </pic:spPr>
                </pic:pic>
              </a:graphicData>
            </a:graphic>
          </wp:inline>
        </w:drawing>
      </w:r>
      <w:r w:rsidRPr="000E63AC">
        <w:rPr>
          <w:rFonts w:ascii="Cambria" w:hAnsi="Cambria"/>
          <w:noProof/>
          <w:lang w:eastAsia="lv-LV"/>
        </w:rPr>
        <w:drawing>
          <wp:inline distT="0" distB="0" distL="0" distR="0" wp14:anchorId="64FE3769" wp14:editId="07A0A3CB">
            <wp:extent cx="2726055" cy="1685611"/>
            <wp:effectExtent l="0" t="0" r="0" b="0"/>
            <wp:docPr id="30" name="Picture 30" descr="C:\Users\Elina.Karklina\Desktop\pīrāgs\Programmas dalībniekam paredzēt mazākus administratīvos sodus un nodokļu so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na.Karklina\Desktop\pīrāgs\Programmas dalībniekam paredzēt mazākus administratīvos sodus un nodokļu sodu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0252" cy="1694390"/>
                    </a:xfrm>
                    <a:prstGeom prst="rect">
                      <a:avLst/>
                    </a:prstGeom>
                    <a:noFill/>
                    <a:ln>
                      <a:noFill/>
                    </a:ln>
                  </pic:spPr>
                </pic:pic>
              </a:graphicData>
            </a:graphic>
          </wp:inline>
        </w:drawing>
      </w:r>
      <w:r w:rsidRPr="000E63AC">
        <w:rPr>
          <w:rFonts w:ascii="Cambria" w:hAnsi="Cambria"/>
          <w:noProof/>
          <w:lang w:eastAsia="lv-LV"/>
        </w:rPr>
        <w:drawing>
          <wp:inline distT="0" distB="0" distL="0" distR="0" wp14:anchorId="38B864C2" wp14:editId="14FE414B">
            <wp:extent cx="2714625" cy="1678543"/>
            <wp:effectExtent l="0" t="0" r="0" b="0"/>
            <wp:docPr id="31" name="Picture 31" descr="C:\Users\Elina.Karklina\Desktop\pīrāgs\Programmas dalībniekam paredzēt priekšrocības Publiskos iepirkumos (piemēram, pie vienāda punktu skaita par uzvarētāju atzīst programmas dalībnie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lina.Karklina\Desktop\pīrāgs\Programmas dalībniekam paredzēt priekšrocības Publiskos iepirkumos (piemēram, pie vienāda punktu skaita par uzvarētāju atzīst programmas dalībnieku).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4634" cy="1684732"/>
                    </a:xfrm>
                    <a:prstGeom prst="rect">
                      <a:avLst/>
                    </a:prstGeom>
                    <a:noFill/>
                    <a:ln>
                      <a:noFill/>
                    </a:ln>
                  </pic:spPr>
                </pic:pic>
              </a:graphicData>
            </a:graphic>
          </wp:inline>
        </w:drawing>
      </w:r>
      <w:r w:rsidRPr="000E63AC">
        <w:rPr>
          <w:rFonts w:ascii="Cambria" w:hAnsi="Cambria"/>
          <w:noProof/>
          <w:lang w:eastAsia="lv-LV"/>
        </w:rPr>
        <w:drawing>
          <wp:inline distT="0" distB="0" distL="0" distR="0" wp14:anchorId="791B936A" wp14:editId="31F33A0D">
            <wp:extent cx="2735580" cy="1691500"/>
            <wp:effectExtent l="0" t="0" r="7620" b="4445"/>
            <wp:docPr id="32" name="Picture 32" descr="C:\Users\Elina.Karklina\Desktop\pīrāgs\Programmas dalībniekam uzraugošās institūcijas pārbaudes veic tikai sūdzību gadījumos, kā arī samazināts Eiropas Savienības fondu uzraugošo institūciju pārbaužu sk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ina.Karklina\Desktop\pīrāgs\Programmas dalībniekam uzraugošās institūcijas pārbaudes veic tikai sūdzību gadījumos, kā arī samazināts Eiropas Savienības fondu uzraugošo institūciju pārbaužu skait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7751" cy="1705209"/>
                    </a:xfrm>
                    <a:prstGeom prst="rect">
                      <a:avLst/>
                    </a:prstGeom>
                    <a:noFill/>
                    <a:ln>
                      <a:noFill/>
                    </a:ln>
                  </pic:spPr>
                </pic:pic>
              </a:graphicData>
            </a:graphic>
          </wp:inline>
        </w:drawing>
      </w:r>
      <w:r w:rsidRPr="000E63AC">
        <w:rPr>
          <w:rFonts w:ascii="Cambria" w:hAnsi="Cambria"/>
          <w:noProof/>
          <w:lang w:eastAsia="lv-LV"/>
        </w:rPr>
        <w:drawing>
          <wp:inline distT="0" distB="0" distL="0" distR="0" wp14:anchorId="5B06D7F7" wp14:editId="3098175E">
            <wp:extent cx="2705100" cy="1672653"/>
            <wp:effectExtent l="0" t="0" r="0" b="3810"/>
            <wp:docPr id="33" name="Picture 33" descr="C:\Users\Elina.Karklina\Desktop\pīrāgs\Programmas dalībniekiem paredzēt ātrāku apkalpošanu valsts iestādē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lina.Karklina\Desktop\pīrāgs\Programmas dalībniekiem paredzēt ātrāku apkalpošanu valsts iestādē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5410" cy="1679028"/>
                    </a:xfrm>
                    <a:prstGeom prst="rect">
                      <a:avLst/>
                    </a:prstGeom>
                    <a:noFill/>
                    <a:ln>
                      <a:noFill/>
                    </a:ln>
                  </pic:spPr>
                </pic:pic>
              </a:graphicData>
            </a:graphic>
          </wp:inline>
        </w:drawing>
      </w:r>
      <w:r w:rsidRPr="000E63AC">
        <w:rPr>
          <w:rFonts w:ascii="Cambria" w:hAnsi="Cambria"/>
          <w:noProof/>
          <w:lang w:eastAsia="lv-LV"/>
        </w:rPr>
        <w:drawing>
          <wp:inline distT="0" distB="0" distL="0" distR="0" wp14:anchorId="55C5358F" wp14:editId="09A48293">
            <wp:extent cx="2745105" cy="1697391"/>
            <wp:effectExtent l="0" t="0" r="0" b="0"/>
            <wp:docPr id="34" name="Picture 34" descr="C:\Users\Elina.Karklina\Desktop\pīrāgs\Programmas dalībnieks tiek nodrošināts ar ikgadēju bezmaksas semināru par aktuāliem jautājumiem (piemēram, plānotajām izmaiņām nodokļu jom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lina.Karklina\Desktop\pīrāgs\Programmas dalībnieks tiek nodrošināts ar ikgadēju bezmaksas semināru par aktuāliem jautājumiem (piemēram, plānotajām izmaiņām nodokļu jomā).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3290" cy="1702452"/>
                    </a:xfrm>
                    <a:prstGeom prst="rect">
                      <a:avLst/>
                    </a:prstGeom>
                    <a:noFill/>
                    <a:ln>
                      <a:noFill/>
                    </a:ln>
                  </pic:spPr>
                </pic:pic>
              </a:graphicData>
            </a:graphic>
          </wp:inline>
        </w:drawing>
      </w:r>
      <w:r w:rsidRPr="000E63AC">
        <w:rPr>
          <w:rFonts w:ascii="Cambria" w:hAnsi="Cambria"/>
          <w:noProof/>
          <w:lang w:eastAsia="lv-LV"/>
        </w:rPr>
        <w:drawing>
          <wp:inline distT="0" distB="0" distL="0" distR="0" wp14:anchorId="0731E9CB" wp14:editId="20E2C08D">
            <wp:extent cx="2726564" cy="1685925"/>
            <wp:effectExtent l="0" t="0" r="0" b="0"/>
            <wp:docPr id="35" name="Picture 35" descr="C:\Users\Elina.Karklina\Desktop\pīrāgs\Veicināt programmas dalībnieka publisku atpazīstamību un motivēša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lina.Karklina\Desktop\pīrāgs\Veicināt programmas dalībnieka publisku atpazīstamību un motivēšanu.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3577" cy="1690262"/>
                    </a:xfrm>
                    <a:prstGeom prst="rect">
                      <a:avLst/>
                    </a:prstGeom>
                    <a:noFill/>
                    <a:ln>
                      <a:noFill/>
                    </a:ln>
                  </pic:spPr>
                </pic:pic>
              </a:graphicData>
            </a:graphic>
          </wp:inline>
        </w:drawing>
      </w:r>
      <w:r w:rsidRPr="000E63AC">
        <w:rPr>
          <w:rFonts w:ascii="Cambria" w:hAnsi="Cambria"/>
          <w:noProof/>
          <w:lang w:eastAsia="lv-LV"/>
        </w:rPr>
        <w:drawing>
          <wp:inline distT="0" distB="0" distL="0" distR="0" wp14:anchorId="3601B6B7" wp14:editId="7ACB6DFB">
            <wp:extent cx="2819400" cy="1743329"/>
            <wp:effectExtent l="0" t="0" r="0" b="9525"/>
            <wp:docPr id="36" name="Picture 36" descr="C:\Users\Elina.Karklina\Desktop\pīrāgs\Programmas dalībniekam nav nepieciešams galvojums, nodrošinājums, apliecinājums, ķīla, u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lina.Karklina\Desktop\pīrāgs\Programmas dalībniekam nav nepieciešams galvojums, nodrošinājums, apliecinājums, ķīla, utml..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9492" cy="1755753"/>
                    </a:xfrm>
                    <a:prstGeom prst="rect">
                      <a:avLst/>
                    </a:prstGeom>
                    <a:noFill/>
                    <a:ln>
                      <a:noFill/>
                    </a:ln>
                  </pic:spPr>
                </pic:pic>
              </a:graphicData>
            </a:graphic>
          </wp:inline>
        </w:drawing>
      </w:r>
    </w:p>
    <w:p w14:paraId="4B58A7B3" w14:textId="77777777" w:rsidR="006A315A" w:rsidRPr="000E63AC" w:rsidRDefault="006A315A" w:rsidP="0099414B">
      <w:pPr>
        <w:spacing w:after="0" w:line="240" w:lineRule="auto"/>
        <w:rPr>
          <w:rFonts w:ascii="Times New Roman" w:hAnsi="Times New Roman" w:cs="Times New Roman"/>
          <w:sz w:val="20"/>
          <w:szCs w:val="20"/>
        </w:rPr>
      </w:pPr>
      <w:r w:rsidRPr="000E63AC">
        <w:rPr>
          <w:rFonts w:ascii="Times New Roman" w:hAnsi="Times New Roman" w:cs="Times New Roman"/>
          <w:sz w:val="20"/>
          <w:szCs w:val="20"/>
        </w:rPr>
        <w:t>Avots: LTRK Aptauja, 2017</w:t>
      </w:r>
    </w:p>
    <w:p w14:paraId="2326601D" w14:textId="77777777" w:rsidR="006A315A" w:rsidRPr="000E63AC" w:rsidRDefault="006A315A" w:rsidP="0099414B">
      <w:pPr>
        <w:spacing w:after="0" w:line="240" w:lineRule="auto"/>
        <w:rPr>
          <w:rFonts w:ascii="Times New Roman" w:hAnsi="Times New Roman" w:cs="Times New Roman"/>
          <w:b/>
          <w:sz w:val="26"/>
          <w:szCs w:val="26"/>
        </w:rPr>
      </w:pPr>
    </w:p>
    <w:p w14:paraId="1241EE90" w14:textId="77777777" w:rsidR="00AE26AC" w:rsidRPr="000E63AC" w:rsidRDefault="00AE26AC" w:rsidP="0099414B">
      <w:pPr>
        <w:spacing w:after="0" w:line="240" w:lineRule="auto"/>
        <w:rPr>
          <w:rFonts w:ascii="Times New Roman" w:eastAsia="Times New Roman" w:hAnsi="Times New Roman" w:cs="Times New Roman"/>
          <w:b/>
          <w:sz w:val="26"/>
          <w:szCs w:val="26"/>
          <w:lang w:eastAsia="lv-LV"/>
        </w:rPr>
      </w:pPr>
      <w:r w:rsidRPr="000E63AC">
        <w:rPr>
          <w:rFonts w:ascii="Times New Roman" w:hAnsi="Times New Roman" w:cs="Times New Roman"/>
          <w:b/>
          <w:sz w:val="26"/>
          <w:szCs w:val="26"/>
        </w:rPr>
        <w:t xml:space="preserve">SIA “PricewaterhouseCoopers” pētījums </w:t>
      </w:r>
    </w:p>
    <w:p w14:paraId="0669BC5E" w14:textId="6774AD7A" w:rsidR="00D012BE" w:rsidRPr="000E63AC" w:rsidRDefault="00D012B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Lai noskaidrotu iemeslus, kas pašlaik motivē vai kavē nodokļu maksātājus pieteikties Padziļinātās sadarbības programmai, kā arī lai uzzinātu, ko uzņēmēji sagaida no Padziļinātās sadarbības programmas SIA “PricewaterhouseCoopers” 2017.gada maijā veica uzņēmēju aptauju, kurā piedalījās 53 respondenti, no tiem 16 uzņēmumi, kas aptaujas laikā ir Padziļinātās sadarbības programmas dalībnieki</w:t>
      </w:r>
      <w:r w:rsidR="0029456E" w:rsidRPr="000E63AC">
        <w:rPr>
          <w:rFonts w:ascii="Times New Roman" w:hAnsi="Times New Roman" w:cs="Times New Roman"/>
          <w:sz w:val="26"/>
          <w:szCs w:val="26"/>
        </w:rPr>
        <w:t>,</w:t>
      </w:r>
      <w:r w:rsidRPr="000E63AC">
        <w:rPr>
          <w:rFonts w:ascii="Times New Roman" w:hAnsi="Times New Roman" w:cs="Times New Roman"/>
          <w:sz w:val="26"/>
          <w:szCs w:val="26"/>
        </w:rPr>
        <w:t xml:space="preserve"> un 37 uzņēmumi, kas nav programmas dalībnieki. Lielākā daļa no respondentiem jeb 81,08%, kas nav</w:t>
      </w:r>
      <w:r w:rsidR="00614C1F" w:rsidRPr="000E63AC">
        <w:rPr>
          <w:rFonts w:ascii="Times New Roman" w:hAnsi="Times New Roman" w:cs="Times New Roman"/>
          <w:sz w:val="26"/>
          <w:szCs w:val="26"/>
        </w:rPr>
        <w:t xml:space="preserve"> iekļauti Padziļinātā sadarbības programmā,</w:t>
      </w:r>
      <w:r w:rsidRPr="000E63AC">
        <w:rPr>
          <w:rFonts w:ascii="Times New Roman" w:hAnsi="Times New Roman" w:cs="Times New Roman"/>
          <w:sz w:val="26"/>
          <w:szCs w:val="26"/>
        </w:rPr>
        <w:t xml:space="preserve"> atzina, ka ir informēti par Padziļināto sadarbības programmu un tās darbības principiem. Vērtējot iemeslus, kāpēc uzņēmumi </w:t>
      </w:r>
      <w:r w:rsidRPr="000E63AC">
        <w:rPr>
          <w:rFonts w:ascii="Times New Roman" w:hAnsi="Times New Roman" w:cs="Times New Roman"/>
          <w:sz w:val="26"/>
          <w:szCs w:val="26"/>
        </w:rPr>
        <w:lastRenderedPageBreak/>
        <w:t>nav pievienojušies Padziļinātai sadarbības programmai</w:t>
      </w:r>
      <w:r w:rsidR="0029456E" w:rsidRPr="000E63AC">
        <w:rPr>
          <w:rFonts w:ascii="Times New Roman" w:hAnsi="Times New Roman" w:cs="Times New Roman"/>
          <w:sz w:val="26"/>
          <w:szCs w:val="26"/>
        </w:rPr>
        <w:t>,</w:t>
      </w:r>
      <w:r w:rsidRPr="000E63AC">
        <w:rPr>
          <w:rFonts w:ascii="Times New Roman" w:hAnsi="Times New Roman" w:cs="Times New Roman"/>
          <w:sz w:val="26"/>
          <w:szCs w:val="26"/>
        </w:rPr>
        <w:t xml:space="preserve"> 23,38% gadījumu respondenti norādījuši, ka administratīvais slogs pret priekšrocībām ir nesamērīgs, 15,58% tos attur sarežģīta pievienošanās procedūra, 12,99% tie neatbilst programmas noteiktajiem kritērijiem, kas raksturo uzņēmuma lielumu un darbības ienesīgumu, 10,39% ir neskaidri kritēriji nodokļu risku vadības ieviešanai, 9,09% nav ticības, ka programmas priekšrocības tiek īstenotas, 9,09% nav pietiekamas informācijas par programmu, 7,79% risks, ka dalībnieka statuss bez brīdinājuma varētu tikt atņemts, kas savukārt radītu apdraudējumu uzņēmuma reputācijai, 6,49% programmas piedāvātās priekšrocības nav saistošas un attiecīgi 5,19% gadījumu respondenti norādījuši citu iemeslu, kā piemēram, saņemta Valsts ieņēmumu dienesta vēstule par to, ka attiecīgajā periodā netiks veikts audits. </w:t>
      </w:r>
    </w:p>
    <w:p w14:paraId="216C2284" w14:textId="77777777" w:rsidR="00D012BE" w:rsidRPr="000E63AC" w:rsidRDefault="00D012B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Aptaujas rezultātā respondentiem tika dota iespēja norādīt faktorus (Attēls Nr. </w:t>
      </w:r>
      <w:r w:rsidR="00E6670A" w:rsidRPr="000E63AC">
        <w:rPr>
          <w:rFonts w:ascii="Times New Roman" w:hAnsi="Times New Roman" w:cs="Times New Roman"/>
          <w:sz w:val="26"/>
          <w:szCs w:val="26"/>
        </w:rPr>
        <w:t>3</w:t>
      </w:r>
      <w:r w:rsidRPr="000E63AC">
        <w:rPr>
          <w:rFonts w:ascii="Times New Roman" w:hAnsi="Times New Roman" w:cs="Times New Roman"/>
          <w:sz w:val="26"/>
          <w:szCs w:val="26"/>
        </w:rPr>
        <w:t>), kas varētu mudināt uzņēmumus kļūt par Padziļinātās sadarbības programmas dalībniekiem.</w:t>
      </w:r>
      <w:r w:rsidRPr="000E63AC">
        <w:rPr>
          <w:rFonts w:ascii="Times New Roman" w:hAnsi="Times New Roman" w:cs="Times New Roman"/>
          <w:sz w:val="26"/>
          <w:szCs w:val="26"/>
        </w:rPr>
        <w:tab/>
      </w:r>
    </w:p>
    <w:p w14:paraId="4C74D68D" w14:textId="77777777" w:rsidR="00D012BE" w:rsidRPr="000E63AC" w:rsidRDefault="00D012BE" w:rsidP="0099414B">
      <w:pPr>
        <w:spacing w:after="0"/>
        <w:ind w:left="720"/>
        <w:jc w:val="right"/>
        <w:rPr>
          <w:rFonts w:ascii="Times New Roman" w:hAnsi="Times New Roman" w:cs="Times New Roman"/>
          <w:i/>
          <w:sz w:val="24"/>
          <w:szCs w:val="24"/>
        </w:rPr>
      </w:pPr>
      <w:r w:rsidRPr="000E63AC">
        <w:rPr>
          <w:rFonts w:ascii="Times New Roman" w:hAnsi="Times New Roman" w:cs="Times New Roman"/>
          <w:i/>
          <w:sz w:val="24"/>
          <w:szCs w:val="24"/>
        </w:rPr>
        <w:t>Attēls Nr.</w:t>
      </w:r>
      <w:r w:rsidR="00037A3C" w:rsidRPr="000E63AC">
        <w:rPr>
          <w:rFonts w:ascii="Times New Roman" w:hAnsi="Times New Roman" w:cs="Times New Roman"/>
          <w:i/>
          <w:sz w:val="24"/>
          <w:szCs w:val="24"/>
        </w:rPr>
        <w:t>3</w:t>
      </w:r>
      <w:r w:rsidRPr="000E63AC">
        <w:rPr>
          <w:rFonts w:ascii="Times New Roman" w:hAnsi="Times New Roman" w:cs="Times New Roman"/>
          <w:i/>
          <w:sz w:val="24"/>
          <w:szCs w:val="24"/>
        </w:rPr>
        <w:t xml:space="preserve"> </w:t>
      </w:r>
    </w:p>
    <w:p w14:paraId="3957CCB2" w14:textId="77777777" w:rsidR="00D012BE" w:rsidRPr="000E63AC" w:rsidRDefault="00D012BE" w:rsidP="0099414B">
      <w:pPr>
        <w:pStyle w:val="ListParagraph"/>
        <w:spacing w:after="0"/>
        <w:ind w:left="0"/>
        <w:jc w:val="center"/>
        <w:rPr>
          <w:rFonts w:ascii="Times New Roman" w:hAnsi="Times New Roman" w:cs="Times New Roman"/>
          <w:sz w:val="26"/>
          <w:szCs w:val="26"/>
        </w:rPr>
      </w:pPr>
      <w:r w:rsidRPr="000E63AC">
        <w:rPr>
          <w:noProof/>
          <w:lang w:eastAsia="lv-LV"/>
        </w:rPr>
        <w:drawing>
          <wp:inline distT="0" distB="0" distL="0" distR="0" wp14:anchorId="69473EC7" wp14:editId="6D40373A">
            <wp:extent cx="4968816" cy="2398144"/>
            <wp:effectExtent l="0" t="0" r="3810" b="2540"/>
            <wp:docPr id="8" name="Chart 8">
              <a:extLst xmlns:a="http://schemas.openxmlformats.org/drawingml/2006/main">
                <a:ext uri="{FF2B5EF4-FFF2-40B4-BE49-F238E27FC236}">
                  <a16:creationId xmlns:a16="http://schemas.microsoft.com/office/drawing/2014/main" id="{34D2A08A-27B0-4ED1-8D54-A8B22BCDA9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8548A99" w14:textId="725EF304" w:rsidR="00C22B63" w:rsidRPr="000E63AC" w:rsidRDefault="00C22B63" w:rsidP="0099414B">
      <w:pPr>
        <w:spacing w:after="0"/>
        <w:ind w:firstLine="720"/>
        <w:jc w:val="both"/>
        <w:rPr>
          <w:rFonts w:ascii="Times New Roman" w:hAnsi="Times New Roman" w:cs="Times New Roman"/>
          <w:sz w:val="20"/>
          <w:szCs w:val="20"/>
        </w:rPr>
      </w:pPr>
      <w:r w:rsidRPr="000E63AC">
        <w:rPr>
          <w:rFonts w:ascii="Times New Roman" w:hAnsi="Times New Roman" w:cs="Times New Roman"/>
          <w:sz w:val="20"/>
          <w:szCs w:val="20"/>
        </w:rPr>
        <w:t xml:space="preserve">Avots: </w:t>
      </w:r>
      <w:proofErr w:type="spellStart"/>
      <w:r w:rsidRPr="000E63AC">
        <w:rPr>
          <w:rFonts w:ascii="Times New Roman" w:hAnsi="Times New Roman" w:cs="Times New Roman"/>
          <w:sz w:val="20"/>
          <w:szCs w:val="20"/>
        </w:rPr>
        <w:t>PWc</w:t>
      </w:r>
      <w:proofErr w:type="spellEnd"/>
      <w:r w:rsidRPr="000E63AC">
        <w:rPr>
          <w:rFonts w:ascii="Times New Roman" w:hAnsi="Times New Roman" w:cs="Times New Roman"/>
          <w:sz w:val="20"/>
          <w:szCs w:val="20"/>
        </w:rPr>
        <w:t xml:space="preserve"> Aptauja, 2017</w:t>
      </w:r>
    </w:p>
    <w:p w14:paraId="3F9DC9E1" w14:textId="77777777" w:rsidR="00AE3049" w:rsidRPr="000E63AC" w:rsidRDefault="00AE3049" w:rsidP="0099414B">
      <w:pPr>
        <w:spacing w:after="0"/>
        <w:ind w:firstLine="720"/>
        <w:jc w:val="both"/>
        <w:rPr>
          <w:rFonts w:ascii="Times New Roman" w:hAnsi="Times New Roman" w:cs="Times New Roman"/>
          <w:sz w:val="20"/>
          <w:szCs w:val="20"/>
        </w:rPr>
      </w:pPr>
    </w:p>
    <w:p w14:paraId="2436A9EA" w14:textId="77777777" w:rsidR="00192939" w:rsidRPr="000E63AC" w:rsidRDefault="00D012B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Vērtējot to respondentu atbildes (Attēls Nr.</w:t>
      </w:r>
      <w:r w:rsidR="00E6670A" w:rsidRPr="000E63AC">
        <w:rPr>
          <w:rFonts w:ascii="Times New Roman" w:hAnsi="Times New Roman" w:cs="Times New Roman"/>
          <w:sz w:val="26"/>
          <w:szCs w:val="26"/>
        </w:rPr>
        <w:t>3</w:t>
      </w:r>
      <w:r w:rsidRPr="000E63AC">
        <w:rPr>
          <w:rFonts w:ascii="Times New Roman" w:hAnsi="Times New Roman" w:cs="Times New Roman"/>
          <w:sz w:val="26"/>
          <w:szCs w:val="26"/>
        </w:rPr>
        <w:t>), kuri šobrīd nav iekļauti Padziļināt</w:t>
      </w:r>
      <w:r w:rsidR="0029456E" w:rsidRPr="000E63AC">
        <w:rPr>
          <w:rFonts w:ascii="Times New Roman" w:hAnsi="Times New Roman" w:cs="Times New Roman"/>
          <w:sz w:val="26"/>
          <w:szCs w:val="26"/>
        </w:rPr>
        <w:t>ās</w:t>
      </w:r>
      <w:r w:rsidRPr="000E63AC">
        <w:rPr>
          <w:rFonts w:ascii="Times New Roman" w:hAnsi="Times New Roman" w:cs="Times New Roman"/>
          <w:sz w:val="26"/>
          <w:szCs w:val="26"/>
        </w:rPr>
        <w:t xml:space="preserve"> sadarbības programmā, iezīmējas trīs galvenie aspekti, kas ļautu programmu padarīt pievilcīgāku: </w:t>
      </w:r>
    </w:p>
    <w:p w14:paraId="71AE5BB1" w14:textId="77777777" w:rsidR="00192939" w:rsidRPr="000E63AC" w:rsidRDefault="00D012BE" w:rsidP="0099414B">
      <w:pPr>
        <w:pStyle w:val="ListParagraph"/>
        <w:numPr>
          <w:ilvl w:val="0"/>
          <w:numId w:val="8"/>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 xml:space="preserve">nepieciešams ieviest atvieglotus kontroles mehānismus, kas vairāk orientēti uz preventīviem pasākumiem, nevis retrospektīvām kontrolēm, </w:t>
      </w:r>
    </w:p>
    <w:p w14:paraId="11955884" w14:textId="77777777" w:rsidR="00192939" w:rsidRPr="000E63AC" w:rsidRDefault="00D012BE" w:rsidP="0099414B">
      <w:pPr>
        <w:pStyle w:val="ListParagraph"/>
        <w:numPr>
          <w:ilvl w:val="0"/>
          <w:numId w:val="8"/>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 xml:space="preserve">vienlīdz svarīgi tiek norādīts, ka nepieciešams pārskatīt Padziļinātās sadarbības programmas iekļūšanas kritērijus, kas savukārt pierāda to, ka potenciāli iespējamais programmas dalībnieku skaits varētu būt daudz lielāks. </w:t>
      </w:r>
    </w:p>
    <w:p w14:paraId="5E5609CA" w14:textId="078BAFDA" w:rsidR="00D012BE" w:rsidRPr="000E63AC" w:rsidRDefault="00632865" w:rsidP="0099414B">
      <w:pPr>
        <w:pStyle w:val="ListParagraph"/>
        <w:numPr>
          <w:ilvl w:val="0"/>
          <w:numId w:val="8"/>
        </w:numPr>
        <w:spacing w:after="0" w:line="240" w:lineRule="auto"/>
        <w:jc w:val="both"/>
        <w:rPr>
          <w:rFonts w:ascii="Times New Roman" w:hAnsi="Times New Roman" w:cs="Times New Roman"/>
          <w:sz w:val="26"/>
          <w:szCs w:val="26"/>
        </w:rPr>
      </w:pPr>
      <w:r w:rsidRPr="000E63AC">
        <w:rPr>
          <w:rFonts w:ascii="Times New Roman" w:hAnsi="Times New Roman" w:cs="Times New Roman"/>
          <w:sz w:val="26"/>
          <w:szCs w:val="26"/>
        </w:rPr>
        <w:t>k</w:t>
      </w:r>
      <w:r w:rsidR="00D012BE" w:rsidRPr="000E63AC">
        <w:rPr>
          <w:rFonts w:ascii="Times New Roman" w:hAnsi="Times New Roman" w:cs="Times New Roman"/>
          <w:sz w:val="26"/>
          <w:szCs w:val="26"/>
        </w:rPr>
        <w:t>ā trešais būtiskākais faktors, kas varētu mudināt uzņēmumu kļūt par programmas dalībnieku</w:t>
      </w:r>
      <w:r w:rsidR="0029456E" w:rsidRPr="000E63AC">
        <w:rPr>
          <w:rFonts w:ascii="Times New Roman" w:hAnsi="Times New Roman" w:cs="Times New Roman"/>
          <w:sz w:val="26"/>
          <w:szCs w:val="26"/>
        </w:rPr>
        <w:t>,</w:t>
      </w:r>
      <w:r w:rsidR="00D012BE" w:rsidRPr="000E63AC">
        <w:rPr>
          <w:rFonts w:ascii="Times New Roman" w:hAnsi="Times New Roman" w:cs="Times New Roman"/>
          <w:sz w:val="26"/>
          <w:szCs w:val="26"/>
        </w:rPr>
        <w:t xml:space="preserve"> tiek norādīts, ka nepieciešams pārskatīt programmas dalībnieka statusa zaudēšanas kārtību, nosakot periodu, kurā uzņēmumam ir atļauts novērst pārkāpumu, tād</w:t>
      </w:r>
      <w:r w:rsidR="0029456E" w:rsidRPr="000E63AC">
        <w:rPr>
          <w:rFonts w:ascii="Times New Roman" w:hAnsi="Times New Roman" w:cs="Times New Roman"/>
          <w:sz w:val="26"/>
          <w:szCs w:val="26"/>
        </w:rPr>
        <w:t>ē</w:t>
      </w:r>
      <w:r w:rsidR="00D012BE" w:rsidRPr="000E63AC">
        <w:rPr>
          <w:rFonts w:ascii="Times New Roman" w:hAnsi="Times New Roman" w:cs="Times New Roman"/>
          <w:sz w:val="26"/>
          <w:szCs w:val="26"/>
        </w:rPr>
        <w:t xml:space="preserve">jādi izslēdzot gadījumus, kad par nebūtiskiem vai formāliem pārkāpumiem uzņēmums tiek izslēgts no programmas, kā rezultātā var tikt apdraudēta uzņēmuma reputācija. </w:t>
      </w:r>
    </w:p>
    <w:p w14:paraId="25C26E1D" w14:textId="77777777" w:rsidR="00D012BE" w:rsidRPr="000E63AC" w:rsidRDefault="00D012B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Aptaujas rezultāti liecina, ka 69,44% no respondentiem, kuri šobrīd nav Padziļinātās sadarbības programmas dalībnieki</w:t>
      </w:r>
      <w:r w:rsidR="0029456E" w:rsidRPr="000E63AC">
        <w:rPr>
          <w:rFonts w:ascii="Times New Roman" w:hAnsi="Times New Roman" w:cs="Times New Roman"/>
          <w:sz w:val="26"/>
          <w:szCs w:val="26"/>
        </w:rPr>
        <w:t>,</w:t>
      </w:r>
      <w:r w:rsidRPr="000E63AC">
        <w:rPr>
          <w:rFonts w:ascii="Times New Roman" w:hAnsi="Times New Roman" w:cs="Times New Roman"/>
          <w:sz w:val="26"/>
          <w:szCs w:val="26"/>
        </w:rPr>
        <w:t xml:space="preserve"> uzskata, ka Padziļinātās sadarbības programmas priekšrocības būtu jāpiešķir arī ārpus nodokļu administrēšanas jomas, kā piemēram, publiskajos iepirkumos, valsts vai pašvaldību pakalpojumu saņemšanā</w:t>
      </w:r>
      <w:r w:rsidR="0029456E" w:rsidRPr="000E63AC">
        <w:rPr>
          <w:rFonts w:ascii="Times New Roman" w:hAnsi="Times New Roman" w:cs="Times New Roman"/>
          <w:sz w:val="26"/>
          <w:szCs w:val="26"/>
        </w:rPr>
        <w:t>,</w:t>
      </w:r>
      <w:r w:rsidRPr="000E63AC">
        <w:rPr>
          <w:rFonts w:ascii="Times New Roman" w:hAnsi="Times New Roman" w:cs="Times New Roman"/>
          <w:sz w:val="26"/>
          <w:szCs w:val="26"/>
        </w:rPr>
        <w:t xml:space="preserve"> un </w:t>
      </w:r>
      <w:r w:rsidRPr="000E63AC">
        <w:rPr>
          <w:rFonts w:ascii="Times New Roman" w:hAnsi="Times New Roman" w:cs="Times New Roman"/>
          <w:sz w:val="26"/>
          <w:szCs w:val="26"/>
        </w:rPr>
        <w:lastRenderedPageBreak/>
        <w:t>attiecīgi 30,56% no respondentiem uzskata, ka programmas priekšrocības vajadzētu piešķirt tikai nodokļu administrēšanas jomā.</w:t>
      </w:r>
    </w:p>
    <w:p w14:paraId="2F071F4F" w14:textId="77777777" w:rsidR="00D012BE" w:rsidRPr="000E63AC" w:rsidRDefault="00D012B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Vērtējot to respondentu daļu, kas ir Padziļinātas sadarbības programmas dalībnieki, redzams, ka tikai 25% programmas darbību vērtē pozitīvi un lielākā daļa jeb 75% no respondentiem uzskata, ka programmas piedāvātās priekšrocības ir nebūtiskas. Zemāk esošajā attēlā (Attēls Nr.</w:t>
      </w:r>
      <w:r w:rsidR="00E6670A" w:rsidRPr="000E63AC">
        <w:rPr>
          <w:rFonts w:ascii="Times New Roman" w:hAnsi="Times New Roman" w:cs="Times New Roman"/>
          <w:sz w:val="26"/>
          <w:szCs w:val="26"/>
        </w:rPr>
        <w:t>4</w:t>
      </w:r>
      <w:r w:rsidRPr="000E63AC">
        <w:rPr>
          <w:rFonts w:ascii="Times New Roman" w:hAnsi="Times New Roman" w:cs="Times New Roman"/>
          <w:sz w:val="26"/>
          <w:szCs w:val="26"/>
        </w:rPr>
        <w:t xml:space="preserve">) norādīts esošo programmas dalībnieku vērtējums par programmas sniegtajām priekšrocībām. </w:t>
      </w:r>
    </w:p>
    <w:p w14:paraId="396191F2" w14:textId="77777777" w:rsidR="00806CD8" w:rsidRPr="000E63AC" w:rsidRDefault="00806CD8" w:rsidP="0099414B">
      <w:pPr>
        <w:spacing w:after="0"/>
        <w:jc w:val="right"/>
        <w:rPr>
          <w:rFonts w:ascii="Times New Roman" w:hAnsi="Times New Roman" w:cs="Times New Roman"/>
          <w:i/>
          <w:sz w:val="24"/>
          <w:szCs w:val="24"/>
        </w:rPr>
      </w:pPr>
    </w:p>
    <w:p w14:paraId="6B9A137A" w14:textId="2F43069D" w:rsidR="00D012BE" w:rsidRPr="000E63AC" w:rsidRDefault="00D012BE" w:rsidP="0099414B">
      <w:pPr>
        <w:spacing w:after="0"/>
        <w:jc w:val="right"/>
        <w:rPr>
          <w:rFonts w:ascii="Times New Roman" w:hAnsi="Times New Roman" w:cs="Times New Roman"/>
          <w:i/>
          <w:sz w:val="24"/>
          <w:szCs w:val="24"/>
        </w:rPr>
      </w:pPr>
      <w:r w:rsidRPr="000E63AC">
        <w:rPr>
          <w:rFonts w:ascii="Times New Roman" w:hAnsi="Times New Roman" w:cs="Times New Roman"/>
          <w:i/>
          <w:sz w:val="24"/>
          <w:szCs w:val="24"/>
        </w:rPr>
        <w:t>Attēls Nr.</w:t>
      </w:r>
      <w:r w:rsidR="00037A3C" w:rsidRPr="000E63AC">
        <w:rPr>
          <w:rFonts w:ascii="Times New Roman" w:hAnsi="Times New Roman" w:cs="Times New Roman"/>
          <w:i/>
          <w:sz w:val="24"/>
          <w:szCs w:val="24"/>
        </w:rPr>
        <w:t>4</w:t>
      </w:r>
    </w:p>
    <w:p w14:paraId="10EA1CF2" w14:textId="77777777" w:rsidR="00D012BE" w:rsidRPr="000E63AC" w:rsidRDefault="00D012BE" w:rsidP="0099414B">
      <w:pPr>
        <w:spacing w:after="0"/>
        <w:jc w:val="center"/>
        <w:rPr>
          <w:rFonts w:ascii="Times New Roman" w:hAnsi="Times New Roman" w:cs="Times New Roman"/>
          <w:sz w:val="26"/>
          <w:szCs w:val="26"/>
        </w:rPr>
      </w:pPr>
      <w:r w:rsidRPr="000E63AC">
        <w:rPr>
          <w:noProof/>
          <w:lang w:eastAsia="lv-LV"/>
        </w:rPr>
        <w:drawing>
          <wp:inline distT="0" distB="0" distL="0" distR="0" wp14:anchorId="53938B3A" wp14:editId="5E512448">
            <wp:extent cx="5419725" cy="2505075"/>
            <wp:effectExtent l="0" t="0" r="9525" b="9525"/>
            <wp:docPr id="1" name="Chart 1">
              <a:extLst xmlns:a="http://schemas.openxmlformats.org/drawingml/2006/main">
                <a:ext uri="{FF2B5EF4-FFF2-40B4-BE49-F238E27FC236}">
                  <a16:creationId xmlns:a16="http://schemas.microsoft.com/office/drawing/2014/main" id="{508020C4-BAAF-47A2-B9D6-11AB556F8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BCC4BB9" w14:textId="085D123F" w:rsidR="00AE3049" w:rsidRPr="000E63AC" w:rsidRDefault="00AE3049" w:rsidP="0099414B">
      <w:pPr>
        <w:spacing w:after="0" w:line="240" w:lineRule="auto"/>
        <w:ind w:firstLine="720"/>
        <w:jc w:val="both"/>
        <w:rPr>
          <w:rFonts w:ascii="Times New Roman" w:hAnsi="Times New Roman" w:cs="Times New Roman"/>
          <w:sz w:val="20"/>
          <w:szCs w:val="20"/>
        </w:rPr>
      </w:pPr>
      <w:r w:rsidRPr="000E63AC">
        <w:rPr>
          <w:rFonts w:ascii="Times New Roman" w:hAnsi="Times New Roman" w:cs="Times New Roman"/>
          <w:sz w:val="20"/>
          <w:szCs w:val="20"/>
        </w:rPr>
        <w:t xml:space="preserve">Avots: </w:t>
      </w:r>
      <w:proofErr w:type="spellStart"/>
      <w:r w:rsidRPr="000E63AC">
        <w:rPr>
          <w:rFonts w:ascii="Times New Roman" w:hAnsi="Times New Roman" w:cs="Times New Roman"/>
          <w:sz w:val="20"/>
          <w:szCs w:val="20"/>
        </w:rPr>
        <w:t>PWc</w:t>
      </w:r>
      <w:proofErr w:type="spellEnd"/>
      <w:r w:rsidRPr="000E63AC">
        <w:rPr>
          <w:rFonts w:ascii="Times New Roman" w:hAnsi="Times New Roman" w:cs="Times New Roman"/>
          <w:sz w:val="20"/>
          <w:szCs w:val="20"/>
        </w:rPr>
        <w:t xml:space="preserve"> Aptauja, 2017</w:t>
      </w:r>
    </w:p>
    <w:p w14:paraId="7591AD03" w14:textId="77777777" w:rsidR="00AE3049" w:rsidRPr="000E63AC" w:rsidRDefault="00AE3049" w:rsidP="0099414B">
      <w:pPr>
        <w:spacing w:after="0" w:line="240" w:lineRule="auto"/>
        <w:ind w:firstLine="720"/>
        <w:jc w:val="both"/>
        <w:rPr>
          <w:rFonts w:ascii="Times New Roman" w:hAnsi="Times New Roman" w:cs="Times New Roman"/>
          <w:sz w:val="26"/>
          <w:szCs w:val="26"/>
        </w:rPr>
      </w:pPr>
    </w:p>
    <w:p w14:paraId="00651981" w14:textId="29962644" w:rsidR="00D012BE" w:rsidRPr="000E63AC" w:rsidRDefault="00D012B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 xml:space="preserve">Analizējot Padziļinātās sadarbības programmas piešķirtās priekšrocības un to izmantošanu no esošiem programmas dalībniekiem 43,75% ir atzinuši, ka izmanto un ir apmierināti ar </w:t>
      </w:r>
      <w:r w:rsidR="00D57EB4" w:rsidRPr="000E63AC">
        <w:rPr>
          <w:rFonts w:ascii="Times New Roman" w:hAnsi="Times New Roman" w:cs="Times New Roman"/>
          <w:sz w:val="26"/>
          <w:szCs w:val="26"/>
        </w:rPr>
        <w:t xml:space="preserve">Elektroniskās deklarēšanas sistēmā (turpmāk – </w:t>
      </w:r>
      <w:r w:rsidRPr="000E63AC">
        <w:rPr>
          <w:rFonts w:ascii="Times New Roman" w:hAnsi="Times New Roman" w:cs="Times New Roman"/>
          <w:sz w:val="26"/>
          <w:szCs w:val="26"/>
        </w:rPr>
        <w:t>EDS</w:t>
      </w:r>
      <w:r w:rsidR="00D57EB4" w:rsidRPr="000E63AC">
        <w:rPr>
          <w:rFonts w:ascii="Times New Roman" w:hAnsi="Times New Roman" w:cs="Times New Roman"/>
          <w:sz w:val="26"/>
          <w:szCs w:val="26"/>
        </w:rPr>
        <w:t>)</w:t>
      </w:r>
      <w:r w:rsidRPr="000E63AC">
        <w:rPr>
          <w:rFonts w:ascii="Times New Roman" w:hAnsi="Times New Roman" w:cs="Times New Roman"/>
          <w:sz w:val="26"/>
          <w:szCs w:val="26"/>
        </w:rPr>
        <w:t xml:space="preserve"> pieejamo informāciju par datu neatbilstību, 37,50% ar paātrinātu atbildes saņemšanu uz iesniegumiem, 31,25% ir apmierināti ar individuālo Valsts ieņēmumu dienes</w:t>
      </w:r>
      <w:r w:rsidR="00F41810" w:rsidRPr="000E63AC">
        <w:rPr>
          <w:rFonts w:ascii="Times New Roman" w:hAnsi="Times New Roman" w:cs="Times New Roman"/>
          <w:sz w:val="26"/>
          <w:szCs w:val="26"/>
        </w:rPr>
        <w:t>ta konsultantu un attiecīgi tāda</w:t>
      </w:r>
      <w:r w:rsidRPr="000E63AC">
        <w:rPr>
          <w:rFonts w:ascii="Times New Roman" w:hAnsi="Times New Roman" w:cs="Times New Roman"/>
          <w:sz w:val="26"/>
          <w:szCs w:val="26"/>
        </w:rPr>
        <w:t xml:space="preserve"> pat respondent</w:t>
      </w:r>
      <w:r w:rsidR="00F41810" w:rsidRPr="000E63AC">
        <w:rPr>
          <w:rFonts w:ascii="Times New Roman" w:hAnsi="Times New Roman" w:cs="Times New Roman"/>
          <w:sz w:val="26"/>
          <w:szCs w:val="26"/>
        </w:rPr>
        <w:t>u daļa jeb 31,25% ir apmierināta</w:t>
      </w:r>
      <w:r w:rsidRPr="000E63AC">
        <w:rPr>
          <w:rFonts w:ascii="Times New Roman" w:hAnsi="Times New Roman" w:cs="Times New Roman"/>
          <w:sz w:val="26"/>
          <w:szCs w:val="26"/>
        </w:rPr>
        <w:t xml:space="preserve"> un izmanto PVN pārmaksas atmaksu piecu darba dienu laikā.</w:t>
      </w:r>
    </w:p>
    <w:p w14:paraId="41901612" w14:textId="58400293" w:rsidR="00F5542A" w:rsidRPr="000E63AC" w:rsidRDefault="00D012BE" w:rsidP="0099414B">
      <w:pPr>
        <w:spacing w:after="0" w:line="240" w:lineRule="auto"/>
        <w:ind w:firstLine="720"/>
        <w:jc w:val="both"/>
        <w:rPr>
          <w:rFonts w:ascii="Times New Roman" w:hAnsi="Times New Roman" w:cs="Times New Roman"/>
          <w:sz w:val="26"/>
          <w:szCs w:val="26"/>
        </w:rPr>
      </w:pPr>
      <w:r w:rsidRPr="000E63AC">
        <w:rPr>
          <w:rFonts w:ascii="Times New Roman" w:hAnsi="Times New Roman" w:cs="Times New Roman"/>
          <w:sz w:val="26"/>
          <w:szCs w:val="26"/>
        </w:rPr>
        <w:t>Aptaujas rezultāti apstiprina, ka, lai motivētu programmas dalībniekus un padarītu programmu pievilcīgāku lielākam skaitam uzņēmēju</w:t>
      </w:r>
      <w:r w:rsidR="0029456E" w:rsidRPr="000E63AC">
        <w:rPr>
          <w:rFonts w:ascii="Times New Roman" w:hAnsi="Times New Roman" w:cs="Times New Roman"/>
          <w:sz w:val="26"/>
          <w:szCs w:val="26"/>
        </w:rPr>
        <w:t>,</w:t>
      </w:r>
      <w:r w:rsidRPr="000E63AC">
        <w:rPr>
          <w:rFonts w:ascii="Times New Roman" w:hAnsi="Times New Roman" w:cs="Times New Roman"/>
          <w:sz w:val="26"/>
          <w:szCs w:val="26"/>
        </w:rPr>
        <w:t xml:space="preserve"> ir nepieciešami programmas uzlabojumi. No esošajiem Padziļinātās sadarbības programmas dalībniekiem 26,42% respondent</w:t>
      </w:r>
      <w:r w:rsidR="00F41810" w:rsidRPr="000E63AC">
        <w:rPr>
          <w:rFonts w:ascii="Times New Roman" w:hAnsi="Times New Roman" w:cs="Times New Roman"/>
          <w:sz w:val="26"/>
          <w:szCs w:val="26"/>
        </w:rPr>
        <w:t>u</w:t>
      </w:r>
      <w:r w:rsidRPr="000E63AC">
        <w:rPr>
          <w:rFonts w:ascii="Times New Roman" w:hAnsi="Times New Roman" w:cs="Times New Roman"/>
          <w:sz w:val="26"/>
          <w:szCs w:val="26"/>
        </w:rPr>
        <w:t xml:space="preserve"> uzskata, ka būtu jāievieš atviegloti nodokļu kontroles mehānismi, kas vairāk orientēti uz preventīviem pasākumiem, nevis retrospektīvām kontrolēm, 20,75% programmas kritēriji nevar būt atkarīgi no kvantitatīviem rādītājiem, tiem jābūt vērstiem uz nodokļu maksāšanas disciplīnu, reputāciju, 20,75% programmas dalībniekiem būtu jāpiešķir priekšrocības ārpus nodokļu piemērošanas un administrēšanas jomas, 18,87% būtu jāpārskata dalībnieka statusa atņemšanas kārtība, ieviešot periodu, kurā uzņēmumam ir atļauts novērst pārkāpumu un attiecīgi 9,43% gadījumos respondenti uzskata, ka dalībnieka statuss būtu vienlaikus jāpiešķir visai uzņēmuma grupai.</w:t>
      </w:r>
    </w:p>
    <w:p w14:paraId="4FAB90D3" w14:textId="2055B57F" w:rsidR="00F729DE" w:rsidRDefault="00F729DE" w:rsidP="0099414B">
      <w:pPr>
        <w:spacing w:after="0"/>
        <w:jc w:val="center"/>
        <w:rPr>
          <w:rFonts w:ascii="Times New Roman" w:eastAsia="Times New Roman" w:hAnsi="Times New Roman" w:cs="Times New Roman"/>
          <w:b/>
          <w:sz w:val="26"/>
          <w:szCs w:val="26"/>
          <w:lang w:eastAsia="lv-LV"/>
        </w:rPr>
      </w:pPr>
    </w:p>
    <w:p w14:paraId="1320908C" w14:textId="427A8DCD" w:rsidR="003A6B3B" w:rsidRDefault="003A6B3B" w:rsidP="0099414B">
      <w:pPr>
        <w:spacing w:after="0"/>
        <w:jc w:val="center"/>
        <w:rPr>
          <w:rFonts w:ascii="Times New Roman" w:eastAsia="Times New Roman" w:hAnsi="Times New Roman" w:cs="Times New Roman"/>
          <w:b/>
          <w:sz w:val="26"/>
          <w:szCs w:val="26"/>
          <w:lang w:eastAsia="lv-LV"/>
        </w:rPr>
      </w:pPr>
    </w:p>
    <w:p w14:paraId="729ED653" w14:textId="2EB0172A" w:rsidR="003A6B3B" w:rsidRDefault="003A6B3B" w:rsidP="0099414B">
      <w:pPr>
        <w:spacing w:after="0"/>
        <w:jc w:val="center"/>
        <w:rPr>
          <w:rFonts w:ascii="Times New Roman" w:eastAsia="Times New Roman" w:hAnsi="Times New Roman" w:cs="Times New Roman"/>
          <w:b/>
          <w:sz w:val="26"/>
          <w:szCs w:val="26"/>
          <w:lang w:eastAsia="lv-LV"/>
        </w:rPr>
      </w:pPr>
    </w:p>
    <w:p w14:paraId="347580D9" w14:textId="77777777" w:rsidR="003A6B3B" w:rsidRPr="000E63AC" w:rsidRDefault="003A6B3B" w:rsidP="0099414B">
      <w:pPr>
        <w:spacing w:after="0"/>
        <w:jc w:val="center"/>
        <w:rPr>
          <w:rFonts w:ascii="Times New Roman" w:eastAsia="Times New Roman" w:hAnsi="Times New Roman" w:cs="Times New Roman"/>
          <w:b/>
          <w:sz w:val="26"/>
          <w:szCs w:val="26"/>
          <w:lang w:eastAsia="lv-LV"/>
        </w:rPr>
      </w:pPr>
    </w:p>
    <w:p w14:paraId="03DFC02E" w14:textId="77777777" w:rsidR="00185799" w:rsidRPr="000E63AC" w:rsidRDefault="00D81793" w:rsidP="0099414B">
      <w:pPr>
        <w:spacing w:after="0" w:line="240" w:lineRule="auto"/>
        <w:jc w:val="center"/>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lastRenderedPageBreak/>
        <w:t>3. Piedāvāt</w:t>
      </w:r>
      <w:r w:rsidR="0029456E" w:rsidRPr="000E63AC">
        <w:rPr>
          <w:rFonts w:ascii="Times New Roman" w:eastAsia="Times New Roman" w:hAnsi="Times New Roman" w:cs="Times New Roman"/>
          <w:b/>
          <w:sz w:val="26"/>
          <w:szCs w:val="26"/>
          <w:lang w:eastAsia="lv-LV"/>
        </w:rPr>
        <w:t>ais</w:t>
      </w:r>
      <w:r w:rsidRPr="000E63AC">
        <w:rPr>
          <w:rFonts w:ascii="Times New Roman" w:eastAsia="Times New Roman" w:hAnsi="Times New Roman" w:cs="Times New Roman"/>
          <w:b/>
          <w:sz w:val="26"/>
          <w:szCs w:val="26"/>
          <w:lang w:eastAsia="lv-LV"/>
        </w:rPr>
        <w:t xml:space="preserve"> risinājum</w:t>
      </w:r>
      <w:r w:rsidR="0029456E" w:rsidRPr="000E63AC">
        <w:rPr>
          <w:rFonts w:ascii="Times New Roman" w:eastAsia="Times New Roman" w:hAnsi="Times New Roman" w:cs="Times New Roman"/>
          <w:b/>
          <w:sz w:val="26"/>
          <w:szCs w:val="26"/>
          <w:lang w:eastAsia="lv-LV"/>
        </w:rPr>
        <w:t>s</w:t>
      </w:r>
    </w:p>
    <w:p w14:paraId="39DC49CD" w14:textId="77777777" w:rsidR="00457DB3" w:rsidRPr="000E63AC" w:rsidRDefault="00457DB3" w:rsidP="0099414B">
      <w:pPr>
        <w:spacing w:after="0" w:line="240" w:lineRule="auto"/>
        <w:jc w:val="center"/>
        <w:rPr>
          <w:rFonts w:ascii="Times New Roman" w:eastAsia="Times New Roman" w:hAnsi="Times New Roman" w:cs="Times New Roman"/>
          <w:b/>
          <w:sz w:val="26"/>
          <w:szCs w:val="26"/>
          <w:lang w:eastAsia="lv-LV"/>
        </w:rPr>
      </w:pPr>
    </w:p>
    <w:p w14:paraId="530813F0" w14:textId="26811C98" w:rsidR="00C36AA8" w:rsidRPr="000E63AC" w:rsidRDefault="00F41810"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Pētījumi liecina, ka padziļinātās</w:t>
      </w:r>
      <w:r w:rsidR="00C36AA8" w:rsidRPr="000E63AC">
        <w:rPr>
          <w:rFonts w:ascii="Times New Roman" w:hAnsi="Times New Roman" w:cs="Times New Roman"/>
          <w:sz w:val="26"/>
          <w:szCs w:val="26"/>
        </w:rPr>
        <w:t xml:space="preserve"> </w:t>
      </w:r>
      <w:r w:rsidRPr="000E63AC">
        <w:rPr>
          <w:rFonts w:ascii="Times New Roman" w:hAnsi="Times New Roman" w:cs="Times New Roman"/>
          <w:sz w:val="26"/>
          <w:szCs w:val="26"/>
        </w:rPr>
        <w:t>sadarbības</w:t>
      </w:r>
      <w:r w:rsidR="00C36AA8" w:rsidRPr="000E63AC">
        <w:rPr>
          <w:rFonts w:ascii="Times New Roman" w:hAnsi="Times New Roman" w:cs="Times New Roman"/>
          <w:sz w:val="26"/>
          <w:szCs w:val="26"/>
        </w:rPr>
        <w:t xml:space="preserve"> programm</w:t>
      </w:r>
      <w:r w:rsidRPr="000E63AC">
        <w:rPr>
          <w:rFonts w:ascii="Times New Roman" w:hAnsi="Times New Roman" w:cs="Times New Roman"/>
          <w:sz w:val="26"/>
          <w:szCs w:val="26"/>
        </w:rPr>
        <w:t>as</w:t>
      </w:r>
      <w:r w:rsidR="00C36AA8" w:rsidRPr="000E63AC">
        <w:rPr>
          <w:rFonts w:ascii="Times New Roman" w:hAnsi="Times New Roman" w:cs="Times New Roman"/>
          <w:sz w:val="26"/>
          <w:szCs w:val="26"/>
        </w:rPr>
        <w:t xml:space="preserve"> rezultātā ir būtiski uzlabojušās attiecības starp daudzām lielām korporācijām un nodokļu administrāciju</w:t>
      </w:r>
      <w:r w:rsidR="003A6B3B">
        <w:rPr>
          <w:rFonts w:ascii="Times New Roman" w:hAnsi="Times New Roman" w:cs="Times New Roman"/>
          <w:sz w:val="26"/>
          <w:szCs w:val="26"/>
        </w:rPr>
        <w:t>,</w:t>
      </w:r>
      <w:r w:rsidR="00C36AA8" w:rsidRPr="000E63AC">
        <w:rPr>
          <w:rFonts w:ascii="Times New Roman" w:hAnsi="Times New Roman" w:cs="Times New Roman"/>
          <w:sz w:val="26"/>
          <w:szCs w:val="26"/>
        </w:rPr>
        <w:t xml:space="preserve"> un klientu attiecību pārvaldības lomas attīstība ir bijusi </w:t>
      </w:r>
      <w:r w:rsidR="00B5202F" w:rsidRPr="000E63AC">
        <w:rPr>
          <w:rFonts w:ascii="Times New Roman" w:hAnsi="Times New Roman" w:cs="Times New Roman"/>
          <w:sz w:val="26"/>
          <w:szCs w:val="26"/>
        </w:rPr>
        <w:t xml:space="preserve">īpaši pozitīva. </w:t>
      </w:r>
      <w:r w:rsidR="00C36AA8" w:rsidRPr="000E63AC">
        <w:rPr>
          <w:rFonts w:ascii="Times New Roman" w:hAnsi="Times New Roman" w:cs="Times New Roman"/>
          <w:sz w:val="26"/>
          <w:szCs w:val="26"/>
        </w:rPr>
        <w:t>Tādejādi nepieciešams turpināt to attīstīt, lai samazinātu saistību izpildes un administratīvās izmaksas.</w:t>
      </w:r>
      <w:r w:rsidR="00C36AA8" w:rsidRPr="000E63AC">
        <w:rPr>
          <w:rStyle w:val="FootnoteReference"/>
          <w:rFonts w:ascii="Times New Roman" w:hAnsi="Times New Roman" w:cs="Times New Roman"/>
          <w:sz w:val="26"/>
          <w:szCs w:val="26"/>
        </w:rPr>
        <w:footnoteReference w:id="4"/>
      </w:r>
      <w:r w:rsidR="00614C1F" w:rsidRPr="000E63AC">
        <w:rPr>
          <w:rFonts w:ascii="Times New Roman" w:hAnsi="Times New Roman" w:cs="Times New Roman"/>
          <w:sz w:val="26"/>
          <w:szCs w:val="26"/>
        </w:rPr>
        <w:t xml:space="preserve"> </w:t>
      </w:r>
    </w:p>
    <w:p w14:paraId="77F1CF8D" w14:textId="1A001DFA" w:rsidR="00C5131F" w:rsidRPr="000E63AC" w:rsidRDefault="00B5202F"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Ņemot vērā iepriekš veiktos pētījumus, aptaujas rezultātus, analīzi, kā arī </w:t>
      </w:r>
      <w:r w:rsidR="007053F2" w:rsidRPr="000E63AC">
        <w:rPr>
          <w:rFonts w:ascii="Times New Roman" w:hAnsi="Times New Roman" w:cs="Times New Roman"/>
          <w:sz w:val="26"/>
          <w:szCs w:val="26"/>
        </w:rPr>
        <w:t>sociālo un sadarbības partneru</w:t>
      </w:r>
      <w:r w:rsidRPr="000E63AC">
        <w:rPr>
          <w:rFonts w:ascii="Times New Roman" w:hAnsi="Times New Roman" w:cs="Times New Roman"/>
          <w:sz w:val="26"/>
          <w:szCs w:val="26"/>
        </w:rPr>
        <w:t xml:space="preserve"> viedokļus</w:t>
      </w:r>
      <w:r w:rsidR="0029456E" w:rsidRPr="000E63AC">
        <w:rPr>
          <w:rFonts w:ascii="Times New Roman" w:hAnsi="Times New Roman" w:cs="Times New Roman"/>
          <w:sz w:val="26"/>
          <w:szCs w:val="26"/>
        </w:rPr>
        <w:t>,</w:t>
      </w:r>
      <w:r w:rsidRPr="000E63AC">
        <w:rPr>
          <w:rFonts w:ascii="Times New Roman" w:hAnsi="Times New Roman" w:cs="Times New Roman"/>
          <w:sz w:val="26"/>
          <w:szCs w:val="26"/>
        </w:rPr>
        <w:t xml:space="preserve"> p</w:t>
      </w:r>
      <w:r w:rsidR="00185799" w:rsidRPr="000E63AC">
        <w:rPr>
          <w:rFonts w:ascii="Times New Roman" w:hAnsi="Times New Roman" w:cs="Times New Roman"/>
          <w:sz w:val="26"/>
          <w:szCs w:val="26"/>
        </w:rPr>
        <w:t xml:space="preserve">rogrammu paredzēts būtiski </w:t>
      </w:r>
      <w:r w:rsidR="00C36AA8" w:rsidRPr="000E63AC">
        <w:rPr>
          <w:rFonts w:ascii="Times New Roman" w:hAnsi="Times New Roman" w:cs="Times New Roman"/>
          <w:sz w:val="26"/>
          <w:szCs w:val="26"/>
        </w:rPr>
        <w:t xml:space="preserve">pilnveidot un </w:t>
      </w:r>
      <w:r w:rsidR="00185799" w:rsidRPr="000E63AC">
        <w:rPr>
          <w:rFonts w:ascii="Times New Roman" w:hAnsi="Times New Roman" w:cs="Times New Roman"/>
          <w:sz w:val="26"/>
          <w:szCs w:val="26"/>
        </w:rPr>
        <w:t xml:space="preserve">paplašināt, </w:t>
      </w:r>
      <w:r w:rsidR="00F22537" w:rsidRPr="000E63AC">
        <w:rPr>
          <w:rFonts w:ascii="Times New Roman" w:hAnsi="Times New Roman" w:cs="Times New Roman"/>
          <w:sz w:val="26"/>
          <w:szCs w:val="26"/>
        </w:rPr>
        <w:t>iekļaujot</w:t>
      </w:r>
      <w:r w:rsidR="00185799" w:rsidRPr="000E63AC">
        <w:rPr>
          <w:rFonts w:ascii="Times New Roman" w:hAnsi="Times New Roman" w:cs="Times New Roman"/>
          <w:sz w:val="26"/>
          <w:szCs w:val="26"/>
        </w:rPr>
        <w:t xml:space="preserve"> tajā arī mazos un vidējos uzņēm</w:t>
      </w:r>
      <w:r w:rsidR="0029456E" w:rsidRPr="000E63AC">
        <w:rPr>
          <w:rFonts w:ascii="Times New Roman" w:hAnsi="Times New Roman" w:cs="Times New Roman"/>
          <w:sz w:val="26"/>
          <w:szCs w:val="26"/>
        </w:rPr>
        <w:t>umus</w:t>
      </w:r>
      <w:r w:rsidR="0080341A" w:rsidRPr="000E63AC">
        <w:rPr>
          <w:rFonts w:ascii="Times New Roman" w:hAnsi="Times New Roman" w:cs="Times New Roman"/>
          <w:sz w:val="26"/>
          <w:szCs w:val="26"/>
        </w:rPr>
        <w:t>.</w:t>
      </w:r>
    </w:p>
    <w:p w14:paraId="12B44D9C" w14:textId="60434733" w:rsidR="00090213" w:rsidRPr="000E63AC" w:rsidRDefault="00090213" w:rsidP="0099414B">
      <w:pPr>
        <w:spacing w:after="0" w:line="240" w:lineRule="auto"/>
        <w:rPr>
          <w:rFonts w:ascii="Times New Roman" w:hAnsi="Times New Roman" w:cs="Times New Roman"/>
          <w:b/>
          <w:sz w:val="26"/>
          <w:szCs w:val="26"/>
        </w:rPr>
      </w:pPr>
    </w:p>
    <w:p w14:paraId="100F4C5E" w14:textId="391AF693" w:rsidR="00B1538D" w:rsidRPr="000E63AC" w:rsidRDefault="00B1538D" w:rsidP="0099414B">
      <w:pPr>
        <w:spacing w:after="0" w:line="240" w:lineRule="auto"/>
        <w:ind w:firstLine="709"/>
        <w:rPr>
          <w:rFonts w:ascii="Times New Roman" w:hAnsi="Times New Roman" w:cs="Times New Roman"/>
          <w:b/>
          <w:sz w:val="26"/>
          <w:szCs w:val="26"/>
        </w:rPr>
      </w:pPr>
      <w:r w:rsidRPr="000E63AC">
        <w:rPr>
          <w:rFonts w:ascii="Times New Roman" w:hAnsi="Times New Roman" w:cs="Times New Roman"/>
          <w:b/>
          <w:sz w:val="26"/>
          <w:szCs w:val="26"/>
        </w:rPr>
        <w:t>3.1. pasākums</w:t>
      </w:r>
      <w:r w:rsidR="003A6B3B">
        <w:rPr>
          <w:rFonts w:ascii="Times New Roman" w:hAnsi="Times New Roman" w:cs="Times New Roman"/>
          <w:b/>
          <w:sz w:val="26"/>
          <w:szCs w:val="26"/>
        </w:rPr>
        <w:t>.</w:t>
      </w:r>
      <w:r w:rsidRPr="000E63AC">
        <w:rPr>
          <w:rFonts w:ascii="Times New Roman" w:hAnsi="Times New Roman" w:cs="Times New Roman"/>
          <w:b/>
          <w:sz w:val="26"/>
          <w:szCs w:val="26"/>
        </w:rPr>
        <w:t xml:space="preserve"> Padziļinātās sadarbības programmas pilnveidošana</w:t>
      </w:r>
    </w:p>
    <w:p w14:paraId="62F48CCC" w14:textId="77777777" w:rsidR="00D57EB4" w:rsidRPr="000E63AC" w:rsidRDefault="00D57EB4" w:rsidP="0099414B">
      <w:pPr>
        <w:spacing w:after="0" w:line="240" w:lineRule="auto"/>
        <w:ind w:firstLine="709"/>
        <w:rPr>
          <w:rFonts w:ascii="Times New Roman" w:hAnsi="Times New Roman" w:cs="Times New Roman"/>
          <w:b/>
          <w:sz w:val="26"/>
          <w:szCs w:val="26"/>
        </w:rPr>
      </w:pPr>
    </w:p>
    <w:p w14:paraId="7D9D8053" w14:textId="5969906F" w:rsidR="00843C42" w:rsidRPr="000E63AC" w:rsidRDefault="00843C42"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Nepieciešams pilnveidot Pa</w:t>
      </w:r>
      <w:r w:rsidR="00D125BF" w:rsidRPr="000E63AC">
        <w:rPr>
          <w:rFonts w:ascii="Times New Roman" w:hAnsi="Times New Roman" w:cs="Times New Roman"/>
          <w:sz w:val="26"/>
          <w:szCs w:val="26"/>
        </w:rPr>
        <w:t>dziļinātās sadarbības programmu</w:t>
      </w:r>
      <w:r w:rsidR="00550589" w:rsidRPr="000E63AC">
        <w:rPr>
          <w:rFonts w:ascii="Times New Roman" w:hAnsi="Times New Roman" w:cs="Times New Roman"/>
          <w:sz w:val="26"/>
          <w:szCs w:val="26"/>
        </w:rPr>
        <w:t>,</w:t>
      </w:r>
      <w:r w:rsidRPr="000E63AC">
        <w:rPr>
          <w:rFonts w:ascii="Times New Roman" w:hAnsi="Times New Roman" w:cs="Times New Roman"/>
          <w:sz w:val="26"/>
          <w:szCs w:val="26"/>
        </w:rPr>
        <w:t xml:space="preserve"> atbilstoši precizējot Ministru kabineta 2012.gada 26.jūnija noteikum</w:t>
      </w:r>
      <w:r w:rsidR="00550589" w:rsidRPr="000E63AC">
        <w:rPr>
          <w:rFonts w:ascii="Times New Roman" w:hAnsi="Times New Roman" w:cs="Times New Roman"/>
          <w:sz w:val="26"/>
          <w:szCs w:val="26"/>
        </w:rPr>
        <w:t>us</w:t>
      </w:r>
      <w:r w:rsidRPr="000E63AC">
        <w:rPr>
          <w:rFonts w:ascii="Times New Roman" w:hAnsi="Times New Roman" w:cs="Times New Roman"/>
          <w:sz w:val="26"/>
          <w:szCs w:val="26"/>
        </w:rPr>
        <w:t xml:space="preserve"> Nr.459 “Noteikumi par Padziļinātās sadarbības programmas darbību”, ievērojot 3.1.1. un 3.1.2.</w:t>
      </w:r>
      <w:r w:rsidR="00D57EB4" w:rsidRPr="000E63AC">
        <w:rPr>
          <w:rFonts w:ascii="Times New Roman" w:hAnsi="Times New Roman" w:cs="Times New Roman"/>
          <w:sz w:val="26"/>
          <w:szCs w:val="26"/>
        </w:rPr>
        <w:t xml:space="preserve"> pasākumā</w:t>
      </w:r>
      <w:r w:rsidR="00D125BF" w:rsidRPr="000E63AC">
        <w:rPr>
          <w:rFonts w:ascii="Times New Roman" w:hAnsi="Times New Roman" w:cs="Times New Roman"/>
          <w:sz w:val="26"/>
          <w:szCs w:val="26"/>
        </w:rPr>
        <w:t xml:space="preserve"> minēto</w:t>
      </w:r>
      <w:r w:rsidRPr="000E63AC">
        <w:rPr>
          <w:rFonts w:ascii="Times New Roman" w:hAnsi="Times New Roman" w:cs="Times New Roman"/>
          <w:sz w:val="26"/>
          <w:szCs w:val="26"/>
        </w:rPr>
        <w:t>.</w:t>
      </w:r>
    </w:p>
    <w:p w14:paraId="5405559A" w14:textId="77777777" w:rsidR="00843C42" w:rsidRPr="000E63AC" w:rsidRDefault="00843C42" w:rsidP="0099414B">
      <w:pPr>
        <w:spacing w:after="0" w:line="240" w:lineRule="auto"/>
        <w:rPr>
          <w:rFonts w:ascii="Times New Roman" w:hAnsi="Times New Roman" w:cs="Times New Roman"/>
          <w:sz w:val="26"/>
          <w:szCs w:val="26"/>
        </w:rPr>
      </w:pPr>
    </w:p>
    <w:p w14:paraId="2A12170A" w14:textId="533A9F49" w:rsidR="00C5131F" w:rsidRPr="000E63AC" w:rsidRDefault="00B1538D" w:rsidP="0099414B">
      <w:pPr>
        <w:spacing w:after="0" w:line="240" w:lineRule="auto"/>
        <w:ind w:firstLine="709"/>
        <w:rPr>
          <w:rFonts w:ascii="Times New Roman" w:hAnsi="Times New Roman" w:cs="Times New Roman"/>
          <w:b/>
          <w:sz w:val="26"/>
          <w:szCs w:val="26"/>
        </w:rPr>
      </w:pPr>
      <w:r w:rsidRPr="000E63AC">
        <w:rPr>
          <w:rFonts w:ascii="Times New Roman" w:hAnsi="Times New Roman" w:cs="Times New Roman"/>
          <w:b/>
          <w:sz w:val="26"/>
          <w:szCs w:val="26"/>
        </w:rPr>
        <w:t xml:space="preserve">3.1.1. </w:t>
      </w:r>
      <w:r w:rsidR="008C4C73" w:rsidRPr="000E63AC">
        <w:rPr>
          <w:rFonts w:ascii="Times New Roman" w:hAnsi="Times New Roman" w:cs="Times New Roman"/>
          <w:b/>
          <w:sz w:val="26"/>
          <w:szCs w:val="26"/>
        </w:rPr>
        <w:t>pasākums</w:t>
      </w:r>
      <w:r w:rsidR="003A6B3B">
        <w:rPr>
          <w:rFonts w:ascii="Times New Roman" w:hAnsi="Times New Roman" w:cs="Times New Roman"/>
          <w:b/>
          <w:sz w:val="26"/>
          <w:szCs w:val="26"/>
        </w:rPr>
        <w:t>.</w:t>
      </w:r>
      <w:r w:rsidR="008C4C73" w:rsidRPr="000E63AC">
        <w:rPr>
          <w:rFonts w:ascii="Times New Roman" w:hAnsi="Times New Roman" w:cs="Times New Roman"/>
          <w:b/>
          <w:sz w:val="26"/>
          <w:szCs w:val="26"/>
        </w:rPr>
        <w:t xml:space="preserve"> Segmentēšana</w:t>
      </w:r>
    </w:p>
    <w:p w14:paraId="5ED58DAB" w14:textId="77777777" w:rsidR="00D57EB4" w:rsidRPr="000E63AC" w:rsidRDefault="00D57EB4" w:rsidP="0099414B">
      <w:pPr>
        <w:spacing w:after="0" w:line="240" w:lineRule="auto"/>
        <w:ind w:firstLine="709"/>
        <w:rPr>
          <w:rFonts w:ascii="Times New Roman" w:hAnsi="Times New Roman" w:cs="Times New Roman"/>
          <w:b/>
          <w:sz w:val="26"/>
          <w:szCs w:val="26"/>
        </w:rPr>
      </w:pPr>
    </w:p>
    <w:p w14:paraId="130AAB69" w14:textId="2CC0E40C" w:rsidR="00185799" w:rsidRPr="000E63AC" w:rsidRDefault="00185799"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Programmas dalībniekus paredzēts </w:t>
      </w:r>
      <w:r w:rsidR="007B5443" w:rsidRPr="000E63AC">
        <w:rPr>
          <w:rFonts w:ascii="Times New Roman" w:hAnsi="Times New Roman" w:cs="Times New Roman"/>
          <w:sz w:val="26"/>
          <w:szCs w:val="26"/>
        </w:rPr>
        <w:t>segmentēt</w:t>
      </w:r>
      <w:r w:rsidRPr="000E63AC">
        <w:rPr>
          <w:rFonts w:ascii="Times New Roman" w:hAnsi="Times New Roman" w:cs="Times New Roman"/>
          <w:sz w:val="26"/>
          <w:szCs w:val="26"/>
        </w:rPr>
        <w:t xml:space="preserve"> </w:t>
      </w:r>
      <w:r w:rsidR="005F6A42" w:rsidRPr="000E63AC">
        <w:rPr>
          <w:rFonts w:ascii="Times New Roman" w:hAnsi="Times New Roman" w:cs="Times New Roman"/>
          <w:sz w:val="26"/>
          <w:szCs w:val="26"/>
        </w:rPr>
        <w:t xml:space="preserve">trijos </w:t>
      </w:r>
      <w:r w:rsidR="008C4C73" w:rsidRPr="000E63AC">
        <w:rPr>
          <w:rFonts w:ascii="Times New Roman" w:hAnsi="Times New Roman" w:cs="Times New Roman"/>
          <w:sz w:val="26"/>
          <w:szCs w:val="26"/>
        </w:rPr>
        <w:t>līmeņos</w:t>
      </w:r>
      <w:r w:rsidR="00077518" w:rsidRPr="000E63AC">
        <w:rPr>
          <w:rFonts w:ascii="Times New Roman" w:hAnsi="Times New Roman" w:cs="Times New Roman"/>
          <w:sz w:val="26"/>
          <w:szCs w:val="26"/>
        </w:rPr>
        <w:t xml:space="preserve">, </w:t>
      </w:r>
      <w:r w:rsidR="00B1538D" w:rsidRPr="000E63AC">
        <w:rPr>
          <w:rFonts w:ascii="Times New Roman" w:hAnsi="Times New Roman" w:cs="Times New Roman"/>
          <w:sz w:val="26"/>
          <w:szCs w:val="26"/>
        </w:rPr>
        <w:t xml:space="preserve">piedāvājot priekšrocības pēc noteiktiem principiem un </w:t>
      </w:r>
      <w:r w:rsidR="00F22537" w:rsidRPr="000E63AC">
        <w:rPr>
          <w:rFonts w:ascii="Times New Roman" w:hAnsi="Times New Roman" w:cs="Times New Roman"/>
          <w:sz w:val="26"/>
          <w:szCs w:val="26"/>
        </w:rPr>
        <w:t>v</w:t>
      </w:r>
      <w:r w:rsidR="004671A1" w:rsidRPr="000E63AC">
        <w:rPr>
          <w:rFonts w:ascii="Times New Roman" w:hAnsi="Times New Roman" w:cs="Times New Roman"/>
          <w:sz w:val="26"/>
          <w:szCs w:val="26"/>
        </w:rPr>
        <w:t>ienlaikus nodrošinot vienkāršotāku</w:t>
      </w:r>
      <w:r w:rsidR="00F22537" w:rsidRPr="000E63AC">
        <w:rPr>
          <w:rFonts w:ascii="Times New Roman" w:hAnsi="Times New Roman" w:cs="Times New Roman"/>
          <w:sz w:val="26"/>
          <w:szCs w:val="26"/>
        </w:rPr>
        <w:t xml:space="preserve"> administrēšanas un uzraudzības procesu.</w:t>
      </w:r>
    </w:p>
    <w:p w14:paraId="14CE3C55" w14:textId="77777777" w:rsidR="00167C8B" w:rsidRPr="000E63AC" w:rsidRDefault="00167C8B" w:rsidP="0099414B">
      <w:pPr>
        <w:spacing w:after="0" w:line="240" w:lineRule="auto"/>
        <w:ind w:firstLine="709"/>
        <w:jc w:val="both"/>
        <w:rPr>
          <w:rFonts w:ascii="Times New Roman" w:hAnsi="Times New Roman" w:cs="Times New Roman"/>
          <w:sz w:val="26"/>
          <w:szCs w:val="26"/>
        </w:rPr>
      </w:pPr>
    </w:p>
    <w:tbl>
      <w:tblPr>
        <w:tblStyle w:val="TableGrid"/>
        <w:tblW w:w="5000" w:type="pct"/>
        <w:jc w:val="center"/>
        <w:tblLook w:val="04A0" w:firstRow="1" w:lastRow="0" w:firstColumn="1" w:lastColumn="0" w:noHBand="0" w:noVBand="1"/>
      </w:tblPr>
      <w:tblGrid>
        <w:gridCol w:w="1450"/>
        <w:gridCol w:w="2537"/>
        <w:gridCol w:w="2537"/>
        <w:gridCol w:w="2537"/>
      </w:tblGrid>
      <w:tr w:rsidR="00030359" w:rsidRPr="000E63AC" w14:paraId="18D8AD99" w14:textId="77777777" w:rsidTr="00030359">
        <w:trPr>
          <w:jc w:val="center"/>
        </w:trPr>
        <w:tc>
          <w:tcPr>
            <w:tcW w:w="800" w:type="pct"/>
          </w:tcPr>
          <w:p w14:paraId="60E0B9A3" w14:textId="77777777" w:rsidR="00030359" w:rsidRPr="000E63AC" w:rsidRDefault="00030359" w:rsidP="0099414B">
            <w:pPr>
              <w:spacing w:after="0"/>
              <w:jc w:val="center"/>
              <w:rPr>
                <w:rFonts w:ascii="Times New Roman" w:hAnsi="Times New Roman" w:cs="Times New Roman"/>
                <w:b/>
                <w:sz w:val="24"/>
              </w:rPr>
            </w:pPr>
            <w:r w:rsidRPr="000E63AC">
              <w:rPr>
                <w:rFonts w:ascii="Times New Roman" w:hAnsi="Times New Roman" w:cs="Times New Roman"/>
                <w:b/>
                <w:sz w:val="24"/>
              </w:rPr>
              <w:t>Līmenis</w:t>
            </w:r>
          </w:p>
        </w:tc>
        <w:tc>
          <w:tcPr>
            <w:tcW w:w="1400" w:type="pct"/>
          </w:tcPr>
          <w:p w14:paraId="384A0260" w14:textId="3F65AB6B" w:rsidR="00030359" w:rsidRPr="000E63AC" w:rsidRDefault="00030359" w:rsidP="0099414B">
            <w:pPr>
              <w:spacing w:after="0"/>
              <w:jc w:val="center"/>
              <w:rPr>
                <w:rFonts w:ascii="Times New Roman" w:hAnsi="Times New Roman" w:cs="Times New Roman"/>
                <w:b/>
                <w:sz w:val="24"/>
              </w:rPr>
            </w:pPr>
            <w:r w:rsidRPr="000E63AC">
              <w:rPr>
                <w:rFonts w:ascii="Times New Roman" w:hAnsi="Times New Roman" w:cs="Times New Roman"/>
                <w:b/>
                <w:sz w:val="24"/>
              </w:rPr>
              <w:t>Mērķa grupa</w:t>
            </w:r>
          </w:p>
        </w:tc>
        <w:tc>
          <w:tcPr>
            <w:tcW w:w="1400" w:type="pct"/>
          </w:tcPr>
          <w:p w14:paraId="4E31566D" w14:textId="60E81342" w:rsidR="00030359" w:rsidRPr="000E63AC" w:rsidRDefault="006647FD" w:rsidP="0099414B">
            <w:pPr>
              <w:spacing w:after="0"/>
              <w:jc w:val="center"/>
              <w:rPr>
                <w:rFonts w:ascii="Times New Roman" w:hAnsi="Times New Roman" w:cs="Times New Roman"/>
                <w:b/>
                <w:sz w:val="24"/>
              </w:rPr>
            </w:pPr>
            <w:r w:rsidRPr="000E63AC">
              <w:rPr>
                <w:rFonts w:ascii="Times New Roman" w:hAnsi="Times New Roman" w:cs="Times New Roman"/>
                <w:b/>
                <w:sz w:val="24"/>
              </w:rPr>
              <w:t>Mērķi un kritēriji</w:t>
            </w:r>
            <w:r w:rsidR="00030359" w:rsidRPr="000E63AC">
              <w:rPr>
                <w:rFonts w:ascii="Times New Roman" w:hAnsi="Times New Roman" w:cs="Times New Roman"/>
                <w:b/>
                <w:sz w:val="24"/>
              </w:rPr>
              <w:t xml:space="preserve"> </w:t>
            </w:r>
          </w:p>
        </w:tc>
        <w:tc>
          <w:tcPr>
            <w:tcW w:w="1400" w:type="pct"/>
          </w:tcPr>
          <w:p w14:paraId="0309D5A8" w14:textId="07DD9EF1" w:rsidR="00030359" w:rsidRPr="000E63AC" w:rsidRDefault="00030359" w:rsidP="0099414B">
            <w:pPr>
              <w:spacing w:after="0"/>
              <w:jc w:val="center"/>
              <w:rPr>
                <w:rFonts w:ascii="Times New Roman" w:hAnsi="Times New Roman" w:cs="Times New Roman"/>
                <w:b/>
                <w:sz w:val="24"/>
              </w:rPr>
            </w:pPr>
            <w:r w:rsidRPr="000E63AC">
              <w:rPr>
                <w:rFonts w:ascii="Times New Roman" w:hAnsi="Times New Roman" w:cs="Times New Roman"/>
                <w:b/>
                <w:sz w:val="24"/>
              </w:rPr>
              <w:t>Priekšrocības</w:t>
            </w:r>
          </w:p>
        </w:tc>
      </w:tr>
      <w:tr w:rsidR="00030359" w:rsidRPr="000E63AC" w14:paraId="2590E792" w14:textId="77777777" w:rsidTr="00030359">
        <w:trPr>
          <w:jc w:val="center"/>
        </w:trPr>
        <w:tc>
          <w:tcPr>
            <w:tcW w:w="800" w:type="pct"/>
          </w:tcPr>
          <w:p w14:paraId="4B887650" w14:textId="072EE9BE" w:rsidR="00030359" w:rsidRPr="000E63AC" w:rsidRDefault="00596FE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1.līmenis – Bronza</w:t>
            </w:r>
          </w:p>
        </w:tc>
        <w:tc>
          <w:tcPr>
            <w:tcW w:w="1400" w:type="pct"/>
          </w:tcPr>
          <w:p w14:paraId="4F4162C8" w14:textId="77777777"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Ap 2000 nodokļu maksātāju</w:t>
            </w:r>
          </w:p>
          <w:p w14:paraId="52373FE7" w14:textId="77777777" w:rsidR="00030359" w:rsidRPr="000E63AC" w:rsidRDefault="00030359" w:rsidP="0099414B">
            <w:pPr>
              <w:spacing w:after="0" w:line="240" w:lineRule="auto"/>
              <w:ind w:firstLine="709"/>
              <w:jc w:val="both"/>
              <w:rPr>
                <w:rFonts w:ascii="Times New Roman" w:hAnsi="Times New Roman" w:cs="Times New Roman"/>
                <w:sz w:val="24"/>
                <w:szCs w:val="24"/>
              </w:rPr>
            </w:pPr>
          </w:p>
        </w:tc>
        <w:tc>
          <w:tcPr>
            <w:tcW w:w="1400" w:type="pct"/>
          </w:tcPr>
          <w:p w14:paraId="1B806B99" w14:textId="41A421F7" w:rsidR="00030359" w:rsidRPr="000E63AC" w:rsidRDefault="00030359" w:rsidP="0099414B">
            <w:pPr>
              <w:spacing w:after="0" w:line="240" w:lineRule="auto"/>
              <w:jc w:val="both"/>
              <w:rPr>
                <w:rFonts w:ascii="Times New Roman" w:hAnsi="Times New Roman" w:cs="Times New Roman"/>
                <w:b/>
                <w:sz w:val="24"/>
                <w:szCs w:val="24"/>
              </w:rPr>
            </w:pPr>
            <w:r w:rsidRPr="000E63AC">
              <w:rPr>
                <w:rFonts w:ascii="Times New Roman" w:hAnsi="Times New Roman" w:cs="Times New Roman"/>
                <w:b/>
                <w:sz w:val="24"/>
                <w:szCs w:val="24"/>
              </w:rPr>
              <w:t>Godprātīga nodokļu samaksa</w:t>
            </w:r>
          </w:p>
          <w:p w14:paraId="3976EE52" w14:textId="245179BC"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 xml:space="preserve">Uzņēmums sevi pierādījis, ka godīga nodokļu nomaksa, atbildīga uzņēmējdarbība un priekšzīmīga sadarbības ar valsts iestādēm ir būtiska uzņēmējdarbības prioritāte. </w:t>
            </w:r>
          </w:p>
          <w:p w14:paraId="64B7F7B0" w14:textId="2A48E657" w:rsidR="006647FD" w:rsidRPr="000E63AC" w:rsidRDefault="006647FD"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Atrašanās termiņš programmas līmenī, lai sasniegtu nākamo Sudraba līmeni ir viens gads.</w:t>
            </w:r>
          </w:p>
          <w:p w14:paraId="45E927FB" w14:textId="1219B023" w:rsidR="00030359" w:rsidRPr="000E63AC" w:rsidRDefault="00030359" w:rsidP="0099414B">
            <w:pPr>
              <w:spacing w:after="0" w:line="240" w:lineRule="auto"/>
              <w:rPr>
                <w:rFonts w:ascii="Times New Roman" w:hAnsi="Times New Roman" w:cs="Times New Roman"/>
                <w:sz w:val="24"/>
                <w:szCs w:val="24"/>
              </w:rPr>
            </w:pPr>
            <w:r w:rsidRPr="000E63AC">
              <w:rPr>
                <w:rFonts w:ascii="Times New Roman" w:hAnsi="Times New Roman" w:cs="Times New Roman"/>
                <w:sz w:val="24"/>
                <w:szCs w:val="24"/>
              </w:rPr>
              <w:t>Detalizētus kritērijus skatīt pielikuma 1.punktā.</w:t>
            </w:r>
          </w:p>
        </w:tc>
        <w:tc>
          <w:tcPr>
            <w:tcW w:w="1400" w:type="pct"/>
          </w:tcPr>
          <w:p w14:paraId="28448D3D" w14:textId="49701317" w:rsidR="00030359" w:rsidRPr="000E63AC" w:rsidRDefault="00030359" w:rsidP="0099414B">
            <w:pPr>
              <w:spacing w:after="0" w:line="240" w:lineRule="auto"/>
              <w:rPr>
                <w:rFonts w:ascii="Times New Roman" w:hAnsi="Times New Roman" w:cs="Times New Roman"/>
                <w:b/>
                <w:sz w:val="24"/>
                <w:szCs w:val="24"/>
              </w:rPr>
            </w:pPr>
            <w:r w:rsidRPr="000E63AC">
              <w:rPr>
                <w:rFonts w:ascii="Times New Roman" w:hAnsi="Times New Roman" w:cs="Times New Roman"/>
                <w:b/>
                <w:sz w:val="24"/>
                <w:szCs w:val="24"/>
              </w:rPr>
              <w:t>Vispārēja nominācija</w:t>
            </w:r>
          </w:p>
          <w:p w14:paraId="238DF05B" w14:textId="01CD659B"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Uzņēmums saņem atpazīstamības zīmi, kas apliecina, ka uzņēmējs ir ieguvis programmas dalībnieka statusu (turpmāk – atpazīstamības zīme) un uzņēmuma vērtības ir balstītas uz godprātīgu nodokļu nomaksu, tādejādi p</w:t>
            </w:r>
            <w:r w:rsidR="00596FE9" w:rsidRPr="000E63AC">
              <w:rPr>
                <w:rFonts w:ascii="Times New Roman" w:hAnsi="Times New Roman" w:cs="Times New Roman"/>
                <w:sz w:val="24"/>
                <w:szCs w:val="24"/>
              </w:rPr>
              <w:t>aaugstinot uzņēmuma reputāciju.</w:t>
            </w:r>
          </w:p>
          <w:p w14:paraId="4D2FA996" w14:textId="32107D28" w:rsidR="00030359" w:rsidRPr="000E63AC" w:rsidRDefault="00030359" w:rsidP="00F41810">
            <w:pPr>
              <w:spacing w:after="0" w:line="240" w:lineRule="auto"/>
              <w:jc w:val="both"/>
              <w:rPr>
                <w:rFonts w:ascii="Times New Roman" w:hAnsi="Times New Roman" w:cs="Times New Roman"/>
                <w:b/>
                <w:sz w:val="24"/>
                <w:szCs w:val="24"/>
              </w:rPr>
            </w:pPr>
            <w:r w:rsidRPr="000E63AC">
              <w:rPr>
                <w:rFonts w:ascii="Times New Roman" w:hAnsi="Times New Roman" w:cs="Times New Roman"/>
                <w:sz w:val="24"/>
                <w:szCs w:val="24"/>
              </w:rPr>
              <w:t xml:space="preserve">Valsts ieņēmumu </w:t>
            </w:r>
            <w:r w:rsidR="00F41810" w:rsidRPr="000E63AC">
              <w:rPr>
                <w:rFonts w:ascii="Times New Roman" w:hAnsi="Times New Roman" w:cs="Times New Roman"/>
                <w:sz w:val="24"/>
                <w:szCs w:val="24"/>
              </w:rPr>
              <w:t xml:space="preserve">dienesta </w:t>
            </w:r>
            <w:r w:rsidRPr="000E63AC">
              <w:rPr>
                <w:rFonts w:ascii="Times New Roman" w:hAnsi="Times New Roman" w:cs="Times New Roman"/>
                <w:sz w:val="24"/>
                <w:szCs w:val="24"/>
              </w:rPr>
              <w:t>sniegtos pakalpojumus skatīt pielikuma 1.punktā.</w:t>
            </w:r>
          </w:p>
        </w:tc>
      </w:tr>
      <w:tr w:rsidR="00030359" w:rsidRPr="000E63AC" w14:paraId="2710AC8C" w14:textId="77777777" w:rsidTr="0099414B">
        <w:trPr>
          <w:jc w:val="center"/>
        </w:trPr>
        <w:tc>
          <w:tcPr>
            <w:tcW w:w="800" w:type="pct"/>
            <w:shd w:val="clear" w:color="auto" w:fill="auto"/>
          </w:tcPr>
          <w:p w14:paraId="43109BFD" w14:textId="29A00E58" w:rsidR="00030359" w:rsidRPr="000E63AC" w:rsidRDefault="00596FE9" w:rsidP="0099414B">
            <w:pPr>
              <w:spacing w:after="0" w:line="240" w:lineRule="auto"/>
              <w:rPr>
                <w:rFonts w:ascii="Times New Roman" w:hAnsi="Times New Roman" w:cs="Times New Roman"/>
                <w:sz w:val="24"/>
                <w:szCs w:val="24"/>
              </w:rPr>
            </w:pPr>
            <w:r w:rsidRPr="000E63AC">
              <w:rPr>
                <w:rFonts w:ascii="Times New Roman" w:hAnsi="Times New Roman" w:cs="Times New Roman"/>
                <w:sz w:val="24"/>
                <w:szCs w:val="24"/>
              </w:rPr>
              <w:lastRenderedPageBreak/>
              <w:t xml:space="preserve">2.līmenis - </w:t>
            </w:r>
            <w:r w:rsidR="00030359" w:rsidRPr="000E63AC">
              <w:rPr>
                <w:rFonts w:ascii="Times New Roman" w:hAnsi="Times New Roman" w:cs="Times New Roman"/>
                <w:sz w:val="24"/>
                <w:szCs w:val="24"/>
              </w:rPr>
              <w:t>Sudraba</w:t>
            </w:r>
          </w:p>
        </w:tc>
        <w:tc>
          <w:tcPr>
            <w:tcW w:w="1400" w:type="pct"/>
            <w:shd w:val="clear" w:color="auto" w:fill="auto"/>
          </w:tcPr>
          <w:p w14:paraId="5F8DEF4B" w14:textId="50CD0201"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Ap 200 nodokļu maksātāju</w:t>
            </w:r>
          </w:p>
        </w:tc>
        <w:tc>
          <w:tcPr>
            <w:tcW w:w="1400" w:type="pct"/>
            <w:shd w:val="clear" w:color="auto" w:fill="auto"/>
          </w:tcPr>
          <w:p w14:paraId="3AA0E841" w14:textId="4B947E51" w:rsidR="00030359" w:rsidRPr="000E63AC" w:rsidRDefault="00030359" w:rsidP="0099414B">
            <w:pPr>
              <w:spacing w:after="0" w:line="240" w:lineRule="auto"/>
              <w:jc w:val="both"/>
              <w:rPr>
                <w:rFonts w:ascii="Times New Roman" w:hAnsi="Times New Roman" w:cs="Times New Roman"/>
                <w:b/>
                <w:sz w:val="24"/>
                <w:szCs w:val="24"/>
              </w:rPr>
            </w:pPr>
            <w:r w:rsidRPr="000E63AC">
              <w:rPr>
                <w:rFonts w:ascii="Times New Roman" w:hAnsi="Times New Roman" w:cs="Times New Roman"/>
                <w:b/>
                <w:sz w:val="24"/>
                <w:szCs w:val="24"/>
              </w:rPr>
              <w:t>Laba darbība</w:t>
            </w:r>
          </w:p>
          <w:p w14:paraId="41AB530A" w14:textId="10E48A64"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Uzņēmums mērķtiecīgi darbojas, lai īstenotu efektīvus iekšējos procesus, ar kuriem identificētu, vadītu un novērstu darījumu, darbības, atbilstības un grāmatvedības uzskaites riskus.</w:t>
            </w:r>
          </w:p>
          <w:p w14:paraId="2A9DCEF5" w14:textId="0CAD4D76" w:rsidR="006647FD" w:rsidRPr="000E63AC" w:rsidRDefault="006647FD"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Atrašanās termiņš programmas līmenī, lai sasniegtu nākamo Zelta līmeni ir divi gadi.</w:t>
            </w:r>
          </w:p>
          <w:p w14:paraId="163B70A2" w14:textId="7A5C0908"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Detalizētus kritērijus skatīt pielikuma 2.punktā.</w:t>
            </w:r>
          </w:p>
        </w:tc>
        <w:tc>
          <w:tcPr>
            <w:tcW w:w="1400" w:type="pct"/>
            <w:shd w:val="clear" w:color="auto" w:fill="auto"/>
          </w:tcPr>
          <w:p w14:paraId="01E46B5E" w14:textId="6D510DB9"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b/>
                <w:sz w:val="24"/>
                <w:szCs w:val="24"/>
              </w:rPr>
              <w:t>Īpaši pakalpojumi</w:t>
            </w:r>
            <w:r w:rsidRPr="000E63AC">
              <w:rPr>
                <w:rFonts w:ascii="Times New Roman" w:hAnsi="Times New Roman" w:cs="Times New Roman"/>
                <w:sz w:val="24"/>
                <w:szCs w:val="24"/>
              </w:rPr>
              <w:t xml:space="preserve"> </w:t>
            </w:r>
          </w:p>
          <w:p w14:paraId="3C3E1C24" w14:textId="696D496C"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 xml:space="preserve">Uzņēmums saņem atpazīstamības zīmi, kā arī vairākas </w:t>
            </w:r>
            <w:r w:rsidR="00545EA7">
              <w:rPr>
                <w:rFonts w:ascii="Times New Roman" w:hAnsi="Times New Roman" w:cs="Times New Roman"/>
                <w:sz w:val="24"/>
                <w:szCs w:val="24"/>
              </w:rPr>
              <w:t>pakalpojumu</w:t>
            </w:r>
            <w:r w:rsidR="00596FE9" w:rsidRPr="000E63AC">
              <w:rPr>
                <w:rFonts w:ascii="Times New Roman" w:hAnsi="Times New Roman" w:cs="Times New Roman"/>
                <w:sz w:val="24"/>
                <w:szCs w:val="24"/>
              </w:rPr>
              <w:t xml:space="preserve"> un finansiālās prioritātes.</w:t>
            </w:r>
          </w:p>
          <w:p w14:paraId="6F3D0B7B" w14:textId="47423954" w:rsidR="00030359" w:rsidRPr="000E63AC" w:rsidRDefault="00030359" w:rsidP="0099414B">
            <w:pPr>
              <w:spacing w:after="0" w:line="240" w:lineRule="auto"/>
              <w:jc w:val="both"/>
              <w:rPr>
                <w:rFonts w:ascii="Times New Roman" w:hAnsi="Times New Roman" w:cs="Times New Roman"/>
                <w:b/>
                <w:sz w:val="24"/>
                <w:szCs w:val="24"/>
              </w:rPr>
            </w:pPr>
            <w:r w:rsidRPr="000E63AC">
              <w:rPr>
                <w:rFonts w:ascii="Times New Roman" w:hAnsi="Times New Roman" w:cs="Times New Roman"/>
                <w:sz w:val="24"/>
                <w:szCs w:val="24"/>
              </w:rPr>
              <w:t>Valsts ieņēmumu dienesta sniegtos pakalpojumus skatīt pielikuma 2.punktā.</w:t>
            </w:r>
          </w:p>
        </w:tc>
      </w:tr>
      <w:tr w:rsidR="00030359" w:rsidRPr="000E63AC" w14:paraId="5B20F714" w14:textId="77777777" w:rsidTr="0099414B">
        <w:trPr>
          <w:jc w:val="center"/>
        </w:trPr>
        <w:tc>
          <w:tcPr>
            <w:tcW w:w="800" w:type="pct"/>
            <w:shd w:val="clear" w:color="auto" w:fill="auto"/>
          </w:tcPr>
          <w:p w14:paraId="45B8471C" w14:textId="5CDAEBCA" w:rsidR="00030359" w:rsidRPr="000E63AC" w:rsidRDefault="00596FE9" w:rsidP="0099414B">
            <w:pPr>
              <w:spacing w:after="0" w:line="240" w:lineRule="auto"/>
              <w:rPr>
                <w:rFonts w:ascii="Times New Roman" w:hAnsi="Times New Roman" w:cs="Times New Roman"/>
                <w:sz w:val="24"/>
                <w:szCs w:val="24"/>
              </w:rPr>
            </w:pPr>
            <w:r w:rsidRPr="000E63AC">
              <w:rPr>
                <w:rFonts w:ascii="Times New Roman" w:hAnsi="Times New Roman" w:cs="Times New Roman"/>
                <w:sz w:val="24"/>
                <w:szCs w:val="24"/>
              </w:rPr>
              <w:t xml:space="preserve">3.līmenis - </w:t>
            </w:r>
            <w:r w:rsidR="00030359" w:rsidRPr="000E63AC">
              <w:rPr>
                <w:rFonts w:ascii="Times New Roman" w:hAnsi="Times New Roman" w:cs="Times New Roman"/>
                <w:sz w:val="24"/>
                <w:szCs w:val="24"/>
              </w:rPr>
              <w:t>Zelta</w:t>
            </w:r>
          </w:p>
        </w:tc>
        <w:tc>
          <w:tcPr>
            <w:tcW w:w="1400" w:type="pct"/>
            <w:shd w:val="clear" w:color="auto" w:fill="auto"/>
          </w:tcPr>
          <w:p w14:paraId="28D02C23" w14:textId="3FB35193" w:rsidR="00030359" w:rsidRPr="000E63AC" w:rsidRDefault="00030359" w:rsidP="006C1A52">
            <w:pPr>
              <w:spacing w:after="0" w:line="240" w:lineRule="auto"/>
              <w:jc w:val="both"/>
              <w:rPr>
                <w:rFonts w:ascii="Times New Roman" w:hAnsi="Times New Roman" w:cs="Times New Roman"/>
                <w:sz w:val="24"/>
                <w:szCs w:val="24"/>
              </w:rPr>
            </w:pPr>
            <w:r w:rsidRPr="000E63AC" w:rsidDel="008C4C73">
              <w:rPr>
                <w:rFonts w:ascii="Times New Roman" w:hAnsi="Times New Roman" w:cs="Times New Roman"/>
                <w:sz w:val="24"/>
                <w:szCs w:val="24"/>
              </w:rPr>
              <w:t>Paredzēts iekļaut jau esošos Padziļinātās sadarbības programmas dalībniekus (7</w:t>
            </w:r>
            <w:r w:rsidR="006C1A52" w:rsidRPr="000E63AC">
              <w:rPr>
                <w:rFonts w:ascii="Times New Roman" w:hAnsi="Times New Roman" w:cs="Times New Roman"/>
                <w:sz w:val="24"/>
                <w:szCs w:val="24"/>
              </w:rPr>
              <w:t>5</w:t>
            </w:r>
            <w:r w:rsidRPr="000E63AC" w:rsidDel="008C4C73">
              <w:rPr>
                <w:rFonts w:ascii="Times New Roman" w:hAnsi="Times New Roman" w:cs="Times New Roman"/>
                <w:sz w:val="24"/>
                <w:szCs w:val="24"/>
              </w:rPr>
              <w:t>), saglabājot līdz šim piedāvāto pakalpojumu apjomu.</w:t>
            </w:r>
          </w:p>
        </w:tc>
        <w:tc>
          <w:tcPr>
            <w:tcW w:w="1400" w:type="pct"/>
            <w:shd w:val="clear" w:color="auto" w:fill="auto"/>
          </w:tcPr>
          <w:p w14:paraId="30E06653" w14:textId="4CD4F01C" w:rsidR="00030359" w:rsidRPr="000E63AC" w:rsidRDefault="00030359" w:rsidP="0099414B">
            <w:pPr>
              <w:spacing w:after="0" w:line="240" w:lineRule="auto"/>
              <w:jc w:val="both"/>
              <w:rPr>
                <w:rFonts w:ascii="Times New Roman" w:hAnsi="Times New Roman" w:cs="Times New Roman"/>
                <w:b/>
                <w:sz w:val="24"/>
                <w:szCs w:val="24"/>
              </w:rPr>
            </w:pPr>
            <w:r w:rsidRPr="000E63AC">
              <w:rPr>
                <w:rFonts w:ascii="Times New Roman" w:hAnsi="Times New Roman" w:cs="Times New Roman"/>
                <w:b/>
                <w:sz w:val="24"/>
                <w:szCs w:val="24"/>
              </w:rPr>
              <w:t>Teicama darbība</w:t>
            </w:r>
          </w:p>
          <w:p w14:paraId="466587C6" w14:textId="5E402499"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Uzņēmums demonstrē atklātību un caurskatāmību visos būtiskākajos ilgtspējas aspektos. Uzņēmums tiecas paplašināt un pielāgot savus risku vadības procesus, iekļaujot tajos būtiskākos korporatīvās atbildības aspektus. Šo uzņēmumu korporatīvās atbildības stratēģija ietver skaidrus un izmērāmus mērķus un sasniedzamos rezultātus.</w:t>
            </w:r>
          </w:p>
          <w:p w14:paraId="5E2F8575" w14:textId="293F793D" w:rsidR="00030359" w:rsidRPr="000E63AC" w:rsidRDefault="00030359" w:rsidP="0099414B">
            <w:pPr>
              <w:spacing w:after="0" w:line="240" w:lineRule="auto"/>
              <w:jc w:val="both"/>
              <w:rPr>
                <w:rFonts w:ascii="Times New Roman" w:hAnsi="Times New Roman" w:cs="Times New Roman"/>
                <w:b/>
                <w:sz w:val="24"/>
                <w:szCs w:val="24"/>
              </w:rPr>
            </w:pPr>
            <w:r w:rsidRPr="000E63AC">
              <w:rPr>
                <w:rFonts w:ascii="Times New Roman" w:hAnsi="Times New Roman" w:cs="Times New Roman"/>
                <w:sz w:val="24"/>
                <w:szCs w:val="24"/>
              </w:rPr>
              <w:t>Detalizētus kritērijus skatīt pielikuma 3.punktā.</w:t>
            </w:r>
          </w:p>
        </w:tc>
        <w:tc>
          <w:tcPr>
            <w:tcW w:w="1400" w:type="pct"/>
            <w:shd w:val="clear" w:color="auto" w:fill="auto"/>
          </w:tcPr>
          <w:p w14:paraId="677E4CA9" w14:textId="3A0AA9DE"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b/>
                <w:sz w:val="24"/>
                <w:szCs w:val="24"/>
              </w:rPr>
              <w:t>Samazinātas prasības</w:t>
            </w:r>
          </w:p>
          <w:p w14:paraId="2ACB1B2A" w14:textId="5648F819" w:rsidR="00030359" w:rsidRPr="000E63AC" w:rsidRDefault="00030359" w:rsidP="0099414B">
            <w:pPr>
              <w:spacing w:after="0" w:line="240" w:lineRule="auto"/>
              <w:jc w:val="both"/>
              <w:rPr>
                <w:rFonts w:ascii="Times New Roman" w:hAnsi="Times New Roman" w:cs="Times New Roman"/>
                <w:sz w:val="24"/>
                <w:szCs w:val="24"/>
              </w:rPr>
            </w:pPr>
            <w:r w:rsidRPr="000E63AC">
              <w:rPr>
                <w:rFonts w:ascii="Times New Roman" w:hAnsi="Times New Roman" w:cs="Times New Roman"/>
                <w:sz w:val="24"/>
                <w:szCs w:val="24"/>
              </w:rPr>
              <w:t xml:space="preserve">Uzņēmums saņem atpazīstamības zīmi, kā arī vairākas </w:t>
            </w:r>
            <w:r w:rsidR="00545EA7">
              <w:rPr>
                <w:rFonts w:ascii="Times New Roman" w:hAnsi="Times New Roman" w:cs="Times New Roman"/>
                <w:sz w:val="24"/>
                <w:szCs w:val="24"/>
              </w:rPr>
              <w:t>pakalpojumu</w:t>
            </w:r>
            <w:r w:rsidRPr="000E63AC">
              <w:rPr>
                <w:rFonts w:ascii="Times New Roman" w:hAnsi="Times New Roman" w:cs="Times New Roman"/>
                <w:sz w:val="24"/>
                <w:szCs w:val="24"/>
              </w:rPr>
              <w:t xml:space="preserve"> un finansiālās prioritātes.</w:t>
            </w:r>
          </w:p>
          <w:p w14:paraId="498CC541" w14:textId="685FDD79" w:rsidR="00030359" w:rsidRPr="000E63AC" w:rsidRDefault="00030359" w:rsidP="0099414B">
            <w:pPr>
              <w:spacing w:after="0" w:line="240" w:lineRule="auto"/>
              <w:jc w:val="both"/>
              <w:rPr>
                <w:rFonts w:ascii="Times New Roman" w:hAnsi="Times New Roman" w:cs="Times New Roman"/>
                <w:b/>
                <w:sz w:val="24"/>
                <w:szCs w:val="24"/>
              </w:rPr>
            </w:pPr>
            <w:r w:rsidRPr="000E63AC">
              <w:rPr>
                <w:rFonts w:ascii="Times New Roman" w:hAnsi="Times New Roman" w:cs="Times New Roman"/>
                <w:sz w:val="24"/>
                <w:szCs w:val="24"/>
              </w:rPr>
              <w:t>Valsts ieņēmumu dienesta sniegtos pakalpojumus skatīt pielikuma 3.punktā.</w:t>
            </w:r>
          </w:p>
        </w:tc>
      </w:tr>
    </w:tbl>
    <w:p w14:paraId="4E3EA7AE" w14:textId="0348A8CA" w:rsidR="00B1538D" w:rsidRPr="000E63AC" w:rsidRDefault="00B1538D" w:rsidP="0099414B">
      <w:pPr>
        <w:spacing w:after="0" w:line="240" w:lineRule="auto"/>
        <w:ind w:firstLine="709"/>
        <w:jc w:val="both"/>
        <w:rPr>
          <w:rFonts w:ascii="Times New Roman" w:hAnsi="Times New Roman" w:cs="Times New Roman"/>
          <w:sz w:val="26"/>
          <w:szCs w:val="26"/>
        </w:rPr>
      </w:pPr>
    </w:p>
    <w:p w14:paraId="56385962" w14:textId="48EF3932" w:rsidR="00090213" w:rsidRPr="000E63AC" w:rsidRDefault="008C4C73" w:rsidP="0099414B">
      <w:pPr>
        <w:spacing w:after="0" w:line="240" w:lineRule="auto"/>
        <w:ind w:firstLine="709"/>
        <w:rPr>
          <w:rFonts w:ascii="Times New Roman" w:hAnsi="Times New Roman" w:cs="Times New Roman"/>
          <w:b/>
          <w:sz w:val="26"/>
          <w:szCs w:val="26"/>
        </w:rPr>
      </w:pPr>
      <w:r w:rsidRPr="000E63AC">
        <w:rPr>
          <w:rFonts w:ascii="Times New Roman" w:hAnsi="Times New Roman" w:cs="Times New Roman"/>
          <w:b/>
          <w:sz w:val="26"/>
          <w:szCs w:val="26"/>
        </w:rPr>
        <w:t>3.1.2. pasākums</w:t>
      </w:r>
      <w:r w:rsidR="003A6B3B">
        <w:rPr>
          <w:rFonts w:ascii="Times New Roman" w:hAnsi="Times New Roman" w:cs="Times New Roman"/>
          <w:b/>
          <w:sz w:val="26"/>
          <w:szCs w:val="26"/>
        </w:rPr>
        <w:t>.</w:t>
      </w:r>
      <w:r w:rsidRPr="000E63AC">
        <w:rPr>
          <w:rFonts w:ascii="Times New Roman" w:hAnsi="Times New Roman" w:cs="Times New Roman"/>
          <w:b/>
          <w:sz w:val="26"/>
          <w:szCs w:val="26"/>
        </w:rPr>
        <w:t xml:space="preserve"> </w:t>
      </w:r>
      <w:r w:rsidR="00090213" w:rsidRPr="000E63AC">
        <w:rPr>
          <w:rFonts w:ascii="Times New Roman" w:hAnsi="Times New Roman" w:cs="Times New Roman"/>
          <w:b/>
          <w:sz w:val="26"/>
          <w:szCs w:val="26"/>
        </w:rPr>
        <w:t xml:space="preserve">Administrēšana </w:t>
      </w:r>
    </w:p>
    <w:p w14:paraId="35A1BACB" w14:textId="77777777" w:rsidR="009E7961" w:rsidRPr="000E63AC" w:rsidRDefault="009E7961" w:rsidP="0099414B">
      <w:pPr>
        <w:spacing w:after="0" w:line="240" w:lineRule="auto"/>
        <w:ind w:firstLine="709"/>
        <w:rPr>
          <w:rFonts w:ascii="Times New Roman" w:hAnsi="Times New Roman" w:cs="Times New Roman"/>
          <w:b/>
          <w:sz w:val="26"/>
          <w:szCs w:val="26"/>
        </w:rPr>
      </w:pPr>
    </w:p>
    <w:p w14:paraId="4AC9F465" w14:textId="6137DB9A" w:rsidR="00A7694C" w:rsidRPr="000E63AC" w:rsidRDefault="009E50BF"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Ņemot vērā sociālo un sadarbības partneru ieteikumus, uzņēmuma atlase un iekļaušana attiecīgajā Padziļinātā sadarbības programmas līmenī tiktu nodrošināta automātiski, balstoties uz Valsts ieņēmumu dienesta riska vadības sistēmas datiem</w:t>
      </w:r>
      <w:r w:rsidR="00494491" w:rsidRPr="000E63AC">
        <w:rPr>
          <w:rFonts w:ascii="Times New Roman" w:hAnsi="Times New Roman" w:cs="Times New Roman"/>
          <w:sz w:val="26"/>
          <w:szCs w:val="26"/>
        </w:rPr>
        <w:t xml:space="preserve">. Valsts ieņēmumu dienests nodrošina, ka Padziļinātās sadarbības programmas dalībnieku saraksts tiks pārskatīts un jaunie dalībnieki Padziļinātās sadarbības programmas attiecīgā līmeņa dalībnieku sarakstā tiks iekļauti vienu reizi gadā, normatīvajos aktos noteiktajos termiņos. Dalībnieku sarakstu plānots publicēt Valsts ieņēmumu dienesta tīmekļa vietnē. Valsts ieņēmumu dienests </w:t>
      </w:r>
      <w:r w:rsidRPr="000E63AC">
        <w:rPr>
          <w:rFonts w:ascii="Times New Roman" w:hAnsi="Times New Roman" w:cs="Times New Roman"/>
          <w:sz w:val="26"/>
          <w:szCs w:val="26"/>
        </w:rPr>
        <w:t>vienlaikus nodrošin</w:t>
      </w:r>
      <w:r w:rsidR="00487A23" w:rsidRPr="000E63AC">
        <w:rPr>
          <w:rFonts w:ascii="Times New Roman" w:hAnsi="Times New Roman" w:cs="Times New Roman"/>
          <w:sz w:val="26"/>
          <w:szCs w:val="26"/>
        </w:rPr>
        <w:t>a</w:t>
      </w:r>
      <w:r w:rsidRPr="000E63AC">
        <w:rPr>
          <w:rFonts w:ascii="Times New Roman" w:hAnsi="Times New Roman" w:cs="Times New Roman"/>
          <w:sz w:val="26"/>
          <w:szCs w:val="26"/>
        </w:rPr>
        <w:t xml:space="preserve">, ka dalībnieku saraksts tiek aktualizēts un programmas dalībnieku atbilstība turpmākai dalībai tiek vērtēta </w:t>
      </w:r>
      <w:r w:rsidR="00494491" w:rsidRPr="000E63AC">
        <w:rPr>
          <w:rFonts w:ascii="Times New Roman" w:hAnsi="Times New Roman" w:cs="Times New Roman"/>
          <w:sz w:val="26"/>
          <w:szCs w:val="26"/>
        </w:rPr>
        <w:t xml:space="preserve">ne </w:t>
      </w:r>
      <w:r w:rsidR="00494491" w:rsidRPr="000E63AC">
        <w:rPr>
          <w:rFonts w:ascii="Times New Roman" w:hAnsi="Times New Roman" w:cs="Times New Roman"/>
          <w:sz w:val="26"/>
          <w:szCs w:val="26"/>
        </w:rPr>
        <w:lastRenderedPageBreak/>
        <w:t>retāk kā reizi ceturksnī, balstoties uz Valsts ieņēmumu dienesta riska vadības sistēmas datiem</w:t>
      </w:r>
      <w:r w:rsidRPr="000E63AC">
        <w:rPr>
          <w:rFonts w:ascii="Times New Roman" w:hAnsi="Times New Roman" w:cs="Times New Roman"/>
          <w:sz w:val="26"/>
          <w:szCs w:val="26"/>
        </w:rPr>
        <w:t xml:space="preserve">. </w:t>
      </w:r>
    </w:p>
    <w:p w14:paraId="40B1A0D5" w14:textId="0523F52B" w:rsidR="00321094" w:rsidRPr="000E63AC" w:rsidRDefault="00321094" w:rsidP="00494491">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Ņemot vērā aptaujas rezultātus</w:t>
      </w:r>
      <w:r w:rsidR="0029456E" w:rsidRPr="000E63AC">
        <w:rPr>
          <w:rFonts w:ascii="Times New Roman" w:hAnsi="Times New Roman" w:cs="Times New Roman"/>
          <w:sz w:val="26"/>
          <w:szCs w:val="26"/>
        </w:rPr>
        <w:t>,</w:t>
      </w:r>
      <w:r w:rsidRPr="000E63AC">
        <w:rPr>
          <w:rFonts w:ascii="Times New Roman" w:hAnsi="Times New Roman" w:cs="Times New Roman"/>
          <w:sz w:val="26"/>
          <w:szCs w:val="26"/>
        </w:rPr>
        <w:t xml:space="preserve"> kā arī </w:t>
      </w:r>
      <w:r w:rsidR="00115325" w:rsidRPr="000E63AC">
        <w:rPr>
          <w:rFonts w:ascii="Times New Roman" w:hAnsi="Times New Roman" w:cs="Times New Roman"/>
          <w:sz w:val="26"/>
          <w:szCs w:val="26"/>
        </w:rPr>
        <w:t>sociālo un sadarbības partneru</w:t>
      </w:r>
      <w:r w:rsidRPr="000E63AC">
        <w:rPr>
          <w:rFonts w:ascii="Times New Roman" w:hAnsi="Times New Roman" w:cs="Times New Roman"/>
          <w:sz w:val="26"/>
          <w:szCs w:val="26"/>
        </w:rPr>
        <w:t xml:space="preserve"> </w:t>
      </w:r>
      <w:r w:rsidR="00E512A1" w:rsidRPr="000E63AC">
        <w:rPr>
          <w:rFonts w:ascii="Times New Roman" w:hAnsi="Times New Roman" w:cs="Times New Roman"/>
          <w:sz w:val="26"/>
          <w:szCs w:val="26"/>
        </w:rPr>
        <w:t>ieteikumus</w:t>
      </w:r>
      <w:r w:rsidRPr="000E63AC">
        <w:rPr>
          <w:rFonts w:ascii="Times New Roman" w:hAnsi="Times New Roman" w:cs="Times New Roman"/>
          <w:sz w:val="26"/>
          <w:szCs w:val="26"/>
        </w:rPr>
        <w:t xml:space="preserve"> par to, ka kritēriju neizpilde nevar būt par iemeslu automātiskai izslēgšanai no Padziļinātās sadarbības programmas</w:t>
      </w:r>
      <w:r w:rsidR="00E512A1" w:rsidRPr="000E63AC">
        <w:rPr>
          <w:rFonts w:ascii="Times New Roman" w:hAnsi="Times New Roman" w:cs="Times New Roman"/>
          <w:sz w:val="26"/>
          <w:szCs w:val="26"/>
        </w:rPr>
        <w:t>, tiek paredzēts, ka turpmāk uzņēmēji tiks brīdināti par kritēriju neizpildi</w:t>
      </w:r>
      <w:r w:rsidR="008B2B5B" w:rsidRPr="000E63AC">
        <w:rPr>
          <w:rFonts w:ascii="Times New Roman" w:hAnsi="Times New Roman" w:cs="Times New Roman"/>
          <w:sz w:val="26"/>
          <w:szCs w:val="26"/>
        </w:rPr>
        <w:t>.</w:t>
      </w:r>
      <w:r w:rsidR="009E50BF" w:rsidRPr="000E63AC">
        <w:t xml:space="preserve"> </w:t>
      </w:r>
      <w:r w:rsidR="009E50BF" w:rsidRPr="000E63AC">
        <w:rPr>
          <w:rFonts w:ascii="Times New Roman" w:hAnsi="Times New Roman" w:cs="Times New Roman"/>
          <w:sz w:val="26"/>
          <w:szCs w:val="26"/>
        </w:rPr>
        <w:t>Nosakot, ka kritēriji tiks klasificēti pēc nozīmīguma un attiecīgi vienā gadījumā izslēgšana notiks nekavējoties bez brīdinājuma (piemēram: maksātnespējas process), bet citā gadījumā tiks brīdināts un dots termiņš novērst neatbilstību dalību programmā apturot līdz trūkumu novēršanai.</w:t>
      </w:r>
      <w:r w:rsidR="00494491" w:rsidRPr="000E63AC">
        <w:rPr>
          <w:rFonts w:ascii="Times New Roman" w:hAnsi="Times New Roman" w:cs="Times New Roman"/>
          <w:sz w:val="26"/>
          <w:szCs w:val="26"/>
        </w:rPr>
        <w:t xml:space="preserve"> Brīdinājums tiks nosūtīts EDS.</w:t>
      </w:r>
    </w:p>
    <w:p w14:paraId="094C69E8" w14:textId="662A7C84" w:rsidR="007E1051" w:rsidRDefault="00494491"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Dalībniekiem, kuri tiek iekļauti Padziļinātas sadarbības programmā, </w:t>
      </w:r>
      <w:r w:rsidR="00625844">
        <w:rPr>
          <w:rFonts w:ascii="Times New Roman" w:hAnsi="Times New Roman" w:cs="Times New Roman"/>
          <w:sz w:val="26"/>
          <w:szCs w:val="26"/>
        </w:rPr>
        <w:t>mainot</w:t>
      </w:r>
      <w:r w:rsidRPr="000E63AC">
        <w:rPr>
          <w:rFonts w:ascii="Times New Roman" w:hAnsi="Times New Roman" w:cs="Times New Roman"/>
          <w:sz w:val="26"/>
          <w:szCs w:val="26"/>
        </w:rPr>
        <w:t xml:space="preserve"> līmen</w:t>
      </w:r>
      <w:r w:rsidR="00625844">
        <w:rPr>
          <w:rFonts w:ascii="Times New Roman" w:hAnsi="Times New Roman" w:cs="Times New Roman"/>
          <w:sz w:val="26"/>
          <w:szCs w:val="26"/>
        </w:rPr>
        <w:t>i</w:t>
      </w:r>
      <w:r w:rsidRPr="000E63AC">
        <w:rPr>
          <w:rFonts w:ascii="Times New Roman" w:hAnsi="Times New Roman" w:cs="Times New Roman"/>
          <w:sz w:val="26"/>
          <w:szCs w:val="26"/>
        </w:rPr>
        <w:t xml:space="preserve"> vai izslē</w:t>
      </w:r>
      <w:r w:rsidR="00625844">
        <w:rPr>
          <w:rFonts w:ascii="Times New Roman" w:hAnsi="Times New Roman" w:cs="Times New Roman"/>
          <w:sz w:val="26"/>
          <w:szCs w:val="26"/>
        </w:rPr>
        <w:t>dzot</w:t>
      </w:r>
      <w:r w:rsidRPr="000E63AC">
        <w:rPr>
          <w:rFonts w:ascii="Times New Roman" w:hAnsi="Times New Roman" w:cs="Times New Roman"/>
          <w:sz w:val="26"/>
          <w:szCs w:val="26"/>
        </w:rPr>
        <w:t xml:space="preserve"> no Padziļinātas sadarbības programmas</w:t>
      </w:r>
      <w:r w:rsidR="00625844">
        <w:rPr>
          <w:rFonts w:ascii="Times New Roman" w:hAnsi="Times New Roman" w:cs="Times New Roman"/>
          <w:sz w:val="26"/>
          <w:szCs w:val="26"/>
        </w:rPr>
        <w:t>,</w:t>
      </w:r>
      <w:r w:rsidRPr="000E63AC">
        <w:rPr>
          <w:rFonts w:ascii="Times New Roman" w:hAnsi="Times New Roman" w:cs="Times New Roman"/>
          <w:sz w:val="26"/>
          <w:szCs w:val="26"/>
        </w:rPr>
        <w:t xml:space="preserve"> Valsts ieņēmumu dienests EDS nosūta informatīva rakstura paziņojumu. Paziņojumā tiek norādīti iemesli iekļaušanai Padziļinātas sadarbības programmā, </w:t>
      </w:r>
      <w:r w:rsidR="00625844">
        <w:rPr>
          <w:rFonts w:ascii="Times New Roman" w:hAnsi="Times New Roman" w:cs="Times New Roman"/>
          <w:sz w:val="26"/>
          <w:szCs w:val="26"/>
        </w:rPr>
        <w:t>līmeņa mai</w:t>
      </w:r>
      <w:r w:rsidR="007B04A3">
        <w:rPr>
          <w:rFonts w:ascii="Times New Roman" w:hAnsi="Times New Roman" w:cs="Times New Roman"/>
          <w:sz w:val="26"/>
          <w:szCs w:val="26"/>
        </w:rPr>
        <w:t>ņai</w:t>
      </w:r>
      <w:r w:rsidRPr="000E63AC">
        <w:rPr>
          <w:rFonts w:ascii="Times New Roman" w:hAnsi="Times New Roman" w:cs="Times New Roman"/>
          <w:sz w:val="26"/>
          <w:szCs w:val="26"/>
        </w:rPr>
        <w:t xml:space="preserve"> vai izslēgšanai no Padziļinātas sadarbības programmas.</w:t>
      </w:r>
    </w:p>
    <w:p w14:paraId="68502F50" w14:textId="32EE1E79" w:rsidR="00BB634E" w:rsidRPr="000E63AC" w:rsidRDefault="00BB634E" w:rsidP="0099414B">
      <w:pPr>
        <w:spacing w:after="0" w:line="240" w:lineRule="auto"/>
        <w:ind w:firstLine="709"/>
        <w:jc w:val="both"/>
        <w:rPr>
          <w:rFonts w:ascii="Times New Roman" w:hAnsi="Times New Roman" w:cs="Times New Roman"/>
          <w:sz w:val="26"/>
          <w:szCs w:val="26"/>
        </w:rPr>
      </w:pPr>
      <w:r w:rsidRPr="00BB634E">
        <w:rPr>
          <w:rFonts w:ascii="Times New Roman" w:hAnsi="Times New Roman" w:cs="Times New Roman"/>
          <w:sz w:val="26"/>
          <w:szCs w:val="26"/>
        </w:rPr>
        <w:t>Segmentēšanu, saskaņā ar šo programmu, Valsts ieņēmumu dienests veiks katru gadu no septembra līdz novembrim. Jauni dalībnieki programmā tiks iekļauti katru gadu no 1.janvāra.</w:t>
      </w:r>
    </w:p>
    <w:p w14:paraId="7521147F" w14:textId="7EC63C7A" w:rsidR="00C64F0E" w:rsidRPr="000E63AC" w:rsidRDefault="00C64F0E" w:rsidP="00C64F0E">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Ieviešot jaunā tipa atbalsta programmu, pirmajā izvērtēšanas gadā, kas plānota 2018.gada beigās, programmas dalībniekus iekļautu attiecīgajā līmenī atbilstoši līmeņa izvērtēšanas kritērijiem, neievērojot sākotnējo principu, ka nodokļu maksātājam jāiziet visi līmeņi.</w:t>
      </w:r>
    </w:p>
    <w:p w14:paraId="3BEC56EC" w14:textId="79B22DE5" w:rsidR="00C64F0E" w:rsidRPr="000E63AC" w:rsidRDefault="00C64F0E" w:rsidP="00C64F0E">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Zelta līmenī sākotnēji tiks iekļauti pašreiz esošie Padziļinātās sadarbības programmas dalībnieki. Uzņēmumi, kas atbildīs šiem kritērijiem, bet kuriem nav ieviesta nodokļu riska vadības sistēma, tiks iekļauti Sudraba līmenī un informēti, nosūtot informāciju par nodokļu riska vadības ieviešanas nepieciešamību un iespēju kvalificēties Zelta līmenim. Turklāt, nosakot nodokļu riska vadības sistēmas ieviešanas termiņu - 3 - 6 mēneši. Esošajiem Padziļinātās sadarbības programmas dalībniekiem (75 uzņēmumi), turpmāk Zelta līmeņa statusa ieguvējiem, jau šobrīd ir ieviesta nodokļu risku vadības sistēma. Paredzēts, ka esošiem Padziļinātās sadarbības programm</w:t>
      </w:r>
      <w:r w:rsidR="008B5F07" w:rsidRPr="000E63AC">
        <w:rPr>
          <w:rFonts w:ascii="Times New Roman" w:hAnsi="Times New Roman" w:cs="Times New Roman"/>
          <w:sz w:val="26"/>
          <w:szCs w:val="26"/>
        </w:rPr>
        <w:t>as dalībniekiem</w:t>
      </w:r>
      <w:r w:rsidRPr="000E63AC">
        <w:rPr>
          <w:rFonts w:ascii="Times New Roman" w:hAnsi="Times New Roman" w:cs="Times New Roman"/>
          <w:sz w:val="26"/>
          <w:szCs w:val="26"/>
        </w:rPr>
        <w:t xml:space="preserve"> nevērtē</w:t>
      </w:r>
      <w:r w:rsidR="008B5F07" w:rsidRPr="000E63AC">
        <w:rPr>
          <w:rFonts w:ascii="Times New Roman" w:hAnsi="Times New Roman" w:cs="Times New Roman"/>
          <w:sz w:val="26"/>
          <w:szCs w:val="26"/>
        </w:rPr>
        <w:t>s</w:t>
      </w:r>
      <w:r w:rsidRPr="000E63AC">
        <w:rPr>
          <w:rFonts w:ascii="Times New Roman" w:hAnsi="Times New Roman" w:cs="Times New Roman"/>
          <w:sz w:val="26"/>
          <w:szCs w:val="26"/>
        </w:rPr>
        <w:t xml:space="preserve"> pārskatu/deklarāciju disciplīnu 2018., 2019.gadā, jo šobrīd spēkā esošajos noteikumos šād</w:t>
      </w:r>
      <w:r w:rsidR="008B5F07" w:rsidRPr="000E63AC">
        <w:rPr>
          <w:rFonts w:ascii="Times New Roman" w:hAnsi="Times New Roman" w:cs="Times New Roman"/>
          <w:sz w:val="26"/>
          <w:szCs w:val="26"/>
        </w:rPr>
        <w:t>s</w:t>
      </w:r>
      <w:r w:rsidRPr="000E63AC">
        <w:rPr>
          <w:rFonts w:ascii="Times New Roman" w:hAnsi="Times New Roman" w:cs="Times New Roman"/>
          <w:sz w:val="26"/>
          <w:szCs w:val="26"/>
        </w:rPr>
        <w:t xml:space="preserve"> kritērij</w:t>
      </w:r>
      <w:r w:rsidR="008B5F07" w:rsidRPr="000E63AC">
        <w:rPr>
          <w:rFonts w:ascii="Times New Roman" w:hAnsi="Times New Roman" w:cs="Times New Roman"/>
          <w:sz w:val="26"/>
          <w:szCs w:val="26"/>
        </w:rPr>
        <w:t>s</w:t>
      </w:r>
      <w:r w:rsidRPr="000E63AC">
        <w:rPr>
          <w:rFonts w:ascii="Times New Roman" w:hAnsi="Times New Roman" w:cs="Times New Roman"/>
          <w:sz w:val="26"/>
          <w:szCs w:val="26"/>
        </w:rPr>
        <w:t xml:space="preserve"> </w:t>
      </w:r>
      <w:r w:rsidR="008B5F07" w:rsidRPr="000E63AC">
        <w:rPr>
          <w:rFonts w:ascii="Times New Roman" w:hAnsi="Times New Roman" w:cs="Times New Roman"/>
          <w:sz w:val="26"/>
          <w:szCs w:val="26"/>
        </w:rPr>
        <w:t>nav noteikts</w:t>
      </w:r>
      <w:r w:rsidRPr="000E63AC">
        <w:rPr>
          <w:rFonts w:ascii="Times New Roman" w:hAnsi="Times New Roman" w:cs="Times New Roman"/>
          <w:sz w:val="26"/>
          <w:szCs w:val="26"/>
        </w:rPr>
        <w:t>.</w:t>
      </w:r>
    </w:p>
    <w:p w14:paraId="575F88BE" w14:textId="123E1E40" w:rsidR="00C64F0E" w:rsidRPr="000E63AC" w:rsidRDefault="00C64F0E" w:rsidP="00C64F0E">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Sudraba līmeņa potenciālajiem dalībniekiem pārejas periodā noteikt pirmstaksācijas un izvērtēšanas gadā kavēt pārskatus/deklarācijas 5 reizes. Pārejas periodu nosakot – divi gadi. Tātad 2018.gada beigās</w:t>
      </w:r>
      <w:r w:rsidR="008B5F07" w:rsidRPr="000E63AC">
        <w:rPr>
          <w:rFonts w:ascii="Times New Roman" w:hAnsi="Times New Roman" w:cs="Times New Roman"/>
          <w:sz w:val="26"/>
          <w:szCs w:val="26"/>
        </w:rPr>
        <w:t>,</w:t>
      </w:r>
      <w:r w:rsidRPr="000E63AC">
        <w:rPr>
          <w:rFonts w:ascii="Times New Roman" w:hAnsi="Times New Roman" w:cs="Times New Roman"/>
          <w:sz w:val="26"/>
          <w:szCs w:val="26"/>
        </w:rPr>
        <w:t xml:space="preserve"> vērtējot pārskatu/deklarāciju iesniegšanas disciplīnu, tiks vērtēti kavējumi 2017./2018.gadā un veicot atkārtotu izvērtēšanu 2019.gada beigās, tiks ņemti vērā kavējumi 2018./2019.gadā, bet ne vairāk kā 5 reizes. 2020.gada beigās vērtējot pārskatu/deklarāciju iesniegšanas disciplīnu, kavējumu vairs nedrīkst būt.</w:t>
      </w:r>
    </w:p>
    <w:p w14:paraId="5C2FBFC1" w14:textId="3107D323" w:rsidR="00C64F0E" w:rsidRPr="000E63AC" w:rsidRDefault="00C64F0E" w:rsidP="00C64F0E">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Iepriekš minētie nosacījumi attieksies tikai uz pārejas periodu, lai sekmīgi ieviestu atbalsta programmu. Turpmāk kritēriji tiks vērtēti atbilstoši Padziļinātās sadarbības programmas projekta koncepcijai.</w:t>
      </w:r>
    </w:p>
    <w:p w14:paraId="191FE822" w14:textId="77777777" w:rsidR="008C4C73" w:rsidRPr="000E63AC" w:rsidRDefault="008C4C73" w:rsidP="0099414B">
      <w:pPr>
        <w:spacing w:after="0" w:line="240" w:lineRule="auto"/>
        <w:ind w:firstLine="709"/>
        <w:jc w:val="both"/>
        <w:rPr>
          <w:rFonts w:ascii="Times New Roman" w:hAnsi="Times New Roman" w:cs="Times New Roman"/>
          <w:sz w:val="26"/>
          <w:szCs w:val="26"/>
        </w:rPr>
      </w:pPr>
    </w:p>
    <w:p w14:paraId="6135F580" w14:textId="3E9921A1" w:rsidR="008C4C73" w:rsidRPr="000E63AC" w:rsidRDefault="008C4C73" w:rsidP="0099414B">
      <w:pPr>
        <w:spacing w:after="0" w:line="240" w:lineRule="auto"/>
        <w:ind w:firstLine="709"/>
        <w:jc w:val="both"/>
        <w:rPr>
          <w:rFonts w:ascii="Times New Roman" w:hAnsi="Times New Roman" w:cs="Times New Roman"/>
          <w:b/>
          <w:sz w:val="26"/>
          <w:szCs w:val="26"/>
        </w:rPr>
      </w:pPr>
      <w:r w:rsidRPr="000E63AC">
        <w:rPr>
          <w:rFonts w:ascii="Times New Roman" w:hAnsi="Times New Roman" w:cs="Times New Roman"/>
          <w:b/>
          <w:sz w:val="26"/>
          <w:szCs w:val="26"/>
        </w:rPr>
        <w:t>3.2. pasākums</w:t>
      </w:r>
      <w:r w:rsidR="003A6B3B">
        <w:rPr>
          <w:rFonts w:ascii="Times New Roman" w:hAnsi="Times New Roman" w:cs="Times New Roman"/>
          <w:b/>
          <w:sz w:val="26"/>
          <w:szCs w:val="26"/>
        </w:rPr>
        <w:t>.</w:t>
      </w:r>
      <w:r w:rsidRPr="000E63AC">
        <w:rPr>
          <w:rFonts w:ascii="Times New Roman" w:hAnsi="Times New Roman" w:cs="Times New Roman"/>
          <w:b/>
          <w:sz w:val="26"/>
          <w:szCs w:val="26"/>
        </w:rPr>
        <w:t xml:space="preserve"> Padziļinātās sadarbības programmas paplašināšana</w:t>
      </w:r>
    </w:p>
    <w:p w14:paraId="27AF89A2" w14:textId="77777777" w:rsidR="00167C8B" w:rsidRPr="000E63AC" w:rsidRDefault="00167C8B" w:rsidP="0099414B">
      <w:pPr>
        <w:spacing w:after="0" w:line="240" w:lineRule="auto"/>
        <w:ind w:firstLine="709"/>
        <w:jc w:val="both"/>
        <w:rPr>
          <w:rFonts w:ascii="Times New Roman" w:hAnsi="Times New Roman" w:cs="Times New Roman"/>
          <w:b/>
          <w:sz w:val="26"/>
          <w:szCs w:val="26"/>
        </w:rPr>
      </w:pPr>
    </w:p>
    <w:p w14:paraId="7973D28F" w14:textId="361F6329" w:rsidR="00251090" w:rsidRPr="000E63AC" w:rsidRDefault="007B4E5E"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Vienlaikus ieviešot piedāvātos uzlabojumus, Padziļinātās sadarbības programmas </w:t>
      </w:r>
      <w:r w:rsidR="00251090" w:rsidRPr="000E63AC">
        <w:rPr>
          <w:rFonts w:ascii="Times New Roman" w:hAnsi="Times New Roman" w:cs="Times New Roman"/>
          <w:sz w:val="26"/>
          <w:szCs w:val="26"/>
        </w:rPr>
        <w:t xml:space="preserve">pieeju ir paredzēts </w:t>
      </w:r>
      <w:r w:rsidR="00337ACB" w:rsidRPr="000E63AC">
        <w:rPr>
          <w:rFonts w:ascii="Times New Roman" w:hAnsi="Times New Roman" w:cs="Times New Roman"/>
          <w:sz w:val="26"/>
          <w:szCs w:val="26"/>
        </w:rPr>
        <w:t xml:space="preserve">paplašināt </w:t>
      </w:r>
      <w:r w:rsidR="0004178C" w:rsidRPr="000E63AC">
        <w:rPr>
          <w:rFonts w:ascii="Times New Roman" w:hAnsi="Times New Roman" w:cs="Times New Roman"/>
          <w:sz w:val="26"/>
          <w:szCs w:val="26"/>
        </w:rPr>
        <w:t xml:space="preserve">arī </w:t>
      </w:r>
      <w:r w:rsidR="00337ACB" w:rsidRPr="000E63AC">
        <w:rPr>
          <w:rFonts w:ascii="Times New Roman" w:hAnsi="Times New Roman" w:cs="Times New Roman"/>
          <w:sz w:val="26"/>
          <w:szCs w:val="26"/>
        </w:rPr>
        <w:t xml:space="preserve">uz </w:t>
      </w:r>
      <w:r w:rsidR="0004178C" w:rsidRPr="000E63AC">
        <w:rPr>
          <w:rFonts w:ascii="Times New Roman" w:hAnsi="Times New Roman" w:cs="Times New Roman"/>
          <w:sz w:val="26"/>
          <w:szCs w:val="26"/>
        </w:rPr>
        <w:t xml:space="preserve">citām </w:t>
      </w:r>
      <w:r w:rsidRPr="000E63AC">
        <w:rPr>
          <w:rFonts w:ascii="Times New Roman" w:hAnsi="Times New Roman" w:cs="Times New Roman"/>
          <w:sz w:val="26"/>
          <w:szCs w:val="26"/>
        </w:rPr>
        <w:t xml:space="preserve">valsts </w:t>
      </w:r>
      <w:r w:rsidR="0004178C" w:rsidRPr="000E63AC">
        <w:rPr>
          <w:rFonts w:ascii="Times New Roman" w:hAnsi="Times New Roman" w:cs="Times New Roman"/>
          <w:sz w:val="26"/>
          <w:szCs w:val="26"/>
        </w:rPr>
        <w:t>uzraugošajām institūcijām</w:t>
      </w:r>
      <w:r w:rsidRPr="000E63AC">
        <w:rPr>
          <w:rFonts w:ascii="Times New Roman" w:hAnsi="Times New Roman" w:cs="Times New Roman"/>
          <w:sz w:val="26"/>
          <w:szCs w:val="26"/>
        </w:rPr>
        <w:t xml:space="preserve">, nodrošinot uzņēmēju atlasi atbilstoši katras institūcijas risku vadības sistēmām un </w:t>
      </w:r>
      <w:r w:rsidRPr="000E63AC">
        <w:rPr>
          <w:rFonts w:ascii="Times New Roman" w:hAnsi="Times New Roman" w:cs="Times New Roman"/>
          <w:sz w:val="26"/>
          <w:szCs w:val="26"/>
        </w:rPr>
        <w:lastRenderedPageBreak/>
        <w:t xml:space="preserve">attiecīgi </w:t>
      </w:r>
      <w:r w:rsidR="00352D1A" w:rsidRPr="000E63AC">
        <w:rPr>
          <w:rFonts w:ascii="Times New Roman" w:hAnsi="Times New Roman" w:cs="Times New Roman"/>
          <w:sz w:val="26"/>
          <w:szCs w:val="26"/>
        </w:rPr>
        <w:t>“</w:t>
      </w:r>
      <w:r w:rsidRPr="000E63AC">
        <w:rPr>
          <w:rFonts w:ascii="Times New Roman" w:hAnsi="Times New Roman" w:cs="Times New Roman"/>
          <w:sz w:val="26"/>
          <w:szCs w:val="26"/>
        </w:rPr>
        <w:t>zema riska uzņēmējiem</w:t>
      </w:r>
      <w:r w:rsidR="00352D1A" w:rsidRPr="000E63AC">
        <w:rPr>
          <w:rFonts w:ascii="Times New Roman" w:hAnsi="Times New Roman" w:cs="Times New Roman"/>
          <w:sz w:val="26"/>
          <w:szCs w:val="26"/>
        </w:rPr>
        <w:t>”</w:t>
      </w:r>
      <w:r w:rsidR="00AE5797" w:rsidRPr="000E63AC">
        <w:rPr>
          <w:rFonts w:ascii="Times New Roman" w:hAnsi="Times New Roman" w:cs="Times New Roman"/>
          <w:sz w:val="26"/>
          <w:szCs w:val="26"/>
        </w:rPr>
        <w:t>, kuri ir pierādījuši sevi kā godprātīgus uzņēmējus attiecīgajā uzraugošās institūciju darbības sfērā,</w:t>
      </w:r>
      <w:r w:rsidRPr="000E63AC">
        <w:rPr>
          <w:rFonts w:ascii="Times New Roman" w:hAnsi="Times New Roman" w:cs="Times New Roman"/>
          <w:sz w:val="26"/>
          <w:szCs w:val="26"/>
        </w:rPr>
        <w:t xml:space="preserve"> piedāvājot konkrētās institūcijas sniegtās</w:t>
      </w:r>
      <w:r w:rsidR="00614C1F" w:rsidRPr="000E63AC">
        <w:rPr>
          <w:rFonts w:ascii="Times New Roman" w:hAnsi="Times New Roman" w:cs="Times New Roman"/>
          <w:sz w:val="26"/>
          <w:szCs w:val="26"/>
        </w:rPr>
        <w:t xml:space="preserve"> </w:t>
      </w:r>
      <w:r w:rsidRPr="000E63AC">
        <w:rPr>
          <w:rFonts w:ascii="Times New Roman" w:hAnsi="Times New Roman" w:cs="Times New Roman"/>
          <w:sz w:val="26"/>
          <w:szCs w:val="26"/>
        </w:rPr>
        <w:t xml:space="preserve">priekšrocības. </w:t>
      </w:r>
    </w:p>
    <w:p w14:paraId="617DA705" w14:textId="5F9CEC90" w:rsidR="00154164" w:rsidRPr="000E63AC" w:rsidRDefault="007B4E5E"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Ekonomikas ministrija ir veikusi pārrunas ar </w:t>
      </w:r>
      <w:r w:rsidR="005B20D8" w:rsidRPr="000E63AC">
        <w:rPr>
          <w:rFonts w:ascii="Times New Roman" w:hAnsi="Times New Roman" w:cs="Times New Roman"/>
          <w:sz w:val="26"/>
          <w:szCs w:val="26"/>
        </w:rPr>
        <w:t xml:space="preserve">citām </w:t>
      </w:r>
      <w:r w:rsidRPr="000E63AC">
        <w:rPr>
          <w:rFonts w:ascii="Times New Roman" w:hAnsi="Times New Roman" w:cs="Times New Roman"/>
          <w:sz w:val="26"/>
          <w:szCs w:val="26"/>
        </w:rPr>
        <w:t>uzraugošajām institūcijām un kā labo piemēru ident</w:t>
      </w:r>
      <w:r w:rsidR="00352D1A" w:rsidRPr="000E63AC">
        <w:rPr>
          <w:rFonts w:ascii="Times New Roman" w:hAnsi="Times New Roman" w:cs="Times New Roman"/>
          <w:sz w:val="26"/>
          <w:szCs w:val="26"/>
        </w:rPr>
        <w:t>ificējusi Valsts vides dienest</w:t>
      </w:r>
      <w:r w:rsidR="0029456E" w:rsidRPr="000E63AC">
        <w:rPr>
          <w:rFonts w:ascii="Times New Roman" w:hAnsi="Times New Roman" w:cs="Times New Roman"/>
          <w:sz w:val="26"/>
          <w:szCs w:val="26"/>
        </w:rPr>
        <w:t>a</w:t>
      </w:r>
      <w:r w:rsidR="00352D1A" w:rsidRPr="000E63AC">
        <w:rPr>
          <w:rFonts w:ascii="Times New Roman" w:hAnsi="Times New Roman" w:cs="Times New Roman"/>
          <w:sz w:val="26"/>
          <w:szCs w:val="26"/>
        </w:rPr>
        <w:t xml:space="preserve"> </w:t>
      </w:r>
      <w:r w:rsidR="00F15117" w:rsidRPr="000E63AC">
        <w:rPr>
          <w:rFonts w:ascii="Times New Roman" w:hAnsi="Times New Roman" w:cs="Times New Roman"/>
          <w:sz w:val="26"/>
          <w:szCs w:val="26"/>
        </w:rPr>
        <w:t>iniciatīvu “Zaļā izcilības balva”, kas tiek piešķirta uzņēmumiem, kuri visaugstākajā līmenī ievēro vides aizsardzības normatīvo aktu prasības, kā arī pēc savas iniciatīvas veic pasākumu kopumu ietekmes uz vidi samazināšanai.</w:t>
      </w:r>
    </w:p>
    <w:p w14:paraId="7CA2D658" w14:textId="2D747618" w:rsidR="007E1051" w:rsidRPr="000E63AC" w:rsidRDefault="007E1051" w:rsidP="00DE4244">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Savukārt Latvijas Investīciju un attīstības aģentūra valsts eksportējošo uzņēmumu spēcināšanai ir izveidojusi eksporta pakalpojumu platformu </w:t>
      </w:r>
      <w:proofErr w:type="spellStart"/>
      <w:r w:rsidRPr="000E63AC">
        <w:rPr>
          <w:rFonts w:ascii="Times New Roman" w:hAnsi="Times New Roman" w:cs="Times New Roman"/>
          <w:sz w:val="26"/>
          <w:szCs w:val="26"/>
        </w:rPr>
        <w:t>Magnetic</w:t>
      </w:r>
      <w:proofErr w:type="spellEnd"/>
      <w:r w:rsidRPr="000E63AC">
        <w:rPr>
          <w:rFonts w:ascii="Times New Roman" w:hAnsi="Times New Roman" w:cs="Times New Roman"/>
          <w:sz w:val="26"/>
          <w:szCs w:val="26"/>
        </w:rPr>
        <w:t xml:space="preserve"> Latvia. Platforma paredz </w:t>
      </w:r>
      <w:r w:rsidR="00DE4244" w:rsidRPr="000E63AC">
        <w:rPr>
          <w:rFonts w:ascii="Times New Roman" w:hAnsi="Times New Roman" w:cs="Times New Roman"/>
          <w:sz w:val="26"/>
          <w:szCs w:val="26"/>
        </w:rPr>
        <w:t xml:space="preserve">komersantu segmentēšanu </w:t>
      </w:r>
      <w:r w:rsidRPr="000E63AC">
        <w:rPr>
          <w:rFonts w:ascii="Times New Roman" w:hAnsi="Times New Roman" w:cs="Times New Roman"/>
          <w:sz w:val="26"/>
          <w:szCs w:val="26"/>
        </w:rPr>
        <w:t>četr</w:t>
      </w:r>
      <w:r w:rsidR="00DE4244" w:rsidRPr="000E63AC">
        <w:rPr>
          <w:rFonts w:ascii="Times New Roman" w:hAnsi="Times New Roman" w:cs="Times New Roman"/>
          <w:sz w:val="26"/>
          <w:szCs w:val="26"/>
        </w:rPr>
        <w:t>os</w:t>
      </w:r>
      <w:r w:rsidRPr="000E63AC">
        <w:rPr>
          <w:rFonts w:ascii="Times New Roman" w:hAnsi="Times New Roman" w:cs="Times New Roman"/>
          <w:sz w:val="26"/>
          <w:szCs w:val="26"/>
        </w:rPr>
        <w:t xml:space="preserve"> līmeņ</w:t>
      </w:r>
      <w:r w:rsidR="00DE4244" w:rsidRPr="000E63AC">
        <w:rPr>
          <w:rFonts w:ascii="Times New Roman" w:hAnsi="Times New Roman" w:cs="Times New Roman"/>
          <w:sz w:val="26"/>
          <w:szCs w:val="26"/>
        </w:rPr>
        <w:t>os – GREEN, ORANGE, RED un PURPLE, katrai segmentēšanas grupai nosakot vērtēšanas kritērijus  un priekšrocības, kas ti</w:t>
      </w:r>
      <w:r w:rsidR="00DC1F5A" w:rsidRPr="000E63AC">
        <w:rPr>
          <w:rFonts w:ascii="Times New Roman" w:hAnsi="Times New Roman" w:cs="Times New Roman"/>
          <w:sz w:val="26"/>
          <w:szCs w:val="26"/>
        </w:rPr>
        <w:t>ek</w:t>
      </w:r>
      <w:r w:rsidR="00DE4244" w:rsidRPr="000E63AC">
        <w:rPr>
          <w:rFonts w:ascii="Times New Roman" w:hAnsi="Times New Roman" w:cs="Times New Roman"/>
          <w:sz w:val="26"/>
          <w:szCs w:val="26"/>
        </w:rPr>
        <w:t xml:space="preserve"> piešķirtas grupas uzņēmumam. Turklāt Latvijas Investīciju un attīstības aģentūra ir ieinteresēta līdzdarboties, iespējami integrējot atlases kritērijus vienotā atbalsta programmā</w:t>
      </w:r>
      <w:r w:rsidR="00DC1F5A" w:rsidRPr="000E63AC">
        <w:rPr>
          <w:rFonts w:ascii="Times New Roman" w:hAnsi="Times New Roman" w:cs="Times New Roman"/>
          <w:sz w:val="26"/>
          <w:szCs w:val="26"/>
        </w:rPr>
        <w:t xml:space="preserve"> nākotnē</w:t>
      </w:r>
      <w:r w:rsidR="00DE4244" w:rsidRPr="000E63AC">
        <w:rPr>
          <w:rFonts w:ascii="Times New Roman" w:hAnsi="Times New Roman" w:cs="Times New Roman"/>
          <w:sz w:val="26"/>
          <w:szCs w:val="26"/>
        </w:rPr>
        <w:t>.</w:t>
      </w:r>
    </w:p>
    <w:p w14:paraId="67E34ED5" w14:textId="2D75D975" w:rsidR="00390EAB" w:rsidRPr="000E63AC" w:rsidRDefault="00524580" w:rsidP="00DE4244">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 xml:space="preserve">Centrālā finanšu un līgumu aģentūra, kas nodrošina </w:t>
      </w:r>
      <w:r w:rsidR="00712DDE" w:rsidRPr="000E63AC">
        <w:rPr>
          <w:rFonts w:ascii="Times New Roman" w:hAnsi="Times New Roman" w:cs="Times New Roman"/>
          <w:sz w:val="26"/>
          <w:szCs w:val="26"/>
        </w:rPr>
        <w:t xml:space="preserve">Eiropas Savienības </w:t>
      </w:r>
      <w:r w:rsidRPr="000E63AC">
        <w:rPr>
          <w:rFonts w:ascii="Times New Roman" w:hAnsi="Times New Roman" w:cs="Times New Roman"/>
          <w:sz w:val="26"/>
          <w:szCs w:val="26"/>
        </w:rPr>
        <w:t>fondu 2014. – 2020.gada plānošanas perioda projektu atlasi un ieviešanas uzraudzību, sadarbībā ar atbildīgajām nozaru ministrijām un Finanšu ministriju katrai Padziļinātās sadarbības programmas segmentētajai grupai paredzēs pielāgotas papildus priekšrocības vai atvieglojumus projektu ieviešanas nosacījumu izpildē atbilstoši konceptuālā ziņojuma 1.pielikumā iekļautajiem priekšlikumiem. Lai šos priekšlikumus realizētu, Finanšu ministrijai un ministrijām jāizvērtē un jāveic nepieciešamie grozījumi normatīvajos aktos un citos saistošos dokumentos konceptuālā ziņojuma 3.2.2.</w:t>
      </w:r>
      <w:r w:rsidR="00D57EB4" w:rsidRPr="000E63AC">
        <w:rPr>
          <w:rFonts w:ascii="Times New Roman" w:hAnsi="Times New Roman" w:cs="Times New Roman"/>
          <w:sz w:val="26"/>
          <w:szCs w:val="26"/>
        </w:rPr>
        <w:t xml:space="preserve"> pasākumā</w:t>
      </w:r>
      <w:r w:rsidRPr="000E63AC">
        <w:rPr>
          <w:rFonts w:ascii="Times New Roman" w:hAnsi="Times New Roman" w:cs="Times New Roman"/>
          <w:sz w:val="26"/>
          <w:szCs w:val="26"/>
        </w:rPr>
        <w:t xml:space="preserve"> noteiktajā termiņā.</w:t>
      </w:r>
    </w:p>
    <w:p w14:paraId="3788B72D" w14:textId="77777777" w:rsidR="00721A84" w:rsidRPr="000E63AC" w:rsidRDefault="00721A84" w:rsidP="0099414B">
      <w:pPr>
        <w:spacing w:after="0" w:line="240" w:lineRule="auto"/>
        <w:ind w:firstLine="709"/>
        <w:jc w:val="both"/>
        <w:rPr>
          <w:rFonts w:ascii="Times New Roman" w:hAnsi="Times New Roman" w:cs="Times New Roman"/>
          <w:sz w:val="26"/>
          <w:szCs w:val="26"/>
        </w:rPr>
      </w:pPr>
    </w:p>
    <w:p w14:paraId="798A839A" w14:textId="2849A33B" w:rsidR="00721A84" w:rsidRPr="000E63AC" w:rsidRDefault="00721A84" w:rsidP="00721A84">
      <w:pPr>
        <w:spacing w:after="0" w:line="240" w:lineRule="auto"/>
        <w:ind w:firstLine="709"/>
        <w:jc w:val="both"/>
        <w:rPr>
          <w:rFonts w:ascii="Times New Roman" w:hAnsi="Times New Roman" w:cs="Times New Roman"/>
          <w:b/>
          <w:sz w:val="26"/>
          <w:szCs w:val="26"/>
        </w:rPr>
      </w:pPr>
      <w:r w:rsidRPr="000E63AC">
        <w:rPr>
          <w:rFonts w:ascii="Times New Roman" w:hAnsi="Times New Roman" w:cs="Times New Roman"/>
          <w:b/>
          <w:sz w:val="26"/>
          <w:szCs w:val="26"/>
        </w:rPr>
        <w:t xml:space="preserve">3.2.1. </w:t>
      </w:r>
      <w:r w:rsidR="00D57EB4" w:rsidRPr="000E63AC">
        <w:rPr>
          <w:rFonts w:ascii="Times New Roman" w:hAnsi="Times New Roman" w:cs="Times New Roman"/>
          <w:b/>
          <w:sz w:val="26"/>
          <w:szCs w:val="26"/>
        </w:rPr>
        <w:t>pasākums</w:t>
      </w:r>
      <w:r w:rsidR="003A6B3B">
        <w:rPr>
          <w:rFonts w:ascii="Times New Roman" w:hAnsi="Times New Roman" w:cs="Times New Roman"/>
          <w:b/>
          <w:sz w:val="26"/>
          <w:szCs w:val="26"/>
        </w:rPr>
        <w:t>.</w:t>
      </w:r>
      <w:r w:rsidR="00D57EB4" w:rsidRPr="000E63AC">
        <w:rPr>
          <w:rFonts w:ascii="Times New Roman" w:hAnsi="Times New Roman" w:cs="Times New Roman"/>
          <w:b/>
          <w:sz w:val="26"/>
          <w:szCs w:val="26"/>
        </w:rPr>
        <w:t xml:space="preserve"> </w:t>
      </w:r>
      <w:r w:rsidRPr="000E63AC">
        <w:rPr>
          <w:rFonts w:ascii="Times New Roman" w:hAnsi="Times New Roman" w:cs="Times New Roman"/>
          <w:b/>
          <w:sz w:val="26"/>
          <w:szCs w:val="26"/>
        </w:rPr>
        <w:t>Papildu priekšrocības no citām iestādēm</w:t>
      </w:r>
    </w:p>
    <w:p w14:paraId="3868BFF6" w14:textId="77777777" w:rsidR="00721A84" w:rsidRPr="000E63AC" w:rsidRDefault="00721A84" w:rsidP="00721A84">
      <w:pPr>
        <w:spacing w:after="0" w:line="240" w:lineRule="auto"/>
        <w:ind w:firstLine="709"/>
        <w:jc w:val="both"/>
        <w:rPr>
          <w:rFonts w:ascii="Times New Roman" w:hAnsi="Times New Roman" w:cs="Times New Roman"/>
          <w:b/>
          <w:sz w:val="26"/>
          <w:szCs w:val="26"/>
        </w:rPr>
      </w:pPr>
    </w:p>
    <w:p w14:paraId="662439D5" w14:textId="3DE8396F" w:rsidR="003D289A" w:rsidRPr="000E63AC" w:rsidRDefault="00154164" w:rsidP="00FA69BE">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Lai paplašinātu Padziļinātās sadarbības programmas darbību un vienlaikus sekmētu</w:t>
      </w:r>
      <w:r w:rsidR="00771AE8" w:rsidRPr="000E63AC">
        <w:rPr>
          <w:rFonts w:ascii="Times New Roman" w:hAnsi="Times New Roman" w:cs="Times New Roman"/>
          <w:sz w:val="26"/>
          <w:szCs w:val="26"/>
        </w:rPr>
        <w:t xml:space="preserve"> godprātīgu uzņēmēju motivēšanu </w:t>
      </w:r>
      <w:r w:rsidR="00F91568" w:rsidRPr="000E63AC">
        <w:rPr>
          <w:rFonts w:ascii="Times New Roman" w:hAnsi="Times New Roman" w:cs="Times New Roman"/>
          <w:sz w:val="26"/>
          <w:szCs w:val="26"/>
        </w:rPr>
        <w:t>valsts pārvaldes iestādēm</w:t>
      </w:r>
      <w:r w:rsidR="00FA69BE" w:rsidRPr="000E63AC">
        <w:rPr>
          <w:rFonts w:ascii="Times New Roman" w:hAnsi="Times New Roman" w:cs="Times New Roman"/>
          <w:sz w:val="26"/>
          <w:szCs w:val="26"/>
        </w:rPr>
        <w:t xml:space="preserve"> (Aizsardzības ministrija, Ārlietu ministrija, Iekšlietu ministrija, Izglītības un zinātnes ministrija, Ekonomikas ministrija, Labklājības ministrija, Kultūras ministrija, Satiksmes ministrija, Tieslietu ministrija, Veselības ministrija, Vides aizsardzības un reģionālas attīstības ministrija, Zemkopības ministrija) (turpmāk – valsts pārvaldes iestādes)</w:t>
      </w:r>
      <w:r w:rsidR="00F91568" w:rsidRPr="000E63AC">
        <w:rPr>
          <w:rFonts w:ascii="Times New Roman" w:hAnsi="Times New Roman" w:cs="Times New Roman"/>
          <w:sz w:val="26"/>
          <w:szCs w:val="26"/>
        </w:rPr>
        <w:t xml:space="preserve"> </w:t>
      </w:r>
      <w:r w:rsidR="003A4FDE" w:rsidRPr="000E63AC">
        <w:rPr>
          <w:rFonts w:ascii="Times New Roman" w:hAnsi="Times New Roman" w:cs="Times New Roman"/>
          <w:sz w:val="26"/>
          <w:szCs w:val="26"/>
        </w:rPr>
        <w:t xml:space="preserve">atbilstoši kompetencei, izvērtēt iespējas </w:t>
      </w:r>
      <w:r w:rsidR="00006D24" w:rsidRPr="000E63AC">
        <w:rPr>
          <w:rFonts w:ascii="Times New Roman" w:hAnsi="Times New Roman" w:cs="Times New Roman"/>
          <w:sz w:val="26"/>
          <w:szCs w:val="26"/>
        </w:rPr>
        <w:t>piedāvāt uz</w:t>
      </w:r>
      <w:r w:rsidR="008A0158" w:rsidRPr="000E63AC">
        <w:rPr>
          <w:rFonts w:ascii="Times New Roman" w:hAnsi="Times New Roman" w:cs="Times New Roman"/>
          <w:sz w:val="26"/>
          <w:szCs w:val="26"/>
        </w:rPr>
        <w:t>ņēmumiem papildus priekšrocības, ievēro</w:t>
      </w:r>
      <w:r w:rsidR="00FF5DC4" w:rsidRPr="000E63AC">
        <w:rPr>
          <w:rFonts w:ascii="Times New Roman" w:hAnsi="Times New Roman" w:cs="Times New Roman"/>
          <w:sz w:val="26"/>
          <w:szCs w:val="26"/>
        </w:rPr>
        <w:t>jo</w:t>
      </w:r>
      <w:r w:rsidR="008A0158" w:rsidRPr="000E63AC">
        <w:rPr>
          <w:rFonts w:ascii="Times New Roman" w:hAnsi="Times New Roman" w:cs="Times New Roman"/>
          <w:sz w:val="26"/>
          <w:szCs w:val="26"/>
        </w:rPr>
        <w:t>t 3.1.1.</w:t>
      </w:r>
      <w:r w:rsidR="00D57EB4" w:rsidRPr="000E63AC">
        <w:rPr>
          <w:rFonts w:ascii="Times New Roman" w:hAnsi="Times New Roman" w:cs="Times New Roman"/>
          <w:sz w:val="26"/>
          <w:szCs w:val="26"/>
        </w:rPr>
        <w:t xml:space="preserve"> pasākumā</w:t>
      </w:r>
      <w:r w:rsidR="008A0158" w:rsidRPr="000E63AC">
        <w:rPr>
          <w:rFonts w:ascii="Times New Roman" w:hAnsi="Times New Roman" w:cs="Times New Roman"/>
          <w:sz w:val="26"/>
          <w:szCs w:val="26"/>
        </w:rPr>
        <w:t xml:space="preserve"> minētos segmentēšanas kritērijus</w:t>
      </w:r>
      <w:r w:rsidR="00A10CFE" w:rsidRPr="000E63AC">
        <w:rPr>
          <w:rFonts w:ascii="Times New Roman" w:hAnsi="Times New Roman" w:cs="Times New Roman"/>
          <w:sz w:val="26"/>
          <w:szCs w:val="26"/>
        </w:rPr>
        <w:t>.</w:t>
      </w:r>
      <w:r w:rsidR="00006D24" w:rsidRPr="000E63AC">
        <w:rPr>
          <w:rFonts w:ascii="Times New Roman" w:hAnsi="Times New Roman" w:cs="Times New Roman"/>
          <w:sz w:val="26"/>
          <w:szCs w:val="26"/>
        </w:rPr>
        <w:t xml:space="preserve"> </w:t>
      </w:r>
      <w:r w:rsidR="003A4FDE" w:rsidRPr="000E63AC">
        <w:rPr>
          <w:rFonts w:ascii="Times New Roman" w:hAnsi="Times New Roman" w:cs="Times New Roman"/>
          <w:sz w:val="26"/>
          <w:szCs w:val="26"/>
        </w:rPr>
        <w:t xml:space="preserve">Pēc sagatavotā izvērtējuma, </w:t>
      </w:r>
      <w:r w:rsidR="00FA69BE" w:rsidRPr="000E63AC">
        <w:rPr>
          <w:rFonts w:ascii="Times New Roman" w:hAnsi="Times New Roman" w:cs="Times New Roman"/>
          <w:sz w:val="26"/>
          <w:szCs w:val="26"/>
        </w:rPr>
        <w:t>v</w:t>
      </w:r>
      <w:r w:rsidR="00B80B35" w:rsidRPr="000E63AC">
        <w:rPr>
          <w:rFonts w:ascii="Times New Roman" w:hAnsi="Times New Roman" w:cs="Times New Roman"/>
          <w:sz w:val="26"/>
          <w:szCs w:val="26"/>
        </w:rPr>
        <w:t xml:space="preserve">alsts pārvaldes </w:t>
      </w:r>
      <w:r w:rsidR="00096A0D" w:rsidRPr="000E63AC">
        <w:rPr>
          <w:rFonts w:ascii="Times New Roman" w:hAnsi="Times New Roman" w:cs="Times New Roman"/>
          <w:sz w:val="26"/>
          <w:szCs w:val="26"/>
        </w:rPr>
        <w:t>iestād</w:t>
      </w:r>
      <w:r w:rsidR="00843C42" w:rsidRPr="000E63AC">
        <w:rPr>
          <w:rFonts w:ascii="Times New Roman" w:hAnsi="Times New Roman" w:cs="Times New Roman"/>
          <w:sz w:val="26"/>
          <w:szCs w:val="26"/>
        </w:rPr>
        <w:t>ēm j</w:t>
      </w:r>
      <w:r w:rsidR="00A10CFE" w:rsidRPr="000E63AC">
        <w:rPr>
          <w:rFonts w:ascii="Times New Roman" w:hAnsi="Times New Roman" w:cs="Times New Roman"/>
          <w:sz w:val="26"/>
          <w:szCs w:val="26"/>
        </w:rPr>
        <w:t>ā</w:t>
      </w:r>
      <w:r w:rsidR="00096A0D" w:rsidRPr="000E63AC">
        <w:rPr>
          <w:rFonts w:ascii="Times New Roman" w:hAnsi="Times New Roman" w:cs="Times New Roman"/>
          <w:sz w:val="26"/>
          <w:szCs w:val="26"/>
        </w:rPr>
        <w:t xml:space="preserve">iesniedz </w:t>
      </w:r>
      <w:r w:rsidR="005C7593" w:rsidRPr="000E63AC">
        <w:rPr>
          <w:rFonts w:ascii="Times New Roman" w:hAnsi="Times New Roman" w:cs="Times New Roman"/>
          <w:sz w:val="26"/>
          <w:szCs w:val="26"/>
        </w:rPr>
        <w:t>Finan</w:t>
      </w:r>
      <w:r w:rsidR="00C20F8E" w:rsidRPr="000E63AC">
        <w:rPr>
          <w:rFonts w:ascii="Times New Roman" w:hAnsi="Times New Roman" w:cs="Times New Roman"/>
          <w:sz w:val="26"/>
          <w:szCs w:val="26"/>
        </w:rPr>
        <w:t>šu ministrijai sarakstu ar pie</w:t>
      </w:r>
      <w:r w:rsidR="005C7593" w:rsidRPr="000E63AC">
        <w:rPr>
          <w:rFonts w:ascii="Times New Roman" w:hAnsi="Times New Roman" w:cs="Times New Roman"/>
          <w:sz w:val="26"/>
          <w:szCs w:val="26"/>
        </w:rPr>
        <w:t xml:space="preserve">dāvātajiem pakalpojumiem </w:t>
      </w:r>
      <w:r w:rsidR="00402948" w:rsidRPr="000E63AC">
        <w:rPr>
          <w:rFonts w:ascii="Times New Roman" w:hAnsi="Times New Roman" w:cs="Times New Roman"/>
          <w:sz w:val="26"/>
          <w:szCs w:val="26"/>
        </w:rPr>
        <w:t xml:space="preserve">katram līmenim </w:t>
      </w:r>
      <w:r w:rsidR="005C7593" w:rsidRPr="000E63AC">
        <w:rPr>
          <w:rFonts w:ascii="Times New Roman" w:hAnsi="Times New Roman" w:cs="Times New Roman"/>
          <w:sz w:val="26"/>
          <w:szCs w:val="26"/>
        </w:rPr>
        <w:t>Padziļinātās sadarbības programmas</w:t>
      </w:r>
      <w:r w:rsidR="00402948" w:rsidRPr="000E63AC">
        <w:rPr>
          <w:rFonts w:ascii="Times New Roman" w:hAnsi="Times New Roman" w:cs="Times New Roman"/>
          <w:sz w:val="26"/>
          <w:szCs w:val="26"/>
        </w:rPr>
        <w:t xml:space="preserve"> dalībniekiem</w:t>
      </w:r>
      <w:r w:rsidR="00843C42" w:rsidRPr="000E63AC">
        <w:rPr>
          <w:rFonts w:ascii="Times New Roman" w:hAnsi="Times New Roman" w:cs="Times New Roman"/>
          <w:sz w:val="26"/>
          <w:szCs w:val="26"/>
        </w:rPr>
        <w:t>, i</w:t>
      </w:r>
      <w:r w:rsidR="00DB69C9" w:rsidRPr="000E63AC">
        <w:rPr>
          <w:rFonts w:ascii="Times New Roman" w:hAnsi="Times New Roman" w:cs="Times New Roman"/>
          <w:sz w:val="26"/>
          <w:szCs w:val="26"/>
        </w:rPr>
        <w:t xml:space="preserve">evērojot iepriekš aprakstītos </w:t>
      </w:r>
      <w:r w:rsidR="008061E2" w:rsidRPr="000E63AC">
        <w:rPr>
          <w:rFonts w:ascii="Times New Roman" w:hAnsi="Times New Roman" w:cs="Times New Roman"/>
          <w:sz w:val="26"/>
          <w:szCs w:val="26"/>
        </w:rPr>
        <w:t xml:space="preserve">un konceptuālā ziņojuma 1.pielikumā pievienotos </w:t>
      </w:r>
      <w:r w:rsidR="008A0158" w:rsidRPr="000E63AC">
        <w:rPr>
          <w:rFonts w:ascii="Times New Roman" w:hAnsi="Times New Roman" w:cs="Times New Roman"/>
          <w:sz w:val="26"/>
          <w:szCs w:val="26"/>
        </w:rPr>
        <w:t>segmentēšanas</w:t>
      </w:r>
      <w:r w:rsidR="00DB69C9" w:rsidRPr="000E63AC">
        <w:rPr>
          <w:rFonts w:ascii="Times New Roman" w:hAnsi="Times New Roman" w:cs="Times New Roman"/>
          <w:sz w:val="26"/>
          <w:szCs w:val="26"/>
        </w:rPr>
        <w:t xml:space="preserve"> kritērijus.</w:t>
      </w:r>
    </w:p>
    <w:p w14:paraId="69DDC9B6" w14:textId="77777777" w:rsidR="00F41810" w:rsidRPr="000E63AC" w:rsidRDefault="00F41810" w:rsidP="0099414B">
      <w:pPr>
        <w:spacing w:after="0" w:line="240" w:lineRule="auto"/>
        <w:ind w:firstLine="709"/>
        <w:jc w:val="both"/>
        <w:rPr>
          <w:rFonts w:ascii="Times New Roman" w:hAnsi="Times New Roman" w:cs="Times New Roman"/>
          <w:sz w:val="26"/>
          <w:szCs w:val="26"/>
        </w:rPr>
      </w:pPr>
    </w:p>
    <w:p w14:paraId="1F7D37A4" w14:textId="6BA6F7D6" w:rsidR="00F62E52" w:rsidRPr="000E63AC" w:rsidRDefault="00843C42" w:rsidP="0099414B">
      <w:pPr>
        <w:spacing w:after="0" w:line="240" w:lineRule="auto"/>
        <w:ind w:firstLine="709"/>
        <w:jc w:val="both"/>
        <w:rPr>
          <w:rFonts w:ascii="Times New Roman" w:hAnsi="Times New Roman" w:cs="Times New Roman"/>
          <w:b/>
          <w:sz w:val="26"/>
          <w:szCs w:val="26"/>
        </w:rPr>
      </w:pPr>
      <w:r w:rsidRPr="000E63AC">
        <w:rPr>
          <w:rFonts w:ascii="Times New Roman" w:hAnsi="Times New Roman" w:cs="Times New Roman"/>
          <w:b/>
          <w:sz w:val="26"/>
          <w:szCs w:val="26"/>
        </w:rPr>
        <w:t xml:space="preserve">3.2.2. </w:t>
      </w:r>
      <w:r w:rsidR="00D57EB4" w:rsidRPr="000E63AC">
        <w:rPr>
          <w:rFonts w:ascii="Times New Roman" w:hAnsi="Times New Roman" w:cs="Times New Roman"/>
          <w:b/>
          <w:sz w:val="26"/>
          <w:szCs w:val="26"/>
        </w:rPr>
        <w:t>pasākums</w:t>
      </w:r>
      <w:r w:rsidR="003A6B3B">
        <w:rPr>
          <w:rFonts w:ascii="Times New Roman" w:hAnsi="Times New Roman" w:cs="Times New Roman"/>
          <w:b/>
          <w:sz w:val="26"/>
          <w:szCs w:val="26"/>
        </w:rPr>
        <w:t>.</w:t>
      </w:r>
      <w:r w:rsidR="00D57EB4" w:rsidRPr="000E63AC">
        <w:rPr>
          <w:rFonts w:ascii="Times New Roman" w:hAnsi="Times New Roman" w:cs="Times New Roman"/>
          <w:b/>
          <w:sz w:val="26"/>
          <w:szCs w:val="26"/>
        </w:rPr>
        <w:t xml:space="preserve"> </w:t>
      </w:r>
      <w:r w:rsidR="008A0158" w:rsidRPr="000E63AC">
        <w:rPr>
          <w:rFonts w:ascii="Times New Roman" w:hAnsi="Times New Roman" w:cs="Times New Roman"/>
          <w:b/>
          <w:sz w:val="26"/>
          <w:szCs w:val="26"/>
        </w:rPr>
        <w:t>Papildu</w:t>
      </w:r>
      <w:r w:rsidR="00F62E52" w:rsidRPr="000E63AC">
        <w:rPr>
          <w:rFonts w:ascii="Times New Roman" w:hAnsi="Times New Roman" w:cs="Times New Roman"/>
          <w:b/>
          <w:sz w:val="26"/>
          <w:szCs w:val="26"/>
        </w:rPr>
        <w:t xml:space="preserve"> priekšrocības normatīvajos aktos</w:t>
      </w:r>
    </w:p>
    <w:p w14:paraId="37F4F41B" w14:textId="77777777" w:rsidR="006603F6" w:rsidRPr="000E63AC" w:rsidRDefault="006603F6" w:rsidP="0099414B">
      <w:pPr>
        <w:spacing w:after="0" w:line="240" w:lineRule="auto"/>
        <w:ind w:firstLine="709"/>
        <w:jc w:val="both"/>
        <w:rPr>
          <w:rFonts w:ascii="Times New Roman" w:hAnsi="Times New Roman" w:cs="Times New Roman"/>
          <w:sz w:val="26"/>
          <w:szCs w:val="26"/>
        </w:rPr>
      </w:pPr>
    </w:p>
    <w:p w14:paraId="78238F2D" w14:textId="5548FD1F" w:rsidR="00122A39" w:rsidRPr="000E63AC" w:rsidRDefault="006E7B5B" w:rsidP="0099414B">
      <w:pPr>
        <w:spacing w:after="0" w:line="240" w:lineRule="auto"/>
        <w:ind w:firstLine="709"/>
        <w:jc w:val="both"/>
        <w:rPr>
          <w:rFonts w:ascii="Times New Roman" w:hAnsi="Times New Roman" w:cs="Times New Roman"/>
          <w:sz w:val="26"/>
          <w:szCs w:val="26"/>
        </w:rPr>
      </w:pPr>
      <w:r w:rsidRPr="000E63AC">
        <w:rPr>
          <w:rFonts w:ascii="Times New Roman" w:hAnsi="Times New Roman" w:cs="Times New Roman"/>
          <w:sz w:val="26"/>
          <w:szCs w:val="26"/>
        </w:rPr>
        <w:t>V</w:t>
      </w:r>
      <w:r w:rsidR="00122A39" w:rsidRPr="000E63AC">
        <w:rPr>
          <w:rFonts w:ascii="Times New Roman" w:hAnsi="Times New Roman" w:cs="Times New Roman"/>
          <w:sz w:val="26"/>
          <w:szCs w:val="26"/>
        </w:rPr>
        <w:t>alsts pārvaldes iestād</w:t>
      </w:r>
      <w:r w:rsidR="00843C42" w:rsidRPr="000E63AC">
        <w:rPr>
          <w:rFonts w:ascii="Times New Roman" w:hAnsi="Times New Roman" w:cs="Times New Roman"/>
          <w:sz w:val="26"/>
          <w:szCs w:val="26"/>
        </w:rPr>
        <w:t>ēm</w:t>
      </w:r>
      <w:r w:rsidR="00122A39" w:rsidRPr="000E63AC">
        <w:rPr>
          <w:rFonts w:ascii="Times New Roman" w:hAnsi="Times New Roman" w:cs="Times New Roman"/>
          <w:sz w:val="26"/>
          <w:szCs w:val="26"/>
        </w:rPr>
        <w:t xml:space="preserve"> </w:t>
      </w:r>
      <w:r w:rsidR="00DB789B" w:rsidRPr="000E63AC">
        <w:rPr>
          <w:rFonts w:ascii="Times New Roman" w:hAnsi="Times New Roman" w:cs="Times New Roman"/>
          <w:sz w:val="26"/>
          <w:szCs w:val="26"/>
        </w:rPr>
        <w:t>vienlaikus ar nākamajiem grozījumiem attiecīgajos normatīvajos aktos, bet ne vēlāk kā līdz 2018.gada 1.</w:t>
      </w:r>
      <w:r w:rsidR="0036593E" w:rsidRPr="000E63AC">
        <w:rPr>
          <w:rFonts w:ascii="Times New Roman" w:hAnsi="Times New Roman" w:cs="Times New Roman"/>
          <w:sz w:val="26"/>
          <w:szCs w:val="26"/>
        </w:rPr>
        <w:t>oktobrim</w:t>
      </w:r>
      <w:r w:rsidR="00DB789B" w:rsidRPr="000E63AC">
        <w:rPr>
          <w:rFonts w:ascii="Times New Roman" w:hAnsi="Times New Roman" w:cs="Times New Roman"/>
          <w:sz w:val="26"/>
          <w:szCs w:val="26"/>
        </w:rPr>
        <w:t xml:space="preserve">, </w:t>
      </w:r>
      <w:r w:rsidR="006E1C5E" w:rsidRPr="000E63AC">
        <w:rPr>
          <w:rFonts w:ascii="Times New Roman" w:hAnsi="Times New Roman" w:cs="Times New Roman"/>
          <w:sz w:val="26"/>
          <w:szCs w:val="26"/>
        </w:rPr>
        <w:t>noteiktā kārtībā sagatavo</w:t>
      </w:r>
      <w:r w:rsidR="00843C42" w:rsidRPr="000E63AC">
        <w:rPr>
          <w:rFonts w:ascii="Times New Roman" w:hAnsi="Times New Roman" w:cs="Times New Roman"/>
          <w:sz w:val="26"/>
          <w:szCs w:val="26"/>
        </w:rPr>
        <w:t>t</w:t>
      </w:r>
      <w:r w:rsidR="006E1C5E" w:rsidRPr="000E63AC">
        <w:rPr>
          <w:rFonts w:ascii="Times New Roman" w:hAnsi="Times New Roman" w:cs="Times New Roman"/>
          <w:sz w:val="26"/>
          <w:szCs w:val="26"/>
        </w:rPr>
        <w:t xml:space="preserve"> un iesnie</w:t>
      </w:r>
      <w:r w:rsidR="00843C42" w:rsidRPr="000E63AC">
        <w:rPr>
          <w:rFonts w:ascii="Times New Roman" w:hAnsi="Times New Roman" w:cs="Times New Roman"/>
          <w:sz w:val="26"/>
          <w:szCs w:val="26"/>
        </w:rPr>
        <w:t>gt</w:t>
      </w:r>
      <w:r w:rsidR="006E1C5E" w:rsidRPr="000E63AC">
        <w:rPr>
          <w:rFonts w:ascii="Times New Roman" w:hAnsi="Times New Roman" w:cs="Times New Roman"/>
          <w:sz w:val="26"/>
          <w:szCs w:val="26"/>
        </w:rPr>
        <w:t xml:space="preserve"> Ministru kabinetā </w:t>
      </w:r>
      <w:r w:rsidR="00122A39" w:rsidRPr="000E63AC">
        <w:rPr>
          <w:rFonts w:ascii="Times New Roman" w:hAnsi="Times New Roman" w:cs="Times New Roman"/>
          <w:sz w:val="26"/>
          <w:szCs w:val="26"/>
        </w:rPr>
        <w:t>nepieciešamās izmaiņas normatīvajos aktos saistībā ar paredzētajām priekšrocībām Padziļinātās sadarbības programmā</w:t>
      </w:r>
      <w:r w:rsidR="007B04A3">
        <w:rPr>
          <w:rFonts w:ascii="Times New Roman" w:hAnsi="Times New Roman" w:cs="Times New Roman"/>
          <w:sz w:val="26"/>
          <w:szCs w:val="26"/>
        </w:rPr>
        <w:t>,</w:t>
      </w:r>
      <w:r w:rsidR="001B619D" w:rsidRPr="000E63AC">
        <w:rPr>
          <w:rFonts w:ascii="Times New Roman" w:hAnsi="Times New Roman" w:cs="Times New Roman"/>
          <w:sz w:val="26"/>
          <w:szCs w:val="26"/>
        </w:rPr>
        <w:t xml:space="preserve"> par to informējot Finanšu ministriju</w:t>
      </w:r>
      <w:r w:rsidR="00122A39" w:rsidRPr="000E63AC">
        <w:rPr>
          <w:rFonts w:ascii="Times New Roman" w:hAnsi="Times New Roman" w:cs="Times New Roman"/>
          <w:sz w:val="26"/>
          <w:szCs w:val="26"/>
        </w:rPr>
        <w:t>.</w:t>
      </w:r>
      <w:r w:rsidR="00B227D8">
        <w:rPr>
          <w:rFonts w:ascii="Times New Roman" w:hAnsi="Times New Roman" w:cs="Times New Roman"/>
          <w:sz w:val="26"/>
          <w:szCs w:val="26"/>
        </w:rPr>
        <w:t xml:space="preserve"> </w:t>
      </w:r>
      <w:r w:rsidR="00B227D8" w:rsidRPr="002310A6">
        <w:rPr>
          <w:rFonts w:ascii="Times New Roman" w:hAnsi="Times New Roman" w:cs="Times New Roman"/>
          <w:sz w:val="26"/>
          <w:szCs w:val="26"/>
        </w:rPr>
        <w:t>Atsevišķos gadījum</w:t>
      </w:r>
      <w:r w:rsidR="007B04A3">
        <w:rPr>
          <w:rFonts w:ascii="Times New Roman" w:hAnsi="Times New Roman" w:cs="Times New Roman"/>
          <w:sz w:val="26"/>
          <w:szCs w:val="26"/>
        </w:rPr>
        <w:t>o</w:t>
      </w:r>
      <w:r w:rsidR="00B227D8" w:rsidRPr="002310A6">
        <w:rPr>
          <w:rFonts w:ascii="Times New Roman" w:hAnsi="Times New Roman" w:cs="Times New Roman"/>
          <w:sz w:val="26"/>
          <w:szCs w:val="26"/>
        </w:rPr>
        <w:t xml:space="preserve">s, pamatojot nepieciešamību, </w:t>
      </w:r>
      <w:r w:rsidR="00B227D8" w:rsidRPr="002310A6">
        <w:rPr>
          <w:rFonts w:ascii="Times New Roman" w:hAnsi="Times New Roman" w:cs="Times New Roman"/>
          <w:sz w:val="26"/>
          <w:szCs w:val="26"/>
        </w:rPr>
        <w:lastRenderedPageBreak/>
        <w:t xml:space="preserve">iespējams uzdevuma </w:t>
      </w:r>
      <w:r w:rsidR="00BF5861">
        <w:rPr>
          <w:rFonts w:ascii="Times New Roman" w:hAnsi="Times New Roman" w:cs="Times New Roman"/>
          <w:sz w:val="26"/>
          <w:szCs w:val="26"/>
        </w:rPr>
        <w:t>i</w:t>
      </w:r>
      <w:r w:rsidR="00B227D8" w:rsidRPr="002310A6">
        <w:rPr>
          <w:rFonts w:ascii="Times New Roman" w:hAnsi="Times New Roman" w:cs="Times New Roman"/>
          <w:sz w:val="26"/>
          <w:szCs w:val="26"/>
        </w:rPr>
        <w:t>zpildes termiņa pagarinājums, par to informējot Finanšu ministriju.</w:t>
      </w:r>
    </w:p>
    <w:p w14:paraId="186F00C9" w14:textId="77777777" w:rsidR="008A0158" w:rsidRPr="000E63AC" w:rsidRDefault="008A0158" w:rsidP="0099414B">
      <w:pPr>
        <w:spacing w:after="0" w:line="240" w:lineRule="auto"/>
        <w:ind w:firstLine="709"/>
        <w:jc w:val="both"/>
        <w:rPr>
          <w:rFonts w:ascii="Times New Roman" w:hAnsi="Times New Roman" w:cs="Times New Roman"/>
          <w:sz w:val="26"/>
          <w:szCs w:val="26"/>
        </w:rPr>
      </w:pPr>
    </w:p>
    <w:p w14:paraId="18755327" w14:textId="72F17311" w:rsidR="00D81793" w:rsidRPr="000E63AC" w:rsidRDefault="0018719D" w:rsidP="0099414B">
      <w:pPr>
        <w:spacing w:after="0" w:line="240" w:lineRule="auto"/>
        <w:jc w:val="center"/>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t>Piedāvātā risinājuma sākotnējais ietekmes izvērtējums</w:t>
      </w:r>
    </w:p>
    <w:p w14:paraId="6803C84C" w14:textId="77777777" w:rsidR="00CC1828" w:rsidRPr="000E63AC" w:rsidRDefault="00CC1828" w:rsidP="0099414B">
      <w:pPr>
        <w:spacing w:after="0" w:line="240" w:lineRule="auto"/>
        <w:jc w:val="center"/>
        <w:rPr>
          <w:rFonts w:ascii="Times New Roman" w:eastAsia="Times New Roman" w:hAnsi="Times New Roman" w:cs="Times New Roman"/>
          <w:b/>
          <w:sz w:val="26"/>
          <w:szCs w:val="26"/>
          <w:lang w:eastAsia="lv-LV"/>
        </w:rPr>
      </w:pPr>
    </w:p>
    <w:p w14:paraId="7427F03C" w14:textId="12B138FD" w:rsidR="005865EA" w:rsidRPr="000E63AC" w:rsidRDefault="005865EA"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Ieviešot piedāvāto risinājumu, tiktu nodrošināts, ka Padziļinātā sadarbības programma kļūtu pieejama ikvienam Latvijas uzņēmējam, k</w:t>
      </w:r>
      <w:r w:rsidR="008B1CD3" w:rsidRPr="000E63AC">
        <w:rPr>
          <w:rFonts w:ascii="Times New Roman" w:eastAsia="Times New Roman" w:hAnsi="Times New Roman" w:cs="Times New Roman"/>
          <w:sz w:val="26"/>
          <w:szCs w:val="26"/>
          <w:lang w:eastAsia="lv-LV"/>
        </w:rPr>
        <w:t>urš</w:t>
      </w:r>
      <w:r w:rsidRPr="000E63AC">
        <w:rPr>
          <w:rFonts w:ascii="Times New Roman" w:eastAsia="Times New Roman" w:hAnsi="Times New Roman" w:cs="Times New Roman"/>
          <w:sz w:val="26"/>
          <w:szCs w:val="26"/>
          <w:lang w:eastAsia="lv-LV"/>
        </w:rPr>
        <w:t xml:space="preserve"> sevi ir pierādījis kā godprātīgu uzņēmēju un</w:t>
      </w:r>
      <w:r w:rsidR="00F41810" w:rsidRPr="000E63AC">
        <w:rPr>
          <w:rFonts w:ascii="Times New Roman" w:eastAsia="Times New Roman" w:hAnsi="Times New Roman" w:cs="Times New Roman"/>
          <w:sz w:val="26"/>
          <w:szCs w:val="26"/>
          <w:lang w:eastAsia="lv-LV"/>
        </w:rPr>
        <w:t>,</w:t>
      </w:r>
      <w:r w:rsidRPr="000E63AC">
        <w:rPr>
          <w:rFonts w:ascii="Times New Roman" w:eastAsia="Times New Roman" w:hAnsi="Times New Roman" w:cs="Times New Roman"/>
          <w:sz w:val="26"/>
          <w:szCs w:val="26"/>
          <w:lang w:eastAsia="lv-LV"/>
        </w:rPr>
        <w:t xml:space="preserve"> kura </w:t>
      </w:r>
      <w:r w:rsidR="00457DB3" w:rsidRPr="000E63AC">
        <w:rPr>
          <w:rFonts w:ascii="Times New Roman" w:eastAsia="Times New Roman" w:hAnsi="Times New Roman" w:cs="Times New Roman"/>
          <w:sz w:val="26"/>
          <w:szCs w:val="26"/>
          <w:lang w:eastAsia="lv-LV"/>
        </w:rPr>
        <w:t xml:space="preserve">uzņēmuma </w:t>
      </w:r>
      <w:r w:rsidRPr="000E63AC">
        <w:rPr>
          <w:rFonts w:ascii="Times New Roman" w:eastAsia="Times New Roman" w:hAnsi="Times New Roman" w:cs="Times New Roman"/>
          <w:sz w:val="26"/>
          <w:szCs w:val="26"/>
          <w:lang w:eastAsia="lv-LV"/>
        </w:rPr>
        <w:t xml:space="preserve">vērtības ir balstītas </w:t>
      </w:r>
      <w:r w:rsidR="00A7694C" w:rsidRPr="000E63AC">
        <w:rPr>
          <w:rFonts w:ascii="Times New Roman" w:eastAsia="Times New Roman" w:hAnsi="Times New Roman" w:cs="Times New Roman"/>
          <w:sz w:val="26"/>
          <w:szCs w:val="26"/>
          <w:lang w:eastAsia="lv-LV"/>
        </w:rPr>
        <w:t>uz savlaicīgu nodokļu nomaksu, efektīvu sadarbību ar Valsts ieņēmumu dienestu, pārkāpumu mazināšanu u.c.</w:t>
      </w:r>
      <w:r w:rsidRPr="000E63AC">
        <w:rPr>
          <w:rFonts w:ascii="Times New Roman" w:eastAsia="Times New Roman" w:hAnsi="Times New Roman" w:cs="Times New Roman"/>
          <w:sz w:val="26"/>
          <w:szCs w:val="26"/>
          <w:lang w:eastAsia="lv-LV"/>
        </w:rPr>
        <w:t xml:space="preserve"> </w:t>
      </w:r>
    </w:p>
    <w:p w14:paraId="3B382BD4" w14:textId="75D81745" w:rsidR="00BC179D" w:rsidRPr="000E63AC" w:rsidRDefault="006460D5"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Pēc</w:t>
      </w:r>
      <w:r w:rsidR="009C423F" w:rsidRPr="000E63AC">
        <w:rPr>
          <w:rFonts w:ascii="Times New Roman" w:eastAsia="Times New Roman" w:hAnsi="Times New Roman" w:cs="Times New Roman"/>
          <w:sz w:val="26"/>
          <w:szCs w:val="26"/>
          <w:lang w:eastAsia="lv-LV"/>
        </w:rPr>
        <w:t xml:space="preserve"> Valsts ieņēmuma dienesta rīcībā esošiem datiem piedāvātais risinājums ļau</w:t>
      </w:r>
      <w:r w:rsidR="006603F6" w:rsidRPr="000E63AC">
        <w:rPr>
          <w:rFonts w:ascii="Times New Roman" w:eastAsia="Times New Roman" w:hAnsi="Times New Roman" w:cs="Times New Roman"/>
          <w:sz w:val="26"/>
          <w:szCs w:val="26"/>
          <w:lang w:eastAsia="lv-LV"/>
        </w:rPr>
        <w:t>tu</w:t>
      </w:r>
      <w:r w:rsidR="009C423F" w:rsidRPr="000E63AC">
        <w:rPr>
          <w:rFonts w:ascii="Times New Roman" w:eastAsia="Times New Roman" w:hAnsi="Times New Roman" w:cs="Times New Roman"/>
          <w:sz w:val="26"/>
          <w:szCs w:val="26"/>
          <w:lang w:eastAsia="lv-LV"/>
        </w:rPr>
        <w:t xml:space="preserve"> palielināt Padziļinātās sadarbības programmas dalībnieku skaitu no esošajiem 7</w:t>
      </w:r>
      <w:r w:rsidR="00E63882">
        <w:rPr>
          <w:rFonts w:ascii="Times New Roman" w:eastAsia="Times New Roman" w:hAnsi="Times New Roman" w:cs="Times New Roman"/>
          <w:sz w:val="26"/>
          <w:szCs w:val="26"/>
          <w:lang w:eastAsia="lv-LV"/>
        </w:rPr>
        <w:t>5</w:t>
      </w:r>
      <w:r w:rsidR="009C423F" w:rsidRPr="000E63AC">
        <w:rPr>
          <w:rFonts w:ascii="Times New Roman" w:eastAsia="Times New Roman" w:hAnsi="Times New Roman" w:cs="Times New Roman"/>
          <w:sz w:val="26"/>
          <w:szCs w:val="26"/>
          <w:lang w:eastAsia="lv-LV"/>
        </w:rPr>
        <w:t xml:space="preserve"> līdz </w:t>
      </w:r>
      <w:r w:rsidR="00540111" w:rsidRPr="000E63AC">
        <w:rPr>
          <w:rFonts w:ascii="Times New Roman" w:eastAsia="Times New Roman" w:hAnsi="Times New Roman" w:cs="Times New Roman"/>
          <w:sz w:val="26"/>
          <w:szCs w:val="26"/>
          <w:lang w:eastAsia="lv-LV"/>
        </w:rPr>
        <w:t xml:space="preserve">~ </w:t>
      </w:r>
      <w:r w:rsidRPr="000E63AC">
        <w:rPr>
          <w:rFonts w:ascii="Times New Roman" w:eastAsia="Times New Roman" w:hAnsi="Times New Roman" w:cs="Times New Roman"/>
          <w:sz w:val="26"/>
          <w:szCs w:val="26"/>
          <w:lang w:eastAsia="lv-LV"/>
        </w:rPr>
        <w:t>2</w:t>
      </w:r>
      <w:r w:rsidR="00540111" w:rsidRPr="000E63AC">
        <w:rPr>
          <w:rFonts w:ascii="Times New Roman" w:eastAsia="Times New Roman" w:hAnsi="Times New Roman" w:cs="Times New Roman"/>
          <w:sz w:val="26"/>
          <w:szCs w:val="26"/>
          <w:lang w:eastAsia="lv-LV"/>
        </w:rPr>
        <w:t>000</w:t>
      </w:r>
      <w:r w:rsidR="00B51C18" w:rsidRPr="000E63AC">
        <w:rPr>
          <w:rFonts w:ascii="Times New Roman" w:eastAsia="Times New Roman" w:hAnsi="Times New Roman" w:cs="Times New Roman"/>
          <w:sz w:val="26"/>
          <w:szCs w:val="26"/>
          <w:lang w:eastAsia="lv-LV"/>
        </w:rPr>
        <w:t xml:space="preserve">. </w:t>
      </w:r>
    </w:p>
    <w:p w14:paraId="74F62B92" w14:textId="2F5B56F8" w:rsidR="000D24C8" w:rsidRPr="000E63AC" w:rsidRDefault="00614C1F"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Ieviešot piedāvāto risinājumu,</w:t>
      </w:r>
      <w:r w:rsidR="000D24C8" w:rsidRPr="000E63AC">
        <w:rPr>
          <w:rFonts w:ascii="Times New Roman" w:eastAsia="Times New Roman" w:hAnsi="Times New Roman" w:cs="Times New Roman"/>
          <w:sz w:val="26"/>
          <w:szCs w:val="26"/>
          <w:lang w:eastAsia="lv-LV"/>
        </w:rPr>
        <w:t xml:space="preserve"> </w:t>
      </w:r>
      <w:r w:rsidR="002E567B" w:rsidRPr="000E63AC">
        <w:rPr>
          <w:rFonts w:ascii="Times New Roman" w:eastAsia="Times New Roman" w:hAnsi="Times New Roman" w:cs="Times New Roman"/>
          <w:sz w:val="26"/>
          <w:szCs w:val="26"/>
          <w:lang w:eastAsia="lv-LV"/>
        </w:rPr>
        <w:t xml:space="preserve">tiktu sekmēta </w:t>
      </w:r>
      <w:r w:rsidR="00A7694C" w:rsidRPr="000E63AC">
        <w:rPr>
          <w:rFonts w:ascii="Times New Roman" w:eastAsia="Times New Roman" w:hAnsi="Times New Roman" w:cs="Times New Roman"/>
          <w:sz w:val="26"/>
          <w:szCs w:val="26"/>
          <w:lang w:eastAsia="lv-LV"/>
        </w:rPr>
        <w:t>uzticama</w:t>
      </w:r>
      <w:r w:rsidR="002E567B" w:rsidRPr="000E63AC">
        <w:rPr>
          <w:rFonts w:ascii="Times New Roman" w:eastAsia="Times New Roman" w:hAnsi="Times New Roman" w:cs="Times New Roman"/>
          <w:sz w:val="26"/>
          <w:szCs w:val="26"/>
          <w:lang w:eastAsia="lv-LV"/>
        </w:rPr>
        <w:t xml:space="preserve"> nodokļu maksātāju statusa popularizēšana</w:t>
      </w:r>
      <w:r w:rsidR="004F42A5" w:rsidRPr="000E63AC">
        <w:rPr>
          <w:rFonts w:ascii="Times New Roman" w:eastAsia="Times New Roman" w:hAnsi="Times New Roman" w:cs="Times New Roman"/>
          <w:sz w:val="26"/>
          <w:szCs w:val="26"/>
          <w:lang w:eastAsia="lv-LV"/>
        </w:rPr>
        <w:t xml:space="preserve">, kas kalpotu </w:t>
      </w:r>
      <w:r w:rsidR="005B20D8" w:rsidRPr="000E63AC">
        <w:rPr>
          <w:rFonts w:ascii="Times New Roman" w:eastAsia="Times New Roman" w:hAnsi="Times New Roman" w:cs="Times New Roman"/>
          <w:sz w:val="26"/>
          <w:szCs w:val="26"/>
          <w:lang w:eastAsia="lv-LV"/>
        </w:rPr>
        <w:t>kā nodokļu nomaksas motivācijas rīks un</w:t>
      </w:r>
      <w:r w:rsidR="004F42A5" w:rsidRPr="000E63AC">
        <w:rPr>
          <w:rFonts w:ascii="Times New Roman" w:eastAsia="Times New Roman" w:hAnsi="Times New Roman" w:cs="Times New Roman"/>
          <w:sz w:val="26"/>
          <w:szCs w:val="26"/>
          <w:lang w:eastAsia="lv-LV"/>
        </w:rPr>
        <w:t xml:space="preserve"> marketinga instruments biznesa attiecību dibināšanā vai nostiprināšanā. </w:t>
      </w:r>
    </w:p>
    <w:p w14:paraId="22F26BCA" w14:textId="31C8F172" w:rsidR="005865EA" w:rsidRPr="000E63AC" w:rsidRDefault="002C284D"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Arī starptautiskie pētījumi apstiprina</w:t>
      </w:r>
      <w:r w:rsidR="007E3C84" w:rsidRPr="000E63AC">
        <w:rPr>
          <w:rFonts w:ascii="Times New Roman" w:eastAsia="Times New Roman" w:hAnsi="Times New Roman" w:cs="Times New Roman"/>
          <w:sz w:val="26"/>
          <w:szCs w:val="26"/>
          <w:lang w:eastAsia="lv-LV"/>
        </w:rPr>
        <w:t>, ka padziļinātās</w:t>
      </w:r>
      <w:r w:rsidRPr="000E63AC">
        <w:rPr>
          <w:rFonts w:ascii="Times New Roman" w:eastAsia="Times New Roman" w:hAnsi="Times New Roman" w:cs="Times New Roman"/>
          <w:sz w:val="26"/>
          <w:szCs w:val="26"/>
          <w:lang w:eastAsia="lv-LV"/>
        </w:rPr>
        <w:t xml:space="preserve"> </w:t>
      </w:r>
      <w:r w:rsidR="007E3C84" w:rsidRPr="000E63AC">
        <w:rPr>
          <w:rFonts w:ascii="Times New Roman" w:eastAsia="Times New Roman" w:hAnsi="Times New Roman" w:cs="Times New Roman"/>
          <w:sz w:val="26"/>
          <w:szCs w:val="26"/>
          <w:lang w:eastAsia="lv-LV"/>
        </w:rPr>
        <w:t>sadarbības</w:t>
      </w:r>
      <w:r w:rsidRPr="000E63AC">
        <w:rPr>
          <w:rFonts w:ascii="Times New Roman" w:eastAsia="Times New Roman" w:hAnsi="Times New Roman" w:cs="Times New Roman"/>
          <w:sz w:val="26"/>
          <w:szCs w:val="26"/>
          <w:lang w:eastAsia="lv-LV"/>
        </w:rPr>
        <w:t xml:space="preserve"> programmas ir savstarpēji izdevīgas nodokļu maksātājiem un nodokļu iestādēm. Ieguvumi ir saistīti ar atvieglotu administrēšanu un zemākām izmaksām gan nodokļu administrēšanai (auditam), gan nodokļu maksātājiem (saistību izpildei).</w:t>
      </w:r>
      <w:r w:rsidRPr="000E63AC">
        <w:rPr>
          <w:rStyle w:val="FootnoteReference"/>
          <w:rFonts w:ascii="Times New Roman" w:eastAsia="Times New Roman" w:hAnsi="Times New Roman" w:cs="Times New Roman"/>
          <w:sz w:val="26"/>
          <w:szCs w:val="26"/>
          <w:lang w:eastAsia="lv-LV"/>
        </w:rPr>
        <w:footnoteReference w:id="5"/>
      </w:r>
    </w:p>
    <w:p w14:paraId="491DDFA7" w14:textId="77777777" w:rsidR="00CC1828" w:rsidRPr="000E63AC" w:rsidRDefault="00CC1828" w:rsidP="0099414B">
      <w:pPr>
        <w:spacing w:after="0" w:line="240" w:lineRule="auto"/>
        <w:jc w:val="center"/>
        <w:rPr>
          <w:rFonts w:ascii="Times New Roman" w:eastAsia="Times New Roman" w:hAnsi="Times New Roman" w:cs="Times New Roman"/>
          <w:b/>
          <w:sz w:val="26"/>
          <w:szCs w:val="26"/>
          <w:lang w:eastAsia="lv-LV"/>
        </w:rPr>
      </w:pPr>
    </w:p>
    <w:p w14:paraId="1A19D725" w14:textId="4EBB3646" w:rsidR="0081047C" w:rsidRPr="000E63AC" w:rsidRDefault="0081047C" w:rsidP="0099414B">
      <w:pPr>
        <w:spacing w:after="0" w:line="240" w:lineRule="auto"/>
        <w:jc w:val="center"/>
        <w:rPr>
          <w:rFonts w:ascii="Times New Roman" w:eastAsia="Times New Roman" w:hAnsi="Times New Roman" w:cs="Times New Roman"/>
          <w:b/>
          <w:sz w:val="26"/>
          <w:szCs w:val="26"/>
          <w:lang w:eastAsia="lv-LV"/>
        </w:rPr>
      </w:pPr>
      <w:r w:rsidRPr="000E63AC">
        <w:rPr>
          <w:rFonts w:ascii="Times New Roman" w:eastAsia="Times New Roman" w:hAnsi="Times New Roman" w:cs="Times New Roman"/>
          <w:b/>
          <w:sz w:val="26"/>
          <w:szCs w:val="26"/>
          <w:lang w:eastAsia="lv-LV"/>
        </w:rPr>
        <w:t>Piedāvātā risinājuma ietekme uz valsts un pašvaldību budžetiem</w:t>
      </w:r>
    </w:p>
    <w:p w14:paraId="7F1DEB73" w14:textId="77777777" w:rsidR="003327D6" w:rsidRPr="000E63AC" w:rsidRDefault="003327D6" w:rsidP="0099414B">
      <w:pPr>
        <w:spacing w:after="0" w:line="240" w:lineRule="auto"/>
        <w:jc w:val="center"/>
        <w:rPr>
          <w:rFonts w:ascii="Times New Roman" w:eastAsia="Times New Roman" w:hAnsi="Times New Roman" w:cs="Times New Roman"/>
          <w:b/>
          <w:sz w:val="26"/>
          <w:szCs w:val="26"/>
          <w:lang w:eastAsia="lv-LV"/>
        </w:rPr>
      </w:pPr>
    </w:p>
    <w:p w14:paraId="6C5F793C" w14:textId="58FB34BB" w:rsidR="0081047C" w:rsidRPr="000E63AC" w:rsidRDefault="00D10137"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Piedāvāt</w:t>
      </w:r>
      <w:r w:rsidR="0029456E" w:rsidRPr="000E63AC">
        <w:rPr>
          <w:rFonts w:ascii="Times New Roman" w:eastAsia="Times New Roman" w:hAnsi="Times New Roman" w:cs="Times New Roman"/>
          <w:sz w:val="26"/>
          <w:szCs w:val="26"/>
          <w:lang w:eastAsia="lv-LV"/>
        </w:rPr>
        <w:t>ais</w:t>
      </w:r>
      <w:r w:rsidRPr="000E63AC">
        <w:rPr>
          <w:rFonts w:ascii="Times New Roman" w:eastAsia="Times New Roman" w:hAnsi="Times New Roman" w:cs="Times New Roman"/>
          <w:sz w:val="26"/>
          <w:szCs w:val="26"/>
          <w:lang w:eastAsia="lv-LV"/>
        </w:rPr>
        <w:t xml:space="preserve"> risinājum</w:t>
      </w:r>
      <w:r w:rsidR="0029456E" w:rsidRPr="000E63AC">
        <w:rPr>
          <w:rFonts w:ascii="Times New Roman" w:eastAsia="Times New Roman" w:hAnsi="Times New Roman" w:cs="Times New Roman"/>
          <w:sz w:val="26"/>
          <w:szCs w:val="26"/>
          <w:lang w:eastAsia="lv-LV"/>
        </w:rPr>
        <w:t>s</w:t>
      </w:r>
      <w:r w:rsidRPr="000E63AC">
        <w:rPr>
          <w:rFonts w:ascii="Times New Roman" w:eastAsia="Times New Roman" w:hAnsi="Times New Roman" w:cs="Times New Roman"/>
          <w:sz w:val="26"/>
          <w:szCs w:val="26"/>
          <w:lang w:eastAsia="lv-LV"/>
        </w:rPr>
        <w:t xml:space="preserve"> tiks </w:t>
      </w:r>
      <w:r w:rsidR="0029456E" w:rsidRPr="000E63AC">
        <w:rPr>
          <w:rFonts w:ascii="Times New Roman" w:eastAsia="Times New Roman" w:hAnsi="Times New Roman" w:cs="Times New Roman"/>
          <w:sz w:val="26"/>
          <w:szCs w:val="26"/>
          <w:lang w:eastAsia="lv-LV"/>
        </w:rPr>
        <w:t>ieviests atbilstoši</w:t>
      </w:r>
      <w:r w:rsidRPr="000E63AC">
        <w:rPr>
          <w:rFonts w:ascii="Times New Roman" w:eastAsia="Times New Roman" w:hAnsi="Times New Roman" w:cs="Times New Roman"/>
          <w:sz w:val="26"/>
          <w:szCs w:val="26"/>
          <w:lang w:eastAsia="lv-LV"/>
        </w:rPr>
        <w:t xml:space="preserve"> esoš</w:t>
      </w:r>
      <w:r w:rsidR="0029456E" w:rsidRPr="000E63AC">
        <w:rPr>
          <w:rFonts w:ascii="Times New Roman" w:eastAsia="Times New Roman" w:hAnsi="Times New Roman" w:cs="Times New Roman"/>
          <w:sz w:val="26"/>
          <w:szCs w:val="26"/>
          <w:lang w:eastAsia="lv-LV"/>
        </w:rPr>
        <w:t>ajam</w:t>
      </w:r>
      <w:r w:rsidRPr="000E63AC">
        <w:rPr>
          <w:rFonts w:ascii="Times New Roman" w:eastAsia="Times New Roman" w:hAnsi="Times New Roman" w:cs="Times New Roman"/>
          <w:sz w:val="26"/>
          <w:szCs w:val="26"/>
          <w:lang w:eastAsia="lv-LV"/>
        </w:rPr>
        <w:t xml:space="preserve"> budžeta</w:t>
      </w:r>
      <w:r w:rsidR="0029456E" w:rsidRPr="000E63AC">
        <w:rPr>
          <w:rFonts w:ascii="Times New Roman" w:eastAsia="Times New Roman" w:hAnsi="Times New Roman" w:cs="Times New Roman"/>
          <w:sz w:val="26"/>
          <w:szCs w:val="26"/>
          <w:lang w:eastAsia="lv-LV"/>
        </w:rPr>
        <w:t>m</w:t>
      </w:r>
      <w:r w:rsidRPr="000E63AC">
        <w:rPr>
          <w:rFonts w:ascii="Times New Roman" w:eastAsia="Times New Roman" w:hAnsi="Times New Roman" w:cs="Times New Roman"/>
          <w:sz w:val="26"/>
          <w:szCs w:val="26"/>
          <w:lang w:eastAsia="lv-LV"/>
        </w:rPr>
        <w:t xml:space="preserve"> ar esošajiem</w:t>
      </w:r>
      <w:r w:rsidR="00122C56" w:rsidRPr="000E63AC">
        <w:rPr>
          <w:rFonts w:ascii="Times New Roman" w:eastAsia="Times New Roman" w:hAnsi="Times New Roman" w:cs="Times New Roman"/>
          <w:sz w:val="26"/>
          <w:szCs w:val="26"/>
          <w:lang w:eastAsia="lv-LV"/>
        </w:rPr>
        <w:t xml:space="preserve"> </w:t>
      </w:r>
      <w:r w:rsidR="00AE5797" w:rsidRPr="000E63AC">
        <w:rPr>
          <w:rFonts w:ascii="Times New Roman" w:eastAsia="Times New Roman" w:hAnsi="Times New Roman" w:cs="Times New Roman"/>
          <w:sz w:val="26"/>
          <w:szCs w:val="26"/>
          <w:lang w:eastAsia="lv-LV"/>
        </w:rPr>
        <w:t>informācijas tehnoloģiju</w:t>
      </w:r>
      <w:r w:rsidR="008B2B5B" w:rsidRPr="000E63AC">
        <w:rPr>
          <w:rFonts w:ascii="Times New Roman" w:eastAsia="Times New Roman" w:hAnsi="Times New Roman" w:cs="Times New Roman"/>
          <w:sz w:val="26"/>
          <w:szCs w:val="26"/>
          <w:lang w:eastAsia="lv-LV"/>
        </w:rPr>
        <w:t xml:space="preserve"> risinājumiem.</w:t>
      </w:r>
    </w:p>
    <w:p w14:paraId="4E060BB0" w14:textId="77777777" w:rsidR="008B2B5B" w:rsidRPr="000E63AC" w:rsidRDefault="008B2B5B" w:rsidP="0099414B">
      <w:pPr>
        <w:spacing w:after="0" w:line="240" w:lineRule="auto"/>
        <w:ind w:firstLine="720"/>
        <w:jc w:val="both"/>
        <w:rPr>
          <w:rFonts w:ascii="Times New Roman" w:eastAsia="Times New Roman" w:hAnsi="Times New Roman" w:cs="Times New Roman"/>
          <w:sz w:val="26"/>
          <w:szCs w:val="26"/>
          <w:lang w:eastAsia="lv-LV"/>
        </w:rPr>
      </w:pPr>
    </w:p>
    <w:p w14:paraId="0E628BB0" w14:textId="77777777" w:rsidR="0029456E" w:rsidRPr="000E63AC" w:rsidRDefault="00CC1828"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Pielikumā</w:t>
      </w:r>
      <w:r w:rsidR="0029456E" w:rsidRPr="000E63AC">
        <w:rPr>
          <w:rFonts w:ascii="Times New Roman" w:eastAsia="Times New Roman" w:hAnsi="Times New Roman" w:cs="Times New Roman"/>
          <w:sz w:val="26"/>
          <w:szCs w:val="26"/>
          <w:lang w:eastAsia="lv-LV"/>
        </w:rPr>
        <w:t>:</w:t>
      </w:r>
    </w:p>
    <w:p w14:paraId="759589F2" w14:textId="77777777" w:rsidR="006460D5" w:rsidRPr="000E63AC" w:rsidRDefault="00A7694C" w:rsidP="0099414B">
      <w:pPr>
        <w:spacing w:after="0" w:line="240" w:lineRule="auto"/>
        <w:ind w:firstLine="720"/>
        <w:jc w:val="both"/>
        <w:rPr>
          <w:rFonts w:ascii="Times New Roman" w:eastAsia="Times New Roman" w:hAnsi="Times New Roman" w:cs="Times New Roman"/>
          <w:sz w:val="26"/>
          <w:szCs w:val="26"/>
          <w:lang w:eastAsia="lv-LV"/>
        </w:rPr>
      </w:pPr>
      <w:r w:rsidRPr="000E63AC">
        <w:rPr>
          <w:rFonts w:ascii="Times New Roman" w:eastAsia="Times New Roman" w:hAnsi="Times New Roman" w:cs="Times New Roman"/>
          <w:sz w:val="26"/>
          <w:szCs w:val="26"/>
          <w:lang w:eastAsia="lv-LV"/>
        </w:rPr>
        <w:t>T</w:t>
      </w:r>
      <w:r w:rsidR="00CC1828" w:rsidRPr="000E63AC">
        <w:rPr>
          <w:rFonts w:ascii="Times New Roman" w:eastAsia="Times New Roman" w:hAnsi="Times New Roman" w:cs="Times New Roman"/>
          <w:sz w:val="26"/>
          <w:szCs w:val="26"/>
          <w:lang w:eastAsia="lv-LV"/>
        </w:rPr>
        <w:t>abula, kas ietver programmas līmeņu uzskaitījumu, to aprakstu, pretendentu atlases kritērijus, Valsts ieņēmumu dienesta noteiktās prioritātes un iespējamos izslēgšanas kritērijus.</w:t>
      </w:r>
    </w:p>
    <w:p w14:paraId="04D9ECCC" w14:textId="6F79881F" w:rsidR="00B25FF7" w:rsidRPr="000E63AC" w:rsidRDefault="00B25FF7" w:rsidP="0099414B">
      <w:pPr>
        <w:spacing w:after="0"/>
        <w:jc w:val="both"/>
        <w:rPr>
          <w:rFonts w:ascii="Times New Roman" w:eastAsia="Times New Roman" w:hAnsi="Times New Roman" w:cs="Times New Roman"/>
          <w:sz w:val="26"/>
          <w:szCs w:val="26"/>
          <w:lang w:eastAsia="lv-LV"/>
        </w:rPr>
      </w:pPr>
    </w:p>
    <w:p w14:paraId="2467F138" w14:textId="77777777" w:rsidR="006E7B5B" w:rsidRPr="000E63AC" w:rsidRDefault="006E7B5B" w:rsidP="0099414B">
      <w:pPr>
        <w:spacing w:after="0"/>
        <w:jc w:val="both"/>
        <w:rPr>
          <w:rFonts w:ascii="Times New Roman" w:eastAsia="Times New Roman" w:hAnsi="Times New Roman" w:cs="Times New Roman"/>
          <w:sz w:val="26"/>
          <w:szCs w:val="26"/>
          <w:lang w:eastAsia="lv-LV"/>
        </w:rPr>
      </w:pPr>
    </w:p>
    <w:p w14:paraId="375E0688" w14:textId="44A23166" w:rsidR="00B25FF7" w:rsidRPr="000E63AC" w:rsidRDefault="00B25FF7" w:rsidP="0099414B">
      <w:pPr>
        <w:pStyle w:val="Style1"/>
        <w:tabs>
          <w:tab w:val="right" w:pos="8931"/>
        </w:tabs>
        <w:spacing w:before="0" w:beforeAutospacing="0" w:after="0" w:afterAutospacing="0" w:line="240" w:lineRule="auto"/>
        <w:ind w:firstLine="0"/>
        <w:rPr>
          <w:color w:val="000000" w:themeColor="text1"/>
          <w:sz w:val="26"/>
          <w:szCs w:val="26"/>
          <w:lang w:val="lv-LV"/>
        </w:rPr>
      </w:pPr>
      <w:r w:rsidRPr="000E63AC">
        <w:rPr>
          <w:color w:val="000000" w:themeColor="text1"/>
          <w:sz w:val="26"/>
          <w:szCs w:val="26"/>
          <w:lang w:val="lv-LV"/>
        </w:rPr>
        <w:t>Finanšu ministre</w:t>
      </w:r>
      <w:r w:rsidRPr="000E63AC">
        <w:rPr>
          <w:color w:val="000000" w:themeColor="text1"/>
          <w:sz w:val="26"/>
          <w:szCs w:val="26"/>
          <w:lang w:val="lv-LV"/>
        </w:rPr>
        <w:tab/>
        <w:t>D</w:t>
      </w:r>
      <w:r w:rsidR="00595F94" w:rsidRPr="000E63AC">
        <w:rPr>
          <w:color w:val="000000" w:themeColor="text1"/>
          <w:sz w:val="26"/>
          <w:szCs w:val="26"/>
          <w:lang w:val="lv-LV"/>
        </w:rPr>
        <w:t>.</w:t>
      </w:r>
      <w:r w:rsidRPr="000E63AC">
        <w:rPr>
          <w:color w:val="000000" w:themeColor="text1"/>
          <w:sz w:val="26"/>
          <w:szCs w:val="26"/>
          <w:lang w:val="lv-LV"/>
        </w:rPr>
        <w:t>Reizniece</w:t>
      </w:r>
      <w:r w:rsidR="00F41810" w:rsidRPr="000E63AC">
        <w:rPr>
          <w:color w:val="000000" w:themeColor="text1"/>
          <w:sz w:val="26"/>
          <w:szCs w:val="26"/>
          <w:lang w:val="lv-LV"/>
        </w:rPr>
        <w:t>-</w:t>
      </w:r>
      <w:r w:rsidRPr="000E63AC">
        <w:rPr>
          <w:color w:val="000000" w:themeColor="text1"/>
          <w:sz w:val="26"/>
          <w:szCs w:val="26"/>
          <w:lang w:val="lv-LV"/>
        </w:rPr>
        <w:t xml:space="preserve">Ozola </w:t>
      </w:r>
    </w:p>
    <w:p w14:paraId="2D2D60A1" w14:textId="07642B94" w:rsidR="00B25FF7" w:rsidRPr="000E63AC" w:rsidRDefault="00B25FF7"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10BD7B50" w14:textId="5D764DD6" w:rsidR="00413D85" w:rsidRPr="000E63AC" w:rsidRDefault="00413D85"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1E94E8B4" w14:textId="3D68C84F" w:rsidR="00413D85" w:rsidRPr="000E63AC" w:rsidRDefault="00413D85"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77D95684" w14:textId="42015227" w:rsidR="008B5F07" w:rsidRPr="000E63AC" w:rsidRDefault="008B5F07"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47B97616" w14:textId="6EF2953F" w:rsidR="008B5F07" w:rsidRPr="000E63AC" w:rsidRDefault="008B5F07"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08DD70D9" w14:textId="6B402396" w:rsidR="008B5F07" w:rsidRPr="000E63AC" w:rsidRDefault="008B5F07"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01D5B0E6" w14:textId="77777777" w:rsidR="008B5F07" w:rsidRPr="000E63AC" w:rsidRDefault="008B5F07"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327FCEEE" w14:textId="77777777" w:rsidR="00413D85" w:rsidRPr="000E63AC" w:rsidRDefault="00413D85" w:rsidP="0099414B">
      <w:pPr>
        <w:pStyle w:val="Style1"/>
        <w:tabs>
          <w:tab w:val="right" w:pos="8931"/>
        </w:tabs>
        <w:spacing w:before="0" w:beforeAutospacing="0" w:after="0" w:afterAutospacing="0" w:line="240" w:lineRule="auto"/>
        <w:ind w:firstLine="0"/>
        <w:rPr>
          <w:color w:val="000000" w:themeColor="text1"/>
          <w:sz w:val="26"/>
          <w:szCs w:val="26"/>
          <w:lang w:val="lv-LV"/>
        </w:rPr>
      </w:pPr>
    </w:p>
    <w:p w14:paraId="5E949C00" w14:textId="17E2142D" w:rsidR="00B25FF7" w:rsidRPr="000E63AC" w:rsidRDefault="00E6224F" w:rsidP="0099414B">
      <w:pPr>
        <w:tabs>
          <w:tab w:val="left" w:pos="993"/>
        </w:tabs>
        <w:spacing w:after="0" w:line="240" w:lineRule="auto"/>
        <w:jc w:val="both"/>
        <w:rPr>
          <w:rFonts w:ascii="Times New Roman" w:hAnsi="Times New Roman" w:cs="Times New Roman"/>
          <w:color w:val="000000" w:themeColor="text1"/>
          <w:sz w:val="20"/>
          <w:szCs w:val="20"/>
        </w:rPr>
      </w:pPr>
      <w:r w:rsidRPr="000E63AC">
        <w:rPr>
          <w:rFonts w:ascii="Times New Roman" w:hAnsi="Times New Roman" w:cs="Times New Roman"/>
          <w:color w:val="000000" w:themeColor="text1"/>
          <w:sz w:val="20"/>
          <w:szCs w:val="20"/>
        </w:rPr>
        <w:t xml:space="preserve">Šidlovskis </w:t>
      </w:r>
      <w:r w:rsidR="00037A3C" w:rsidRPr="000E63AC">
        <w:rPr>
          <w:rFonts w:ascii="Times New Roman" w:hAnsi="Times New Roman" w:cs="Times New Roman"/>
          <w:color w:val="000000" w:themeColor="text1"/>
          <w:sz w:val="20"/>
          <w:szCs w:val="20"/>
        </w:rPr>
        <w:t>67083894</w:t>
      </w:r>
    </w:p>
    <w:p w14:paraId="063183AC" w14:textId="77777777" w:rsidR="00B25FF7" w:rsidRPr="000E63AC" w:rsidRDefault="00547EC5" w:rsidP="0099414B">
      <w:pPr>
        <w:tabs>
          <w:tab w:val="left" w:pos="993"/>
        </w:tabs>
        <w:spacing w:after="0" w:line="240" w:lineRule="auto"/>
        <w:jc w:val="both"/>
        <w:rPr>
          <w:rFonts w:ascii="Times New Roman" w:hAnsi="Times New Roman" w:cs="Times New Roman"/>
          <w:sz w:val="20"/>
          <w:szCs w:val="20"/>
        </w:rPr>
      </w:pPr>
      <w:hyperlink r:id="rId29" w:history="1">
        <w:r w:rsidR="00E6224F" w:rsidRPr="000E63AC">
          <w:rPr>
            <w:rStyle w:val="Hyperlink"/>
            <w:rFonts w:ascii="Times New Roman" w:hAnsi="Times New Roman" w:cs="Times New Roman"/>
            <w:sz w:val="20"/>
            <w:szCs w:val="20"/>
          </w:rPr>
          <w:t>Edgars.Sidlovskis@fm.gov.lv</w:t>
        </w:r>
      </w:hyperlink>
    </w:p>
    <w:p w14:paraId="3494FE87" w14:textId="77777777" w:rsidR="008C3322" w:rsidRPr="000E63AC" w:rsidRDefault="008C3322" w:rsidP="0099414B">
      <w:pPr>
        <w:tabs>
          <w:tab w:val="left" w:pos="993"/>
        </w:tabs>
        <w:spacing w:after="0" w:line="240" w:lineRule="auto"/>
        <w:jc w:val="both"/>
        <w:rPr>
          <w:rFonts w:ascii="Times New Roman" w:hAnsi="Times New Roman" w:cs="Times New Roman"/>
          <w:sz w:val="26"/>
          <w:szCs w:val="26"/>
        </w:rPr>
      </w:pPr>
    </w:p>
    <w:p w14:paraId="52F55EDA" w14:textId="77777777" w:rsidR="008C3322" w:rsidRPr="000E63AC" w:rsidRDefault="008C3322" w:rsidP="0099414B">
      <w:pPr>
        <w:tabs>
          <w:tab w:val="left" w:pos="993"/>
        </w:tabs>
        <w:spacing w:after="0" w:line="240" w:lineRule="auto"/>
        <w:jc w:val="both"/>
        <w:rPr>
          <w:rFonts w:ascii="Times New Roman" w:hAnsi="Times New Roman" w:cs="Times New Roman"/>
          <w:sz w:val="20"/>
          <w:szCs w:val="20"/>
        </w:rPr>
      </w:pPr>
      <w:r w:rsidRPr="000E63AC">
        <w:rPr>
          <w:rFonts w:ascii="Times New Roman" w:hAnsi="Times New Roman" w:cs="Times New Roman"/>
          <w:sz w:val="20"/>
          <w:szCs w:val="20"/>
        </w:rPr>
        <w:t xml:space="preserve">Baltābola </w:t>
      </w:r>
      <w:r w:rsidR="00A112AF" w:rsidRPr="000E63AC">
        <w:rPr>
          <w:rFonts w:ascii="Times New Roman" w:hAnsi="Times New Roman" w:cs="Times New Roman"/>
          <w:sz w:val="20"/>
          <w:szCs w:val="20"/>
        </w:rPr>
        <w:t>67013271</w:t>
      </w:r>
    </w:p>
    <w:p w14:paraId="2A44BAEC" w14:textId="5E9784F6" w:rsidR="008C3322" w:rsidRPr="00A112AF" w:rsidRDefault="00547EC5" w:rsidP="0099414B">
      <w:pPr>
        <w:tabs>
          <w:tab w:val="left" w:pos="993"/>
        </w:tabs>
        <w:spacing w:after="0" w:line="240" w:lineRule="auto"/>
        <w:jc w:val="both"/>
        <w:rPr>
          <w:rStyle w:val="Hyperlink"/>
          <w:rFonts w:ascii="Times New Roman" w:hAnsi="Times New Roman" w:cs="Times New Roman"/>
          <w:color w:val="000000" w:themeColor="text1"/>
          <w:sz w:val="20"/>
          <w:szCs w:val="20"/>
        </w:rPr>
      </w:pPr>
      <w:hyperlink r:id="rId30" w:history="1">
        <w:r w:rsidR="001B619D" w:rsidRPr="000E63AC">
          <w:rPr>
            <w:rStyle w:val="Hyperlink"/>
            <w:rFonts w:ascii="Times New Roman" w:hAnsi="Times New Roman" w:cs="Times New Roman"/>
            <w:sz w:val="20"/>
            <w:szCs w:val="20"/>
          </w:rPr>
          <w:t>Ilze.Baltabola@em.gov.lv</w:t>
        </w:r>
      </w:hyperlink>
      <w:r w:rsidR="008C3322" w:rsidRPr="00A112AF">
        <w:rPr>
          <w:rFonts w:ascii="Times New Roman" w:hAnsi="Times New Roman" w:cs="Times New Roman"/>
          <w:sz w:val="20"/>
          <w:szCs w:val="20"/>
        </w:rPr>
        <w:t xml:space="preserve"> </w:t>
      </w:r>
    </w:p>
    <w:sectPr w:rsidR="008C3322" w:rsidRPr="00A112AF" w:rsidSect="00457DB3">
      <w:headerReference w:type="default" r:id="rId31"/>
      <w:footerReference w:type="default" r:id="rId32"/>
      <w:footerReference w:type="firs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E21F" w14:textId="77777777" w:rsidR="005338DE" w:rsidRDefault="005338DE" w:rsidP="00B121AB">
      <w:pPr>
        <w:spacing w:after="0" w:line="240" w:lineRule="auto"/>
      </w:pPr>
      <w:r>
        <w:separator/>
      </w:r>
    </w:p>
  </w:endnote>
  <w:endnote w:type="continuationSeparator" w:id="0">
    <w:p w14:paraId="36FCE04B" w14:textId="77777777" w:rsidR="005338DE" w:rsidRDefault="005338DE" w:rsidP="00B1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979B" w14:textId="0BAB156D" w:rsidR="000218FD" w:rsidRPr="000218FD" w:rsidRDefault="000218FD">
    <w:pPr>
      <w:pStyle w:val="Footer"/>
      <w:rPr>
        <w:rFonts w:ascii="Times New Roman" w:hAnsi="Times New Roman" w:cs="Times New Roman"/>
        <w:sz w:val="20"/>
        <w:szCs w:val="20"/>
      </w:rPr>
    </w:pPr>
    <w:r w:rsidRPr="000218FD">
      <w:rPr>
        <w:rFonts w:ascii="Times New Roman" w:hAnsi="Times New Roman" w:cs="Times New Roman"/>
        <w:sz w:val="20"/>
        <w:szCs w:val="20"/>
      </w:rPr>
      <w:t>FM</w:t>
    </w:r>
    <w:r w:rsidR="000616ED">
      <w:rPr>
        <w:rFonts w:ascii="Times New Roman" w:hAnsi="Times New Roman" w:cs="Times New Roman"/>
        <w:sz w:val="20"/>
        <w:szCs w:val="20"/>
      </w:rPr>
      <w:t>Konc</w:t>
    </w:r>
    <w:r w:rsidRPr="000218FD">
      <w:rPr>
        <w:rFonts w:ascii="Times New Roman" w:hAnsi="Times New Roman" w:cs="Times New Roman"/>
        <w:sz w:val="20"/>
        <w:szCs w:val="20"/>
      </w:rPr>
      <w:t>_051217_PSP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498B" w14:textId="54BD381C" w:rsidR="000616ED" w:rsidRPr="00BD2912" w:rsidRDefault="00885F76">
    <w:pPr>
      <w:pStyle w:val="Footer"/>
      <w:rPr>
        <w:rFonts w:ascii="Times New Roman" w:hAnsi="Times New Roman" w:cs="Times New Roman"/>
        <w:sz w:val="20"/>
        <w:szCs w:val="20"/>
      </w:rPr>
    </w:pPr>
    <w:r w:rsidRPr="000218FD">
      <w:rPr>
        <w:rFonts w:ascii="Times New Roman" w:hAnsi="Times New Roman" w:cs="Times New Roman"/>
        <w:sz w:val="20"/>
        <w:szCs w:val="20"/>
      </w:rPr>
      <w:t>FM</w:t>
    </w:r>
    <w:r>
      <w:rPr>
        <w:rFonts w:ascii="Times New Roman" w:hAnsi="Times New Roman" w:cs="Times New Roman"/>
        <w:sz w:val="20"/>
        <w:szCs w:val="20"/>
      </w:rPr>
      <w:t>Konc</w:t>
    </w:r>
    <w:r w:rsidRPr="000218FD">
      <w:rPr>
        <w:rFonts w:ascii="Times New Roman" w:hAnsi="Times New Roman" w:cs="Times New Roman"/>
        <w:sz w:val="20"/>
        <w:szCs w:val="20"/>
      </w:rPr>
      <w:t>_051217_PSP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8864F" w14:textId="77777777" w:rsidR="005338DE" w:rsidRDefault="005338DE" w:rsidP="00B121AB">
      <w:pPr>
        <w:spacing w:after="0" w:line="240" w:lineRule="auto"/>
      </w:pPr>
      <w:r>
        <w:separator/>
      </w:r>
    </w:p>
  </w:footnote>
  <w:footnote w:type="continuationSeparator" w:id="0">
    <w:p w14:paraId="48B8D151" w14:textId="77777777" w:rsidR="005338DE" w:rsidRDefault="005338DE" w:rsidP="00B121AB">
      <w:pPr>
        <w:spacing w:after="0" w:line="240" w:lineRule="auto"/>
      </w:pPr>
      <w:r>
        <w:continuationSeparator/>
      </w:r>
    </w:p>
  </w:footnote>
  <w:footnote w:id="1">
    <w:p w14:paraId="13F6D1C3" w14:textId="77777777" w:rsidR="00B121AB" w:rsidRPr="00645B0B" w:rsidRDefault="00B121AB" w:rsidP="00645B0B">
      <w:pPr>
        <w:pStyle w:val="FootnoteText"/>
        <w:jc w:val="both"/>
        <w:rPr>
          <w:rFonts w:ascii="Times New Roman" w:hAnsi="Times New Roman" w:cs="Times New Roman"/>
        </w:rPr>
      </w:pPr>
      <w:r w:rsidRPr="00645B0B">
        <w:rPr>
          <w:rStyle w:val="FootnoteReference"/>
          <w:rFonts w:ascii="Times New Roman" w:hAnsi="Times New Roman" w:cs="Times New Roman"/>
        </w:rPr>
        <w:footnoteRef/>
      </w:r>
      <w:r w:rsidRPr="00645B0B">
        <w:rPr>
          <w:rFonts w:ascii="Times New Roman" w:hAnsi="Times New Roman" w:cs="Times New Roman"/>
        </w:rPr>
        <w:t xml:space="preserve"> </w:t>
      </w:r>
      <w:proofErr w:type="spellStart"/>
      <w:r w:rsidRPr="00645B0B">
        <w:rPr>
          <w:rFonts w:ascii="Times New Roman" w:hAnsi="Times New Roman" w:cs="Times New Roman"/>
        </w:rPr>
        <w:t>Verbič</w:t>
      </w:r>
      <w:proofErr w:type="spellEnd"/>
      <w:r w:rsidRPr="00645B0B">
        <w:rPr>
          <w:rFonts w:ascii="Times New Roman" w:hAnsi="Times New Roman" w:cs="Times New Roman"/>
        </w:rPr>
        <w:t xml:space="preserve">, M., </w:t>
      </w:r>
      <w:proofErr w:type="spellStart"/>
      <w:r w:rsidRPr="00645B0B">
        <w:rPr>
          <w:rFonts w:ascii="Times New Roman" w:hAnsi="Times New Roman" w:cs="Times New Roman"/>
        </w:rPr>
        <w:t>Čok</w:t>
      </w:r>
      <w:proofErr w:type="spellEnd"/>
      <w:r w:rsidRPr="00645B0B">
        <w:rPr>
          <w:rFonts w:ascii="Times New Roman" w:hAnsi="Times New Roman" w:cs="Times New Roman"/>
        </w:rPr>
        <w:t xml:space="preserve">, M., &amp; </w:t>
      </w:r>
      <w:proofErr w:type="spellStart"/>
      <w:r w:rsidRPr="00645B0B">
        <w:rPr>
          <w:rFonts w:ascii="Times New Roman" w:hAnsi="Times New Roman" w:cs="Times New Roman"/>
        </w:rPr>
        <w:t>Šinkovec</w:t>
      </w:r>
      <w:proofErr w:type="spellEnd"/>
      <w:r w:rsidRPr="00645B0B">
        <w:rPr>
          <w:rFonts w:ascii="Times New Roman" w:hAnsi="Times New Roman" w:cs="Times New Roman"/>
        </w:rPr>
        <w:t xml:space="preserve">, D. (2014). </w:t>
      </w:r>
      <w:proofErr w:type="spellStart"/>
      <w:r w:rsidRPr="00645B0B">
        <w:rPr>
          <w:rFonts w:ascii="Times New Roman" w:hAnsi="Times New Roman" w:cs="Times New Roman"/>
        </w:rPr>
        <w:t>Some</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evidence</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for</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implementing</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an</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enhanced</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relationship</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in</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Slovenia</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Financial</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Theory</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and</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Practice</w:t>
      </w:r>
      <w:proofErr w:type="spellEnd"/>
      <w:r w:rsidRPr="00645B0B">
        <w:rPr>
          <w:rFonts w:ascii="Times New Roman" w:hAnsi="Times New Roman" w:cs="Times New Roman"/>
        </w:rPr>
        <w:t>, 38(1), 61-80.</w:t>
      </w:r>
    </w:p>
  </w:footnote>
  <w:footnote w:id="2">
    <w:p w14:paraId="7ED9F0EA" w14:textId="77777777" w:rsidR="00F4524D" w:rsidRPr="00645B0B" w:rsidRDefault="00F4524D" w:rsidP="00645B0B">
      <w:pPr>
        <w:pStyle w:val="FootnoteText"/>
        <w:jc w:val="both"/>
        <w:rPr>
          <w:rFonts w:ascii="Times New Roman" w:hAnsi="Times New Roman" w:cs="Times New Roman"/>
        </w:rPr>
      </w:pPr>
      <w:r w:rsidRPr="00645B0B">
        <w:rPr>
          <w:rStyle w:val="FootnoteReference"/>
          <w:rFonts w:ascii="Times New Roman" w:hAnsi="Times New Roman" w:cs="Times New Roman"/>
        </w:rPr>
        <w:footnoteRef/>
      </w:r>
      <w:r w:rsidRPr="00645B0B">
        <w:rPr>
          <w:rFonts w:ascii="Times New Roman" w:hAnsi="Times New Roman" w:cs="Times New Roman"/>
        </w:rPr>
        <w:t xml:space="preserve"> </w:t>
      </w:r>
      <w:r w:rsidRPr="00645B0B">
        <w:rPr>
          <w:rFonts w:ascii="Times New Roman" w:hAnsi="Times New Roman" w:cs="Times New Roman"/>
        </w:rPr>
        <w:t xml:space="preserve">IFA (2013). </w:t>
      </w:r>
      <w:proofErr w:type="spellStart"/>
      <w:r w:rsidRPr="00645B0B">
        <w:rPr>
          <w:rFonts w:ascii="Times New Roman" w:hAnsi="Times New Roman" w:cs="Times New Roman"/>
        </w:rPr>
        <w:t>Initiative</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on</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the</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Enhanced</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Relationship</w:t>
      </w:r>
      <w:proofErr w:type="spellEnd"/>
      <w:r w:rsidRPr="00645B0B">
        <w:rPr>
          <w:rFonts w:ascii="Times New Roman" w:hAnsi="Times New Roman" w:cs="Times New Roman"/>
        </w:rPr>
        <w:t>.</w:t>
      </w:r>
    </w:p>
  </w:footnote>
  <w:footnote w:id="3">
    <w:p w14:paraId="09FC415D" w14:textId="77777777" w:rsidR="008A33DC" w:rsidRPr="00645B0B" w:rsidRDefault="008A33DC" w:rsidP="008A33DC">
      <w:pPr>
        <w:pStyle w:val="FootnoteText"/>
        <w:rPr>
          <w:rFonts w:ascii="Times New Roman" w:hAnsi="Times New Roman" w:cs="Times New Roman"/>
        </w:rPr>
      </w:pPr>
      <w:r w:rsidRPr="00645B0B">
        <w:rPr>
          <w:rStyle w:val="FootnoteReference"/>
          <w:rFonts w:ascii="Times New Roman" w:hAnsi="Times New Roman" w:cs="Times New Roman"/>
        </w:rPr>
        <w:footnoteRef/>
      </w:r>
      <w:r w:rsidRPr="00645B0B">
        <w:rPr>
          <w:rFonts w:ascii="Times New Roman" w:hAnsi="Times New Roman" w:cs="Times New Roman"/>
        </w:rPr>
        <w:t xml:space="preserve"> </w:t>
      </w:r>
      <w:hyperlink r:id="rId1" w:history="1">
        <w:r w:rsidRPr="00645B0B">
          <w:rPr>
            <w:rStyle w:val="Hyperlink"/>
            <w:rFonts w:ascii="Times New Roman" w:hAnsi="Times New Roman" w:cs="Times New Roman"/>
          </w:rPr>
          <w:t>http://www.seb.lv/sites/default/files/web/files/webstorage/product_documents/Indekss_1-24.pdf</w:t>
        </w:r>
      </w:hyperlink>
    </w:p>
    <w:p w14:paraId="2D64461B" w14:textId="77777777" w:rsidR="008A33DC" w:rsidRDefault="008A33DC" w:rsidP="008A33DC">
      <w:pPr>
        <w:pStyle w:val="FootnoteText"/>
      </w:pPr>
    </w:p>
  </w:footnote>
  <w:footnote w:id="4">
    <w:p w14:paraId="7AE251EC" w14:textId="77777777" w:rsidR="00C36AA8" w:rsidRPr="00645B0B" w:rsidRDefault="00C36AA8" w:rsidP="009C1811">
      <w:pPr>
        <w:pStyle w:val="FootnoteText"/>
        <w:jc w:val="both"/>
        <w:rPr>
          <w:rFonts w:ascii="Times New Roman" w:hAnsi="Times New Roman" w:cs="Times New Roman"/>
        </w:rPr>
      </w:pPr>
      <w:r w:rsidRPr="00645B0B">
        <w:rPr>
          <w:rStyle w:val="FootnoteReference"/>
          <w:rFonts w:ascii="Times New Roman" w:hAnsi="Times New Roman" w:cs="Times New Roman"/>
        </w:rPr>
        <w:footnoteRef/>
      </w:r>
      <w:r w:rsidRPr="00645B0B">
        <w:rPr>
          <w:rFonts w:ascii="Times New Roman" w:hAnsi="Times New Roman" w:cs="Times New Roman"/>
        </w:rPr>
        <w:t xml:space="preserve"> </w:t>
      </w:r>
      <w:proofErr w:type="spellStart"/>
      <w:r w:rsidR="00025C2D" w:rsidRPr="00645B0B">
        <w:rPr>
          <w:rFonts w:ascii="Times New Roman" w:hAnsi="Times New Roman" w:cs="Times New Roman"/>
        </w:rPr>
        <w:t>Freedman</w:t>
      </w:r>
      <w:proofErr w:type="spellEnd"/>
      <w:r w:rsidR="00025C2D" w:rsidRPr="00645B0B">
        <w:rPr>
          <w:rFonts w:ascii="Times New Roman" w:hAnsi="Times New Roman" w:cs="Times New Roman"/>
        </w:rPr>
        <w:t xml:space="preserve">, J., </w:t>
      </w:r>
      <w:proofErr w:type="spellStart"/>
      <w:r w:rsidR="00025C2D" w:rsidRPr="00645B0B">
        <w:rPr>
          <w:rFonts w:ascii="Times New Roman" w:hAnsi="Times New Roman" w:cs="Times New Roman"/>
        </w:rPr>
        <w:t>Loomer</w:t>
      </w:r>
      <w:proofErr w:type="spellEnd"/>
      <w:r w:rsidR="00025C2D" w:rsidRPr="00645B0B">
        <w:rPr>
          <w:rFonts w:ascii="Times New Roman" w:hAnsi="Times New Roman" w:cs="Times New Roman"/>
        </w:rPr>
        <w:t xml:space="preserve">, G., &amp; </w:t>
      </w:r>
      <w:proofErr w:type="spellStart"/>
      <w:r w:rsidR="00025C2D" w:rsidRPr="00645B0B">
        <w:rPr>
          <w:rFonts w:ascii="Times New Roman" w:hAnsi="Times New Roman" w:cs="Times New Roman"/>
        </w:rPr>
        <w:t>Vella</w:t>
      </w:r>
      <w:proofErr w:type="spellEnd"/>
      <w:r w:rsidR="00025C2D" w:rsidRPr="00645B0B">
        <w:rPr>
          <w:rFonts w:ascii="Times New Roman" w:hAnsi="Times New Roman" w:cs="Times New Roman"/>
        </w:rPr>
        <w:t xml:space="preserve">, J. (2010). </w:t>
      </w:r>
      <w:proofErr w:type="spellStart"/>
      <w:r w:rsidR="00025C2D" w:rsidRPr="00645B0B">
        <w:rPr>
          <w:rFonts w:ascii="Times New Roman" w:hAnsi="Times New Roman" w:cs="Times New Roman"/>
        </w:rPr>
        <w:t>Analyzing</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the</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enhanced</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relationship</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between</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corporate</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taxpayers</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and</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revenue</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authorities</w:t>
      </w:r>
      <w:proofErr w:type="spellEnd"/>
      <w:r w:rsidR="00025C2D" w:rsidRPr="00645B0B">
        <w:rPr>
          <w:rFonts w:ascii="Times New Roman" w:hAnsi="Times New Roman" w:cs="Times New Roman"/>
        </w:rPr>
        <w:t xml:space="preserve">: A UK </w:t>
      </w:r>
      <w:proofErr w:type="spellStart"/>
      <w:r w:rsidR="00025C2D" w:rsidRPr="00645B0B">
        <w:rPr>
          <w:rFonts w:ascii="Times New Roman" w:hAnsi="Times New Roman" w:cs="Times New Roman"/>
        </w:rPr>
        <w:t>case</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study</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In</w:t>
      </w:r>
      <w:proofErr w:type="spellEnd"/>
      <w:r w:rsidR="00025C2D" w:rsidRPr="00645B0B">
        <w:rPr>
          <w:rFonts w:ascii="Times New Roman" w:hAnsi="Times New Roman" w:cs="Times New Roman"/>
        </w:rPr>
        <w:t xml:space="preserve"> The IRS </w:t>
      </w:r>
      <w:proofErr w:type="spellStart"/>
      <w:r w:rsidR="00025C2D" w:rsidRPr="00645B0B">
        <w:rPr>
          <w:rFonts w:ascii="Times New Roman" w:hAnsi="Times New Roman" w:cs="Times New Roman"/>
        </w:rPr>
        <w:t>Research</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Bulletin</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Proceedings</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of</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the</w:t>
      </w:r>
      <w:proofErr w:type="spellEnd"/>
      <w:r w:rsidR="00025C2D" w:rsidRPr="00645B0B">
        <w:rPr>
          <w:rFonts w:ascii="Times New Roman" w:hAnsi="Times New Roman" w:cs="Times New Roman"/>
        </w:rPr>
        <w:t xml:space="preserve"> 2009 IRS </w:t>
      </w:r>
      <w:proofErr w:type="spellStart"/>
      <w:r w:rsidR="00025C2D" w:rsidRPr="00645B0B">
        <w:rPr>
          <w:rFonts w:ascii="Times New Roman" w:hAnsi="Times New Roman" w:cs="Times New Roman"/>
        </w:rPr>
        <w:t>Research</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Conference</w:t>
      </w:r>
      <w:proofErr w:type="spellEnd"/>
      <w:r w:rsidR="00025C2D" w:rsidRPr="00645B0B">
        <w:rPr>
          <w:rFonts w:ascii="Times New Roman" w:hAnsi="Times New Roman" w:cs="Times New Roman"/>
        </w:rPr>
        <w:t xml:space="preserve">, The </w:t>
      </w:r>
      <w:proofErr w:type="spellStart"/>
      <w:r w:rsidR="00025C2D" w:rsidRPr="00645B0B">
        <w:rPr>
          <w:rFonts w:ascii="Times New Roman" w:hAnsi="Times New Roman" w:cs="Times New Roman"/>
        </w:rPr>
        <w:t>Department</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of</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the</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Treasury</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Internal</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Revenue</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Service</w:t>
      </w:r>
      <w:proofErr w:type="spellEnd"/>
      <w:r w:rsidR="00025C2D" w:rsidRPr="00645B0B">
        <w:rPr>
          <w:rFonts w:ascii="Times New Roman" w:hAnsi="Times New Roman" w:cs="Times New Roman"/>
        </w:rPr>
        <w:t xml:space="preserve">, </w:t>
      </w:r>
      <w:proofErr w:type="spellStart"/>
      <w:r w:rsidR="00025C2D" w:rsidRPr="00645B0B">
        <w:rPr>
          <w:rFonts w:ascii="Times New Roman" w:hAnsi="Times New Roman" w:cs="Times New Roman"/>
        </w:rPr>
        <w:t>Washington</w:t>
      </w:r>
      <w:proofErr w:type="spellEnd"/>
      <w:r w:rsidR="00025C2D" w:rsidRPr="00645B0B">
        <w:rPr>
          <w:rFonts w:ascii="Times New Roman" w:hAnsi="Times New Roman" w:cs="Times New Roman"/>
        </w:rPr>
        <w:t xml:space="preserve"> DC.</w:t>
      </w:r>
    </w:p>
  </w:footnote>
  <w:footnote w:id="5">
    <w:p w14:paraId="576DBBF3" w14:textId="74378B2A" w:rsidR="002C284D" w:rsidRPr="00645B0B" w:rsidRDefault="002C284D" w:rsidP="00115325">
      <w:pPr>
        <w:pStyle w:val="FootnoteText"/>
        <w:jc w:val="both"/>
        <w:rPr>
          <w:rFonts w:ascii="Times New Roman" w:hAnsi="Times New Roman" w:cs="Times New Roman"/>
        </w:rPr>
      </w:pPr>
      <w:r w:rsidRPr="00645B0B">
        <w:rPr>
          <w:rStyle w:val="FootnoteReference"/>
          <w:rFonts w:ascii="Times New Roman" w:hAnsi="Times New Roman" w:cs="Times New Roman"/>
        </w:rPr>
        <w:footnoteRef/>
      </w:r>
      <w:proofErr w:type="spellStart"/>
      <w:r w:rsidRPr="00645B0B">
        <w:rPr>
          <w:rFonts w:ascii="Times New Roman" w:hAnsi="Times New Roman" w:cs="Times New Roman"/>
        </w:rPr>
        <w:t>De</w:t>
      </w:r>
      <w:proofErr w:type="spellEnd"/>
      <w:r w:rsidRPr="00645B0B">
        <w:rPr>
          <w:rFonts w:ascii="Times New Roman" w:hAnsi="Times New Roman" w:cs="Times New Roman"/>
        </w:rPr>
        <w:t xml:space="preserve"> Simone, L., </w:t>
      </w:r>
      <w:proofErr w:type="spellStart"/>
      <w:r w:rsidRPr="00645B0B">
        <w:rPr>
          <w:rFonts w:ascii="Times New Roman" w:hAnsi="Times New Roman" w:cs="Times New Roman"/>
        </w:rPr>
        <w:t>Sansing</w:t>
      </w:r>
      <w:proofErr w:type="spellEnd"/>
      <w:r w:rsidRPr="00645B0B">
        <w:rPr>
          <w:rFonts w:ascii="Times New Roman" w:hAnsi="Times New Roman" w:cs="Times New Roman"/>
        </w:rPr>
        <w:t xml:space="preserve">, R. C., &amp; </w:t>
      </w:r>
      <w:proofErr w:type="spellStart"/>
      <w:r w:rsidRPr="00645B0B">
        <w:rPr>
          <w:rFonts w:ascii="Times New Roman" w:hAnsi="Times New Roman" w:cs="Times New Roman"/>
        </w:rPr>
        <w:t>Seidman</w:t>
      </w:r>
      <w:proofErr w:type="spellEnd"/>
      <w:r w:rsidRPr="00645B0B">
        <w:rPr>
          <w:rFonts w:ascii="Times New Roman" w:hAnsi="Times New Roman" w:cs="Times New Roman"/>
        </w:rPr>
        <w:t xml:space="preserve">, J. K. (2013). </w:t>
      </w:r>
      <w:proofErr w:type="spellStart"/>
      <w:r w:rsidRPr="00645B0B">
        <w:rPr>
          <w:rFonts w:ascii="Times New Roman" w:hAnsi="Times New Roman" w:cs="Times New Roman"/>
        </w:rPr>
        <w:t>When</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are</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Enhanced</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Relationship</w:t>
      </w:r>
      <w:proofErr w:type="spellEnd"/>
      <w:r w:rsidRPr="00645B0B">
        <w:rPr>
          <w:rFonts w:ascii="Times New Roman" w:hAnsi="Times New Roman" w:cs="Times New Roman"/>
        </w:rPr>
        <w:t xml:space="preserve"> Tax </w:t>
      </w:r>
      <w:proofErr w:type="spellStart"/>
      <w:r w:rsidRPr="00645B0B">
        <w:rPr>
          <w:rFonts w:ascii="Times New Roman" w:hAnsi="Times New Roman" w:cs="Times New Roman"/>
        </w:rPr>
        <w:t>Compliance</w:t>
      </w:r>
      <w:proofErr w:type="spellEnd"/>
      <w:r w:rsidRPr="002C284D">
        <w:t xml:space="preserve"> </w:t>
      </w:r>
      <w:proofErr w:type="spellStart"/>
      <w:r w:rsidRPr="00645B0B">
        <w:rPr>
          <w:rFonts w:ascii="Times New Roman" w:hAnsi="Times New Roman" w:cs="Times New Roman"/>
        </w:rPr>
        <w:t>Programs</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Mutually</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Beneficial</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Accounting</w:t>
      </w:r>
      <w:proofErr w:type="spellEnd"/>
      <w:r w:rsidRPr="00645B0B">
        <w:rPr>
          <w:rFonts w:ascii="Times New Roman" w:hAnsi="Times New Roman" w:cs="Times New Roman"/>
        </w:rPr>
        <w:t xml:space="preserve"> </w:t>
      </w:r>
      <w:proofErr w:type="spellStart"/>
      <w:r w:rsidRPr="00645B0B">
        <w:rPr>
          <w:rFonts w:ascii="Times New Roman" w:hAnsi="Times New Roman" w:cs="Times New Roman"/>
        </w:rPr>
        <w:t>Review</w:t>
      </w:r>
      <w:proofErr w:type="spellEnd"/>
      <w:r w:rsidRPr="00645B0B">
        <w:rPr>
          <w:rFonts w:ascii="Times New Roman" w:hAnsi="Times New Roman" w:cs="Times New Roman"/>
        </w:rPr>
        <w:t>, 88(6), 1971-1991.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682879"/>
      <w:docPartObj>
        <w:docPartGallery w:val="Page Numbers (Top of Page)"/>
        <w:docPartUnique/>
      </w:docPartObj>
    </w:sdtPr>
    <w:sdtEndPr>
      <w:rPr>
        <w:noProof/>
      </w:rPr>
    </w:sdtEndPr>
    <w:sdtContent>
      <w:p w14:paraId="10BD1229" w14:textId="22BD2B0B" w:rsidR="00457DB3" w:rsidRDefault="00457DB3">
        <w:pPr>
          <w:pStyle w:val="Header"/>
          <w:jc w:val="center"/>
        </w:pPr>
        <w:r>
          <w:fldChar w:fldCharType="begin"/>
        </w:r>
        <w:r>
          <w:instrText xml:space="preserve"> PAGE   \* MERGEFORMAT </w:instrText>
        </w:r>
        <w:r>
          <w:fldChar w:fldCharType="separate"/>
        </w:r>
        <w:r w:rsidR="00547EC5">
          <w:rPr>
            <w:noProof/>
          </w:rPr>
          <w:t>18</w:t>
        </w:r>
        <w:r>
          <w:rPr>
            <w:noProof/>
          </w:rPr>
          <w:fldChar w:fldCharType="end"/>
        </w:r>
      </w:p>
    </w:sdtContent>
  </w:sdt>
  <w:p w14:paraId="406E7ADF" w14:textId="77777777" w:rsidR="00457DB3" w:rsidRDefault="0045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E6D87"/>
    <w:multiLevelType w:val="hybridMultilevel"/>
    <w:tmpl w:val="23FA9B5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14A22D27"/>
    <w:multiLevelType w:val="hybridMultilevel"/>
    <w:tmpl w:val="CE0428C2"/>
    <w:lvl w:ilvl="0" w:tplc="C2FA69F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7E6F57"/>
    <w:multiLevelType w:val="hybridMultilevel"/>
    <w:tmpl w:val="4C88920E"/>
    <w:lvl w:ilvl="0" w:tplc="DCA8B4D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52975D8"/>
    <w:multiLevelType w:val="hybridMultilevel"/>
    <w:tmpl w:val="727EDB28"/>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4" w15:restartNumberingAfterBreak="0">
    <w:nsid w:val="58D82C2B"/>
    <w:multiLevelType w:val="hybridMultilevel"/>
    <w:tmpl w:val="C53ABD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FC428BC"/>
    <w:multiLevelType w:val="hybridMultilevel"/>
    <w:tmpl w:val="E9A2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D6124D"/>
    <w:multiLevelType w:val="hybridMultilevel"/>
    <w:tmpl w:val="B4FCA470"/>
    <w:lvl w:ilvl="0" w:tplc="0426000B">
      <w:start w:val="1"/>
      <w:numFmt w:val="bullet"/>
      <w:lvlText w:val=""/>
      <w:lvlJc w:val="left"/>
      <w:pPr>
        <w:ind w:left="1069" w:hanging="360"/>
      </w:pPr>
      <w:rPr>
        <w:rFonts w:ascii="Wingdings" w:hAnsi="Wingding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3F03C21"/>
    <w:multiLevelType w:val="hybridMultilevel"/>
    <w:tmpl w:val="E10E7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B92F46"/>
    <w:multiLevelType w:val="hybridMultilevel"/>
    <w:tmpl w:val="7A9E74C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D637FF1"/>
    <w:multiLevelType w:val="multilevel"/>
    <w:tmpl w:val="D884B746"/>
    <w:lvl w:ilvl="0">
      <w:start w:val="6"/>
      <w:numFmt w:val="decimal"/>
      <w:lvlText w:val="%1."/>
      <w:lvlJc w:val="left"/>
      <w:pPr>
        <w:ind w:left="390" w:hanging="390"/>
      </w:pPr>
      <w:rPr>
        <w:rFonts w:hint="default"/>
      </w:rPr>
    </w:lvl>
    <w:lvl w:ilvl="1">
      <w:start w:val="1"/>
      <w:numFmt w:val="bullet"/>
      <w:lvlText w:val=""/>
      <w:lvlJc w:val="left"/>
      <w:pPr>
        <w:ind w:left="1429" w:hanging="72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ED45FFF"/>
    <w:multiLevelType w:val="hybridMultilevel"/>
    <w:tmpl w:val="697C4512"/>
    <w:lvl w:ilvl="0" w:tplc="727207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0"/>
  </w:num>
  <w:num w:numId="2">
    <w:abstractNumId w:val="8"/>
  </w:num>
  <w:num w:numId="3">
    <w:abstractNumId w:val="5"/>
  </w:num>
  <w:num w:numId="4">
    <w:abstractNumId w:val="6"/>
  </w:num>
  <w:num w:numId="5">
    <w:abstractNumId w:val="9"/>
  </w:num>
  <w:num w:numId="6">
    <w:abstractNumId w:val="4"/>
  </w:num>
  <w:num w:numId="7">
    <w:abstractNumId w:val="7"/>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B1"/>
    <w:rsid w:val="00006D24"/>
    <w:rsid w:val="00014179"/>
    <w:rsid w:val="000218FD"/>
    <w:rsid w:val="00022C82"/>
    <w:rsid w:val="00025C2D"/>
    <w:rsid w:val="00030359"/>
    <w:rsid w:val="00033F2B"/>
    <w:rsid w:val="0003404D"/>
    <w:rsid w:val="00037A3C"/>
    <w:rsid w:val="0004178C"/>
    <w:rsid w:val="000527E3"/>
    <w:rsid w:val="00055B0A"/>
    <w:rsid w:val="000616ED"/>
    <w:rsid w:val="00065C24"/>
    <w:rsid w:val="000733BA"/>
    <w:rsid w:val="000753C0"/>
    <w:rsid w:val="00076704"/>
    <w:rsid w:val="00077518"/>
    <w:rsid w:val="00077B90"/>
    <w:rsid w:val="00082677"/>
    <w:rsid w:val="00090213"/>
    <w:rsid w:val="00096A0D"/>
    <w:rsid w:val="000A302D"/>
    <w:rsid w:val="000B0E25"/>
    <w:rsid w:val="000B524D"/>
    <w:rsid w:val="000C7165"/>
    <w:rsid w:val="000D24C8"/>
    <w:rsid w:val="000D4073"/>
    <w:rsid w:val="000E11A1"/>
    <w:rsid w:val="000E1FFB"/>
    <w:rsid w:val="000E63AC"/>
    <w:rsid w:val="000F378D"/>
    <w:rsid w:val="00115325"/>
    <w:rsid w:val="00122A39"/>
    <w:rsid w:val="00122C56"/>
    <w:rsid w:val="001254F3"/>
    <w:rsid w:val="00126DD3"/>
    <w:rsid w:val="00135ABB"/>
    <w:rsid w:val="00151521"/>
    <w:rsid w:val="00154164"/>
    <w:rsid w:val="00161F71"/>
    <w:rsid w:val="00167C8B"/>
    <w:rsid w:val="001810EB"/>
    <w:rsid w:val="001822E6"/>
    <w:rsid w:val="00185799"/>
    <w:rsid w:val="0018719D"/>
    <w:rsid w:val="001915BB"/>
    <w:rsid w:val="00192939"/>
    <w:rsid w:val="00193E01"/>
    <w:rsid w:val="001A0B0D"/>
    <w:rsid w:val="001B300D"/>
    <w:rsid w:val="001B532B"/>
    <w:rsid w:val="001B619D"/>
    <w:rsid w:val="001C0C5C"/>
    <w:rsid w:val="001D4229"/>
    <w:rsid w:val="001E1993"/>
    <w:rsid w:val="0020350D"/>
    <w:rsid w:val="00205BE9"/>
    <w:rsid w:val="002240B7"/>
    <w:rsid w:val="002310A6"/>
    <w:rsid w:val="00241DC3"/>
    <w:rsid w:val="00245A1C"/>
    <w:rsid w:val="00251090"/>
    <w:rsid w:val="00251815"/>
    <w:rsid w:val="0025484A"/>
    <w:rsid w:val="00260A35"/>
    <w:rsid w:val="00265EF2"/>
    <w:rsid w:val="0029456E"/>
    <w:rsid w:val="002A67A3"/>
    <w:rsid w:val="002C284D"/>
    <w:rsid w:val="002C4007"/>
    <w:rsid w:val="002D58D9"/>
    <w:rsid w:val="002E355F"/>
    <w:rsid w:val="002E3CD0"/>
    <w:rsid w:val="002E567B"/>
    <w:rsid w:val="002E5BE3"/>
    <w:rsid w:val="002F16A2"/>
    <w:rsid w:val="002F3367"/>
    <w:rsid w:val="002F5388"/>
    <w:rsid w:val="002F6613"/>
    <w:rsid w:val="00302DB3"/>
    <w:rsid w:val="00321094"/>
    <w:rsid w:val="003327D6"/>
    <w:rsid w:val="00332EAC"/>
    <w:rsid w:val="0033438C"/>
    <w:rsid w:val="0033760A"/>
    <w:rsid w:val="00337ACB"/>
    <w:rsid w:val="00340CBD"/>
    <w:rsid w:val="0034134C"/>
    <w:rsid w:val="00342185"/>
    <w:rsid w:val="00352D1A"/>
    <w:rsid w:val="00355E61"/>
    <w:rsid w:val="0036593E"/>
    <w:rsid w:val="003678D0"/>
    <w:rsid w:val="00370233"/>
    <w:rsid w:val="00390EAB"/>
    <w:rsid w:val="00391596"/>
    <w:rsid w:val="003A0014"/>
    <w:rsid w:val="003A4FDE"/>
    <w:rsid w:val="003A6B3B"/>
    <w:rsid w:val="003C3FFF"/>
    <w:rsid w:val="003C5789"/>
    <w:rsid w:val="003D289A"/>
    <w:rsid w:val="003D3FB3"/>
    <w:rsid w:val="003D775E"/>
    <w:rsid w:val="003E14D8"/>
    <w:rsid w:val="003E30B9"/>
    <w:rsid w:val="003F43F5"/>
    <w:rsid w:val="00402948"/>
    <w:rsid w:val="00406D43"/>
    <w:rsid w:val="00410AF5"/>
    <w:rsid w:val="00413D85"/>
    <w:rsid w:val="004246BF"/>
    <w:rsid w:val="004300E6"/>
    <w:rsid w:val="00454B17"/>
    <w:rsid w:val="00457DB3"/>
    <w:rsid w:val="00457F1F"/>
    <w:rsid w:val="00460CB7"/>
    <w:rsid w:val="0046203A"/>
    <w:rsid w:val="004671A1"/>
    <w:rsid w:val="0048142A"/>
    <w:rsid w:val="004821FF"/>
    <w:rsid w:val="00483ED3"/>
    <w:rsid w:val="004854AC"/>
    <w:rsid w:val="00487A23"/>
    <w:rsid w:val="004943A7"/>
    <w:rsid w:val="00494491"/>
    <w:rsid w:val="00495A75"/>
    <w:rsid w:val="004A51D0"/>
    <w:rsid w:val="004A5D29"/>
    <w:rsid w:val="004B33B8"/>
    <w:rsid w:val="004B6721"/>
    <w:rsid w:val="004B7ADC"/>
    <w:rsid w:val="004C433A"/>
    <w:rsid w:val="004C47F4"/>
    <w:rsid w:val="004C5E64"/>
    <w:rsid w:val="004D060E"/>
    <w:rsid w:val="004E0739"/>
    <w:rsid w:val="004E4D5A"/>
    <w:rsid w:val="004F42A5"/>
    <w:rsid w:val="004F7970"/>
    <w:rsid w:val="00504CB2"/>
    <w:rsid w:val="0050724A"/>
    <w:rsid w:val="00517101"/>
    <w:rsid w:val="00522B69"/>
    <w:rsid w:val="00522B85"/>
    <w:rsid w:val="00524580"/>
    <w:rsid w:val="00532806"/>
    <w:rsid w:val="005336FD"/>
    <w:rsid w:val="005338DE"/>
    <w:rsid w:val="00540111"/>
    <w:rsid w:val="00541F6C"/>
    <w:rsid w:val="00545EA7"/>
    <w:rsid w:val="00547897"/>
    <w:rsid w:val="00547EC5"/>
    <w:rsid w:val="00550589"/>
    <w:rsid w:val="005559C0"/>
    <w:rsid w:val="00565804"/>
    <w:rsid w:val="00575F05"/>
    <w:rsid w:val="00580CB4"/>
    <w:rsid w:val="00585C57"/>
    <w:rsid w:val="005865EA"/>
    <w:rsid w:val="00595F94"/>
    <w:rsid w:val="00596FE9"/>
    <w:rsid w:val="005A30C4"/>
    <w:rsid w:val="005A3B81"/>
    <w:rsid w:val="005A5C67"/>
    <w:rsid w:val="005B2011"/>
    <w:rsid w:val="005B20D8"/>
    <w:rsid w:val="005B2AEC"/>
    <w:rsid w:val="005C0959"/>
    <w:rsid w:val="005C7593"/>
    <w:rsid w:val="005D5320"/>
    <w:rsid w:val="005D630C"/>
    <w:rsid w:val="005F10D9"/>
    <w:rsid w:val="005F6A42"/>
    <w:rsid w:val="0061288B"/>
    <w:rsid w:val="0061309A"/>
    <w:rsid w:val="00614C1F"/>
    <w:rsid w:val="00625844"/>
    <w:rsid w:val="00625EB8"/>
    <w:rsid w:val="00630DF3"/>
    <w:rsid w:val="00632865"/>
    <w:rsid w:val="00645B0B"/>
    <w:rsid w:val="006460D5"/>
    <w:rsid w:val="0064650E"/>
    <w:rsid w:val="00650AEA"/>
    <w:rsid w:val="00650EC7"/>
    <w:rsid w:val="00656ACA"/>
    <w:rsid w:val="006603F6"/>
    <w:rsid w:val="006647FD"/>
    <w:rsid w:val="00666F79"/>
    <w:rsid w:val="006A315A"/>
    <w:rsid w:val="006A5C05"/>
    <w:rsid w:val="006A5CC0"/>
    <w:rsid w:val="006A70F1"/>
    <w:rsid w:val="006B0A5E"/>
    <w:rsid w:val="006B3B90"/>
    <w:rsid w:val="006C1A52"/>
    <w:rsid w:val="006C6D80"/>
    <w:rsid w:val="006D34BB"/>
    <w:rsid w:val="006D67D6"/>
    <w:rsid w:val="006E1C5E"/>
    <w:rsid w:val="006E49CD"/>
    <w:rsid w:val="006E7B5B"/>
    <w:rsid w:val="006F5E0F"/>
    <w:rsid w:val="007053F2"/>
    <w:rsid w:val="00710381"/>
    <w:rsid w:val="00712DDE"/>
    <w:rsid w:val="00714567"/>
    <w:rsid w:val="00714BF3"/>
    <w:rsid w:val="00721454"/>
    <w:rsid w:val="00721A84"/>
    <w:rsid w:val="007232DA"/>
    <w:rsid w:val="007317D9"/>
    <w:rsid w:val="00734DBD"/>
    <w:rsid w:val="00736A65"/>
    <w:rsid w:val="00771AE8"/>
    <w:rsid w:val="007753E3"/>
    <w:rsid w:val="00780C00"/>
    <w:rsid w:val="007929A4"/>
    <w:rsid w:val="00794D21"/>
    <w:rsid w:val="007A615C"/>
    <w:rsid w:val="007B04A3"/>
    <w:rsid w:val="007B4E5E"/>
    <w:rsid w:val="007B5443"/>
    <w:rsid w:val="007B6446"/>
    <w:rsid w:val="007E0A99"/>
    <w:rsid w:val="007E1051"/>
    <w:rsid w:val="007E3C84"/>
    <w:rsid w:val="007F1A42"/>
    <w:rsid w:val="007F231C"/>
    <w:rsid w:val="0080341A"/>
    <w:rsid w:val="008061E2"/>
    <w:rsid w:val="00806CD8"/>
    <w:rsid w:val="0081047C"/>
    <w:rsid w:val="00815C65"/>
    <w:rsid w:val="00843C42"/>
    <w:rsid w:val="00847754"/>
    <w:rsid w:val="0085363B"/>
    <w:rsid w:val="008544DF"/>
    <w:rsid w:val="008559FB"/>
    <w:rsid w:val="00857413"/>
    <w:rsid w:val="0086326C"/>
    <w:rsid w:val="00885F76"/>
    <w:rsid w:val="008A0158"/>
    <w:rsid w:val="008A33DC"/>
    <w:rsid w:val="008B1CD3"/>
    <w:rsid w:val="008B2B5B"/>
    <w:rsid w:val="008B5F07"/>
    <w:rsid w:val="008C3322"/>
    <w:rsid w:val="008C4C73"/>
    <w:rsid w:val="008D4B4A"/>
    <w:rsid w:val="008F4E74"/>
    <w:rsid w:val="00901596"/>
    <w:rsid w:val="00903FCD"/>
    <w:rsid w:val="00906DD2"/>
    <w:rsid w:val="009111F0"/>
    <w:rsid w:val="009152D8"/>
    <w:rsid w:val="00925622"/>
    <w:rsid w:val="009318D5"/>
    <w:rsid w:val="00935A2F"/>
    <w:rsid w:val="00937BD0"/>
    <w:rsid w:val="00954357"/>
    <w:rsid w:val="009611B6"/>
    <w:rsid w:val="009652C6"/>
    <w:rsid w:val="009679EA"/>
    <w:rsid w:val="00981EFB"/>
    <w:rsid w:val="0099116D"/>
    <w:rsid w:val="0099414B"/>
    <w:rsid w:val="00997556"/>
    <w:rsid w:val="009A1E28"/>
    <w:rsid w:val="009A2E57"/>
    <w:rsid w:val="009A3701"/>
    <w:rsid w:val="009B621A"/>
    <w:rsid w:val="009B6E93"/>
    <w:rsid w:val="009C1811"/>
    <w:rsid w:val="009C37EB"/>
    <w:rsid w:val="009C423F"/>
    <w:rsid w:val="009D5D7A"/>
    <w:rsid w:val="009D7EB1"/>
    <w:rsid w:val="009E2923"/>
    <w:rsid w:val="009E50BF"/>
    <w:rsid w:val="009E68F3"/>
    <w:rsid w:val="009E7961"/>
    <w:rsid w:val="00A10CFE"/>
    <w:rsid w:val="00A112AF"/>
    <w:rsid w:val="00A14BB5"/>
    <w:rsid w:val="00A15161"/>
    <w:rsid w:val="00A16507"/>
    <w:rsid w:val="00A20F4D"/>
    <w:rsid w:val="00A47CF6"/>
    <w:rsid w:val="00A714FF"/>
    <w:rsid w:val="00A7694C"/>
    <w:rsid w:val="00A8758B"/>
    <w:rsid w:val="00A92A0E"/>
    <w:rsid w:val="00AA122C"/>
    <w:rsid w:val="00AB4FA3"/>
    <w:rsid w:val="00AC3F97"/>
    <w:rsid w:val="00AD1A40"/>
    <w:rsid w:val="00AE03B7"/>
    <w:rsid w:val="00AE26AC"/>
    <w:rsid w:val="00AE3049"/>
    <w:rsid w:val="00AE5797"/>
    <w:rsid w:val="00AE5FE5"/>
    <w:rsid w:val="00AF7FD1"/>
    <w:rsid w:val="00B121AB"/>
    <w:rsid w:val="00B1538D"/>
    <w:rsid w:val="00B20B3E"/>
    <w:rsid w:val="00B227D8"/>
    <w:rsid w:val="00B25FF7"/>
    <w:rsid w:val="00B30413"/>
    <w:rsid w:val="00B4322D"/>
    <w:rsid w:val="00B51C18"/>
    <w:rsid w:val="00B5202F"/>
    <w:rsid w:val="00B53863"/>
    <w:rsid w:val="00B53D03"/>
    <w:rsid w:val="00B73C63"/>
    <w:rsid w:val="00B752D6"/>
    <w:rsid w:val="00B804F5"/>
    <w:rsid w:val="00B80B35"/>
    <w:rsid w:val="00B86383"/>
    <w:rsid w:val="00BA0F20"/>
    <w:rsid w:val="00BA2551"/>
    <w:rsid w:val="00BB634E"/>
    <w:rsid w:val="00BC179D"/>
    <w:rsid w:val="00BC386F"/>
    <w:rsid w:val="00BC6B24"/>
    <w:rsid w:val="00BD2912"/>
    <w:rsid w:val="00BE2623"/>
    <w:rsid w:val="00BF07D2"/>
    <w:rsid w:val="00BF5861"/>
    <w:rsid w:val="00C06DE0"/>
    <w:rsid w:val="00C1345A"/>
    <w:rsid w:val="00C20F8E"/>
    <w:rsid w:val="00C22B63"/>
    <w:rsid w:val="00C2310F"/>
    <w:rsid w:val="00C35FCA"/>
    <w:rsid w:val="00C36AA8"/>
    <w:rsid w:val="00C37F13"/>
    <w:rsid w:val="00C409AD"/>
    <w:rsid w:val="00C5131F"/>
    <w:rsid w:val="00C52155"/>
    <w:rsid w:val="00C5624B"/>
    <w:rsid w:val="00C64F0E"/>
    <w:rsid w:val="00C65F31"/>
    <w:rsid w:val="00C757DF"/>
    <w:rsid w:val="00C93141"/>
    <w:rsid w:val="00C93A2B"/>
    <w:rsid w:val="00C96A04"/>
    <w:rsid w:val="00CA531C"/>
    <w:rsid w:val="00CB1035"/>
    <w:rsid w:val="00CB7293"/>
    <w:rsid w:val="00CC1828"/>
    <w:rsid w:val="00CC570B"/>
    <w:rsid w:val="00CD1289"/>
    <w:rsid w:val="00CF167E"/>
    <w:rsid w:val="00D012BE"/>
    <w:rsid w:val="00D10137"/>
    <w:rsid w:val="00D125BF"/>
    <w:rsid w:val="00D31819"/>
    <w:rsid w:val="00D43E70"/>
    <w:rsid w:val="00D518A6"/>
    <w:rsid w:val="00D57CE0"/>
    <w:rsid w:val="00D57EB4"/>
    <w:rsid w:val="00D6766B"/>
    <w:rsid w:val="00D70893"/>
    <w:rsid w:val="00D7521C"/>
    <w:rsid w:val="00D81793"/>
    <w:rsid w:val="00D861D3"/>
    <w:rsid w:val="00D95DBC"/>
    <w:rsid w:val="00DB1A9E"/>
    <w:rsid w:val="00DB69C9"/>
    <w:rsid w:val="00DB789B"/>
    <w:rsid w:val="00DC0E87"/>
    <w:rsid w:val="00DC1F5A"/>
    <w:rsid w:val="00DD16FF"/>
    <w:rsid w:val="00DD1A4E"/>
    <w:rsid w:val="00DD3ABA"/>
    <w:rsid w:val="00DE2180"/>
    <w:rsid w:val="00DE4244"/>
    <w:rsid w:val="00DE53DB"/>
    <w:rsid w:val="00DF3C69"/>
    <w:rsid w:val="00E00E62"/>
    <w:rsid w:val="00E0658A"/>
    <w:rsid w:val="00E07934"/>
    <w:rsid w:val="00E14ED6"/>
    <w:rsid w:val="00E20AE8"/>
    <w:rsid w:val="00E2544A"/>
    <w:rsid w:val="00E30886"/>
    <w:rsid w:val="00E30DD3"/>
    <w:rsid w:val="00E376D5"/>
    <w:rsid w:val="00E4003A"/>
    <w:rsid w:val="00E4599C"/>
    <w:rsid w:val="00E459F7"/>
    <w:rsid w:val="00E47177"/>
    <w:rsid w:val="00E512A1"/>
    <w:rsid w:val="00E6135D"/>
    <w:rsid w:val="00E61654"/>
    <w:rsid w:val="00E6224F"/>
    <w:rsid w:val="00E63882"/>
    <w:rsid w:val="00E6670A"/>
    <w:rsid w:val="00E75B33"/>
    <w:rsid w:val="00E76E35"/>
    <w:rsid w:val="00E87B4E"/>
    <w:rsid w:val="00EA575A"/>
    <w:rsid w:val="00EA5E7C"/>
    <w:rsid w:val="00EB285D"/>
    <w:rsid w:val="00EB7363"/>
    <w:rsid w:val="00EC3E03"/>
    <w:rsid w:val="00ED1B39"/>
    <w:rsid w:val="00EE16CC"/>
    <w:rsid w:val="00EF6801"/>
    <w:rsid w:val="00F00641"/>
    <w:rsid w:val="00F014A6"/>
    <w:rsid w:val="00F05D77"/>
    <w:rsid w:val="00F14235"/>
    <w:rsid w:val="00F15117"/>
    <w:rsid w:val="00F22537"/>
    <w:rsid w:val="00F22868"/>
    <w:rsid w:val="00F272E3"/>
    <w:rsid w:val="00F41810"/>
    <w:rsid w:val="00F4524D"/>
    <w:rsid w:val="00F5542A"/>
    <w:rsid w:val="00F602E2"/>
    <w:rsid w:val="00F62E52"/>
    <w:rsid w:val="00F637CC"/>
    <w:rsid w:val="00F729DE"/>
    <w:rsid w:val="00F7591E"/>
    <w:rsid w:val="00F84376"/>
    <w:rsid w:val="00F91568"/>
    <w:rsid w:val="00F97B81"/>
    <w:rsid w:val="00FA0A06"/>
    <w:rsid w:val="00FA69BE"/>
    <w:rsid w:val="00FA6C38"/>
    <w:rsid w:val="00FD59E9"/>
    <w:rsid w:val="00FE04CE"/>
    <w:rsid w:val="00FE290D"/>
    <w:rsid w:val="00FF5D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BC37684"/>
  <w15:chartTrackingRefBased/>
  <w15:docId w15:val="{0778B5DE-BC78-4100-9B4E-DB8379C0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7EB1"/>
    <w:pPr>
      <w:spacing w:after="0" w:line="240" w:lineRule="auto"/>
      <w:jc w:val="center"/>
    </w:pPr>
    <w:rPr>
      <w:rFonts w:ascii="Times New Roman" w:eastAsia="Times New Roman" w:hAnsi="Times New Roman" w:cs="Times New Roman"/>
      <w:b/>
      <w:sz w:val="28"/>
      <w:szCs w:val="24"/>
      <w:lang w:eastAsia="lv-LV"/>
    </w:rPr>
  </w:style>
  <w:style w:type="character" w:customStyle="1" w:styleId="TitleChar">
    <w:name w:val="Title Char"/>
    <w:basedOn w:val="DefaultParagraphFont"/>
    <w:link w:val="Title"/>
    <w:rsid w:val="009D7EB1"/>
    <w:rPr>
      <w:rFonts w:ascii="Times New Roman" w:eastAsia="Times New Roman" w:hAnsi="Times New Roman" w:cs="Times New Roman"/>
      <w:b/>
      <w:sz w:val="28"/>
      <w:szCs w:val="24"/>
      <w:lang w:eastAsia="lv-LV"/>
    </w:rPr>
  </w:style>
  <w:style w:type="paragraph" w:styleId="ListParagraph">
    <w:name w:val="List Paragraph"/>
    <w:basedOn w:val="Normal"/>
    <w:uiPriority w:val="34"/>
    <w:qFormat/>
    <w:rsid w:val="0003404D"/>
    <w:pPr>
      <w:ind w:left="720"/>
      <w:contextualSpacing/>
    </w:pPr>
  </w:style>
  <w:style w:type="paragraph" w:customStyle="1" w:styleId="EYBodytextwithparaspace">
    <w:name w:val="EY Body text (with para space)"/>
    <w:basedOn w:val="Normal"/>
    <w:link w:val="EYBodytextwithparaspaceChar"/>
    <w:rsid w:val="009E2923"/>
    <w:pPr>
      <w:tabs>
        <w:tab w:val="left" w:pos="907"/>
      </w:tabs>
      <w:suppressAutoHyphens/>
      <w:spacing w:after="260" w:line="260" w:lineRule="atLeast"/>
    </w:pPr>
    <w:rPr>
      <w:rFonts w:ascii="Arial" w:eastAsia="Times New Roman" w:hAnsi="Arial" w:cs="Times New Roman"/>
      <w:kern w:val="12"/>
      <w:sz w:val="20"/>
      <w:szCs w:val="24"/>
      <w:lang w:val="en-US"/>
    </w:rPr>
  </w:style>
  <w:style w:type="character" w:customStyle="1" w:styleId="EYBodytextwithparaspaceChar">
    <w:name w:val="EY Body text (with para space) Char"/>
    <w:basedOn w:val="DefaultParagraphFont"/>
    <w:link w:val="EYBodytextwithparaspace"/>
    <w:rsid w:val="009E2923"/>
    <w:rPr>
      <w:rFonts w:ascii="Arial" w:eastAsia="Times New Roman" w:hAnsi="Arial" w:cs="Times New Roman"/>
      <w:kern w:val="12"/>
      <w:sz w:val="20"/>
      <w:szCs w:val="24"/>
      <w:lang w:val="en-US"/>
    </w:rPr>
  </w:style>
  <w:style w:type="character" w:styleId="Hyperlink">
    <w:name w:val="Hyperlink"/>
    <w:basedOn w:val="DefaultParagraphFont"/>
    <w:uiPriority w:val="99"/>
    <w:unhideWhenUsed/>
    <w:rsid w:val="002E3CD0"/>
    <w:rPr>
      <w:color w:val="0563C1" w:themeColor="hyperlink"/>
      <w:u w:val="single"/>
    </w:rPr>
  </w:style>
  <w:style w:type="paragraph" w:styleId="Header">
    <w:name w:val="header"/>
    <w:basedOn w:val="Normal"/>
    <w:link w:val="HeaderChar"/>
    <w:uiPriority w:val="99"/>
    <w:unhideWhenUsed/>
    <w:rsid w:val="00B121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21AB"/>
  </w:style>
  <w:style w:type="paragraph" w:styleId="Footer">
    <w:name w:val="footer"/>
    <w:basedOn w:val="Normal"/>
    <w:link w:val="FooterChar"/>
    <w:uiPriority w:val="99"/>
    <w:unhideWhenUsed/>
    <w:rsid w:val="00B121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21AB"/>
  </w:style>
  <w:style w:type="paragraph" w:styleId="FootnoteText">
    <w:name w:val="footnote text"/>
    <w:basedOn w:val="Normal"/>
    <w:link w:val="FootnoteTextChar"/>
    <w:uiPriority w:val="99"/>
    <w:semiHidden/>
    <w:unhideWhenUsed/>
    <w:rsid w:val="00B12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1AB"/>
    <w:rPr>
      <w:sz w:val="20"/>
      <w:szCs w:val="20"/>
    </w:rPr>
  </w:style>
  <w:style w:type="character" w:styleId="FootnoteReference">
    <w:name w:val="footnote reference"/>
    <w:basedOn w:val="DefaultParagraphFont"/>
    <w:uiPriority w:val="99"/>
    <w:semiHidden/>
    <w:unhideWhenUsed/>
    <w:rsid w:val="00B121AB"/>
    <w:rPr>
      <w:vertAlign w:val="superscript"/>
    </w:rPr>
  </w:style>
  <w:style w:type="paragraph" w:customStyle="1" w:styleId="Style1">
    <w:name w:val="Style1"/>
    <w:basedOn w:val="Normal"/>
    <w:link w:val="Style1Char"/>
    <w:qFormat/>
    <w:rsid w:val="00B25FF7"/>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DefaultParagraphFont"/>
    <w:link w:val="Style1"/>
    <w:rsid w:val="00B25FF7"/>
    <w:rPr>
      <w:rFonts w:ascii="Times New Roman" w:eastAsia="Times New Roman" w:hAnsi="Times New Roman" w:cs="Times New Roman"/>
      <w:sz w:val="28"/>
      <w:szCs w:val="28"/>
      <w:lang w:val="en-US"/>
    </w:rPr>
  </w:style>
  <w:style w:type="table" w:styleId="TableGrid">
    <w:name w:val="Table Grid"/>
    <w:basedOn w:val="TableNormal"/>
    <w:uiPriority w:val="39"/>
    <w:rsid w:val="00C5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F2"/>
    <w:rPr>
      <w:rFonts w:ascii="Segoe UI" w:hAnsi="Segoe UI" w:cs="Segoe UI"/>
      <w:sz w:val="18"/>
      <w:szCs w:val="18"/>
    </w:rPr>
  </w:style>
  <w:style w:type="character" w:styleId="CommentReference">
    <w:name w:val="annotation reference"/>
    <w:basedOn w:val="DefaultParagraphFont"/>
    <w:uiPriority w:val="99"/>
    <w:semiHidden/>
    <w:unhideWhenUsed/>
    <w:rsid w:val="00ED1B39"/>
    <w:rPr>
      <w:sz w:val="16"/>
      <w:szCs w:val="16"/>
    </w:rPr>
  </w:style>
  <w:style w:type="paragraph" w:styleId="CommentText">
    <w:name w:val="annotation text"/>
    <w:basedOn w:val="Normal"/>
    <w:link w:val="CommentTextChar"/>
    <w:uiPriority w:val="99"/>
    <w:semiHidden/>
    <w:unhideWhenUsed/>
    <w:rsid w:val="00ED1B39"/>
    <w:pPr>
      <w:spacing w:line="240" w:lineRule="auto"/>
    </w:pPr>
    <w:rPr>
      <w:sz w:val="20"/>
      <w:szCs w:val="20"/>
    </w:rPr>
  </w:style>
  <w:style w:type="character" w:customStyle="1" w:styleId="CommentTextChar">
    <w:name w:val="Comment Text Char"/>
    <w:basedOn w:val="DefaultParagraphFont"/>
    <w:link w:val="CommentText"/>
    <w:uiPriority w:val="99"/>
    <w:semiHidden/>
    <w:rsid w:val="00ED1B39"/>
    <w:rPr>
      <w:sz w:val="20"/>
      <w:szCs w:val="20"/>
    </w:rPr>
  </w:style>
  <w:style w:type="paragraph" w:styleId="CommentSubject">
    <w:name w:val="annotation subject"/>
    <w:basedOn w:val="CommentText"/>
    <w:next w:val="CommentText"/>
    <w:link w:val="CommentSubjectChar"/>
    <w:uiPriority w:val="99"/>
    <w:semiHidden/>
    <w:unhideWhenUsed/>
    <w:rsid w:val="00ED1B39"/>
    <w:rPr>
      <w:b/>
      <w:bCs/>
    </w:rPr>
  </w:style>
  <w:style w:type="character" w:customStyle="1" w:styleId="CommentSubjectChar">
    <w:name w:val="Comment Subject Char"/>
    <w:basedOn w:val="CommentTextChar"/>
    <w:link w:val="CommentSubject"/>
    <w:uiPriority w:val="99"/>
    <w:semiHidden/>
    <w:rsid w:val="00ED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0004">
      <w:bodyDiv w:val="1"/>
      <w:marLeft w:val="0"/>
      <w:marRight w:val="0"/>
      <w:marTop w:val="0"/>
      <w:marBottom w:val="0"/>
      <w:divBdr>
        <w:top w:val="none" w:sz="0" w:space="0" w:color="auto"/>
        <w:left w:val="none" w:sz="0" w:space="0" w:color="auto"/>
        <w:bottom w:val="none" w:sz="0" w:space="0" w:color="auto"/>
        <w:right w:val="none" w:sz="0" w:space="0" w:color="auto"/>
      </w:divBdr>
    </w:div>
    <w:div w:id="12375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Edgars.Sidlovskis@f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hart" Target="charts/chart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chart" Target="charts/chart1.xml"/><Relationship Id="rId30" Type="http://schemas.openxmlformats.org/officeDocument/2006/relationships/hyperlink" Target="mailto:Ilze.Baltabola@em.gov.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b.lv/sites/default/files/web/files/webstorage/product_documents/Indekss_1-24.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v-LV" sz="1200" b="0">
                <a:solidFill>
                  <a:sysClr val="windowText" lastClr="000000"/>
                </a:solidFill>
                <a:latin typeface="Times New Roman" panose="02020603050405020304" pitchFamily="18" charset="0"/>
                <a:cs typeface="Times New Roman" panose="02020603050405020304" pitchFamily="18" charset="0"/>
              </a:rPr>
              <a:t>Faktori, kas varētu mudināt uzņēmumu kļūt par Padziļinātās sadarbības programmas dalībnieku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10"/>
          <c:order val="10"/>
          <c:tx>
            <c:strRef>
              <c:f>Sheet1!$L$1:$L$2</c:f>
              <c:strCache>
                <c:ptCount val="2"/>
                <c:pt idx="0">
                  <c:v>Faktori, kas varētu mudinēt uzņēmumu kļūt par Padziļinātās sadarbības programmas dalībnieku </c:v>
                </c:pt>
                <c:pt idx="1">
                  <c:v>%</c:v>
                </c:pt>
              </c:strCache>
            </c:strRef>
          </c:tx>
          <c:spPr>
            <a:solidFill>
              <a:srgbClr val="013EA1"/>
            </a:solidFill>
            <a:ln>
              <a:noFill/>
            </a:ln>
            <a:effectLst/>
          </c:spPr>
          <c:invertIfNegative val="0"/>
          <c:dLbls>
            <c:dLbl>
              <c:idx val="0"/>
              <c:layout>
                <c:manualLayout>
                  <c:x val="-4.7746522732185466E-3"/>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924-4736-B78E-8DCEF3598B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f>Sheet1!$L$3:$L$6</c:f>
              <c:numCache>
                <c:formatCode>0.00%</c:formatCode>
                <c:ptCount val="4"/>
                <c:pt idx="0">
                  <c:v>0.42649999999999999</c:v>
                </c:pt>
                <c:pt idx="1">
                  <c:v>0.27939999999999998</c:v>
                </c:pt>
                <c:pt idx="2">
                  <c:v>5.8799999999999998E-2</c:v>
                </c:pt>
                <c:pt idx="3">
                  <c:v>0.23530000000000001</c:v>
                </c:pt>
              </c:numCache>
            </c:numRef>
          </c:val>
          <c:extLst>
            <c:ext xmlns:c16="http://schemas.microsoft.com/office/drawing/2014/chart" uri="{C3380CC4-5D6E-409C-BE32-E72D297353CC}">
              <c16:uniqueId val="{00000001-7924-4736-B78E-8DCEF3598B8A}"/>
            </c:ext>
          </c:extLst>
        </c:ser>
        <c:dLbls>
          <c:showLegendKey val="0"/>
          <c:showVal val="0"/>
          <c:showCatName val="0"/>
          <c:showSerName val="0"/>
          <c:showPercent val="0"/>
          <c:showBubbleSize val="0"/>
        </c:dLbls>
        <c:gapWidth val="182"/>
        <c:axId val="497109048"/>
        <c:axId val="497112968"/>
        <c:extLst>
          <c:ext xmlns:c15="http://schemas.microsoft.com/office/drawing/2012/chart" uri="{02D57815-91ED-43cb-92C2-25804820EDAC}">
            <c15:filteredBarSeries>
              <c15:ser>
                <c:idx val="0"/>
                <c:order val="0"/>
                <c:tx>
                  <c:strRef>
                    <c:extLst>
                      <c:ext uri="{02D57815-91ED-43cb-92C2-25804820EDAC}">
                        <c15:formulaRef>
                          <c15:sqref>Sheet1!$B$1:$B$2</c15:sqref>
                        </c15:formulaRef>
                      </c:ext>
                    </c:extLst>
                    <c:strCache>
                      <c:ptCount val="2"/>
                      <c:pt idx="0">
                        <c:v>Faktori, kas varētu mudinēt uzņēmumu kļūt par Padziļinātās sadarbības programmas dalībnieku </c:v>
                      </c:pt>
                    </c:strCache>
                  </c:strRef>
                </c:tx>
                <c:spPr>
                  <a:solidFill>
                    <a:schemeClr val="accent1"/>
                  </a:solidFill>
                  <a:ln>
                    <a:noFill/>
                  </a:ln>
                  <a:effectLst/>
                </c:spPr>
                <c:invertIfNegative val="0"/>
                <c:cat>
                  <c:strRef>
                    <c:extLst>
                      <c:ex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c:ext uri="{02D57815-91ED-43cb-92C2-25804820EDAC}">
                        <c15:formulaRef>
                          <c15:sqref>Sheet1!$B$3:$B$6</c15:sqref>
                        </c15:formulaRef>
                      </c:ext>
                    </c:extLst>
                    <c:numCache>
                      <c:formatCode>General</c:formatCode>
                      <c:ptCount val="4"/>
                    </c:numCache>
                  </c:numRef>
                </c:val>
                <c:extLst>
                  <c:ext xmlns:c16="http://schemas.microsoft.com/office/drawing/2014/chart" uri="{C3380CC4-5D6E-409C-BE32-E72D297353CC}">
                    <c16:uniqueId val="{00000002-7924-4736-B78E-8DCEF3598B8A}"/>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Sheet1!$C$1:$C$2</c15:sqref>
                        </c15:formulaRef>
                      </c:ext>
                    </c:extLst>
                    <c:strCache>
                      <c:ptCount val="2"/>
                      <c:pt idx="0">
                        <c:v>Faktori, kas varētu mudinēt uzņēmumu kļūt par Padziļinātās sadarbības programmas dalībnieku </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Sheet1!$C$3:$C$6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3-7924-4736-B78E-8DCEF3598B8A}"/>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Sheet1!$D$1:$D$2</c15:sqref>
                        </c15:formulaRef>
                      </c:ext>
                    </c:extLst>
                    <c:strCache>
                      <c:ptCount val="2"/>
                      <c:pt idx="0">
                        <c:v>Faktori, kas varētu mudinēt uzņēmumu kļūt par Padziļinātās sadarbības programmas dalībnieku </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Sheet1!$D$3:$D$6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7924-4736-B78E-8DCEF3598B8A}"/>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Sheet1!$E$1:$E$2</c15:sqref>
                        </c15:formulaRef>
                      </c:ext>
                    </c:extLst>
                    <c:strCache>
                      <c:ptCount val="2"/>
                      <c:pt idx="0">
                        <c:v>Faktori, kas varētu mudinēt uzņēmumu kļūt par Padziļinātās sadarbības programmas dalībnieku </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Sheet1!$E$3:$E$6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5-7924-4736-B78E-8DCEF3598B8A}"/>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Sheet1!$F$1:$F$2</c15:sqref>
                        </c15:formulaRef>
                      </c:ext>
                    </c:extLst>
                    <c:strCache>
                      <c:ptCount val="2"/>
                      <c:pt idx="0">
                        <c:v>Faktori, kas varētu mudinēt uzņēmumu kļūt par Padziļinātās sadarbības programmas dalībnieku </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Sheet1!$F$3:$F$6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6-7924-4736-B78E-8DCEF3598B8A}"/>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Sheet1!$G$1:$G$2</c15:sqref>
                        </c15:formulaRef>
                      </c:ext>
                    </c:extLst>
                    <c:strCache>
                      <c:ptCount val="2"/>
                      <c:pt idx="0">
                        <c:v>Faktori, kas varētu mudinēt uzņēmumu kļūt par Padziļinātās sadarbības programmas dalībnieku </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Sheet1!$G$3:$G$6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7-7924-4736-B78E-8DCEF3598B8A}"/>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Sheet1!$H$1:$H$2</c15:sqref>
                        </c15:formulaRef>
                      </c:ext>
                    </c:extLst>
                    <c:strCache>
                      <c:ptCount val="2"/>
                      <c:pt idx="0">
                        <c:v>Faktori, kas varētu mudinēt uzņēmumu kļūt par Padziļinātās sadarbības programmas dalībnieku </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Sheet1!$H$3:$H$6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8-7924-4736-B78E-8DCEF3598B8A}"/>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Sheet1!$I$1:$I$2</c15:sqref>
                        </c15:formulaRef>
                      </c:ext>
                    </c:extLst>
                    <c:strCache>
                      <c:ptCount val="2"/>
                      <c:pt idx="0">
                        <c:v>Faktori, kas varētu mudinēt uzņēmumu kļūt par Padziļinātās sadarbības programmas dalībnieku </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Sheet1!$I$3:$I$6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9-7924-4736-B78E-8DCEF3598B8A}"/>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Sheet1!$J$1:$J$2</c15:sqref>
                        </c15:formulaRef>
                      </c:ext>
                    </c:extLst>
                    <c:strCache>
                      <c:ptCount val="2"/>
                      <c:pt idx="0">
                        <c:v>Faktori, kas varētu mudinēt uzņēmumu kļūt par Padziļinātās sadarbības programmas dalībnieku </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Sheet1!$J$3:$J$6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A-7924-4736-B78E-8DCEF3598B8A}"/>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Sheet1!$K$1:$K$2</c15:sqref>
                        </c15:formulaRef>
                      </c:ext>
                    </c:extLst>
                    <c:strCache>
                      <c:ptCount val="2"/>
                      <c:pt idx="0">
                        <c:v>Faktori, kas varētu mudinēt uzņēmumu kļūt par Padziļinātās sadarbības programmas dalībnieku </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Sheet1!$A$3:$A$6</c15:sqref>
                        </c15:formulaRef>
                      </c:ext>
                    </c:extLst>
                    <c:strCache>
                      <c:ptCount val="4"/>
                      <c:pt idx="0">
                        <c:v>Atviegloti kontroles mehānismi, kas orientēti uz preventīviem pasākumiem, nevis retrospektīvām kontrolēm</c:v>
                      </c:pt>
                      <c:pt idx="1">
                        <c:v>Pārskatīti kritēriji klūšanai par dalībnieku </c:v>
                      </c:pt>
                      <c:pt idx="2">
                        <c:v>Dalībnieku statuss tiek vienlaikus piešķirts visai uzņēmuma grupai</c:v>
                      </c:pt>
                      <c:pt idx="3">
                        <c:v>Pārskatīta statusa zaudēšanas kārtība, nosakot periodu, kurā pārkāpumu novērst </c:v>
                      </c:pt>
                    </c:strCache>
                  </c:strRef>
                </c:cat>
                <c:val>
                  <c:numRef>
                    <c:extLst xmlns:c15="http://schemas.microsoft.com/office/drawing/2012/chart">
                      <c:ext xmlns:c15="http://schemas.microsoft.com/office/drawing/2012/chart" uri="{02D57815-91ED-43cb-92C2-25804820EDAC}">
                        <c15:formulaRef>
                          <c15:sqref>Sheet1!$K$3:$K$6</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B-7924-4736-B78E-8DCEF3598B8A}"/>
                  </c:ext>
                </c:extLst>
              </c15:ser>
            </c15:filteredBarSeries>
          </c:ext>
        </c:extLst>
      </c:barChart>
      <c:catAx>
        <c:axId val="497109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7112968"/>
        <c:crosses val="autoZero"/>
        <c:auto val="1"/>
        <c:lblAlgn val="ctr"/>
        <c:lblOffset val="100"/>
        <c:noMultiLvlLbl val="0"/>
      </c:catAx>
      <c:valAx>
        <c:axId val="497112968"/>
        <c:scaling>
          <c:orientation val="minMax"/>
        </c:scaling>
        <c:delete val="1"/>
        <c:axPos val="b"/>
        <c:majorGridlines>
          <c:spPr>
            <a:ln w="12700" cap="flat" cmpd="sng" algn="ctr">
              <a:solidFill>
                <a:schemeClr val="tx1">
                  <a:lumMod val="15000"/>
                  <a:lumOff val="85000"/>
                </a:schemeClr>
              </a:solidFill>
              <a:round/>
            </a:ln>
            <a:effectLst/>
          </c:spPr>
        </c:majorGridlines>
        <c:numFmt formatCode="0.00%" sourceLinked="1"/>
        <c:majorTickMark val="none"/>
        <c:minorTickMark val="none"/>
        <c:tickLblPos val="nextTo"/>
        <c:crossAx val="497109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4"/>
          <c:order val="4"/>
          <c:tx>
            <c:strRef>
              <c:f>Sheet1!$F$28:$F$29</c:f>
              <c:strCache>
                <c:ptCount val="2"/>
                <c:pt idx="1">
                  <c:v>Padziļinātās sadarbības programmas vērtējums</c:v>
                </c:pt>
              </c:strCache>
            </c:strRef>
          </c:tx>
          <c:spPr>
            <a:solidFill>
              <a:srgbClr val="002CA3"/>
            </a:solidFill>
            <a:ln>
              <a:noFill/>
            </a:ln>
            <a:effectLst/>
          </c:spPr>
          <c:invertIfNegative val="0"/>
          <c:dPt>
            <c:idx val="5"/>
            <c:invertIfNegative val="0"/>
            <c:bubble3D val="0"/>
            <c:spPr>
              <a:solidFill>
                <a:srgbClr val="002CA1"/>
              </a:solidFill>
              <a:ln>
                <a:noFill/>
              </a:ln>
              <a:effectLst/>
            </c:spPr>
            <c:extLst>
              <c:ext xmlns:c16="http://schemas.microsoft.com/office/drawing/2014/chart" uri="{C3380CC4-5D6E-409C-BE32-E72D297353CC}">
                <c16:uniqueId val="{00000001-1E96-4827-8FFE-FE6DB59288AC}"/>
              </c:ext>
            </c:extLst>
          </c:dPt>
          <c:dLbls>
            <c:dLbl>
              <c:idx val="1"/>
              <c:layout>
                <c:manualLayout>
                  <c:x val="-1.0185067526415994E-16"/>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E96-4827-8FFE-FE6DB59288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Sheet1!$A$30:$A$37</c:f>
              <c:strCache>
                <c:ptCount val="7"/>
                <c:pt idx="0">
                  <c:v>Pozitīvi, izmantoju sniegtās priekšrocības</c:v>
                </c:pt>
                <c:pt idx="1">
                  <c:v>Piedāvātās priekšrocības ir nebūtiskas</c:v>
                </c:pt>
                <c:pt idx="2">
                  <c:v>Ir nesamērīgs administratīvais slogs</c:v>
                </c:pt>
                <c:pt idx="3">
                  <c:v>Nav skaidri nodokļu risku vadības kritēriji</c:v>
                </c:pt>
                <c:pt idx="4">
                  <c:v>Priekšrocības nav piemērotas konkrētai sfērai</c:v>
                </c:pt>
                <c:pt idx="5">
                  <c:v>Risks, kas dalībnieka statuss varētu tikt negaidīti atņemts </c:v>
                </c:pt>
                <c:pt idx="6">
                  <c:v>Cits (regulāri tiek apšaubīti uzņēmuma finanšu rādītāji) </c:v>
                </c:pt>
              </c:strCache>
            </c:strRef>
          </c:cat>
          <c:val>
            <c:numRef>
              <c:f>Sheet1!$F$30:$F$37</c:f>
              <c:numCache>
                <c:formatCode>0.00%</c:formatCode>
                <c:ptCount val="8"/>
                <c:pt idx="0">
                  <c:v>0.1333</c:v>
                </c:pt>
                <c:pt idx="1">
                  <c:v>0.4</c:v>
                </c:pt>
                <c:pt idx="2">
                  <c:v>6.6799999999999998E-2</c:v>
                </c:pt>
                <c:pt idx="3">
                  <c:v>0.23330000000000001</c:v>
                </c:pt>
                <c:pt idx="4">
                  <c:v>3.3300000000000003E-2</c:v>
                </c:pt>
                <c:pt idx="5">
                  <c:v>0.1</c:v>
                </c:pt>
                <c:pt idx="6">
                  <c:v>3.3300000000000003E-2</c:v>
                </c:pt>
              </c:numCache>
            </c:numRef>
          </c:val>
          <c:extLst>
            <c:ext xmlns:c16="http://schemas.microsoft.com/office/drawing/2014/chart" uri="{C3380CC4-5D6E-409C-BE32-E72D297353CC}">
              <c16:uniqueId val="{00000003-1E96-4827-8FFE-FE6DB59288AC}"/>
            </c:ext>
          </c:extLst>
        </c:ser>
        <c:dLbls>
          <c:showLegendKey val="0"/>
          <c:showVal val="0"/>
          <c:showCatName val="0"/>
          <c:showSerName val="0"/>
          <c:showPercent val="0"/>
          <c:showBubbleSize val="0"/>
        </c:dLbls>
        <c:gapWidth val="182"/>
        <c:axId val="497110616"/>
        <c:axId val="497114144"/>
        <c:extLst>
          <c:ext xmlns:c15="http://schemas.microsoft.com/office/drawing/2012/chart" uri="{02D57815-91ED-43cb-92C2-25804820EDAC}">
            <c15:filteredBarSeries>
              <c15:ser>
                <c:idx val="0"/>
                <c:order val="0"/>
                <c:tx>
                  <c:strRef>
                    <c:extLst>
                      <c:ext uri="{02D57815-91ED-43cb-92C2-25804820EDAC}">
                        <c15:formulaRef>
                          <c15:sqref>Sheet1!$B$28:$B$29</c15:sqref>
                        </c15:formulaRef>
                      </c:ext>
                    </c:extLst>
                    <c:strCache>
                      <c:ptCount val="2"/>
                      <c:pt idx="1">
                        <c:v>Padziļinātās sadarbības programmas vērtējums</c:v>
                      </c:pt>
                    </c:strCache>
                  </c:strRef>
                </c:tx>
                <c:spPr>
                  <a:solidFill>
                    <a:schemeClr val="accent1"/>
                  </a:solidFill>
                  <a:ln>
                    <a:noFill/>
                  </a:ln>
                  <a:effectLst/>
                </c:spPr>
                <c:invertIfNegative val="0"/>
                <c:cat>
                  <c:strRef>
                    <c:extLst>
                      <c:ext uri="{02D57815-91ED-43cb-92C2-25804820EDAC}">
                        <c15:formulaRef>
                          <c15:sqref>Sheet1!$A$30:$A$37</c15:sqref>
                        </c15:formulaRef>
                      </c:ext>
                    </c:extLst>
                    <c:strCache>
                      <c:ptCount val="7"/>
                      <c:pt idx="0">
                        <c:v>Pozitīvi, izmantoju sniegtās priekšrocības</c:v>
                      </c:pt>
                      <c:pt idx="1">
                        <c:v>Piedāvātās priekšrocības ir nebūtiskas</c:v>
                      </c:pt>
                      <c:pt idx="2">
                        <c:v>Ir nesamērīgs administratīvais slogs</c:v>
                      </c:pt>
                      <c:pt idx="3">
                        <c:v>Nav skaidri nodokļu risku vadības kritēriji</c:v>
                      </c:pt>
                      <c:pt idx="4">
                        <c:v>Priekšrocības nav piemērotas konkrētai sfērai</c:v>
                      </c:pt>
                      <c:pt idx="5">
                        <c:v>Risks, kas dalībnieka statuss varētu tikt negaidīti atņemts </c:v>
                      </c:pt>
                      <c:pt idx="6">
                        <c:v>Cits (regulāri tiek apšaubīti uzņēmuma finanšu rādītāji) </c:v>
                      </c:pt>
                    </c:strCache>
                  </c:strRef>
                </c:cat>
                <c:val>
                  <c:numRef>
                    <c:extLst>
                      <c:ext uri="{02D57815-91ED-43cb-92C2-25804820EDAC}">
                        <c15:formulaRef>
                          <c15:sqref>Sheet1!$B$30:$B$37</c15:sqref>
                        </c15:formulaRef>
                      </c:ext>
                    </c:extLst>
                    <c:numCache>
                      <c:formatCode>General</c:formatCode>
                      <c:ptCount val="8"/>
                    </c:numCache>
                  </c:numRef>
                </c:val>
                <c:extLst>
                  <c:ext xmlns:c16="http://schemas.microsoft.com/office/drawing/2014/chart" uri="{C3380CC4-5D6E-409C-BE32-E72D297353CC}">
                    <c16:uniqueId val="{00000004-1E96-4827-8FFE-FE6DB59288A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Sheet1!$C$28:$C$29</c15:sqref>
                        </c15:formulaRef>
                      </c:ext>
                    </c:extLst>
                    <c:strCache>
                      <c:ptCount val="2"/>
                      <c:pt idx="1">
                        <c:v>Padziļinātās sadarbības programmas vērtējums</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Sheet1!$A$30:$A$37</c15:sqref>
                        </c15:formulaRef>
                      </c:ext>
                    </c:extLst>
                    <c:strCache>
                      <c:ptCount val="7"/>
                      <c:pt idx="0">
                        <c:v>Pozitīvi, izmantoju sniegtās priekšrocības</c:v>
                      </c:pt>
                      <c:pt idx="1">
                        <c:v>Piedāvātās priekšrocības ir nebūtiskas</c:v>
                      </c:pt>
                      <c:pt idx="2">
                        <c:v>Ir nesamērīgs administratīvais slogs</c:v>
                      </c:pt>
                      <c:pt idx="3">
                        <c:v>Nav skaidri nodokļu risku vadības kritēriji</c:v>
                      </c:pt>
                      <c:pt idx="4">
                        <c:v>Priekšrocības nav piemērotas konkrētai sfērai</c:v>
                      </c:pt>
                      <c:pt idx="5">
                        <c:v>Risks, kas dalībnieka statuss varētu tikt negaidīti atņemts </c:v>
                      </c:pt>
                      <c:pt idx="6">
                        <c:v>Cits (regulāri tiek apšaubīti uzņēmuma finanšu rādītāji) </c:v>
                      </c:pt>
                    </c:strCache>
                  </c:strRef>
                </c:cat>
                <c:val>
                  <c:numRef>
                    <c:extLst xmlns:c15="http://schemas.microsoft.com/office/drawing/2012/chart">
                      <c:ext xmlns:c15="http://schemas.microsoft.com/office/drawing/2012/chart" uri="{02D57815-91ED-43cb-92C2-25804820EDAC}">
                        <c15:formulaRef>
                          <c15:sqref>Sheet1!$C$30:$C$37</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5-1E96-4827-8FFE-FE6DB59288A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Sheet1!$D$28:$D$29</c15:sqref>
                        </c15:formulaRef>
                      </c:ext>
                    </c:extLst>
                    <c:strCache>
                      <c:ptCount val="2"/>
                      <c:pt idx="1">
                        <c:v>Padziļinātās sadarbības programmas vērtējums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Sheet1!$A$30:$A$37</c15:sqref>
                        </c15:formulaRef>
                      </c:ext>
                    </c:extLst>
                    <c:strCache>
                      <c:ptCount val="7"/>
                      <c:pt idx="0">
                        <c:v>Pozitīvi, izmantoju sniegtās priekšrocības</c:v>
                      </c:pt>
                      <c:pt idx="1">
                        <c:v>Piedāvātās priekšrocības ir nebūtiskas</c:v>
                      </c:pt>
                      <c:pt idx="2">
                        <c:v>Ir nesamērīgs administratīvais slogs</c:v>
                      </c:pt>
                      <c:pt idx="3">
                        <c:v>Nav skaidri nodokļu risku vadības kritēriji</c:v>
                      </c:pt>
                      <c:pt idx="4">
                        <c:v>Priekšrocības nav piemērotas konkrētai sfērai</c:v>
                      </c:pt>
                      <c:pt idx="5">
                        <c:v>Risks, kas dalībnieka statuss varētu tikt negaidīti atņemts </c:v>
                      </c:pt>
                      <c:pt idx="6">
                        <c:v>Cits (regulāri tiek apšaubīti uzņēmuma finanšu rādītāji) </c:v>
                      </c:pt>
                    </c:strCache>
                  </c:strRef>
                </c:cat>
                <c:val>
                  <c:numRef>
                    <c:extLst xmlns:c15="http://schemas.microsoft.com/office/drawing/2012/chart">
                      <c:ext xmlns:c15="http://schemas.microsoft.com/office/drawing/2012/chart" uri="{02D57815-91ED-43cb-92C2-25804820EDAC}">
                        <c15:formulaRef>
                          <c15:sqref>Sheet1!$D$30:$D$37</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6-1E96-4827-8FFE-FE6DB59288A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Sheet1!$E$28:$E$29</c15:sqref>
                        </c15:formulaRef>
                      </c:ext>
                    </c:extLst>
                    <c:strCache>
                      <c:ptCount val="2"/>
                      <c:pt idx="1">
                        <c:v>Padziļinātās sadarbības programmas vērtējums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Sheet1!$A$30:$A$37</c15:sqref>
                        </c15:formulaRef>
                      </c:ext>
                    </c:extLst>
                    <c:strCache>
                      <c:ptCount val="7"/>
                      <c:pt idx="0">
                        <c:v>Pozitīvi, izmantoju sniegtās priekšrocības</c:v>
                      </c:pt>
                      <c:pt idx="1">
                        <c:v>Piedāvātās priekšrocības ir nebūtiskas</c:v>
                      </c:pt>
                      <c:pt idx="2">
                        <c:v>Ir nesamērīgs administratīvais slogs</c:v>
                      </c:pt>
                      <c:pt idx="3">
                        <c:v>Nav skaidri nodokļu risku vadības kritēriji</c:v>
                      </c:pt>
                      <c:pt idx="4">
                        <c:v>Priekšrocības nav piemērotas konkrētai sfērai</c:v>
                      </c:pt>
                      <c:pt idx="5">
                        <c:v>Risks, kas dalībnieka statuss varētu tikt negaidīti atņemts </c:v>
                      </c:pt>
                      <c:pt idx="6">
                        <c:v>Cits (regulāri tiek apšaubīti uzņēmuma finanšu rādītāji) </c:v>
                      </c:pt>
                    </c:strCache>
                  </c:strRef>
                </c:cat>
                <c:val>
                  <c:numRef>
                    <c:extLst xmlns:c15="http://schemas.microsoft.com/office/drawing/2012/chart">
                      <c:ext xmlns:c15="http://schemas.microsoft.com/office/drawing/2012/chart" uri="{02D57815-91ED-43cb-92C2-25804820EDAC}">
                        <c15:formulaRef>
                          <c15:sqref>Sheet1!$E$30:$E$37</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7-1E96-4827-8FFE-FE6DB59288AC}"/>
                  </c:ext>
                </c:extLst>
              </c15:ser>
            </c15:filteredBarSeries>
          </c:ext>
        </c:extLst>
      </c:barChart>
      <c:catAx>
        <c:axId val="49711061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7114144"/>
        <c:crosses val="autoZero"/>
        <c:auto val="1"/>
        <c:lblAlgn val="ctr"/>
        <c:lblOffset val="100"/>
        <c:noMultiLvlLbl val="0"/>
      </c:catAx>
      <c:valAx>
        <c:axId val="49711414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97110616"/>
        <c:crosses val="autoZero"/>
        <c:crossBetween val="between"/>
      </c:valAx>
      <c:spPr>
        <a:noFill/>
        <a:ln cmpd="sng">
          <a:noFill/>
        </a:ln>
        <a:effectLst/>
      </c:spPr>
    </c:plotArea>
    <c:plotVisOnly val="1"/>
    <c:dispBlanksAs val="gap"/>
    <c:showDLblsOverMax val="0"/>
  </c:chart>
  <c:spPr>
    <a:solidFill>
      <a:schemeClr val="bg1"/>
    </a:solidFill>
    <a:ln w="6350"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F6E98-80FA-4B55-9E12-E291545B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18</Pages>
  <Words>23947</Words>
  <Characters>13651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Konceptuālais ziņojums Par Padziļinātās sadarbības programmas darbību un tās attīstības modeli</vt:lpstr>
    </vt:vector>
  </TitlesOfParts>
  <Company>Finanšu ministrija; Ekonomikas ministrija</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Konceptuālais ziņojums Par Padziļinātās sadarbības programmas darbību un tās attīstības modeli</dc:title>
  <dc:subject/>
  <dc:creator>Edgars Šidlovskis (FM); Ilze Baltābola(EM)</dc:creator>
  <cp:keywords/>
  <dc:description>Šidlovskis, 67083894_x000d_
Edgars.Sidlovskis@fm.gov.lv;_x000d_
Baltābola, 67013271_x000d_
Ilze.Baltābola@em.gov.lv</dc:description>
  <cp:lastModifiedBy>Šidlovskis Edgars</cp:lastModifiedBy>
  <cp:revision>52</cp:revision>
  <cp:lastPrinted>2018-03-21T07:24:00Z</cp:lastPrinted>
  <dcterms:created xsi:type="dcterms:W3CDTF">2017-12-11T14:05:00Z</dcterms:created>
  <dcterms:modified xsi:type="dcterms:W3CDTF">2018-03-21T07:26:00Z</dcterms:modified>
</cp:coreProperties>
</file>