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4E4D" w14:textId="77777777" w:rsidR="0095393F" w:rsidRDefault="0095393F" w:rsidP="00FB456A">
      <w:pPr>
        <w:jc w:val="center"/>
        <w:rPr>
          <w:rFonts w:cs="Times New Roman"/>
          <w:b/>
          <w:szCs w:val="24"/>
        </w:rPr>
      </w:pPr>
      <w:bookmarkStart w:id="0" w:name="_GoBack"/>
      <w:bookmarkEnd w:id="0"/>
      <w:r>
        <w:rPr>
          <w:rFonts w:cs="Times New Roman"/>
          <w:b/>
          <w:szCs w:val="24"/>
        </w:rPr>
        <w:t xml:space="preserve">Informatīvais ziņojums </w:t>
      </w:r>
    </w:p>
    <w:p w14:paraId="701FBF6E" w14:textId="6A1DDBD2" w:rsidR="001E48AE" w:rsidRPr="00FB456A" w:rsidRDefault="0095393F" w:rsidP="00FB456A">
      <w:pPr>
        <w:jc w:val="center"/>
        <w:rPr>
          <w:rFonts w:cs="Times New Roman"/>
          <w:b/>
          <w:szCs w:val="24"/>
        </w:rPr>
      </w:pPr>
      <w:r>
        <w:rPr>
          <w:rFonts w:cs="Times New Roman"/>
          <w:b/>
          <w:szCs w:val="24"/>
        </w:rPr>
        <w:t xml:space="preserve">par dalību </w:t>
      </w:r>
      <w:r w:rsidR="003F1587" w:rsidRPr="00FB456A">
        <w:rPr>
          <w:rFonts w:cs="Times New Roman"/>
          <w:b/>
          <w:szCs w:val="24"/>
        </w:rPr>
        <w:t xml:space="preserve">Pasaules Bankas </w:t>
      </w:r>
      <w:r w:rsidR="00EB5598">
        <w:rPr>
          <w:rFonts w:cs="Times New Roman"/>
          <w:b/>
          <w:szCs w:val="24"/>
        </w:rPr>
        <w:t>G</w:t>
      </w:r>
      <w:r w:rsidR="0008058E">
        <w:rPr>
          <w:rFonts w:cs="Times New Roman"/>
          <w:b/>
          <w:szCs w:val="24"/>
        </w:rPr>
        <w:t xml:space="preserve">rupas </w:t>
      </w:r>
      <w:r w:rsidR="00885D4D">
        <w:rPr>
          <w:rFonts w:cs="Times New Roman"/>
          <w:b/>
          <w:szCs w:val="24"/>
        </w:rPr>
        <w:t xml:space="preserve">daudzpusējā </w:t>
      </w:r>
      <w:r>
        <w:rPr>
          <w:rFonts w:cs="Times New Roman"/>
          <w:b/>
          <w:szCs w:val="24"/>
        </w:rPr>
        <w:t>trasta fondā</w:t>
      </w:r>
      <w:r w:rsidR="008B740D" w:rsidRPr="00416E81">
        <w:rPr>
          <w:rStyle w:val="FootnoteReference"/>
          <w:rFonts w:cs="Times New Roman"/>
          <w:szCs w:val="24"/>
        </w:rPr>
        <w:footnoteReference w:id="1"/>
      </w:r>
      <w:r w:rsidR="003F1587" w:rsidRPr="00FB456A">
        <w:rPr>
          <w:rFonts w:cs="Times New Roman"/>
          <w:b/>
          <w:szCs w:val="24"/>
        </w:rPr>
        <w:t xml:space="preserve"> </w:t>
      </w:r>
      <w:r w:rsidR="00885D4D">
        <w:rPr>
          <w:rFonts w:cs="Times New Roman"/>
          <w:b/>
          <w:szCs w:val="24"/>
        </w:rPr>
        <w:t>dzimumu līdztiesības veicināšanai</w:t>
      </w:r>
    </w:p>
    <w:p w14:paraId="0CFFC88A" w14:textId="77777777" w:rsidR="003F1587" w:rsidRPr="00FB456A" w:rsidRDefault="003F1587" w:rsidP="00FB456A">
      <w:pPr>
        <w:rPr>
          <w:rFonts w:cs="Times New Roman"/>
          <w:szCs w:val="24"/>
        </w:rPr>
      </w:pPr>
    </w:p>
    <w:p w14:paraId="4BBD0710" w14:textId="77777777" w:rsidR="003B7317" w:rsidRPr="003B7317" w:rsidRDefault="00D7551A" w:rsidP="003B7317">
      <w:pPr>
        <w:ind w:firstLine="720"/>
        <w:jc w:val="both"/>
        <w:rPr>
          <w:rFonts w:cs="Times New Roman"/>
          <w:szCs w:val="24"/>
        </w:rPr>
      </w:pPr>
      <w:r>
        <w:rPr>
          <w:rFonts w:cs="Times New Roman"/>
          <w:szCs w:val="24"/>
        </w:rPr>
        <w:t xml:space="preserve">Pasaules Bankas grupa </w:t>
      </w:r>
      <w:r w:rsidR="0020440A">
        <w:rPr>
          <w:rFonts w:cs="Times New Roman"/>
          <w:szCs w:val="24"/>
        </w:rPr>
        <w:t xml:space="preserve">(turpmāk – PBG) </w:t>
      </w:r>
      <w:r w:rsidR="003B7317">
        <w:rPr>
          <w:rFonts w:cs="Times New Roman"/>
          <w:szCs w:val="24"/>
        </w:rPr>
        <w:t>ir</w:t>
      </w:r>
      <w:r>
        <w:rPr>
          <w:rFonts w:cs="Times New Roman"/>
          <w:szCs w:val="24"/>
        </w:rPr>
        <w:t xml:space="preserve"> dibināta 1944.gadā</w:t>
      </w:r>
      <w:r w:rsidR="0020440A">
        <w:rPr>
          <w:rFonts w:cs="Times New Roman"/>
          <w:szCs w:val="24"/>
        </w:rPr>
        <w:t xml:space="preserve">. PBG pārstāv </w:t>
      </w:r>
      <w:r w:rsidR="00823820">
        <w:rPr>
          <w:rFonts w:cs="Times New Roman"/>
          <w:szCs w:val="24"/>
        </w:rPr>
        <w:t>189 dalībvalstis</w:t>
      </w:r>
      <w:r w:rsidR="0020440A">
        <w:rPr>
          <w:rFonts w:cs="Times New Roman"/>
          <w:szCs w:val="24"/>
        </w:rPr>
        <w:t>, tostarp Latvija pievienojās 1992.gadā</w:t>
      </w:r>
      <w:r w:rsidR="0092613D">
        <w:rPr>
          <w:rFonts w:cs="Times New Roman"/>
          <w:szCs w:val="24"/>
        </w:rPr>
        <w:t>.</w:t>
      </w:r>
      <w:r w:rsidR="00AD63F8">
        <w:rPr>
          <w:rStyle w:val="FootnoteReference"/>
          <w:rFonts w:cs="Times New Roman"/>
          <w:szCs w:val="24"/>
        </w:rPr>
        <w:footnoteReference w:id="2"/>
      </w:r>
      <w:r w:rsidR="0092613D">
        <w:rPr>
          <w:rFonts w:cs="Times New Roman"/>
          <w:szCs w:val="24"/>
        </w:rPr>
        <w:t xml:space="preserve"> PBG pārstāvniecības atrodas vairāk kā 130 vietās.</w:t>
      </w:r>
      <w:r w:rsidR="003B7317">
        <w:rPr>
          <w:rFonts w:cs="Times New Roman"/>
          <w:szCs w:val="24"/>
        </w:rPr>
        <w:t xml:space="preserve"> </w:t>
      </w:r>
      <w:r w:rsidR="0092613D">
        <w:rPr>
          <w:rFonts w:cs="Times New Roman"/>
          <w:szCs w:val="24"/>
        </w:rPr>
        <w:t xml:space="preserve">PBG </w:t>
      </w:r>
      <w:r w:rsidR="003B7317">
        <w:rPr>
          <w:rFonts w:cs="Times New Roman"/>
          <w:szCs w:val="24"/>
        </w:rPr>
        <w:t>sastāv no piecām institūcijām, kuru mērķis ir nabadzības mazināšana</w:t>
      </w:r>
      <w:r w:rsidR="00A462F8">
        <w:rPr>
          <w:rStyle w:val="FootnoteReference"/>
          <w:rFonts w:cs="Times New Roman"/>
          <w:szCs w:val="24"/>
        </w:rPr>
        <w:footnoteReference w:id="3"/>
      </w:r>
      <w:r w:rsidR="003B7317">
        <w:rPr>
          <w:rFonts w:cs="Times New Roman"/>
          <w:szCs w:val="24"/>
        </w:rPr>
        <w:t xml:space="preserve"> un kopīgas labklājības veicināšana attīstības valstīs</w:t>
      </w:r>
      <w:r w:rsidR="00E3700C">
        <w:rPr>
          <w:rFonts w:cs="Times New Roman"/>
          <w:szCs w:val="24"/>
        </w:rPr>
        <w:t>.</w:t>
      </w:r>
      <w:r w:rsidR="0092613D">
        <w:rPr>
          <w:rStyle w:val="FootnoteReference"/>
          <w:rFonts w:cs="Times New Roman"/>
          <w:szCs w:val="24"/>
        </w:rPr>
        <w:footnoteReference w:id="4"/>
      </w:r>
      <w:r w:rsidR="003B7317" w:rsidRPr="003B7317">
        <w:rPr>
          <w:rFonts w:cs="Times New Roman"/>
          <w:szCs w:val="24"/>
        </w:rPr>
        <w:t xml:space="preserve"> </w:t>
      </w:r>
      <w:r w:rsidR="003B7317">
        <w:rPr>
          <w:rFonts w:cs="Times New Roman"/>
          <w:szCs w:val="24"/>
        </w:rPr>
        <w:t xml:space="preserve">Pasaules Banku veido </w:t>
      </w:r>
      <w:r w:rsidR="003B7317" w:rsidRPr="003B7317">
        <w:rPr>
          <w:rFonts w:cs="Times New Roman"/>
          <w:szCs w:val="24"/>
        </w:rPr>
        <w:t>Starptautiskā Rekonstrukcijas un attīstības banka</w:t>
      </w:r>
      <w:r w:rsidR="003B7317">
        <w:rPr>
          <w:rStyle w:val="FootnoteReference"/>
          <w:rFonts w:cs="Times New Roman"/>
          <w:szCs w:val="24"/>
        </w:rPr>
        <w:footnoteReference w:id="5"/>
      </w:r>
      <w:r w:rsidR="003B7317" w:rsidRPr="003B7317">
        <w:rPr>
          <w:rFonts w:cs="Times New Roman"/>
          <w:szCs w:val="24"/>
        </w:rPr>
        <w:t xml:space="preserve"> </w:t>
      </w:r>
      <w:r w:rsidR="003B7317">
        <w:rPr>
          <w:rFonts w:cs="Times New Roman"/>
          <w:szCs w:val="24"/>
        </w:rPr>
        <w:t xml:space="preserve">(turpmāk – IBRD) </w:t>
      </w:r>
      <w:r w:rsidR="003B7317" w:rsidRPr="003B7317">
        <w:rPr>
          <w:rFonts w:cs="Times New Roman"/>
          <w:szCs w:val="24"/>
        </w:rPr>
        <w:t>un Starptautiskā Attīstības Asociācija</w:t>
      </w:r>
      <w:r w:rsidR="003B7317">
        <w:rPr>
          <w:rFonts w:cs="Times New Roman"/>
          <w:szCs w:val="24"/>
        </w:rPr>
        <w:t xml:space="preserve"> (turpmāk – IDA),</w:t>
      </w:r>
      <w:r w:rsidR="003B7317">
        <w:rPr>
          <w:rStyle w:val="FootnoteReference"/>
          <w:rFonts w:cs="Times New Roman"/>
          <w:szCs w:val="24"/>
        </w:rPr>
        <w:footnoteReference w:id="6"/>
      </w:r>
      <w:r w:rsidR="003B7317" w:rsidRPr="003B7317">
        <w:rPr>
          <w:rFonts w:cs="Times New Roman"/>
          <w:szCs w:val="24"/>
        </w:rPr>
        <w:t xml:space="preserve"> un kopā ar Starptautisko Finanšu Korporāciju</w:t>
      </w:r>
      <w:r w:rsidR="00FE646D">
        <w:rPr>
          <w:rFonts w:cs="Times New Roman"/>
          <w:szCs w:val="24"/>
        </w:rPr>
        <w:t xml:space="preserve"> (turpmāk – IFC)</w:t>
      </w:r>
      <w:r w:rsidR="003B7317">
        <w:rPr>
          <w:rFonts w:cs="Times New Roman"/>
          <w:szCs w:val="24"/>
        </w:rPr>
        <w:t>,</w:t>
      </w:r>
      <w:r w:rsidR="003B7317">
        <w:rPr>
          <w:rStyle w:val="FootnoteReference"/>
          <w:rFonts w:cs="Times New Roman"/>
          <w:szCs w:val="24"/>
        </w:rPr>
        <w:footnoteReference w:id="7"/>
      </w:r>
      <w:r w:rsidR="003B7317" w:rsidRPr="003B7317">
        <w:rPr>
          <w:rFonts w:cs="Times New Roman"/>
          <w:szCs w:val="24"/>
        </w:rPr>
        <w:t xml:space="preserve"> Daudzpusējo </w:t>
      </w:r>
      <w:r w:rsidR="00823820">
        <w:rPr>
          <w:rFonts w:cs="Times New Roman"/>
          <w:szCs w:val="24"/>
        </w:rPr>
        <w:t xml:space="preserve">Investīciju </w:t>
      </w:r>
      <w:r w:rsidR="003B7317" w:rsidRPr="003B7317">
        <w:rPr>
          <w:rFonts w:cs="Times New Roman"/>
          <w:szCs w:val="24"/>
        </w:rPr>
        <w:t>Garantij</w:t>
      </w:r>
      <w:r w:rsidR="00823820">
        <w:rPr>
          <w:rFonts w:cs="Times New Roman"/>
          <w:szCs w:val="24"/>
        </w:rPr>
        <w:t>u</w:t>
      </w:r>
      <w:r w:rsidR="003B7317" w:rsidRPr="003B7317">
        <w:rPr>
          <w:rFonts w:cs="Times New Roman"/>
          <w:szCs w:val="24"/>
        </w:rPr>
        <w:t xml:space="preserve"> Aģentūru</w:t>
      </w:r>
      <w:r w:rsidR="00FE646D">
        <w:rPr>
          <w:rFonts w:cs="Times New Roman"/>
          <w:szCs w:val="24"/>
        </w:rPr>
        <w:t xml:space="preserve"> (turpmāk – MIGA)</w:t>
      </w:r>
      <w:r w:rsidR="003B7317">
        <w:rPr>
          <w:rStyle w:val="FootnoteReference"/>
          <w:rFonts w:cs="Times New Roman"/>
          <w:szCs w:val="24"/>
        </w:rPr>
        <w:footnoteReference w:id="8"/>
      </w:r>
      <w:r w:rsidR="003B7317" w:rsidRPr="003B7317">
        <w:rPr>
          <w:rFonts w:cs="Times New Roman"/>
          <w:szCs w:val="24"/>
        </w:rPr>
        <w:t xml:space="preserve"> un Starptautisko Investīciju Strīdu Izšķiršanas Centru</w:t>
      </w:r>
      <w:r w:rsidR="00FE646D">
        <w:rPr>
          <w:rFonts w:cs="Times New Roman"/>
          <w:szCs w:val="24"/>
        </w:rPr>
        <w:t xml:space="preserve"> (turpmāk – ICSID)</w:t>
      </w:r>
      <w:r w:rsidR="003B7317">
        <w:rPr>
          <w:rStyle w:val="FootnoteReference"/>
          <w:rFonts w:cs="Times New Roman"/>
          <w:szCs w:val="24"/>
        </w:rPr>
        <w:footnoteReference w:id="9"/>
      </w:r>
      <w:r w:rsidR="003B7317" w:rsidRPr="003B7317">
        <w:rPr>
          <w:rFonts w:cs="Times New Roman"/>
          <w:szCs w:val="24"/>
        </w:rPr>
        <w:t xml:space="preserve"> veido Pasaules Bankas Grupu. </w:t>
      </w:r>
      <w:r w:rsidR="003B7317">
        <w:rPr>
          <w:rFonts w:cs="Times New Roman"/>
          <w:szCs w:val="24"/>
        </w:rPr>
        <w:t xml:space="preserve">IBRD un IDA </w:t>
      </w:r>
      <w:r w:rsidR="00823820">
        <w:rPr>
          <w:rFonts w:cs="Times New Roman"/>
          <w:szCs w:val="24"/>
        </w:rPr>
        <w:t>nodrošina</w:t>
      </w:r>
      <w:r w:rsidR="003B7317">
        <w:rPr>
          <w:rFonts w:cs="Times New Roman"/>
          <w:szCs w:val="24"/>
        </w:rPr>
        <w:t xml:space="preserve"> finansējumu, </w:t>
      </w:r>
      <w:r w:rsidR="00823820">
        <w:rPr>
          <w:rFonts w:cs="Times New Roman"/>
          <w:szCs w:val="24"/>
        </w:rPr>
        <w:t xml:space="preserve">sniedz </w:t>
      </w:r>
      <w:r w:rsidR="003B7317">
        <w:rPr>
          <w:rFonts w:cs="Times New Roman"/>
          <w:szCs w:val="24"/>
        </w:rPr>
        <w:t xml:space="preserve">konsultācijas un tehnisko atbalstu attīstības valstu valdībām. IBRD palīdz vidēja ienākuma un </w:t>
      </w:r>
      <w:r w:rsidR="00FE646D">
        <w:rPr>
          <w:rFonts w:cs="Times New Roman"/>
          <w:szCs w:val="24"/>
        </w:rPr>
        <w:t>kredītspējīgām nabadzīgām valstīm, savukārt</w:t>
      </w:r>
      <w:r w:rsidR="003B7317">
        <w:rPr>
          <w:rFonts w:cs="Times New Roman"/>
          <w:szCs w:val="24"/>
        </w:rPr>
        <w:t xml:space="preserve"> </w:t>
      </w:r>
      <w:r w:rsidR="003B7317" w:rsidRPr="003B7317">
        <w:rPr>
          <w:rFonts w:cs="Times New Roman"/>
          <w:szCs w:val="24"/>
        </w:rPr>
        <w:t xml:space="preserve">IDA </w:t>
      </w:r>
      <w:r w:rsidR="00FE646D">
        <w:rPr>
          <w:rFonts w:cs="Times New Roman"/>
          <w:szCs w:val="24"/>
        </w:rPr>
        <w:t xml:space="preserve">palīdz pasaules nabadzīgākajām valstīm. IFC, MIGA un ICSID </w:t>
      </w:r>
      <w:r w:rsidR="00823820">
        <w:rPr>
          <w:rFonts w:cs="Times New Roman"/>
          <w:szCs w:val="24"/>
        </w:rPr>
        <w:t xml:space="preserve">loma ir </w:t>
      </w:r>
      <w:r w:rsidR="00FE646D">
        <w:rPr>
          <w:rFonts w:cs="Times New Roman"/>
          <w:szCs w:val="24"/>
        </w:rPr>
        <w:t>privāt</w:t>
      </w:r>
      <w:r w:rsidR="00823820">
        <w:rPr>
          <w:rFonts w:cs="Times New Roman"/>
          <w:szCs w:val="24"/>
        </w:rPr>
        <w:t>ā</w:t>
      </w:r>
      <w:r w:rsidR="00FE646D">
        <w:rPr>
          <w:rFonts w:cs="Times New Roman"/>
          <w:szCs w:val="24"/>
        </w:rPr>
        <w:t xml:space="preserve"> sektor</w:t>
      </w:r>
      <w:r w:rsidR="00823820">
        <w:rPr>
          <w:rFonts w:cs="Times New Roman"/>
          <w:szCs w:val="24"/>
        </w:rPr>
        <w:t>a stiprināšana</w:t>
      </w:r>
      <w:r w:rsidR="00FE646D">
        <w:rPr>
          <w:rFonts w:cs="Times New Roman"/>
          <w:szCs w:val="24"/>
        </w:rPr>
        <w:t xml:space="preserve"> attīstības valstīs. Ar šo institūciju palīdzību </w:t>
      </w:r>
      <w:r w:rsidR="00E3700C">
        <w:rPr>
          <w:rFonts w:cs="Times New Roman"/>
          <w:szCs w:val="24"/>
        </w:rPr>
        <w:t>PBG</w:t>
      </w:r>
      <w:r w:rsidR="00FE646D">
        <w:rPr>
          <w:rFonts w:cs="Times New Roman"/>
          <w:szCs w:val="24"/>
        </w:rPr>
        <w:t xml:space="preserve"> nodrošina finansējumu, tehnisko atbalstu, politiskā riska apdrošināšanu un strīdu izšķiršanu privātajam sektoram, tai skaitā finanšu institūcijām.</w:t>
      </w:r>
    </w:p>
    <w:p w14:paraId="2DC4BBBE" w14:textId="77777777" w:rsidR="00421522" w:rsidRDefault="00421522" w:rsidP="00FB456A">
      <w:pPr>
        <w:jc w:val="both"/>
        <w:rPr>
          <w:rFonts w:cs="Times New Roman"/>
          <w:szCs w:val="24"/>
        </w:rPr>
      </w:pPr>
    </w:p>
    <w:p w14:paraId="6F633413" w14:textId="77777777" w:rsidR="00421522" w:rsidRPr="00421522" w:rsidRDefault="00437BE7" w:rsidP="00FB456A">
      <w:pPr>
        <w:jc w:val="both"/>
        <w:rPr>
          <w:rFonts w:cs="Times New Roman"/>
          <w:b/>
          <w:szCs w:val="24"/>
        </w:rPr>
      </w:pPr>
      <w:r>
        <w:rPr>
          <w:rFonts w:cs="Times New Roman"/>
          <w:b/>
          <w:szCs w:val="24"/>
        </w:rPr>
        <w:t xml:space="preserve">PBG loma </w:t>
      </w:r>
      <w:r w:rsidR="00421522" w:rsidRPr="00421522">
        <w:rPr>
          <w:rFonts w:cs="Times New Roman"/>
          <w:b/>
          <w:szCs w:val="24"/>
        </w:rPr>
        <w:t>dzimumu līdztiesības</w:t>
      </w:r>
      <w:r w:rsidR="009C43DD" w:rsidRPr="00482B72">
        <w:rPr>
          <w:rStyle w:val="FootnoteReference"/>
          <w:rFonts w:cs="Times New Roman"/>
          <w:szCs w:val="24"/>
        </w:rPr>
        <w:footnoteReference w:id="10"/>
      </w:r>
      <w:r w:rsidR="00421522" w:rsidRPr="00421522">
        <w:rPr>
          <w:rFonts w:cs="Times New Roman"/>
          <w:b/>
          <w:szCs w:val="24"/>
        </w:rPr>
        <w:t xml:space="preserve"> veicināšanā</w:t>
      </w:r>
    </w:p>
    <w:p w14:paraId="4BD1A4C1" w14:textId="77777777" w:rsidR="00421522" w:rsidRDefault="00421522" w:rsidP="00FB456A">
      <w:pPr>
        <w:jc w:val="both"/>
        <w:rPr>
          <w:rFonts w:cs="Times New Roman"/>
          <w:szCs w:val="24"/>
        </w:rPr>
      </w:pPr>
    </w:p>
    <w:p w14:paraId="44AA50A9" w14:textId="62C5A99A" w:rsidR="00EF4A5E" w:rsidRDefault="00EF4A5E" w:rsidP="00EF4A5E">
      <w:pPr>
        <w:ind w:firstLine="720"/>
        <w:jc w:val="both"/>
        <w:rPr>
          <w:rFonts w:cs="Times New Roman"/>
          <w:szCs w:val="24"/>
        </w:rPr>
      </w:pPr>
      <w:r w:rsidRPr="00EF4A5E">
        <w:rPr>
          <w:rFonts w:cs="Times New Roman"/>
          <w:szCs w:val="24"/>
        </w:rPr>
        <w:t xml:space="preserve">2015.gadā Apvienoto Nāciju Organizācija (turpmāk – ANO) </w:t>
      </w:r>
      <w:r w:rsidR="009C43DD">
        <w:rPr>
          <w:rFonts w:cs="Times New Roman"/>
          <w:szCs w:val="24"/>
        </w:rPr>
        <w:t xml:space="preserve">apstiprināja </w:t>
      </w:r>
      <w:r w:rsidRPr="00EF4A5E">
        <w:rPr>
          <w:rFonts w:cs="Times New Roman"/>
          <w:szCs w:val="24"/>
        </w:rPr>
        <w:t>“</w:t>
      </w:r>
      <w:r w:rsidR="009C43DD" w:rsidRPr="00EF4A5E">
        <w:rPr>
          <w:rFonts w:cs="Times New Roman"/>
          <w:szCs w:val="24"/>
        </w:rPr>
        <w:t>Dienaskārtīb</w:t>
      </w:r>
      <w:r w:rsidR="009C43DD">
        <w:rPr>
          <w:rFonts w:cs="Times New Roman"/>
          <w:szCs w:val="24"/>
        </w:rPr>
        <w:t>u</w:t>
      </w:r>
      <w:r w:rsidR="009C43DD" w:rsidRPr="00EF4A5E">
        <w:rPr>
          <w:rFonts w:cs="Times New Roman"/>
          <w:szCs w:val="24"/>
        </w:rPr>
        <w:t xml:space="preserve"> </w:t>
      </w:r>
      <w:r w:rsidRPr="00EF4A5E">
        <w:rPr>
          <w:rFonts w:cs="Times New Roman"/>
          <w:szCs w:val="24"/>
        </w:rPr>
        <w:t>ilgtspējīgai attīstībai 2030”</w:t>
      </w:r>
      <w:r w:rsidR="00BF331A">
        <w:rPr>
          <w:rFonts w:cs="Times New Roman"/>
          <w:szCs w:val="24"/>
        </w:rPr>
        <w:t xml:space="preserve"> jeb </w:t>
      </w:r>
      <w:r w:rsidR="00747D9D" w:rsidRPr="00747D9D">
        <w:rPr>
          <w:rFonts w:cs="Times New Roman"/>
          <w:i/>
          <w:szCs w:val="24"/>
        </w:rPr>
        <w:t>Transforming our world: the 2030 Agenda for Sustainable Development</w:t>
      </w:r>
      <w:r w:rsidRPr="00EF4A5E">
        <w:rPr>
          <w:rFonts w:cs="Times New Roman"/>
          <w:szCs w:val="24"/>
        </w:rPr>
        <w:t xml:space="preserve">, kas ietver </w:t>
      </w:r>
      <w:r w:rsidR="002A750B">
        <w:rPr>
          <w:rFonts w:cs="Times New Roman"/>
          <w:szCs w:val="24"/>
        </w:rPr>
        <w:t xml:space="preserve">17 </w:t>
      </w:r>
      <w:r w:rsidR="00BF331A">
        <w:rPr>
          <w:rFonts w:cs="Times New Roman"/>
          <w:szCs w:val="24"/>
        </w:rPr>
        <w:t>ilgtspējīgas attīstības mērķus</w:t>
      </w:r>
      <w:r w:rsidR="00BF331A" w:rsidRPr="00482B72">
        <w:rPr>
          <w:rFonts w:cs="Times New Roman"/>
          <w:i/>
          <w:szCs w:val="24"/>
        </w:rPr>
        <w:t xml:space="preserve"> </w:t>
      </w:r>
      <w:r w:rsidR="00BF331A">
        <w:rPr>
          <w:rFonts w:cs="Times New Roman"/>
          <w:i/>
          <w:szCs w:val="24"/>
        </w:rPr>
        <w:t>(</w:t>
      </w:r>
      <w:r w:rsidR="002A750B" w:rsidRPr="00482B72">
        <w:rPr>
          <w:rFonts w:cs="Times New Roman"/>
          <w:i/>
          <w:szCs w:val="24"/>
        </w:rPr>
        <w:t>Sustainable Development Goals</w:t>
      </w:r>
      <w:r w:rsidR="00B0436D">
        <w:rPr>
          <w:rFonts w:cs="Times New Roman"/>
          <w:szCs w:val="24"/>
        </w:rPr>
        <w:t xml:space="preserve">, </w:t>
      </w:r>
      <w:r w:rsidR="008A5E75">
        <w:rPr>
          <w:rFonts w:cs="Times New Roman"/>
          <w:szCs w:val="24"/>
        </w:rPr>
        <w:t>(</w:t>
      </w:r>
      <w:r w:rsidR="00B0436D">
        <w:rPr>
          <w:rFonts w:cs="Times New Roman"/>
          <w:szCs w:val="24"/>
        </w:rPr>
        <w:t>turpmāk – SDG)</w:t>
      </w:r>
      <w:r w:rsidRPr="00EF4A5E">
        <w:rPr>
          <w:rFonts w:cs="Times New Roman"/>
          <w:szCs w:val="24"/>
        </w:rPr>
        <w:t xml:space="preserve">, kurus ANO dalībvalstis apņemas sasniegt līdz 2030. gadam. </w:t>
      </w:r>
      <w:r w:rsidR="00B0436D" w:rsidRPr="00B0436D">
        <w:rPr>
          <w:rFonts w:cs="Times New Roman"/>
          <w:szCs w:val="24"/>
        </w:rPr>
        <w:t>SGD</w:t>
      </w:r>
      <w:r w:rsidR="00B0436D" w:rsidRPr="00482B72">
        <w:rPr>
          <w:rFonts w:cs="Times New Roman"/>
          <w:szCs w:val="24"/>
        </w:rPr>
        <w:t xml:space="preserve"> sasaucas ar iepriekš norādītajiem PBG pamatmērķiem</w:t>
      </w:r>
      <w:r w:rsidR="00B0436D" w:rsidRPr="00B0436D">
        <w:rPr>
          <w:rFonts w:cs="Times New Roman"/>
          <w:szCs w:val="24"/>
        </w:rPr>
        <w:t xml:space="preserve"> </w:t>
      </w:r>
      <w:r w:rsidR="00B0436D" w:rsidRPr="00482B72">
        <w:rPr>
          <w:rFonts w:cs="Times New Roman"/>
          <w:szCs w:val="24"/>
        </w:rPr>
        <w:t>– izbeigt ga</w:t>
      </w:r>
      <w:r w:rsidR="00795EE3">
        <w:rPr>
          <w:rFonts w:cs="Times New Roman"/>
          <w:szCs w:val="24"/>
        </w:rPr>
        <w:t>l</w:t>
      </w:r>
      <w:r w:rsidR="00B0436D" w:rsidRPr="00482B72">
        <w:rPr>
          <w:rFonts w:cs="Times New Roman"/>
          <w:szCs w:val="24"/>
        </w:rPr>
        <w:t>ēju nabadzību un veicināt ilgtspējīgu labklājību</w:t>
      </w:r>
      <w:r w:rsidR="00B0436D" w:rsidRPr="00482B72">
        <w:rPr>
          <w:rFonts w:cs="Times New Roman"/>
          <w:i/>
          <w:szCs w:val="24"/>
        </w:rPr>
        <w:t>.</w:t>
      </w:r>
      <w:r w:rsidR="00B0436D">
        <w:rPr>
          <w:rFonts w:cs="Times New Roman"/>
          <w:szCs w:val="24"/>
        </w:rPr>
        <w:t xml:space="preserve"> Kā piektais SGD ir noteikts sasniegt dzimumu līdztiesību </w:t>
      </w:r>
      <w:r w:rsidR="00E8179C">
        <w:rPr>
          <w:rFonts w:cs="Times New Roman"/>
          <w:szCs w:val="24"/>
        </w:rPr>
        <w:t xml:space="preserve">un </w:t>
      </w:r>
      <w:r w:rsidR="00B0436D">
        <w:rPr>
          <w:rFonts w:cs="Times New Roman"/>
          <w:szCs w:val="24"/>
        </w:rPr>
        <w:t xml:space="preserve">nodrošināt </w:t>
      </w:r>
      <w:r w:rsidR="00E8179C" w:rsidRPr="00482B72">
        <w:rPr>
          <w:rFonts w:cs="Times New Roman"/>
          <w:szCs w:val="24"/>
        </w:rPr>
        <w:t>sieviešu un meiteņu iespēju veicināšanu</w:t>
      </w:r>
      <w:r w:rsidR="00396C33">
        <w:rPr>
          <w:rFonts w:cs="Times New Roman"/>
          <w:szCs w:val="24"/>
        </w:rPr>
        <w:t xml:space="preserve"> (turpmāk </w:t>
      </w:r>
      <w:r w:rsidR="004C2F49">
        <w:rPr>
          <w:rFonts w:cs="Times New Roman"/>
          <w:szCs w:val="24"/>
        </w:rPr>
        <w:t>–</w:t>
      </w:r>
      <w:r w:rsidR="00396C33">
        <w:rPr>
          <w:rFonts w:cs="Times New Roman"/>
          <w:szCs w:val="24"/>
        </w:rPr>
        <w:t xml:space="preserve"> SDG 5)</w:t>
      </w:r>
      <w:r w:rsidR="00184540">
        <w:rPr>
          <w:rFonts w:cs="Times New Roman"/>
          <w:szCs w:val="24"/>
        </w:rPr>
        <w:t>.</w:t>
      </w:r>
      <w:r w:rsidR="000531B2">
        <w:rPr>
          <w:rStyle w:val="FootnoteReference"/>
          <w:rFonts w:cs="Times New Roman"/>
          <w:szCs w:val="24"/>
        </w:rPr>
        <w:footnoteReference w:id="11"/>
      </w:r>
      <w:r w:rsidR="00B0436D">
        <w:rPr>
          <w:rFonts w:cs="Times New Roman"/>
          <w:szCs w:val="24"/>
        </w:rPr>
        <w:t xml:space="preserve"> </w:t>
      </w:r>
    </w:p>
    <w:p w14:paraId="54E54759" w14:textId="04253F2E" w:rsidR="00A261B5" w:rsidRDefault="00C17D44" w:rsidP="00A261B5">
      <w:pPr>
        <w:ind w:firstLine="720"/>
        <w:jc w:val="both"/>
        <w:rPr>
          <w:rFonts w:cs="Times New Roman"/>
          <w:szCs w:val="24"/>
        </w:rPr>
      </w:pPr>
      <w:r w:rsidRPr="00FA64FB">
        <w:rPr>
          <w:szCs w:val="24"/>
        </w:rPr>
        <w:t>Joprojām sievietēm netiek nodrošinātas vienlīdzīgas ekonomiskās iespējas</w:t>
      </w:r>
      <w:r w:rsidR="00A261B5">
        <w:rPr>
          <w:rFonts w:cs="Times New Roman"/>
          <w:szCs w:val="24"/>
        </w:rPr>
        <w:t xml:space="preserve">. Lai gan plaisa starp vīriešu un sieviešu darbaspēku laika posmā no 1990. līdz 2013.gadam ir mazinājusies, sieviešu līdzdalība </w:t>
      </w:r>
      <w:r w:rsidR="004F504F">
        <w:rPr>
          <w:rFonts w:cs="Times New Roman"/>
          <w:szCs w:val="24"/>
        </w:rPr>
        <w:t xml:space="preserve">pasaulē </w:t>
      </w:r>
      <w:r w:rsidR="00A261B5">
        <w:rPr>
          <w:rFonts w:cs="Times New Roman"/>
          <w:szCs w:val="24"/>
        </w:rPr>
        <w:lastRenderedPageBreak/>
        <w:t xml:space="preserve">joprojām saglabājas zema, svārstoties ap 55%. Sievietes retāk strādā pilnu darba slodzi un strādājot tās </w:t>
      </w:r>
      <w:r w:rsidR="005806D0">
        <w:rPr>
          <w:rFonts w:cs="Times New Roman"/>
          <w:szCs w:val="24"/>
        </w:rPr>
        <w:t xml:space="preserve">vidēji </w:t>
      </w:r>
      <w:r w:rsidR="00A261B5">
        <w:rPr>
          <w:rFonts w:cs="Times New Roman"/>
          <w:szCs w:val="24"/>
        </w:rPr>
        <w:t>saņem no 10 līdz 30% zemāku atalgojumu nekā vīrieši.</w:t>
      </w:r>
      <w:r w:rsidR="005806D0">
        <w:rPr>
          <w:rFonts w:cs="Times New Roman"/>
          <w:szCs w:val="24"/>
        </w:rPr>
        <w:t xml:space="preserve"> </w:t>
      </w:r>
      <w:r w:rsidR="008030AA" w:rsidRPr="002D5556">
        <w:rPr>
          <w:rFonts w:cs="Times New Roman"/>
          <w:szCs w:val="24"/>
        </w:rPr>
        <w:t xml:space="preserve">Tāpat arī </w:t>
      </w:r>
      <w:r w:rsidR="005806D0" w:rsidRPr="002D5556">
        <w:rPr>
          <w:rFonts w:cs="Times New Roman"/>
          <w:szCs w:val="24"/>
        </w:rPr>
        <w:t xml:space="preserve">pastāv liela </w:t>
      </w:r>
      <w:r w:rsidR="005A04D9" w:rsidRPr="002D5556">
        <w:rPr>
          <w:rFonts w:cs="Times New Roman"/>
          <w:szCs w:val="24"/>
        </w:rPr>
        <w:t xml:space="preserve">atalgojuma </w:t>
      </w:r>
      <w:r w:rsidR="005806D0" w:rsidRPr="002D5556">
        <w:rPr>
          <w:rFonts w:cs="Times New Roman"/>
          <w:szCs w:val="24"/>
        </w:rPr>
        <w:t xml:space="preserve">atšķirība </w:t>
      </w:r>
      <w:r w:rsidR="005A04D9" w:rsidRPr="002D5556">
        <w:rPr>
          <w:rFonts w:cs="Times New Roman"/>
          <w:szCs w:val="24"/>
        </w:rPr>
        <w:t>atkarībā no dzimuma –</w:t>
      </w:r>
      <w:r w:rsidR="009379E2" w:rsidRPr="002D5556">
        <w:rPr>
          <w:rFonts w:cs="Times New Roman"/>
          <w:szCs w:val="24"/>
        </w:rPr>
        <w:t xml:space="preserve"> </w:t>
      </w:r>
      <w:r w:rsidR="005A04D9" w:rsidRPr="002D5556">
        <w:rPr>
          <w:rFonts w:cs="Times New Roman"/>
          <w:szCs w:val="24"/>
        </w:rPr>
        <w:t>piemēram,</w:t>
      </w:r>
      <w:r w:rsidR="005806D0" w:rsidRPr="002D5556">
        <w:rPr>
          <w:rFonts w:cs="Times New Roman"/>
          <w:szCs w:val="24"/>
        </w:rPr>
        <w:t xml:space="preserve"> Mozambikā un Pakistānā </w:t>
      </w:r>
      <w:r w:rsidR="005A04D9" w:rsidRPr="002D5556">
        <w:rPr>
          <w:rFonts w:cs="Times New Roman"/>
          <w:szCs w:val="24"/>
        </w:rPr>
        <w:t>sievietes saņem 20%</w:t>
      </w:r>
      <w:r w:rsidR="008A5E75">
        <w:rPr>
          <w:rFonts w:cs="Times New Roman"/>
          <w:szCs w:val="24"/>
        </w:rPr>
        <w:t xml:space="preserve"> no atalgojuma apmēra</w:t>
      </w:r>
      <w:r w:rsidR="005A04D9" w:rsidRPr="002D5556">
        <w:rPr>
          <w:rFonts w:cs="Times New Roman"/>
          <w:szCs w:val="24"/>
        </w:rPr>
        <w:t xml:space="preserve">, </w:t>
      </w:r>
      <w:r w:rsidR="008A5E75" w:rsidRPr="00B54F9A">
        <w:rPr>
          <w:rStyle w:val="CommentReference"/>
          <w:sz w:val="24"/>
        </w:rPr>
        <w:t xml:space="preserve">ko saņem </w:t>
      </w:r>
      <w:r w:rsidR="005A04D9" w:rsidRPr="002D5556">
        <w:rPr>
          <w:rFonts w:cs="Times New Roman"/>
          <w:szCs w:val="24"/>
        </w:rPr>
        <w:t xml:space="preserve">vīrieši, savukārt </w:t>
      </w:r>
      <w:r w:rsidR="005806D0" w:rsidRPr="002D5556">
        <w:rPr>
          <w:rFonts w:cs="Times New Roman"/>
          <w:szCs w:val="24"/>
        </w:rPr>
        <w:t>Kotdivuārā, Jordānijā, Latvijā un Slovākijā</w:t>
      </w:r>
      <w:r w:rsidR="005A04D9" w:rsidRPr="002D5556">
        <w:rPr>
          <w:rFonts w:cs="Times New Roman"/>
          <w:szCs w:val="24"/>
        </w:rPr>
        <w:t xml:space="preserve"> </w:t>
      </w:r>
      <w:r w:rsidR="008A5E75">
        <w:rPr>
          <w:rFonts w:cs="Times New Roman"/>
          <w:szCs w:val="24"/>
        </w:rPr>
        <w:t xml:space="preserve">sievietes saņem </w:t>
      </w:r>
      <w:r w:rsidR="005A04D9" w:rsidRPr="002D5556">
        <w:rPr>
          <w:rFonts w:cs="Times New Roman"/>
          <w:szCs w:val="24"/>
        </w:rPr>
        <w:t xml:space="preserve">virs </w:t>
      </w:r>
      <w:r w:rsidR="005A04D9" w:rsidRPr="008A5E75">
        <w:rPr>
          <w:rFonts w:cs="Times New Roman"/>
          <w:szCs w:val="24"/>
        </w:rPr>
        <w:t>80%</w:t>
      </w:r>
      <w:r w:rsidR="008A5E75">
        <w:rPr>
          <w:rFonts w:cs="Times New Roman"/>
          <w:szCs w:val="24"/>
        </w:rPr>
        <w:t xml:space="preserve"> no atalgojuma apmēra, ko saņem vīrieši</w:t>
      </w:r>
      <w:r w:rsidR="005806D0" w:rsidRPr="002D5556">
        <w:rPr>
          <w:rFonts w:cs="Times New Roman"/>
          <w:szCs w:val="24"/>
        </w:rPr>
        <w:t>.</w:t>
      </w:r>
      <w:r w:rsidR="005806D0" w:rsidRPr="002D5556">
        <w:rPr>
          <w:rStyle w:val="FootnoteReference"/>
          <w:rFonts w:cs="Times New Roman"/>
          <w:szCs w:val="24"/>
        </w:rPr>
        <w:footnoteReference w:id="12"/>
      </w:r>
      <w:r w:rsidR="00A261B5">
        <w:rPr>
          <w:rFonts w:cs="Times New Roman"/>
          <w:szCs w:val="24"/>
        </w:rPr>
        <w:t xml:space="preserve"> </w:t>
      </w:r>
      <w:r w:rsidR="005806D0" w:rsidRPr="00BD456A">
        <w:rPr>
          <w:rFonts w:cs="Times New Roman"/>
          <w:szCs w:val="24"/>
        </w:rPr>
        <w:t>Sievietes patērē vismaz divreiz vairāk laika nekā vīrieši, veicot neapmaksātu darbu un aprūpi mājās, kā arī strādājot neapmaksātu darbu ģimenes uzņēmumos un zemnieku saimniecībās, kas sastāda aptuveni 58% no šāda darba. Aptuveni 83% no mājsaimniecīb</w:t>
      </w:r>
      <w:r w:rsidR="003F2B27" w:rsidRPr="00BD456A">
        <w:rPr>
          <w:rFonts w:cs="Times New Roman"/>
          <w:szCs w:val="24"/>
        </w:rPr>
        <w:t>ā strādājošajiem visā pasaulē ir sievietes.</w:t>
      </w:r>
      <w:r w:rsidR="003F2B27" w:rsidRPr="005A04D9">
        <w:rPr>
          <w:rFonts w:cs="Times New Roman"/>
          <w:szCs w:val="24"/>
        </w:rPr>
        <w:t xml:space="preserve"> </w:t>
      </w:r>
      <w:r w:rsidR="00A261B5" w:rsidRPr="00BD456A">
        <w:rPr>
          <w:rFonts w:cs="Times New Roman"/>
          <w:szCs w:val="24"/>
        </w:rPr>
        <w:t xml:space="preserve">Sievietes, kurām formāli pieder mazie un vidējie uzņēmumi, </w:t>
      </w:r>
      <w:r w:rsidR="00F67CC6" w:rsidRPr="00BD456A">
        <w:rPr>
          <w:rFonts w:cs="Times New Roman"/>
          <w:szCs w:val="24"/>
        </w:rPr>
        <w:t>pārstāv vidēji 30% no reģistrētajiem uzņēmumiem pasaulē, un tikai 10% no uzņēmējām ir piekļuve kapitālam uzņēmuma attīstībai</w:t>
      </w:r>
      <w:r w:rsidR="00F67CC6" w:rsidRPr="00BD456A">
        <w:rPr>
          <w:rStyle w:val="FootnoteReference"/>
          <w:rFonts w:cs="Times New Roman"/>
          <w:szCs w:val="24"/>
        </w:rPr>
        <w:footnoteReference w:id="13"/>
      </w:r>
      <w:r w:rsidR="00F67CC6" w:rsidRPr="00BD456A">
        <w:rPr>
          <w:rFonts w:cs="Times New Roman"/>
          <w:szCs w:val="24"/>
        </w:rPr>
        <w:t>.</w:t>
      </w:r>
      <w:r w:rsidR="00F67CC6">
        <w:rPr>
          <w:rFonts w:cs="Times New Roman"/>
          <w:szCs w:val="24"/>
        </w:rPr>
        <w:t xml:space="preserve"> Sievietes uzņēmējas </w:t>
      </w:r>
      <w:r w:rsidR="00A261B5">
        <w:rPr>
          <w:rFonts w:cs="Times New Roman"/>
          <w:szCs w:val="24"/>
        </w:rPr>
        <w:t xml:space="preserve">saskaras ar grūtībām saņemt kredītu, kas </w:t>
      </w:r>
      <w:r w:rsidR="00FD0B92">
        <w:rPr>
          <w:rFonts w:cs="Times New Roman"/>
          <w:szCs w:val="24"/>
        </w:rPr>
        <w:t>pasaulē</w:t>
      </w:r>
      <w:r w:rsidR="00A261B5">
        <w:rPr>
          <w:rFonts w:cs="Times New Roman"/>
          <w:szCs w:val="24"/>
        </w:rPr>
        <w:t xml:space="preserve"> sastāda aptuveni US</w:t>
      </w:r>
      <w:r w:rsidR="00FD0B92">
        <w:rPr>
          <w:rFonts w:cs="Times New Roman"/>
          <w:szCs w:val="24"/>
        </w:rPr>
        <w:t>D</w:t>
      </w:r>
      <w:r w:rsidR="00A261B5">
        <w:rPr>
          <w:rFonts w:cs="Times New Roman"/>
          <w:szCs w:val="24"/>
        </w:rPr>
        <w:t xml:space="preserve"> 300 </w:t>
      </w:r>
      <w:r w:rsidR="00FD0B92">
        <w:rPr>
          <w:rFonts w:cs="Times New Roman"/>
          <w:szCs w:val="24"/>
        </w:rPr>
        <w:t>miljardu</w:t>
      </w:r>
      <w:r w:rsidR="00A261B5">
        <w:rPr>
          <w:rFonts w:cs="Times New Roman"/>
          <w:szCs w:val="24"/>
        </w:rPr>
        <w:t>.</w:t>
      </w:r>
      <w:r w:rsidR="00A261B5">
        <w:rPr>
          <w:rStyle w:val="FootnoteReference"/>
          <w:rFonts w:cs="Times New Roman"/>
          <w:szCs w:val="24"/>
        </w:rPr>
        <w:footnoteReference w:id="14"/>
      </w:r>
      <w:r w:rsidR="00A261B5">
        <w:rPr>
          <w:rFonts w:cs="Times New Roman"/>
          <w:szCs w:val="24"/>
        </w:rPr>
        <w:t xml:space="preserve"> </w:t>
      </w:r>
      <w:r w:rsidR="00FD0B92">
        <w:rPr>
          <w:rFonts w:cs="Times New Roman"/>
          <w:szCs w:val="24"/>
        </w:rPr>
        <w:t xml:space="preserve">Sieviešu amatu īpatsvars nacionālajos parlamentos ir pieaudzis no 13% 1990.gadā līdz 22% 2014.gadā, kas ir neliels pieaugums. Dzimumu līdztiesība nozīmē arī izmainīt normas un ekspektācijas par sieviešu un vīriešu lomām un rezultātā mainīt savstarpējās varas attiecības. Vīrieši spēlē galveno lomu līdzsvarotākas varas dalījuma veicināšanā valdībās, uzņēmumos, formālās un neformālās institūcijās, kā arī mājsaimniecībās. </w:t>
      </w:r>
      <w:r w:rsidR="00E125DF" w:rsidRPr="00BD456A">
        <w:rPr>
          <w:rFonts w:cs="Times New Roman"/>
          <w:szCs w:val="24"/>
        </w:rPr>
        <w:t>Būtisks progress pasaules līmenī ir sasniegts likumdošanā attiecībā uz dzimumu balstītas vardarbības pret partneri. 1976.gadā tikai viena valsts bija pieņēmusi likumus, kas aizliedz vardarbību pret dzīvesbiedru</w:t>
      </w:r>
      <w:r w:rsidR="00E125DF" w:rsidRPr="009379E2">
        <w:rPr>
          <w:rFonts w:cs="Times New Roman"/>
          <w:szCs w:val="24"/>
        </w:rPr>
        <w:t xml:space="preserve">, savukārt </w:t>
      </w:r>
      <w:r w:rsidR="00A261B5" w:rsidRPr="009379E2">
        <w:rPr>
          <w:rFonts w:cs="Times New Roman"/>
          <w:szCs w:val="24"/>
        </w:rPr>
        <w:t>2015.gadā 127 valst</w:t>
      </w:r>
      <w:r w:rsidR="00FD0B92" w:rsidRPr="00443F48">
        <w:rPr>
          <w:rFonts w:cs="Times New Roman"/>
          <w:szCs w:val="24"/>
        </w:rPr>
        <w:t>īs</w:t>
      </w:r>
      <w:r w:rsidR="00A261B5" w:rsidRPr="00443F48">
        <w:rPr>
          <w:rFonts w:cs="Times New Roman"/>
          <w:szCs w:val="24"/>
        </w:rPr>
        <w:t xml:space="preserve"> </w:t>
      </w:r>
      <w:r w:rsidR="00E125DF" w:rsidRPr="00443F48">
        <w:rPr>
          <w:rFonts w:cs="Times New Roman"/>
          <w:szCs w:val="24"/>
        </w:rPr>
        <w:t>bija</w:t>
      </w:r>
      <w:r w:rsidR="00FD0B92" w:rsidRPr="00443F48">
        <w:rPr>
          <w:rFonts w:cs="Times New Roman"/>
          <w:szCs w:val="24"/>
        </w:rPr>
        <w:t xml:space="preserve"> pieņemti </w:t>
      </w:r>
      <w:r w:rsidR="00A261B5" w:rsidRPr="00443F48">
        <w:rPr>
          <w:rFonts w:cs="Times New Roman"/>
          <w:szCs w:val="24"/>
        </w:rPr>
        <w:t>tiesību akt</w:t>
      </w:r>
      <w:r w:rsidR="00FD0B92" w:rsidRPr="00443F48">
        <w:rPr>
          <w:rFonts w:cs="Times New Roman"/>
          <w:szCs w:val="24"/>
        </w:rPr>
        <w:t>i</w:t>
      </w:r>
      <w:r w:rsidR="00A261B5" w:rsidRPr="00443F48">
        <w:rPr>
          <w:rFonts w:cs="Times New Roman"/>
          <w:szCs w:val="24"/>
        </w:rPr>
        <w:t xml:space="preserve"> attiecībā uz dzimumu bals</w:t>
      </w:r>
      <w:r w:rsidR="00A261B5" w:rsidRPr="0054479F">
        <w:rPr>
          <w:rFonts w:cs="Times New Roman"/>
          <w:szCs w:val="24"/>
        </w:rPr>
        <w:t>tīt</w:t>
      </w:r>
      <w:r w:rsidR="00FD0B92" w:rsidRPr="0054479F">
        <w:rPr>
          <w:rFonts w:cs="Times New Roman"/>
          <w:szCs w:val="24"/>
        </w:rPr>
        <w:t>as</w:t>
      </w:r>
      <w:r w:rsidR="00A261B5" w:rsidRPr="0054479F">
        <w:rPr>
          <w:rFonts w:cs="Times New Roman"/>
          <w:szCs w:val="24"/>
        </w:rPr>
        <w:t xml:space="preserve"> vardarbīb</w:t>
      </w:r>
      <w:r w:rsidR="00FD0B92" w:rsidRPr="0054479F">
        <w:rPr>
          <w:rFonts w:cs="Times New Roman"/>
          <w:szCs w:val="24"/>
        </w:rPr>
        <w:t>as novēršanu</w:t>
      </w:r>
      <w:r w:rsidR="00E125DF" w:rsidRPr="00C9443F">
        <w:rPr>
          <w:rFonts w:cs="Times New Roman"/>
          <w:szCs w:val="24"/>
        </w:rPr>
        <w:t>.</w:t>
      </w:r>
      <w:r w:rsidR="00A261B5" w:rsidRPr="00C9443F">
        <w:rPr>
          <w:rFonts w:cs="Times New Roman"/>
          <w:szCs w:val="24"/>
        </w:rPr>
        <w:t xml:space="preserve"> </w:t>
      </w:r>
      <w:r w:rsidR="00E125DF" w:rsidRPr="00C9443F">
        <w:rPr>
          <w:rFonts w:cs="Times New Roman"/>
          <w:szCs w:val="24"/>
        </w:rPr>
        <w:t>T</w:t>
      </w:r>
      <w:r w:rsidR="00A261B5" w:rsidRPr="00C9443F">
        <w:rPr>
          <w:rFonts w:cs="Times New Roman"/>
          <w:szCs w:val="24"/>
        </w:rPr>
        <w:t xml:space="preserve">omēr </w:t>
      </w:r>
      <w:r w:rsidR="00FD0B92" w:rsidRPr="007633C5">
        <w:rPr>
          <w:rFonts w:cs="Times New Roman"/>
          <w:szCs w:val="24"/>
        </w:rPr>
        <w:t xml:space="preserve">joprojām </w:t>
      </w:r>
      <w:r w:rsidR="00A261B5" w:rsidRPr="00634AF2">
        <w:rPr>
          <w:rFonts w:cs="Times New Roman"/>
          <w:szCs w:val="24"/>
        </w:rPr>
        <w:t>viena no trim sievietēm visā pasaulē dzīvē ir pieredzēju</w:t>
      </w:r>
      <w:r w:rsidR="00E125DF" w:rsidRPr="00587805">
        <w:rPr>
          <w:rFonts w:cs="Times New Roman"/>
          <w:szCs w:val="24"/>
        </w:rPr>
        <w:t>si</w:t>
      </w:r>
      <w:r w:rsidR="00A261B5" w:rsidRPr="00EA16C7">
        <w:rPr>
          <w:rFonts w:cs="Times New Roman"/>
          <w:szCs w:val="24"/>
        </w:rPr>
        <w:t xml:space="preserve"> fizisku vai seksuālu vardarbību no sav</w:t>
      </w:r>
      <w:r w:rsidR="00E125DF" w:rsidRPr="00EA16C7">
        <w:rPr>
          <w:rFonts w:cs="Times New Roman"/>
          <w:szCs w:val="24"/>
        </w:rPr>
        <w:t>a</w:t>
      </w:r>
      <w:r w:rsidR="00A261B5" w:rsidRPr="00BD456A">
        <w:rPr>
          <w:rFonts w:cs="Times New Roman"/>
          <w:szCs w:val="24"/>
        </w:rPr>
        <w:t xml:space="preserve"> partner</w:t>
      </w:r>
      <w:r w:rsidR="00E125DF" w:rsidRPr="00BD456A">
        <w:rPr>
          <w:rFonts w:cs="Times New Roman"/>
          <w:szCs w:val="24"/>
        </w:rPr>
        <w:t>a</w:t>
      </w:r>
      <w:r w:rsidR="00A261B5" w:rsidRPr="00BD456A">
        <w:rPr>
          <w:rFonts w:cs="Times New Roman"/>
          <w:szCs w:val="24"/>
        </w:rPr>
        <w:t>.</w:t>
      </w:r>
      <w:r w:rsidR="000A389E">
        <w:rPr>
          <w:rStyle w:val="FootnoteReference"/>
          <w:rFonts w:cs="Times New Roman"/>
          <w:szCs w:val="24"/>
        </w:rPr>
        <w:footnoteReference w:id="15"/>
      </w:r>
      <w:r w:rsidR="00A261B5" w:rsidRPr="00BD456A">
        <w:rPr>
          <w:rFonts w:cs="Times New Roman"/>
          <w:szCs w:val="24"/>
        </w:rPr>
        <w:t xml:space="preserve"> </w:t>
      </w:r>
      <w:r w:rsidR="00AB1686" w:rsidRPr="00BD456A">
        <w:rPr>
          <w:rFonts w:cs="Times New Roman"/>
          <w:szCs w:val="24"/>
        </w:rPr>
        <w:t>Atbalsts šādā vardarbībā izdzīvojušām sievietēm ir kritisks, tomēr pasaulē lielākā daļa sieviešu (sešas no desmit), kas ir pieredzējušas vardarbību, nemeklē palīdzību vai neziņo par vardarbību.</w:t>
      </w:r>
      <w:r w:rsidR="00AB1686" w:rsidRPr="009379E2">
        <w:rPr>
          <w:rFonts w:cs="Times New Roman"/>
          <w:szCs w:val="24"/>
        </w:rPr>
        <w:t xml:space="preserve"> </w:t>
      </w:r>
      <w:r w:rsidR="00FD0B92" w:rsidRPr="00BD456A">
        <w:rPr>
          <w:rFonts w:cs="Times New Roman"/>
          <w:szCs w:val="24"/>
        </w:rPr>
        <w:t xml:space="preserve">Tāpat arī </w:t>
      </w:r>
      <w:r w:rsidR="00D72DA4" w:rsidRPr="00BD456A">
        <w:rPr>
          <w:rFonts w:cs="Times New Roman"/>
          <w:szCs w:val="24"/>
        </w:rPr>
        <w:t>laulības ar bērniem, kas lielākoties skar meitenes, joprojām ir plaši izplatītas attīstības valstīs.</w:t>
      </w:r>
      <w:r w:rsidR="008A5E75">
        <w:rPr>
          <w:rFonts w:cs="Times New Roman"/>
          <w:szCs w:val="24"/>
        </w:rPr>
        <w:t xml:space="preserve"> Saskaņā ar pieejamiem datiem,</w:t>
      </w:r>
      <w:r w:rsidR="00D72DA4" w:rsidRPr="00BD456A">
        <w:rPr>
          <w:rFonts w:cs="Times New Roman"/>
          <w:szCs w:val="24"/>
        </w:rPr>
        <w:t xml:space="preserve"> 42 valstīs no 117</w:t>
      </w:r>
      <w:r w:rsidR="008A5E75">
        <w:rPr>
          <w:rFonts w:cs="Times New Roman"/>
          <w:szCs w:val="24"/>
        </w:rPr>
        <w:t xml:space="preserve"> valstīm</w:t>
      </w:r>
      <w:r w:rsidR="00D72DA4" w:rsidRPr="00BD456A">
        <w:rPr>
          <w:rFonts w:cs="Times New Roman"/>
          <w:szCs w:val="24"/>
        </w:rPr>
        <w:t>, par kurām ir pieejami dati, vairāk kā 30% meiteņu tiek izprecinātas līdz 18 gadu vecumam</w:t>
      </w:r>
      <w:r w:rsidR="00D72DA4">
        <w:rPr>
          <w:rFonts w:cs="Times New Roman"/>
          <w:szCs w:val="24"/>
        </w:rPr>
        <w:t>.</w:t>
      </w:r>
      <w:r w:rsidR="00C83E14">
        <w:rPr>
          <w:rFonts w:cs="Times New Roman"/>
          <w:szCs w:val="24"/>
        </w:rPr>
        <w:t xml:space="preserve"> </w:t>
      </w:r>
    </w:p>
    <w:p w14:paraId="7AEF0702" w14:textId="71C13757" w:rsidR="009448F7" w:rsidRDefault="00EA7517">
      <w:pPr>
        <w:ind w:firstLine="720"/>
        <w:jc w:val="both"/>
        <w:rPr>
          <w:rFonts w:cs="Times New Roman"/>
          <w:szCs w:val="24"/>
        </w:rPr>
      </w:pPr>
      <w:r>
        <w:rPr>
          <w:rFonts w:cs="Times New Roman"/>
          <w:szCs w:val="24"/>
        </w:rPr>
        <w:t>Tādējādi, lai sasniegtu SDG</w:t>
      </w:r>
      <w:r w:rsidR="00F2235B">
        <w:rPr>
          <w:rFonts w:cs="Times New Roman"/>
          <w:szCs w:val="24"/>
        </w:rPr>
        <w:t xml:space="preserve"> 5</w:t>
      </w:r>
      <w:r>
        <w:rPr>
          <w:rFonts w:cs="Times New Roman"/>
          <w:szCs w:val="24"/>
        </w:rPr>
        <w:t>, tai skaitā, risināt</w:t>
      </w:r>
      <w:r w:rsidR="00795EE3">
        <w:rPr>
          <w:rFonts w:cs="Times New Roman"/>
          <w:szCs w:val="24"/>
        </w:rPr>
        <w:t>u</w:t>
      </w:r>
      <w:r>
        <w:rPr>
          <w:rFonts w:cs="Times New Roman"/>
          <w:szCs w:val="24"/>
        </w:rPr>
        <w:t xml:space="preserve"> dzimumu nevienlīdzību attiecībā uz sieviešu dalību darba tirgū, piekļuvi ražošanas līdzekļiem (novēršot šķēršļus īpašumtiesībām), PBG </w:t>
      </w:r>
      <w:r w:rsidR="00FB456A">
        <w:rPr>
          <w:rFonts w:cs="Times New Roman"/>
          <w:szCs w:val="24"/>
        </w:rPr>
        <w:t>apstiprināja Dzimumu stratēģiju 2016.-2023.gadam</w:t>
      </w:r>
      <w:r>
        <w:rPr>
          <w:rFonts w:cs="Times New Roman"/>
          <w:szCs w:val="24"/>
        </w:rPr>
        <w:t>.</w:t>
      </w:r>
      <w:r w:rsidR="00223CE1">
        <w:rPr>
          <w:rStyle w:val="FootnoteReference"/>
          <w:rFonts w:cs="Times New Roman"/>
          <w:szCs w:val="24"/>
        </w:rPr>
        <w:footnoteReference w:id="16"/>
      </w:r>
      <w:r w:rsidR="009448F7">
        <w:rPr>
          <w:rFonts w:cs="Times New Roman"/>
          <w:szCs w:val="24"/>
        </w:rPr>
        <w:t xml:space="preserve"> </w:t>
      </w:r>
      <w:r w:rsidR="001A6A92">
        <w:rPr>
          <w:rFonts w:cs="Times New Roman"/>
          <w:szCs w:val="24"/>
        </w:rPr>
        <w:t xml:space="preserve"> </w:t>
      </w:r>
      <w:r w:rsidR="00E04A20" w:rsidRPr="0031765B">
        <w:rPr>
          <w:rFonts w:cs="Times New Roman"/>
          <w:szCs w:val="24"/>
        </w:rPr>
        <w:t xml:space="preserve">Stratēģija pozicionē efektīvāku PBG lomu dzimumu līdztiesības trūkumu novēršanā, </w:t>
      </w:r>
      <w:r w:rsidR="00C83E14" w:rsidRPr="0031765B">
        <w:rPr>
          <w:rFonts w:cs="Times New Roman"/>
          <w:szCs w:val="24"/>
        </w:rPr>
        <w:t>un ievieš</w:t>
      </w:r>
      <w:r w:rsidR="00E04A20" w:rsidRPr="0031765B">
        <w:rPr>
          <w:rFonts w:cs="Times New Roman"/>
          <w:szCs w:val="24"/>
        </w:rPr>
        <w:t xml:space="preserve"> būtiskas izmaiņas – vairāk projektu nestabilajās </w:t>
      </w:r>
      <w:r w:rsidR="0031765B" w:rsidRPr="0031765B">
        <w:rPr>
          <w:rFonts w:cs="Times New Roman"/>
          <w:i/>
          <w:szCs w:val="24"/>
        </w:rPr>
        <w:t>(fragile)</w:t>
      </w:r>
      <w:r w:rsidR="0031765B" w:rsidRPr="0031765B">
        <w:rPr>
          <w:rFonts w:cs="Times New Roman"/>
          <w:szCs w:val="24"/>
        </w:rPr>
        <w:t xml:space="preserve"> </w:t>
      </w:r>
      <w:r w:rsidR="00E04A20" w:rsidRPr="0031765B">
        <w:rPr>
          <w:rFonts w:cs="Times New Roman"/>
          <w:szCs w:val="24"/>
        </w:rPr>
        <w:t>valstīs</w:t>
      </w:r>
      <w:r w:rsidR="00AF4154" w:rsidRPr="0031765B">
        <w:rPr>
          <w:rFonts w:cs="Times New Roman"/>
          <w:szCs w:val="24"/>
        </w:rPr>
        <w:t xml:space="preserve"> </w:t>
      </w:r>
      <w:r w:rsidR="00E04A20" w:rsidRPr="0031765B">
        <w:rPr>
          <w:rFonts w:cs="Times New Roman"/>
          <w:szCs w:val="24"/>
        </w:rPr>
        <w:t xml:space="preserve">tagad iekļauj </w:t>
      </w:r>
      <w:r w:rsidR="00C83E14" w:rsidRPr="0031765B">
        <w:rPr>
          <w:rFonts w:cs="Times New Roman"/>
          <w:szCs w:val="24"/>
        </w:rPr>
        <w:t xml:space="preserve">pasākumus </w:t>
      </w:r>
      <w:r w:rsidR="00E04A20" w:rsidRPr="0031765B">
        <w:rPr>
          <w:rFonts w:cs="Times New Roman"/>
          <w:szCs w:val="24"/>
        </w:rPr>
        <w:t>uz dzimumu balstītas vardarbības novēršan</w:t>
      </w:r>
      <w:r w:rsidR="00C83E14" w:rsidRPr="0031765B">
        <w:rPr>
          <w:rFonts w:cs="Times New Roman"/>
          <w:szCs w:val="24"/>
        </w:rPr>
        <w:t>ai</w:t>
      </w:r>
      <w:r w:rsidR="003E3CE2" w:rsidRPr="0031765B">
        <w:rPr>
          <w:rFonts w:cs="Times New Roman"/>
          <w:szCs w:val="24"/>
        </w:rPr>
        <w:t xml:space="preserve"> sasaistē ar ekonomiskajām aktivitātēm</w:t>
      </w:r>
      <w:r w:rsidR="00FC2473" w:rsidRPr="0031765B">
        <w:rPr>
          <w:rFonts w:cs="Times New Roman"/>
          <w:szCs w:val="24"/>
        </w:rPr>
        <w:t>, kā arī lielākā</w:t>
      </w:r>
      <w:r w:rsidR="003E3CE2" w:rsidRPr="0031765B">
        <w:rPr>
          <w:rFonts w:cs="Times New Roman"/>
          <w:szCs w:val="24"/>
        </w:rPr>
        <w:t xml:space="preserve"> </w:t>
      </w:r>
      <w:r w:rsidR="00C83E14" w:rsidRPr="0031765B">
        <w:rPr>
          <w:rFonts w:cs="Times New Roman"/>
          <w:szCs w:val="24"/>
        </w:rPr>
        <w:t xml:space="preserve">daļa </w:t>
      </w:r>
      <w:r w:rsidR="003E3CE2" w:rsidRPr="0031765B">
        <w:rPr>
          <w:rFonts w:cs="Times New Roman"/>
          <w:szCs w:val="24"/>
        </w:rPr>
        <w:t>projektu ir</w:t>
      </w:r>
      <w:r w:rsidR="00FC2473" w:rsidRPr="0031765B">
        <w:rPr>
          <w:rFonts w:cs="Times New Roman"/>
          <w:szCs w:val="24"/>
        </w:rPr>
        <w:t xml:space="preserve"> ar</w:t>
      </w:r>
      <w:r w:rsidR="003E3CE2" w:rsidRPr="0031765B">
        <w:rPr>
          <w:rFonts w:cs="Times New Roman"/>
          <w:szCs w:val="24"/>
        </w:rPr>
        <w:t xml:space="preserve"> fokus</w:t>
      </w:r>
      <w:r w:rsidR="00FC2473" w:rsidRPr="0031765B">
        <w:rPr>
          <w:rFonts w:cs="Times New Roman"/>
          <w:szCs w:val="24"/>
        </w:rPr>
        <w:t>u</w:t>
      </w:r>
      <w:r w:rsidR="003E3CE2" w:rsidRPr="0031765B">
        <w:rPr>
          <w:rFonts w:cs="Times New Roman"/>
          <w:szCs w:val="24"/>
        </w:rPr>
        <w:t xml:space="preserve"> uz biznesa vides uzlabošanu sievietē</w:t>
      </w:r>
      <w:r w:rsidR="00FC2473" w:rsidRPr="0031765B">
        <w:rPr>
          <w:rFonts w:cs="Times New Roman"/>
          <w:szCs w:val="24"/>
        </w:rPr>
        <w:t>m</w:t>
      </w:r>
      <w:r w:rsidR="00C83E14" w:rsidRPr="0031765B">
        <w:rPr>
          <w:rFonts w:cs="Times New Roman"/>
          <w:szCs w:val="24"/>
        </w:rPr>
        <w:t xml:space="preserve"> un</w:t>
      </w:r>
      <w:r w:rsidR="003E3CE2" w:rsidRPr="0031765B">
        <w:rPr>
          <w:rFonts w:cs="Times New Roman"/>
          <w:szCs w:val="24"/>
        </w:rPr>
        <w:t xml:space="preserve"> vīriešu un sieviešu specifisk</w:t>
      </w:r>
      <w:r w:rsidR="00FC2473" w:rsidRPr="0031765B">
        <w:rPr>
          <w:rFonts w:cs="Times New Roman"/>
          <w:szCs w:val="24"/>
        </w:rPr>
        <w:t>o</w:t>
      </w:r>
      <w:r w:rsidR="003E3CE2" w:rsidRPr="0031765B">
        <w:rPr>
          <w:rFonts w:cs="Times New Roman"/>
          <w:szCs w:val="24"/>
        </w:rPr>
        <w:t xml:space="preserve"> vajadzīb</w:t>
      </w:r>
      <w:r w:rsidR="00FC2473" w:rsidRPr="0031765B">
        <w:rPr>
          <w:rFonts w:cs="Times New Roman"/>
          <w:szCs w:val="24"/>
        </w:rPr>
        <w:t>u risināšan</w:t>
      </w:r>
      <w:r w:rsidR="00C83E14" w:rsidRPr="0031765B">
        <w:rPr>
          <w:rFonts w:cs="Times New Roman"/>
          <w:szCs w:val="24"/>
        </w:rPr>
        <w:t>u</w:t>
      </w:r>
      <w:r w:rsidR="00FC2473" w:rsidRPr="0031765B">
        <w:rPr>
          <w:rFonts w:cs="Times New Roman"/>
          <w:szCs w:val="24"/>
        </w:rPr>
        <w:t xml:space="preserve"> attiecībā uz</w:t>
      </w:r>
      <w:r w:rsidR="003E3CE2" w:rsidRPr="0031765B">
        <w:rPr>
          <w:rFonts w:cs="Times New Roman"/>
          <w:szCs w:val="24"/>
        </w:rPr>
        <w:t xml:space="preserve"> </w:t>
      </w:r>
      <w:r w:rsidR="00FC2473" w:rsidRPr="0031765B">
        <w:rPr>
          <w:rFonts w:cs="Times New Roman"/>
          <w:szCs w:val="24"/>
        </w:rPr>
        <w:t>piekļuv</w:t>
      </w:r>
      <w:r w:rsidR="003E3CE2" w:rsidRPr="0031765B">
        <w:rPr>
          <w:rFonts w:cs="Times New Roman"/>
          <w:szCs w:val="24"/>
        </w:rPr>
        <w:t xml:space="preserve">i transportam un pamatinfrastruktūrai. </w:t>
      </w:r>
      <w:r w:rsidR="003077B4" w:rsidRPr="0031765B">
        <w:rPr>
          <w:rFonts w:cs="Times New Roman"/>
          <w:szCs w:val="24"/>
        </w:rPr>
        <w:t>Piemēram</w:t>
      </w:r>
      <w:r w:rsidR="003077B4" w:rsidRPr="00BD456A">
        <w:rPr>
          <w:rFonts w:cs="Times New Roman"/>
          <w:szCs w:val="24"/>
        </w:rPr>
        <w:t>, IFC Papua</w:t>
      </w:r>
      <w:r w:rsidR="00C17D44">
        <w:rPr>
          <w:rFonts w:cs="Times New Roman"/>
          <w:szCs w:val="24"/>
        </w:rPr>
        <w:t>-</w:t>
      </w:r>
      <w:r w:rsidR="003077B4" w:rsidRPr="00BD456A">
        <w:rPr>
          <w:rFonts w:cs="Times New Roman"/>
          <w:szCs w:val="24"/>
        </w:rPr>
        <w:t xml:space="preserve">Jaungvinejā </w:t>
      </w:r>
      <w:r w:rsidR="00C83E14" w:rsidRPr="00BD456A">
        <w:rPr>
          <w:rFonts w:cs="Times New Roman"/>
          <w:szCs w:val="24"/>
        </w:rPr>
        <w:t>sadarbībā</w:t>
      </w:r>
      <w:r w:rsidR="003077B4" w:rsidRPr="00BD456A">
        <w:rPr>
          <w:rFonts w:cs="Times New Roman"/>
          <w:szCs w:val="24"/>
        </w:rPr>
        <w:t xml:space="preserve"> ar 50 uzņ</w:t>
      </w:r>
      <w:r w:rsidR="00C83E14" w:rsidRPr="00BD456A">
        <w:rPr>
          <w:rFonts w:cs="Times New Roman"/>
          <w:szCs w:val="24"/>
        </w:rPr>
        <w:t>ēmumiem izveidoja</w:t>
      </w:r>
      <w:r w:rsidR="003077B4" w:rsidRPr="00BD456A">
        <w:rPr>
          <w:rFonts w:cs="Times New Roman"/>
          <w:szCs w:val="24"/>
        </w:rPr>
        <w:t xml:space="preserve"> un ievies</w:t>
      </w:r>
      <w:r w:rsidR="00C83E14" w:rsidRPr="00BD456A">
        <w:rPr>
          <w:rFonts w:cs="Times New Roman"/>
          <w:szCs w:val="24"/>
        </w:rPr>
        <w:t>a</w:t>
      </w:r>
      <w:r w:rsidR="003077B4" w:rsidRPr="00BD456A">
        <w:rPr>
          <w:rFonts w:cs="Times New Roman"/>
          <w:szCs w:val="24"/>
        </w:rPr>
        <w:t xml:space="preserve"> ģimenes un seksuālās vardarbības novēršanas politiku; Etiopijā </w:t>
      </w:r>
      <w:r w:rsidR="00C83E14" w:rsidRPr="00BD456A">
        <w:rPr>
          <w:rFonts w:cs="Times New Roman"/>
          <w:szCs w:val="24"/>
        </w:rPr>
        <w:t xml:space="preserve">PBG </w:t>
      </w:r>
      <w:r w:rsidR="003077B4" w:rsidRPr="00BD456A">
        <w:rPr>
          <w:rFonts w:cs="Times New Roman"/>
          <w:szCs w:val="24"/>
        </w:rPr>
        <w:t>Āfrikas dzimumu līdztiesības inovāciju laboratorija (</w:t>
      </w:r>
      <w:r w:rsidR="003077B4" w:rsidRPr="00BD456A">
        <w:rPr>
          <w:rFonts w:cs="Times New Roman"/>
          <w:i/>
          <w:szCs w:val="24"/>
        </w:rPr>
        <w:t>Africa Gender Innovation Lab</w:t>
      </w:r>
      <w:r w:rsidR="003077B4" w:rsidRPr="00BD456A">
        <w:rPr>
          <w:rFonts w:cs="Times New Roman"/>
          <w:szCs w:val="24"/>
        </w:rPr>
        <w:t>), kuras mērķis ir veikt izpēti par dzimumu nevienlīdzības samazināšanu, ir ieviesusi inovatīvu pilotprojektu finanšu apmācībā sievietēm, kas nodarbojas ar uzņēmējdarbību. Ņemot vērā šī projekta veiksmīgo ieviešanu, tas tiek replicēts arī Indonēzijā. PBG</w:t>
      </w:r>
      <w:r w:rsidR="008A5E75">
        <w:rPr>
          <w:rFonts w:cs="Times New Roman"/>
          <w:szCs w:val="24"/>
        </w:rPr>
        <w:t xml:space="preserve"> komanda “Sievietes, uzņēmējdarbība un tiesības”</w:t>
      </w:r>
      <w:r w:rsidR="003077B4" w:rsidRPr="00BD456A">
        <w:rPr>
          <w:rFonts w:cs="Times New Roman"/>
          <w:szCs w:val="24"/>
        </w:rPr>
        <w:t xml:space="preserve"> </w:t>
      </w:r>
      <w:r w:rsidR="008A5E75">
        <w:rPr>
          <w:rFonts w:cs="Times New Roman"/>
          <w:szCs w:val="24"/>
        </w:rPr>
        <w:t>(</w:t>
      </w:r>
      <w:r w:rsidR="003077B4" w:rsidRPr="00BD456A">
        <w:rPr>
          <w:rFonts w:cs="Times New Roman"/>
          <w:i/>
          <w:szCs w:val="24"/>
        </w:rPr>
        <w:t>Women, Business and the Law</w:t>
      </w:r>
      <w:r w:rsidR="008A5E75">
        <w:rPr>
          <w:rFonts w:cs="Times New Roman"/>
          <w:i/>
          <w:szCs w:val="24"/>
        </w:rPr>
        <w:t>)</w:t>
      </w:r>
      <w:r w:rsidR="003077B4" w:rsidRPr="00BD456A">
        <w:rPr>
          <w:rFonts w:cs="Times New Roman"/>
          <w:szCs w:val="24"/>
        </w:rPr>
        <w:t xml:space="preserve"> sadarbībā ar</w:t>
      </w:r>
      <w:r w:rsidR="008A5E75">
        <w:rPr>
          <w:rFonts w:cs="Times New Roman"/>
          <w:szCs w:val="24"/>
        </w:rPr>
        <w:t xml:space="preserve"> ANO </w:t>
      </w:r>
      <w:r w:rsidR="007322CD">
        <w:rPr>
          <w:rFonts w:cs="Times New Roman"/>
          <w:szCs w:val="24"/>
        </w:rPr>
        <w:lastRenderedPageBreak/>
        <w:t xml:space="preserve">Dzimumu līdztiesības un sieviešu iespēju veicināšanas institūciju </w:t>
      </w:r>
      <w:r w:rsidR="008A5E75">
        <w:rPr>
          <w:rFonts w:cs="Times New Roman"/>
          <w:szCs w:val="24"/>
        </w:rPr>
        <w:t>(</w:t>
      </w:r>
      <w:r w:rsidR="003077B4" w:rsidRPr="00BD456A">
        <w:rPr>
          <w:rFonts w:cs="Times New Roman"/>
          <w:i/>
          <w:szCs w:val="24"/>
        </w:rPr>
        <w:t>UNWomen</w:t>
      </w:r>
      <w:r w:rsidR="008A5E75">
        <w:rPr>
          <w:rFonts w:cs="Times New Roman"/>
          <w:i/>
          <w:szCs w:val="24"/>
        </w:rPr>
        <w:t>)</w:t>
      </w:r>
      <w:r w:rsidR="003077B4" w:rsidRPr="00BD456A">
        <w:rPr>
          <w:rFonts w:cs="Times New Roman"/>
          <w:szCs w:val="24"/>
        </w:rPr>
        <w:t xml:space="preserve"> un </w:t>
      </w:r>
      <w:r w:rsidR="008A5E75">
        <w:rPr>
          <w:rFonts w:cs="Times New Roman"/>
          <w:szCs w:val="24"/>
        </w:rPr>
        <w:t>OECD Sociālo institūciju un dzimumu līdztiesības indekss (</w:t>
      </w:r>
      <w:r w:rsidR="003077B4" w:rsidRPr="00BD456A">
        <w:rPr>
          <w:rFonts w:cs="Times New Roman"/>
          <w:i/>
          <w:szCs w:val="24"/>
        </w:rPr>
        <w:t>OECD Social Institutions and Gender Index</w:t>
      </w:r>
      <w:r w:rsidR="008A5E75">
        <w:rPr>
          <w:rFonts w:cs="Times New Roman"/>
          <w:i/>
          <w:szCs w:val="24"/>
        </w:rPr>
        <w:t>)</w:t>
      </w:r>
      <w:r w:rsidR="003077B4" w:rsidRPr="00BD456A">
        <w:rPr>
          <w:rFonts w:cs="Times New Roman"/>
          <w:szCs w:val="24"/>
        </w:rPr>
        <w:t xml:space="preserve"> izstrādā salīdzinošu starpvalstu metodoloģiju un </w:t>
      </w:r>
      <w:r w:rsidR="00AF4154" w:rsidRPr="00BD456A">
        <w:rPr>
          <w:rFonts w:cs="Times New Roman"/>
          <w:szCs w:val="24"/>
        </w:rPr>
        <w:t xml:space="preserve">apkopo </w:t>
      </w:r>
      <w:r w:rsidR="003077B4" w:rsidRPr="00BD456A">
        <w:rPr>
          <w:rFonts w:cs="Times New Roman"/>
          <w:szCs w:val="24"/>
        </w:rPr>
        <w:t>datus par to</w:t>
      </w:r>
      <w:r w:rsidR="00F47230" w:rsidRPr="00BD456A">
        <w:rPr>
          <w:rFonts w:cs="Times New Roman"/>
          <w:szCs w:val="24"/>
        </w:rPr>
        <w:t>,</w:t>
      </w:r>
      <w:r w:rsidR="003077B4" w:rsidRPr="00BD456A">
        <w:rPr>
          <w:rFonts w:cs="Times New Roman"/>
          <w:szCs w:val="24"/>
        </w:rPr>
        <w:t xml:space="preserve"> vai valstīs pastāv juridiskie ietvari, kas veicina, īsteno un monitorē vienlīdzību un nediskrimināciju uz dzimuma pamata. Šis darbs </w:t>
      </w:r>
      <w:r w:rsidR="00F47230" w:rsidRPr="00BD456A">
        <w:rPr>
          <w:rFonts w:cs="Times New Roman"/>
          <w:szCs w:val="24"/>
        </w:rPr>
        <w:t>balstās uz</w:t>
      </w:r>
      <w:r w:rsidR="003077B4" w:rsidRPr="00BD456A">
        <w:rPr>
          <w:rFonts w:cs="Times New Roman"/>
          <w:szCs w:val="24"/>
        </w:rPr>
        <w:t xml:space="preserve"> PBG </w:t>
      </w:r>
      <w:r w:rsidR="00F47230" w:rsidRPr="00BD456A">
        <w:rPr>
          <w:rFonts w:cs="Times New Roman"/>
          <w:szCs w:val="24"/>
        </w:rPr>
        <w:t xml:space="preserve">esošajiem datiem par 189 valstu </w:t>
      </w:r>
      <w:r w:rsidR="00BF562A" w:rsidRPr="00BD456A">
        <w:rPr>
          <w:rFonts w:cs="Times New Roman"/>
          <w:szCs w:val="24"/>
        </w:rPr>
        <w:t xml:space="preserve">regulējumu un papildina ar </w:t>
      </w:r>
      <w:r w:rsidR="00F47230" w:rsidRPr="00BD456A">
        <w:rPr>
          <w:rFonts w:cs="Times New Roman"/>
          <w:szCs w:val="24"/>
        </w:rPr>
        <w:t>informāciju</w:t>
      </w:r>
      <w:r w:rsidR="00BF562A" w:rsidRPr="00BD456A">
        <w:rPr>
          <w:rFonts w:cs="Times New Roman"/>
          <w:szCs w:val="24"/>
        </w:rPr>
        <w:t xml:space="preserve"> par īstenošanas mehānismiem. Dati tiek apkopoti sadarbībā ar nacionālajām statistikas organizācijām</w:t>
      </w:r>
      <w:r w:rsidR="00F47230" w:rsidRPr="00BD456A">
        <w:rPr>
          <w:rFonts w:cs="Times New Roman"/>
          <w:szCs w:val="24"/>
        </w:rPr>
        <w:t>.</w:t>
      </w:r>
      <w:r w:rsidR="005507BB" w:rsidRPr="00BD456A">
        <w:rPr>
          <w:rFonts w:cs="Times New Roman"/>
          <w:szCs w:val="24"/>
        </w:rPr>
        <w:t xml:space="preserve"> Papildus tam </w:t>
      </w:r>
      <w:r w:rsidR="00C83E14" w:rsidRPr="00BD456A">
        <w:rPr>
          <w:rFonts w:cs="Times New Roman"/>
          <w:szCs w:val="24"/>
        </w:rPr>
        <w:t>tematiskās iniciatīvas</w:t>
      </w:r>
      <w:r w:rsidR="005507BB" w:rsidRPr="00BD456A">
        <w:rPr>
          <w:rFonts w:cs="Times New Roman"/>
          <w:szCs w:val="24"/>
        </w:rPr>
        <w:t xml:space="preserve"> </w:t>
      </w:r>
      <w:r w:rsidR="005507BB" w:rsidRPr="00BD456A">
        <w:rPr>
          <w:rFonts w:cs="Times New Roman"/>
          <w:i/>
          <w:szCs w:val="24"/>
        </w:rPr>
        <w:t>HeForShe Thematic Champion</w:t>
      </w:r>
      <w:r w:rsidR="00C83E14" w:rsidRPr="00BD456A">
        <w:rPr>
          <w:rStyle w:val="FootnoteReference"/>
          <w:rFonts w:cs="Times New Roman"/>
          <w:i/>
          <w:szCs w:val="24"/>
        </w:rPr>
        <w:footnoteReference w:id="17"/>
      </w:r>
      <w:r w:rsidR="005507BB" w:rsidRPr="00BD456A">
        <w:rPr>
          <w:rFonts w:cs="Times New Roman"/>
          <w:szCs w:val="24"/>
        </w:rPr>
        <w:t xml:space="preserve"> </w:t>
      </w:r>
      <w:r w:rsidR="00C83E14" w:rsidRPr="00BD456A">
        <w:rPr>
          <w:rFonts w:cs="Times New Roman"/>
          <w:szCs w:val="24"/>
        </w:rPr>
        <w:t xml:space="preserve">ietvaros PBG kā pirmā no </w:t>
      </w:r>
      <w:r w:rsidR="005507BB" w:rsidRPr="00BD456A">
        <w:rPr>
          <w:rFonts w:cs="Times New Roman"/>
          <w:szCs w:val="24"/>
        </w:rPr>
        <w:t xml:space="preserve">starptautiskajām finanšu institūcijām ir apņēmusies līdz 2022.gadam sasniegt 50-50 dzimumu īpatsvaru </w:t>
      </w:r>
      <w:r w:rsidR="005501E0" w:rsidRPr="00BD456A">
        <w:rPr>
          <w:rFonts w:cs="Times New Roman"/>
          <w:szCs w:val="24"/>
        </w:rPr>
        <w:t xml:space="preserve"> tehniskā līmeņa</w:t>
      </w:r>
      <w:r w:rsidR="005507BB" w:rsidRPr="00BD456A">
        <w:rPr>
          <w:rFonts w:cs="Times New Roman"/>
          <w:szCs w:val="24"/>
        </w:rPr>
        <w:t xml:space="preserve"> amatos un </w:t>
      </w:r>
      <w:r w:rsidR="00C83E14" w:rsidRPr="00BD456A">
        <w:rPr>
          <w:rFonts w:cs="Times New Roman"/>
          <w:szCs w:val="24"/>
        </w:rPr>
        <w:t xml:space="preserve">līdz 2020.gadam </w:t>
      </w:r>
      <w:r w:rsidR="005507BB" w:rsidRPr="00BD456A">
        <w:rPr>
          <w:rFonts w:cs="Times New Roman"/>
          <w:szCs w:val="24"/>
        </w:rPr>
        <w:t xml:space="preserve">novērst </w:t>
      </w:r>
      <w:r w:rsidR="00795EE3" w:rsidRPr="00A55A32">
        <w:rPr>
          <w:rFonts w:cs="Times New Roman"/>
          <w:szCs w:val="24"/>
        </w:rPr>
        <w:t>trūkumu</w:t>
      </w:r>
      <w:r w:rsidR="00795EE3" w:rsidRPr="00D430A0">
        <w:rPr>
          <w:rFonts w:cs="Times New Roman"/>
          <w:szCs w:val="24"/>
        </w:rPr>
        <w:t>s dzimumu līdztiesības jomā</w:t>
      </w:r>
      <w:r w:rsidR="005507BB" w:rsidRPr="00A55A32">
        <w:rPr>
          <w:rFonts w:cs="Times New Roman"/>
          <w:szCs w:val="24"/>
        </w:rPr>
        <w:t xml:space="preserve"> </w:t>
      </w:r>
      <w:r w:rsidR="005507BB" w:rsidRPr="00D430A0">
        <w:rPr>
          <w:rFonts w:cs="Times New Roman"/>
          <w:szCs w:val="24"/>
        </w:rPr>
        <w:t>vadības līmenī (</w:t>
      </w:r>
      <w:r w:rsidR="005507BB" w:rsidRPr="00BD456A">
        <w:rPr>
          <w:rFonts w:cs="Times New Roman"/>
          <w:szCs w:val="24"/>
        </w:rPr>
        <w:t>vice-prezident</w:t>
      </w:r>
      <w:r w:rsidR="00C83E14" w:rsidRPr="00BD456A">
        <w:rPr>
          <w:rFonts w:cs="Times New Roman"/>
          <w:szCs w:val="24"/>
        </w:rPr>
        <w:t>s</w:t>
      </w:r>
      <w:r w:rsidR="005507BB" w:rsidRPr="00BD456A">
        <w:rPr>
          <w:rFonts w:cs="Times New Roman"/>
          <w:szCs w:val="24"/>
        </w:rPr>
        <w:t xml:space="preserve"> un augstāk). PBG</w:t>
      </w:r>
      <w:r w:rsidR="005501E0" w:rsidRPr="00BD456A">
        <w:rPr>
          <w:rFonts w:cs="Times New Roman"/>
          <w:szCs w:val="24"/>
        </w:rPr>
        <w:t xml:space="preserve"> mērķis </w:t>
      </w:r>
      <w:r w:rsidR="00795EE3" w:rsidRPr="00BD456A">
        <w:rPr>
          <w:rFonts w:cs="Times New Roman"/>
          <w:szCs w:val="24"/>
        </w:rPr>
        <w:t xml:space="preserve">ir </w:t>
      </w:r>
      <w:r w:rsidR="005501E0" w:rsidRPr="00BD456A">
        <w:rPr>
          <w:rFonts w:cs="Times New Roman"/>
          <w:szCs w:val="24"/>
        </w:rPr>
        <w:t xml:space="preserve">arī līdz 2020.gadam </w:t>
      </w:r>
      <w:r w:rsidR="005507BB" w:rsidRPr="00BD456A">
        <w:rPr>
          <w:rFonts w:cs="Times New Roman"/>
          <w:szCs w:val="24"/>
        </w:rPr>
        <w:t xml:space="preserve">saņemt otro līmeni </w:t>
      </w:r>
      <w:r w:rsidR="005507BB" w:rsidRPr="00BD456A">
        <w:rPr>
          <w:rFonts w:cs="Times New Roman"/>
          <w:i/>
          <w:szCs w:val="24"/>
        </w:rPr>
        <w:t>Economic Dividends for Gender Equality (EDGE)</w:t>
      </w:r>
      <w:r w:rsidR="005501E0" w:rsidRPr="00BD456A">
        <w:rPr>
          <w:rStyle w:val="FootnoteReference"/>
          <w:rFonts w:cs="Times New Roman"/>
          <w:i/>
          <w:szCs w:val="24"/>
        </w:rPr>
        <w:footnoteReference w:id="18"/>
      </w:r>
      <w:r w:rsidR="005507BB" w:rsidRPr="00BD456A">
        <w:rPr>
          <w:rFonts w:cs="Times New Roman"/>
          <w:szCs w:val="24"/>
        </w:rPr>
        <w:t xml:space="preserve"> sertifik</w:t>
      </w:r>
      <w:r w:rsidR="005501E0" w:rsidRPr="00BD456A">
        <w:rPr>
          <w:rFonts w:cs="Times New Roman"/>
          <w:szCs w:val="24"/>
        </w:rPr>
        <w:t>ācijā</w:t>
      </w:r>
      <w:r w:rsidR="005507BB" w:rsidRPr="00BD456A">
        <w:rPr>
          <w:rFonts w:cs="Times New Roman"/>
          <w:szCs w:val="24"/>
        </w:rPr>
        <w:t>.</w:t>
      </w:r>
      <w:r w:rsidR="000A65F5" w:rsidRPr="00BD456A">
        <w:rPr>
          <w:rFonts w:cs="Times New Roman"/>
          <w:szCs w:val="24"/>
        </w:rPr>
        <w:t xml:space="preserve"> </w:t>
      </w:r>
      <w:r w:rsidR="00FE4C04" w:rsidRPr="00BD456A">
        <w:rPr>
          <w:rFonts w:cs="Times New Roman"/>
          <w:szCs w:val="24"/>
        </w:rPr>
        <w:t>Papildus tam</w:t>
      </w:r>
      <w:r w:rsidR="000A65F5" w:rsidRPr="00BD456A">
        <w:rPr>
          <w:rFonts w:cs="Times New Roman"/>
          <w:szCs w:val="24"/>
        </w:rPr>
        <w:t xml:space="preserve"> IDA18</w:t>
      </w:r>
      <w:r w:rsidR="00AF4154" w:rsidRPr="00BD456A">
        <w:rPr>
          <w:rStyle w:val="FootnoteReference"/>
          <w:rFonts w:cs="Times New Roman"/>
          <w:szCs w:val="24"/>
        </w:rPr>
        <w:footnoteReference w:id="19"/>
      </w:r>
      <w:r w:rsidR="000A65F5" w:rsidRPr="00BD456A">
        <w:rPr>
          <w:rFonts w:cs="Times New Roman"/>
          <w:szCs w:val="24"/>
        </w:rPr>
        <w:t xml:space="preserve"> resursu papildināšanas viens no mērķiem ir trūkumu novēršana dzimumu līdztiesības jomā saņēmējvalstu stratēģijās un operācijās, </w:t>
      </w:r>
      <w:r w:rsidR="00FE4C04" w:rsidRPr="00BD456A">
        <w:rPr>
          <w:rFonts w:cs="Times New Roman"/>
          <w:szCs w:val="24"/>
        </w:rPr>
        <w:t>vienlaicīgi</w:t>
      </w:r>
      <w:r w:rsidR="000A65F5" w:rsidRPr="00BD456A">
        <w:rPr>
          <w:rFonts w:cs="Times New Roman"/>
          <w:szCs w:val="24"/>
        </w:rPr>
        <w:t xml:space="preserve"> </w:t>
      </w:r>
      <w:r w:rsidR="00FE4C04" w:rsidRPr="00BD456A">
        <w:rPr>
          <w:rFonts w:cs="Times New Roman"/>
          <w:szCs w:val="24"/>
        </w:rPr>
        <w:t>uzlabojot</w:t>
      </w:r>
      <w:r w:rsidR="000A65F5" w:rsidRPr="00BD456A">
        <w:rPr>
          <w:rFonts w:cs="Times New Roman"/>
          <w:szCs w:val="24"/>
        </w:rPr>
        <w:t xml:space="preserve"> datus un izpēti, lai </w:t>
      </w:r>
      <w:r w:rsidR="00FE4C04" w:rsidRPr="00BD456A">
        <w:rPr>
          <w:rFonts w:cs="Times New Roman"/>
          <w:szCs w:val="24"/>
        </w:rPr>
        <w:t>veicinātu</w:t>
      </w:r>
      <w:r w:rsidR="000A65F5" w:rsidRPr="00BD456A">
        <w:rPr>
          <w:rFonts w:cs="Times New Roman"/>
          <w:szCs w:val="24"/>
        </w:rPr>
        <w:t xml:space="preserve"> ietekmi uz dzimumu līdztiesības politiku.</w:t>
      </w:r>
      <w:r w:rsidR="00C83E14">
        <w:rPr>
          <w:rFonts w:cs="Times New Roman"/>
          <w:szCs w:val="24"/>
        </w:rPr>
        <w:t xml:space="preserve"> </w:t>
      </w:r>
    </w:p>
    <w:p w14:paraId="3EECC439" w14:textId="77777777" w:rsidR="00271E1B" w:rsidRDefault="00396C33" w:rsidP="008F3709">
      <w:pPr>
        <w:ind w:firstLine="720"/>
        <w:jc w:val="both"/>
        <w:rPr>
          <w:szCs w:val="24"/>
        </w:rPr>
      </w:pPr>
      <w:r>
        <w:rPr>
          <w:szCs w:val="24"/>
        </w:rPr>
        <w:t xml:space="preserve">SGD 5 sasniegšanai </w:t>
      </w:r>
      <w:r w:rsidR="00F2235B">
        <w:rPr>
          <w:szCs w:val="24"/>
        </w:rPr>
        <w:t xml:space="preserve">PBG </w:t>
      </w:r>
      <w:r>
        <w:rPr>
          <w:szCs w:val="24"/>
        </w:rPr>
        <w:t xml:space="preserve">finansē </w:t>
      </w:r>
      <w:r w:rsidR="00F2235B">
        <w:rPr>
          <w:szCs w:val="24"/>
        </w:rPr>
        <w:t xml:space="preserve">programmas gan </w:t>
      </w:r>
      <w:r>
        <w:rPr>
          <w:szCs w:val="24"/>
        </w:rPr>
        <w:t xml:space="preserve">no pašu resursiem, gan arī no PBG trasta fondiem: </w:t>
      </w:r>
      <w:r w:rsidR="00AF4154">
        <w:rPr>
          <w:szCs w:val="24"/>
        </w:rPr>
        <w:t xml:space="preserve">a) </w:t>
      </w:r>
      <w:r w:rsidRPr="007E501C">
        <w:rPr>
          <w:szCs w:val="24"/>
        </w:rPr>
        <w:t>D</w:t>
      </w:r>
      <w:r>
        <w:rPr>
          <w:szCs w:val="24"/>
        </w:rPr>
        <w:t>zimumu līdztiesības trasta fond</w:t>
      </w:r>
      <w:r w:rsidR="00F2235B">
        <w:rPr>
          <w:szCs w:val="24"/>
        </w:rPr>
        <w:t>a</w:t>
      </w:r>
      <w:r>
        <w:rPr>
          <w:szCs w:val="24"/>
        </w:rPr>
        <w:t xml:space="preserve"> (</w:t>
      </w:r>
      <w:r w:rsidR="000F0B6C" w:rsidRPr="00482B72">
        <w:rPr>
          <w:i/>
          <w:szCs w:val="24"/>
        </w:rPr>
        <w:t>Umbrella Facility for Gender Equality</w:t>
      </w:r>
      <w:r>
        <w:rPr>
          <w:szCs w:val="24"/>
        </w:rPr>
        <w:t>)</w:t>
      </w:r>
      <w:r w:rsidR="002D5556">
        <w:rPr>
          <w:szCs w:val="24"/>
        </w:rPr>
        <w:t>,</w:t>
      </w:r>
      <w:r w:rsidR="0054479F">
        <w:rPr>
          <w:rStyle w:val="FootnoteReference"/>
          <w:szCs w:val="24"/>
        </w:rPr>
        <w:footnoteReference w:id="20"/>
      </w:r>
      <w:r>
        <w:rPr>
          <w:szCs w:val="24"/>
        </w:rPr>
        <w:t xml:space="preserve"> kas nodrošina izpēti, uz kuras pamata tiek finansētas PBG programmas un projekti, </w:t>
      </w:r>
      <w:r w:rsidR="00AF4154">
        <w:rPr>
          <w:szCs w:val="24"/>
        </w:rPr>
        <w:t xml:space="preserve">b) </w:t>
      </w:r>
      <w:r>
        <w:rPr>
          <w:szCs w:val="24"/>
        </w:rPr>
        <w:t>Globāl</w:t>
      </w:r>
      <w:r w:rsidR="00F2235B">
        <w:rPr>
          <w:szCs w:val="24"/>
        </w:rPr>
        <w:t>ā</w:t>
      </w:r>
      <w:r>
        <w:rPr>
          <w:szCs w:val="24"/>
        </w:rPr>
        <w:t xml:space="preserve"> finansēšanas ietvar</w:t>
      </w:r>
      <w:r w:rsidR="00F2235B">
        <w:rPr>
          <w:szCs w:val="24"/>
        </w:rPr>
        <w:t>a</w:t>
      </w:r>
      <w:r>
        <w:rPr>
          <w:szCs w:val="24"/>
        </w:rPr>
        <w:t xml:space="preserve"> (</w:t>
      </w:r>
      <w:r w:rsidRPr="00482B72">
        <w:rPr>
          <w:i/>
          <w:szCs w:val="24"/>
        </w:rPr>
        <w:t>The Global Financing Facility</w:t>
      </w:r>
      <w:r>
        <w:rPr>
          <w:szCs w:val="24"/>
        </w:rPr>
        <w:t>)</w:t>
      </w:r>
      <w:r w:rsidR="002D5556">
        <w:rPr>
          <w:szCs w:val="24"/>
        </w:rPr>
        <w:t>,</w:t>
      </w:r>
      <w:r w:rsidR="00AF4154">
        <w:rPr>
          <w:rStyle w:val="FootnoteReference"/>
          <w:szCs w:val="24"/>
        </w:rPr>
        <w:footnoteReference w:id="21"/>
      </w:r>
      <w:r>
        <w:rPr>
          <w:szCs w:val="24"/>
        </w:rPr>
        <w:t xml:space="preserve"> kas galvenokārt koncentrējas uz mātes un bērna veselību, tai skaitā seksuālo un reproduktīvo veselību, </w:t>
      </w:r>
      <w:r w:rsidR="00AF4154">
        <w:rPr>
          <w:szCs w:val="24"/>
        </w:rPr>
        <w:t>c)</w:t>
      </w:r>
      <w:r>
        <w:rPr>
          <w:szCs w:val="24"/>
        </w:rPr>
        <w:t xml:space="preserve"> Sieviešu uzņēmējdarbības finansēšanas </w:t>
      </w:r>
      <w:r w:rsidR="00C9443F">
        <w:rPr>
          <w:szCs w:val="24"/>
        </w:rPr>
        <w:t xml:space="preserve">iniciatīva </w:t>
      </w:r>
      <w:r>
        <w:rPr>
          <w:szCs w:val="24"/>
        </w:rPr>
        <w:t>(</w:t>
      </w:r>
      <w:r w:rsidRPr="007633C5">
        <w:rPr>
          <w:i/>
          <w:szCs w:val="24"/>
        </w:rPr>
        <w:t xml:space="preserve">Women’s </w:t>
      </w:r>
      <w:r w:rsidR="007633C5" w:rsidRPr="00BD456A">
        <w:rPr>
          <w:i/>
          <w:szCs w:val="24"/>
        </w:rPr>
        <w:t>Entrepreneurship</w:t>
      </w:r>
      <w:r w:rsidRPr="007633C5">
        <w:rPr>
          <w:i/>
          <w:szCs w:val="24"/>
        </w:rPr>
        <w:t xml:space="preserve"> Finance Initiative</w:t>
      </w:r>
      <w:r>
        <w:rPr>
          <w:szCs w:val="24"/>
        </w:rPr>
        <w:t>)</w:t>
      </w:r>
      <w:r w:rsidR="002D5556">
        <w:rPr>
          <w:szCs w:val="24"/>
        </w:rPr>
        <w:t>,</w:t>
      </w:r>
      <w:r w:rsidR="00AF4154">
        <w:rPr>
          <w:rStyle w:val="FootnoteReference"/>
          <w:szCs w:val="24"/>
        </w:rPr>
        <w:footnoteReference w:id="22"/>
      </w:r>
      <w:r>
        <w:rPr>
          <w:szCs w:val="24"/>
        </w:rPr>
        <w:t xml:space="preserve"> kas mazina finanšu un nefinanšu šķēršļus mazos un vidējos uzņēmumos, kuri pieder vai kurus vada sievietes.</w:t>
      </w:r>
    </w:p>
    <w:p w14:paraId="1C309926" w14:textId="77777777" w:rsidR="00396C33" w:rsidRDefault="00396C33" w:rsidP="00271E1B">
      <w:pPr>
        <w:ind w:firstLine="720"/>
        <w:jc w:val="both"/>
        <w:rPr>
          <w:b/>
          <w:szCs w:val="24"/>
        </w:rPr>
      </w:pPr>
    </w:p>
    <w:p w14:paraId="0F700380" w14:textId="49C12B68" w:rsidR="00271E1B" w:rsidRDefault="008A5E75" w:rsidP="00271E1B">
      <w:pPr>
        <w:ind w:firstLine="720"/>
        <w:jc w:val="both"/>
        <w:rPr>
          <w:b/>
          <w:szCs w:val="24"/>
        </w:rPr>
      </w:pPr>
      <w:r w:rsidRPr="00271E1B">
        <w:rPr>
          <w:b/>
          <w:szCs w:val="24"/>
        </w:rPr>
        <w:t>Dzimumu līdztiesības trasta fonds</w:t>
      </w:r>
      <w:r>
        <w:rPr>
          <w:b/>
          <w:szCs w:val="24"/>
        </w:rPr>
        <w:t xml:space="preserve"> </w:t>
      </w:r>
      <w:r w:rsidRPr="008A5E75">
        <w:rPr>
          <w:b/>
          <w:szCs w:val="24"/>
        </w:rPr>
        <w:t xml:space="preserve"> </w:t>
      </w:r>
      <w:r>
        <w:rPr>
          <w:b/>
          <w:szCs w:val="24"/>
        </w:rPr>
        <w:t xml:space="preserve">jeb </w:t>
      </w:r>
      <w:r w:rsidR="000F0B6C" w:rsidRPr="00482B72">
        <w:rPr>
          <w:b/>
          <w:i/>
          <w:szCs w:val="24"/>
        </w:rPr>
        <w:t>Umbrella Facility for Gender Equality</w:t>
      </w:r>
      <w:r w:rsidR="000F0B6C" w:rsidRPr="000F0B6C">
        <w:rPr>
          <w:b/>
          <w:szCs w:val="24"/>
        </w:rPr>
        <w:t xml:space="preserve"> </w:t>
      </w:r>
    </w:p>
    <w:p w14:paraId="5742FDEB" w14:textId="77777777" w:rsidR="00271E1B" w:rsidRDefault="00271E1B" w:rsidP="00271E1B">
      <w:pPr>
        <w:ind w:firstLine="720"/>
        <w:jc w:val="both"/>
        <w:rPr>
          <w:b/>
          <w:szCs w:val="24"/>
        </w:rPr>
      </w:pPr>
    </w:p>
    <w:p w14:paraId="401417F5" w14:textId="12AB0A47" w:rsidR="00BB6D13" w:rsidRPr="00BB6D13" w:rsidRDefault="00396C33" w:rsidP="00BB6D13">
      <w:pPr>
        <w:ind w:firstLine="720"/>
        <w:jc w:val="both"/>
        <w:rPr>
          <w:szCs w:val="24"/>
        </w:rPr>
      </w:pPr>
      <w:r>
        <w:rPr>
          <w:szCs w:val="24"/>
        </w:rPr>
        <w:t xml:space="preserve">PBG </w:t>
      </w:r>
      <w:r w:rsidR="00271E1B">
        <w:rPr>
          <w:szCs w:val="24"/>
        </w:rPr>
        <w:t>progresīvākais un inovatīv</w:t>
      </w:r>
      <w:r w:rsidR="006B76F3">
        <w:rPr>
          <w:szCs w:val="24"/>
        </w:rPr>
        <w:t>āk</w:t>
      </w:r>
      <w:r w:rsidR="00271E1B">
        <w:rPr>
          <w:szCs w:val="24"/>
        </w:rPr>
        <w:t xml:space="preserve">ais darbs dzimumu līdztiesības jomā tiek </w:t>
      </w:r>
      <w:r w:rsidR="00D605BF">
        <w:rPr>
          <w:szCs w:val="24"/>
        </w:rPr>
        <w:t xml:space="preserve">pamatā </w:t>
      </w:r>
      <w:r w:rsidR="00271E1B">
        <w:rPr>
          <w:szCs w:val="24"/>
        </w:rPr>
        <w:t xml:space="preserve">finansēts </w:t>
      </w:r>
      <w:r w:rsidR="00446702">
        <w:rPr>
          <w:szCs w:val="24"/>
        </w:rPr>
        <w:t xml:space="preserve">ar </w:t>
      </w:r>
      <w:r w:rsidR="00271E1B" w:rsidRPr="007E501C">
        <w:rPr>
          <w:szCs w:val="24"/>
        </w:rPr>
        <w:t>D</w:t>
      </w:r>
      <w:r w:rsidR="00271E1B">
        <w:rPr>
          <w:szCs w:val="24"/>
        </w:rPr>
        <w:t xml:space="preserve">zimumu līdztiesības trasta fondu, </w:t>
      </w:r>
      <w:r w:rsidR="004F04CD">
        <w:rPr>
          <w:szCs w:val="24"/>
        </w:rPr>
        <w:t>kurš investē galvenokārt tajās prioritārajās jomās, kas ir kritiskas pētījumu veikšanai, lai novērstu trūkumus, kas kavē dzimumu līdztiesības progresu</w:t>
      </w:r>
      <w:r w:rsidR="00271E1B">
        <w:rPr>
          <w:szCs w:val="24"/>
        </w:rPr>
        <w:t xml:space="preserve">. </w:t>
      </w:r>
      <w:r w:rsidR="003A4009">
        <w:rPr>
          <w:szCs w:val="24"/>
        </w:rPr>
        <w:t>Fondam ir nozīmīga loma papildu finansējuma nodrošināšanā investīcijām, kas nodrošina papildu zināšanas, izstrādā pētījumus inovatīviem risinājumiem dzimumu nevienlīdzības novēršanā, veic ietekmes novērtējumus un ģenerē jaunas idejas.</w:t>
      </w:r>
      <w:r w:rsidR="009276E4">
        <w:rPr>
          <w:szCs w:val="24"/>
        </w:rPr>
        <w:t xml:space="preserve"> </w:t>
      </w:r>
      <w:r w:rsidR="008F3709" w:rsidRPr="007E501C">
        <w:rPr>
          <w:szCs w:val="24"/>
        </w:rPr>
        <w:t>D</w:t>
      </w:r>
      <w:r w:rsidR="008F3709">
        <w:rPr>
          <w:szCs w:val="24"/>
        </w:rPr>
        <w:t xml:space="preserve">zimumu līdztiesības </w:t>
      </w:r>
      <w:r w:rsidR="008F3709">
        <w:rPr>
          <w:szCs w:val="24"/>
        </w:rPr>
        <w:lastRenderedPageBreak/>
        <w:t xml:space="preserve">trasta fonds ir </w:t>
      </w:r>
      <w:r w:rsidR="00FE327F">
        <w:rPr>
          <w:szCs w:val="24"/>
        </w:rPr>
        <w:t>multi-</w:t>
      </w:r>
      <w:r w:rsidR="008F3709">
        <w:rPr>
          <w:szCs w:val="24"/>
        </w:rPr>
        <w:t>donoru fonds, kura mērķis ir stiprināt zināšanas un kapacitāti tādas politikas veidošanai, kas balstīta uz informāciju par dzimumu līdztiesību (</w:t>
      </w:r>
      <w:r w:rsidR="008F3709" w:rsidRPr="008F3709">
        <w:rPr>
          <w:i/>
          <w:szCs w:val="24"/>
        </w:rPr>
        <w:t>gender-informed policy-making</w:t>
      </w:r>
      <w:r w:rsidR="008F3709">
        <w:rPr>
          <w:szCs w:val="24"/>
        </w:rPr>
        <w:t xml:space="preserve">). Tādējādi fonds ir galvenais </w:t>
      </w:r>
      <w:r w:rsidR="009276E4">
        <w:rPr>
          <w:szCs w:val="24"/>
        </w:rPr>
        <w:t xml:space="preserve">PBG </w:t>
      </w:r>
      <w:r w:rsidR="008F3709">
        <w:rPr>
          <w:szCs w:val="24"/>
        </w:rPr>
        <w:t>instruments Dzimumu līdztiesības stratēģijas mērķu īstenošanai</w:t>
      </w:r>
      <w:r w:rsidR="00FE327F">
        <w:rPr>
          <w:szCs w:val="24"/>
        </w:rPr>
        <w:t xml:space="preserve">. </w:t>
      </w:r>
      <w:r w:rsidR="00BB6D13" w:rsidRPr="007E501C">
        <w:rPr>
          <w:szCs w:val="24"/>
        </w:rPr>
        <w:t>D</w:t>
      </w:r>
      <w:r w:rsidR="00BB6D13">
        <w:rPr>
          <w:szCs w:val="24"/>
        </w:rPr>
        <w:t xml:space="preserve">zimumu līdztiesības trasta fonds </w:t>
      </w:r>
      <w:r w:rsidR="00BB6D13" w:rsidRPr="00FB456A">
        <w:rPr>
          <w:rFonts w:cs="Times New Roman"/>
          <w:szCs w:val="24"/>
        </w:rPr>
        <w:t xml:space="preserve">tika dibināts 2012.gadā un pašlaik tajā ir 13 attīstības partneri </w:t>
      </w:r>
      <w:r w:rsidR="006740CA">
        <w:rPr>
          <w:rFonts w:cs="Times New Roman"/>
          <w:szCs w:val="24"/>
        </w:rPr>
        <w:t>–</w:t>
      </w:r>
      <w:r w:rsidR="00BB6D13" w:rsidRPr="00FB456A">
        <w:rPr>
          <w:rFonts w:cs="Times New Roman"/>
          <w:szCs w:val="24"/>
        </w:rPr>
        <w:t xml:space="preserve"> Austrālija, Kanāda, Dānija, Somija, Vācija, Islande, Nīderlande, Norvēģija, Spānija, Zviedrija, Šveice, Apvienotā Karaliste, ASV</w:t>
      </w:r>
      <w:r w:rsidR="004F04CD">
        <w:rPr>
          <w:rFonts w:cs="Times New Roman"/>
          <w:szCs w:val="24"/>
        </w:rPr>
        <w:t xml:space="preserve"> </w:t>
      </w:r>
      <w:r w:rsidR="00A6772D">
        <w:rPr>
          <w:rFonts w:cs="Times New Roman"/>
          <w:szCs w:val="24"/>
        </w:rPr>
        <w:t xml:space="preserve">– </w:t>
      </w:r>
      <w:r w:rsidR="004F04CD">
        <w:rPr>
          <w:rFonts w:cs="Times New Roman"/>
          <w:szCs w:val="24"/>
        </w:rPr>
        <w:t xml:space="preserve">ar kopēju ieguldījumu </w:t>
      </w:r>
      <w:r w:rsidR="004F04CD">
        <w:rPr>
          <w:szCs w:val="24"/>
        </w:rPr>
        <w:t>USD 72 milj. apmērā</w:t>
      </w:r>
      <w:r w:rsidR="00B04D5A">
        <w:rPr>
          <w:szCs w:val="24"/>
        </w:rPr>
        <w:t xml:space="preserve"> kopš fonda dibināšanas brīža</w:t>
      </w:r>
      <w:r w:rsidR="004F04CD">
        <w:rPr>
          <w:szCs w:val="24"/>
        </w:rPr>
        <w:t>.</w:t>
      </w:r>
      <w:r w:rsidR="00B04D5A">
        <w:rPr>
          <w:szCs w:val="24"/>
        </w:rPr>
        <w:t xml:space="preserve"> </w:t>
      </w:r>
    </w:p>
    <w:p w14:paraId="5DE7E7F2" w14:textId="593CF346" w:rsidR="00F975E3" w:rsidRDefault="00B04D5A" w:rsidP="00F975E3">
      <w:pPr>
        <w:ind w:firstLine="720"/>
        <w:jc w:val="both"/>
        <w:rPr>
          <w:rFonts w:cs="Times New Roman"/>
          <w:szCs w:val="24"/>
        </w:rPr>
      </w:pPr>
      <w:r w:rsidRPr="007E501C">
        <w:rPr>
          <w:szCs w:val="24"/>
        </w:rPr>
        <w:t>D</w:t>
      </w:r>
      <w:r>
        <w:rPr>
          <w:szCs w:val="24"/>
        </w:rPr>
        <w:t xml:space="preserve">zimumu līdztiesības trasta fonds </w:t>
      </w:r>
      <w:r w:rsidR="001A37D1">
        <w:rPr>
          <w:szCs w:val="24"/>
        </w:rPr>
        <w:t>strādā arī kā starpnieks sadarbībai</w:t>
      </w:r>
      <w:r w:rsidR="002D29BD">
        <w:rPr>
          <w:szCs w:val="24"/>
        </w:rPr>
        <w:t xml:space="preserve"> ar citām starptautiskajām organizācijām</w:t>
      </w:r>
      <w:r w:rsidR="001A37D1">
        <w:rPr>
          <w:szCs w:val="24"/>
        </w:rPr>
        <w:t>, lai nodrošinātu, ka būtiskās zināšanas, pētījumi un dati ir plaši pieejami attīstības sadarbības praktiķiem un politikas veidotājiem. Liela daļa no šīm aktivitātēm tiek veiktas sadarbībā ar Starptautisko Darba organizāciju</w:t>
      </w:r>
      <w:r w:rsidR="00D44D83">
        <w:rPr>
          <w:szCs w:val="24"/>
        </w:rPr>
        <w:t xml:space="preserve"> (</w:t>
      </w:r>
      <w:r w:rsidR="00D44D83" w:rsidRPr="00482B72">
        <w:rPr>
          <w:i/>
          <w:szCs w:val="24"/>
        </w:rPr>
        <w:t>International Labour Organization</w:t>
      </w:r>
      <w:r w:rsidR="00D44D83">
        <w:rPr>
          <w:szCs w:val="24"/>
        </w:rPr>
        <w:t>)</w:t>
      </w:r>
      <w:r w:rsidR="00B51970">
        <w:rPr>
          <w:szCs w:val="24"/>
        </w:rPr>
        <w:t>,</w:t>
      </w:r>
      <w:r w:rsidR="001A37D1">
        <w:rPr>
          <w:szCs w:val="24"/>
        </w:rPr>
        <w:t xml:space="preserve"> </w:t>
      </w:r>
      <w:r w:rsidR="007322CD">
        <w:rPr>
          <w:rFonts w:cs="Times New Roman"/>
          <w:szCs w:val="24"/>
        </w:rPr>
        <w:t xml:space="preserve">ANO Dzimumu līdztiesības un sieviešu iespēju veicināšanas institūciju </w:t>
      </w:r>
      <w:r w:rsidR="00D44D83">
        <w:rPr>
          <w:szCs w:val="24"/>
        </w:rPr>
        <w:t>(</w:t>
      </w:r>
      <w:r w:rsidR="00D44D83" w:rsidRPr="006B76F3">
        <w:rPr>
          <w:i/>
        </w:rPr>
        <w:t>UNWomen</w:t>
      </w:r>
      <w:r w:rsidR="00D44D83">
        <w:rPr>
          <w:i/>
        </w:rPr>
        <w:t>)</w:t>
      </w:r>
      <w:r w:rsidR="00D44D83">
        <w:rPr>
          <w:szCs w:val="24"/>
        </w:rPr>
        <w:t>,</w:t>
      </w:r>
      <w:r w:rsidR="001A37D1">
        <w:rPr>
          <w:i/>
          <w:szCs w:val="24"/>
        </w:rPr>
        <w:t xml:space="preserve"> </w:t>
      </w:r>
      <w:r w:rsidR="001A37D1">
        <w:rPr>
          <w:szCs w:val="24"/>
        </w:rPr>
        <w:t>ANO Iedzīvotāju fondu</w:t>
      </w:r>
      <w:r w:rsidR="00D44D83">
        <w:rPr>
          <w:szCs w:val="24"/>
        </w:rPr>
        <w:t xml:space="preserve"> (</w:t>
      </w:r>
      <w:r w:rsidR="00D44D83" w:rsidRPr="00482B72">
        <w:rPr>
          <w:i/>
          <w:szCs w:val="24"/>
        </w:rPr>
        <w:t>United Nations Population Fund</w:t>
      </w:r>
      <w:r w:rsidR="00D44D83">
        <w:rPr>
          <w:szCs w:val="24"/>
        </w:rPr>
        <w:t>)</w:t>
      </w:r>
      <w:r w:rsidR="001A37D1">
        <w:rPr>
          <w:szCs w:val="24"/>
        </w:rPr>
        <w:t xml:space="preserve"> </w:t>
      </w:r>
      <w:r w:rsidR="0035721D">
        <w:rPr>
          <w:szCs w:val="24"/>
        </w:rPr>
        <w:t xml:space="preserve">un pētniecības institūtiem. </w:t>
      </w:r>
      <w:r w:rsidR="00E7428C">
        <w:rPr>
          <w:szCs w:val="24"/>
        </w:rPr>
        <w:t>P</w:t>
      </w:r>
      <w:r w:rsidR="00252E65">
        <w:rPr>
          <w:szCs w:val="24"/>
        </w:rPr>
        <w:t xml:space="preserve">ētījumi, ko finansē Dzimumu līdztiesības </w:t>
      </w:r>
      <w:r w:rsidR="00A6772D" w:rsidRPr="00A6772D">
        <w:rPr>
          <w:szCs w:val="24"/>
        </w:rPr>
        <w:t xml:space="preserve">trasta </w:t>
      </w:r>
      <w:r w:rsidR="00252E65">
        <w:rPr>
          <w:szCs w:val="24"/>
        </w:rPr>
        <w:t>fonds, ir sabiedriskais labums</w:t>
      </w:r>
      <w:r w:rsidR="00D44D83">
        <w:rPr>
          <w:szCs w:val="24"/>
        </w:rPr>
        <w:t xml:space="preserve"> (</w:t>
      </w:r>
      <w:r w:rsidR="00D44D83" w:rsidRPr="00482B72">
        <w:rPr>
          <w:i/>
          <w:szCs w:val="24"/>
        </w:rPr>
        <w:t>public goods</w:t>
      </w:r>
      <w:r w:rsidR="00D44D83">
        <w:rPr>
          <w:szCs w:val="24"/>
        </w:rPr>
        <w:t>)</w:t>
      </w:r>
      <w:r w:rsidR="00252E65">
        <w:rPr>
          <w:szCs w:val="24"/>
        </w:rPr>
        <w:t>, ko izmanto valstu valdības, privātais sektors un sabiedrība gan globālā, gan valstu līmenī, un kas ietekmē efektīvāku, uz pierādījumiem balstītu politiku un programmu veidošanu.</w:t>
      </w:r>
      <w:r w:rsidR="00BB6D13">
        <w:rPr>
          <w:szCs w:val="24"/>
        </w:rPr>
        <w:t xml:space="preserve"> </w:t>
      </w:r>
      <w:r w:rsidR="00873277" w:rsidRPr="00BD456A">
        <w:rPr>
          <w:rFonts w:cs="Times New Roman"/>
          <w:szCs w:val="24"/>
        </w:rPr>
        <w:t xml:space="preserve">Dzimumu līdztiesības trasta fonds veicina </w:t>
      </w:r>
      <w:r w:rsidR="00AF4154" w:rsidRPr="00BD456A">
        <w:rPr>
          <w:rFonts w:cs="Times New Roman"/>
          <w:szCs w:val="24"/>
        </w:rPr>
        <w:t xml:space="preserve">arī </w:t>
      </w:r>
      <w:r w:rsidR="00873277" w:rsidRPr="00BD456A">
        <w:rPr>
          <w:rFonts w:cs="Times New Roman"/>
          <w:szCs w:val="24"/>
        </w:rPr>
        <w:t xml:space="preserve">privātā sektora iesaisti </w:t>
      </w:r>
      <w:r w:rsidR="00AF4154" w:rsidRPr="00BD456A">
        <w:rPr>
          <w:rFonts w:cs="Times New Roman"/>
          <w:szCs w:val="24"/>
        </w:rPr>
        <w:t xml:space="preserve">PBG </w:t>
      </w:r>
      <w:r w:rsidR="00873277" w:rsidRPr="00BD456A">
        <w:rPr>
          <w:rFonts w:cs="Times New Roman"/>
          <w:szCs w:val="24"/>
        </w:rPr>
        <w:t xml:space="preserve">finansētos inovatīvos projektos, novēršot šķēršļus sieviešu dalībai ekonomikas procesos. Dalība fonda finansētos projektos ir atvērta uzņēmumiem no visas pasaules, tai skaitā no Latvijas. </w:t>
      </w:r>
      <w:r w:rsidR="00C17D44" w:rsidRPr="00FA64FB">
        <w:rPr>
          <w:szCs w:val="24"/>
        </w:rPr>
        <w:t>Dzimumu līdztiesības trasta fonds atbalsta 80 aktivitātes vairāk nekā 50 valstīs, tostarp tādās ES Austrumu Partnerības un Centrālāzijas valstīs, kuras atzītas par prioritārām Latvijas attīstības sadarbības politikā, attiecīgi Gruzijā un Kirgizstānā. Aktivitātes tiek īstenotas arī citās ES Austrumu partnerības un Balkānu reģiona valstīs.</w:t>
      </w:r>
      <w:r w:rsidR="00475C10" w:rsidRPr="00BD456A">
        <w:rPr>
          <w:rFonts w:cs="Times New Roman"/>
          <w:szCs w:val="24"/>
        </w:rPr>
        <w:t xml:space="preserve"> </w:t>
      </w:r>
      <w:r w:rsidR="00F975E3" w:rsidRPr="00BD456A">
        <w:rPr>
          <w:rFonts w:cs="Times New Roman"/>
          <w:i/>
          <w:color w:val="FF0000"/>
          <w:szCs w:val="24"/>
        </w:rPr>
        <w:t xml:space="preserve"> </w:t>
      </w:r>
    </w:p>
    <w:p w14:paraId="24BA15DE" w14:textId="43F0B148" w:rsidR="00FE327F" w:rsidRDefault="00475C10">
      <w:pPr>
        <w:ind w:firstLine="720"/>
        <w:jc w:val="both"/>
        <w:rPr>
          <w:szCs w:val="24"/>
        </w:rPr>
      </w:pPr>
      <w:r>
        <w:rPr>
          <w:szCs w:val="24"/>
        </w:rPr>
        <w:t xml:space="preserve">Savukārt </w:t>
      </w:r>
      <w:r w:rsidR="004F04CD">
        <w:rPr>
          <w:szCs w:val="24"/>
        </w:rPr>
        <w:t xml:space="preserve">2018.gadā notiks </w:t>
      </w:r>
      <w:r w:rsidR="00B04D5A" w:rsidRPr="007E501C">
        <w:rPr>
          <w:szCs w:val="24"/>
        </w:rPr>
        <w:t>D</w:t>
      </w:r>
      <w:r w:rsidR="00B04D5A">
        <w:rPr>
          <w:szCs w:val="24"/>
        </w:rPr>
        <w:t xml:space="preserve">zimumu līdztiesības trasta fonda </w:t>
      </w:r>
      <w:r w:rsidR="004F04CD">
        <w:rPr>
          <w:szCs w:val="24"/>
        </w:rPr>
        <w:t xml:space="preserve">resursu palielināšana 2018.-2021. gadam un mērķis ir piesaistīt iemaksas USD 95 miljonu apmērā. </w:t>
      </w:r>
      <w:r w:rsidR="00E31D44" w:rsidRPr="0031765B">
        <w:rPr>
          <w:szCs w:val="24"/>
        </w:rPr>
        <w:t xml:space="preserve">Dzimumu līdztiesības </w:t>
      </w:r>
      <w:r w:rsidR="00BB6D13" w:rsidRPr="0031765B">
        <w:rPr>
          <w:szCs w:val="24"/>
        </w:rPr>
        <w:t xml:space="preserve">trasta </w:t>
      </w:r>
      <w:r w:rsidR="00E31D44" w:rsidRPr="0031765B">
        <w:rPr>
          <w:szCs w:val="24"/>
        </w:rPr>
        <w:t>f</w:t>
      </w:r>
      <w:r w:rsidR="006B76F3" w:rsidRPr="0031765B">
        <w:rPr>
          <w:szCs w:val="24"/>
        </w:rPr>
        <w:t>ond</w:t>
      </w:r>
      <w:r w:rsidR="00EA16C7" w:rsidRPr="0031765B">
        <w:rPr>
          <w:szCs w:val="24"/>
        </w:rPr>
        <w:t>s finansē aktivitātes</w:t>
      </w:r>
      <w:r w:rsidR="0031765B" w:rsidRPr="0031765B">
        <w:rPr>
          <w:szCs w:val="24"/>
        </w:rPr>
        <w:t>, kuras tiek atzītas kā globāl</w:t>
      </w:r>
      <w:r w:rsidR="00A6772D">
        <w:rPr>
          <w:szCs w:val="24"/>
        </w:rPr>
        <w:t>as</w:t>
      </w:r>
      <w:r w:rsidR="00EA16C7" w:rsidRPr="0031765B">
        <w:rPr>
          <w:szCs w:val="24"/>
        </w:rPr>
        <w:t xml:space="preserve"> sabiedriskā labuma </w:t>
      </w:r>
      <w:r w:rsidR="0031765B" w:rsidRPr="0031765B">
        <w:rPr>
          <w:szCs w:val="24"/>
        </w:rPr>
        <w:t>intereses (</w:t>
      </w:r>
      <w:r w:rsidR="0031765B" w:rsidRPr="0031765B">
        <w:rPr>
          <w:i/>
          <w:szCs w:val="24"/>
        </w:rPr>
        <w:t>global public goods</w:t>
      </w:r>
      <w:r w:rsidR="0031765B" w:rsidRPr="0031765B">
        <w:rPr>
          <w:szCs w:val="24"/>
        </w:rPr>
        <w:t>)</w:t>
      </w:r>
      <w:r w:rsidR="00EA16C7" w:rsidRPr="0031765B">
        <w:rPr>
          <w:szCs w:val="24"/>
        </w:rPr>
        <w:t xml:space="preserve">, kā arī inovatīvas aktivitātes dzimumu līdztiesības stiprināšanai, tādējādi fonda </w:t>
      </w:r>
      <w:r w:rsidR="006B76F3" w:rsidRPr="0031765B">
        <w:rPr>
          <w:szCs w:val="24"/>
        </w:rPr>
        <w:t xml:space="preserve"> prioritātes 2018</w:t>
      </w:r>
      <w:r w:rsidR="00E31D44" w:rsidRPr="0031765B">
        <w:rPr>
          <w:szCs w:val="24"/>
        </w:rPr>
        <w:t>.</w:t>
      </w:r>
      <w:r w:rsidR="00A6772D">
        <w:rPr>
          <w:szCs w:val="24"/>
        </w:rPr>
        <w:t> </w:t>
      </w:r>
      <w:r w:rsidR="006B76F3" w:rsidRPr="0031765B">
        <w:rPr>
          <w:szCs w:val="24"/>
        </w:rPr>
        <w:t>-2021</w:t>
      </w:r>
      <w:r w:rsidR="00E31D44" w:rsidRPr="0031765B">
        <w:rPr>
          <w:szCs w:val="24"/>
        </w:rPr>
        <w:t>.</w:t>
      </w:r>
      <w:r w:rsidR="00A6772D">
        <w:rPr>
          <w:szCs w:val="24"/>
        </w:rPr>
        <w:t> </w:t>
      </w:r>
      <w:r w:rsidR="006B76F3" w:rsidRPr="0031765B">
        <w:rPr>
          <w:szCs w:val="24"/>
        </w:rPr>
        <w:t>gadam ir</w:t>
      </w:r>
      <w:r w:rsidR="00E31D44" w:rsidRPr="0031765B">
        <w:rPr>
          <w:szCs w:val="24"/>
        </w:rPr>
        <w:t>:</w:t>
      </w:r>
    </w:p>
    <w:p w14:paraId="11E5AF28" w14:textId="0E66DB07" w:rsidR="006B76F3" w:rsidRDefault="006B76F3" w:rsidP="006B76F3">
      <w:pPr>
        <w:pStyle w:val="ListParagraph"/>
        <w:numPr>
          <w:ilvl w:val="0"/>
          <w:numId w:val="2"/>
        </w:numPr>
        <w:jc w:val="both"/>
        <w:rPr>
          <w:szCs w:val="24"/>
        </w:rPr>
      </w:pPr>
      <w:r w:rsidRPr="006B76F3">
        <w:rPr>
          <w:szCs w:val="24"/>
          <w:u w:val="single"/>
        </w:rPr>
        <w:t>Stiprināt zināšanas un paātrināt inovatīvu</w:t>
      </w:r>
      <w:r w:rsidR="00E31D44">
        <w:rPr>
          <w:szCs w:val="24"/>
          <w:u w:val="single"/>
        </w:rPr>
        <w:t>s</w:t>
      </w:r>
      <w:r w:rsidRPr="006B76F3">
        <w:rPr>
          <w:szCs w:val="24"/>
          <w:u w:val="single"/>
        </w:rPr>
        <w:t xml:space="preserve"> un daudznozaru risinājumus</w:t>
      </w:r>
      <w:r>
        <w:rPr>
          <w:szCs w:val="24"/>
        </w:rPr>
        <w:t xml:space="preserve"> (</w:t>
      </w:r>
      <w:r w:rsidR="00E31D44">
        <w:rPr>
          <w:szCs w:val="24"/>
        </w:rPr>
        <w:t xml:space="preserve">plānotais finansējums </w:t>
      </w:r>
      <w:r>
        <w:rPr>
          <w:szCs w:val="24"/>
        </w:rPr>
        <w:t>USD 19 milj</w:t>
      </w:r>
      <w:r w:rsidR="00F23295">
        <w:rPr>
          <w:szCs w:val="24"/>
        </w:rPr>
        <w:t>oni</w:t>
      </w:r>
      <w:r>
        <w:rPr>
          <w:szCs w:val="24"/>
        </w:rPr>
        <w:t xml:space="preserve">). Fonda finansējums tiek novirzīts </w:t>
      </w:r>
      <w:r w:rsidR="00F23295">
        <w:rPr>
          <w:szCs w:val="24"/>
        </w:rPr>
        <w:t xml:space="preserve">PBG </w:t>
      </w:r>
      <w:r>
        <w:rPr>
          <w:szCs w:val="24"/>
        </w:rPr>
        <w:t>darba komandām reģionos un valstīs, kas izstrādā diagnostiku, veic pētījumus un testē metodes, lai palīdzētu valdībām izprast galvenos trūkumus dzimumu</w:t>
      </w:r>
      <w:r w:rsidR="0043342E">
        <w:rPr>
          <w:szCs w:val="24"/>
        </w:rPr>
        <w:t xml:space="preserve"> līdztiesības</w:t>
      </w:r>
      <w:r>
        <w:rPr>
          <w:szCs w:val="24"/>
        </w:rPr>
        <w:t xml:space="preserve"> jomā </w:t>
      </w:r>
      <w:r w:rsidR="006D0CBC">
        <w:rPr>
          <w:szCs w:val="24"/>
        </w:rPr>
        <w:t>un virzīt</w:t>
      </w:r>
      <w:r w:rsidR="00A6772D">
        <w:rPr>
          <w:szCs w:val="24"/>
        </w:rPr>
        <w:t>u</w:t>
      </w:r>
      <w:r w:rsidR="006D0CBC">
        <w:rPr>
          <w:szCs w:val="24"/>
        </w:rPr>
        <w:t xml:space="preserve"> tās uz efektīvākas politikas veidošanu to novēršanai.</w:t>
      </w:r>
      <w:r w:rsidR="00630E3A">
        <w:rPr>
          <w:szCs w:val="24"/>
        </w:rPr>
        <w:t xml:space="preserve"> </w:t>
      </w:r>
      <w:r w:rsidR="0032103A">
        <w:rPr>
          <w:szCs w:val="24"/>
        </w:rPr>
        <w:t xml:space="preserve">2012.-2017.gadā vairāk kā USD 22 </w:t>
      </w:r>
      <w:r w:rsidR="00F23295">
        <w:rPr>
          <w:szCs w:val="24"/>
        </w:rPr>
        <w:t>miljoni</w:t>
      </w:r>
      <w:r w:rsidR="0032103A">
        <w:rPr>
          <w:szCs w:val="24"/>
        </w:rPr>
        <w:t xml:space="preserve"> tika novirzīti uz </w:t>
      </w:r>
      <w:r w:rsidR="00F23295">
        <w:rPr>
          <w:szCs w:val="24"/>
        </w:rPr>
        <w:t xml:space="preserve">PBG </w:t>
      </w:r>
      <w:r w:rsidR="0032103A">
        <w:rPr>
          <w:szCs w:val="24"/>
        </w:rPr>
        <w:t xml:space="preserve">reģioniem un USD 1,5 </w:t>
      </w:r>
      <w:r w:rsidR="00F23295">
        <w:rPr>
          <w:szCs w:val="24"/>
        </w:rPr>
        <w:t>miljoni</w:t>
      </w:r>
      <w:r w:rsidR="0032103A">
        <w:rPr>
          <w:szCs w:val="24"/>
        </w:rPr>
        <w:t xml:space="preserve"> globālām iniciatīvām, kas ar inovatīvām un daudznozaru metodēm novērš šķēršļus sieviešu iespējām ekonomikā. Piemēram, tiek attīstīti instrumenti integrētai ilgtermiņa aprūpes nodrošināšanai un </w:t>
      </w:r>
      <w:r w:rsidR="000A30CD">
        <w:rPr>
          <w:szCs w:val="24"/>
        </w:rPr>
        <w:t>pilnveidotas</w:t>
      </w:r>
      <w:r w:rsidR="0032103A">
        <w:rPr>
          <w:szCs w:val="24"/>
        </w:rPr>
        <w:t xml:space="preserve"> zināšanas </w:t>
      </w:r>
      <w:r w:rsidR="000A30CD">
        <w:rPr>
          <w:szCs w:val="24"/>
        </w:rPr>
        <w:t xml:space="preserve">sievietēm </w:t>
      </w:r>
      <w:r w:rsidR="00E31D44">
        <w:rPr>
          <w:szCs w:val="24"/>
        </w:rPr>
        <w:t xml:space="preserve">virs 45 gadiem </w:t>
      </w:r>
      <w:r w:rsidR="0032103A">
        <w:rPr>
          <w:szCs w:val="24"/>
        </w:rPr>
        <w:t>par daudznozaru un ekonomikas iespējām.</w:t>
      </w:r>
      <w:r w:rsidR="000A30CD">
        <w:rPr>
          <w:szCs w:val="24"/>
        </w:rPr>
        <w:t xml:space="preserve"> 2017.-2021.gadā fonds turpinās atbalstīt reģionālās un valstu iniciat</w:t>
      </w:r>
      <w:r w:rsidR="00E31D44">
        <w:rPr>
          <w:szCs w:val="24"/>
        </w:rPr>
        <w:t xml:space="preserve">īvas, ar papildu USD 14 </w:t>
      </w:r>
      <w:r w:rsidR="00F23295">
        <w:rPr>
          <w:szCs w:val="24"/>
        </w:rPr>
        <w:t>miljoniem</w:t>
      </w:r>
      <w:r w:rsidR="00E31D44">
        <w:rPr>
          <w:szCs w:val="24"/>
        </w:rPr>
        <w:t xml:space="preserve"> f</w:t>
      </w:r>
      <w:r w:rsidR="000A30CD">
        <w:rPr>
          <w:szCs w:val="24"/>
        </w:rPr>
        <w:t>onda finansējum</w:t>
      </w:r>
      <w:r w:rsidR="00F23295">
        <w:rPr>
          <w:szCs w:val="24"/>
        </w:rPr>
        <w:t>a</w:t>
      </w:r>
      <w:r w:rsidR="000A30CD">
        <w:rPr>
          <w:szCs w:val="24"/>
        </w:rPr>
        <w:t xml:space="preserve"> plānots palīdzēt reģioniem nodrošināt resursus, lai paātrinātu analītisko darbu un attīstītu pētījumos balstītu risinājumu izstrādi šķēršļu novēršanai dzimumu</w:t>
      </w:r>
      <w:r w:rsidR="0043342E">
        <w:rPr>
          <w:szCs w:val="24"/>
        </w:rPr>
        <w:t xml:space="preserve"> līdztiesības</w:t>
      </w:r>
      <w:r w:rsidR="000A30CD">
        <w:rPr>
          <w:szCs w:val="24"/>
        </w:rPr>
        <w:t xml:space="preserve"> jomā. Papildu USD 5 milj</w:t>
      </w:r>
      <w:r w:rsidR="00F23295">
        <w:rPr>
          <w:szCs w:val="24"/>
        </w:rPr>
        <w:t>oni</w:t>
      </w:r>
      <w:r w:rsidR="000A30CD">
        <w:rPr>
          <w:szCs w:val="24"/>
        </w:rPr>
        <w:t xml:space="preserve"> paredzēti digitālās plaisas mazināšanā dzimumu jomā.</w:t>
      </w:r>
    </w:p>
    <w:p w14:paraId="337D4C47" w14:textId="1E649453" w:rsidR="00420307" w:rsidRDefault="00420307" w:rsidP="00F93B1A">
      <w:pPr>
        <w:pStyle w:val="ListParagraph"/>
        <w:numPr>
          <w:ilvl w:val="0"/>
          <w:numId w:val="2"/>
        </w:numPr>
        <w:jc w:val="both"/>
        <w:rPr>
          <w:szCs w:val="24"/>
        </w:rPr>
      </w:pPr>
      <w:r>
        <w:rPr>
          <w:szCs w:val="24"/>
          <w:u w:val="single"/>
        </w:rPr>
        <w:t xml:space="preserve">Reģionālo inovāciju laboratoriju dzimumu </w:t>
      </w:r>
      <w:r w:rsidR="00D46F82">
        <w:rPr>
          <w:szCs w:val="24"/>
          <w:u w:val="single"/>
        </w:rPr>
        <w:t xml:space="preserve">līdztiesības </w:t>
      </w:r>
      <w:r>
        <w:rPr>
          <w:szCs w:val="24"/>
          <w:u w:val="single"/>
        </w:rPr>
        <w:t>jomā paplašināšana</w:t>
      </w:r>
      <w:r w:rsidR="00D46F82">
        <w:rPr>
          <w:szCs w:val="24"/>
          <w:u w:val="single"/>
        </w:rPr>
        <w:t xml:space="preserve"> </w:t>
      </w:r>
      <w:r w:rsidR="00D46F82" w:rsidRPr="004779E3">
        <w:rPr>
          <w:szCs w:val="24"/>
        </w:rPr>
        <w:t>(USD 49 milj</w:t>
      </w:r>
      <w:r w:rsidR="00921D98">
        <w:rPr>
          <w:szCs w:val="24"/>
        </w:rPr>
        <w:t>oni</w:t>
      </w:r>
      <w:r w:rsidR="00D46F82" w:rsidRPr="004779E3">
        <w:rPr>
          <w:szCs w:val="24"/>
        </w:rPr>
        <w:t>)</w:t>
      </w:r>
      <w:r w:rsidR="00F93B1A" w:rsidRPr="004779E3">
        <w:rPr>
          <w:szCs w:val="24"/>
        </w:rPr>
        <w:t xml:space="preserve"> </w:t>
      </w:r>
      <w:r w:rsidR="00921D98">
        <w:rPr>
          <w:szCs w:val="24"/>
        </w:rPr>
        <w:t>Tiek veidotas</w:t>
      </w:r>
      <w:r w:rsidR="00921D98" w:rsidDel="00921D98">
        <w:rPr>
          <w:szCs w:val="24"/>
        </w:rPr>
        <w:t xml:space="preserve"> </w:t>
      </w:r>
      <w:r w:rsidR="00921D98">
        <w:rPr>
          <w:szCs w:val="24"/>
        </w:rPr>
        <w:t xml:space="preserve">PBG </w:t>
      </w:r>
      <w:r w:rsidR="00F93B1A" w:rsidRPr="00F93B1A">
        <w:rPr>
          <w:szCs w:val="24"/>
        </w:rPr>
        <w:t>Reģionālās inovāciju laboratorijas dzimumu līdztiesības jomā</w:t>
      </w:r>
      <w:r w:rsidR="00F93B1A">
        <w:rPr>
          <w:szCs w:val="24"/>
        </w:rPr>
        <w:t xml:space="preserve"> (</w:t>
      </w:r>
      <w:r w:rsidR="00F93B1A" w:rsidRPr="00F93B1A">
        <w:rPr>
          <w:i/>
          <w:szCs w:val="24"/>
        </w:rPr>
        <w:t>Gender Innovation Labs</w:t>
      </w:r>
      <w:r w:rsidR="00F93B1A">
        <w:rPr>
          <w:szCs w:val="24"/>
        </w:rPr>
        <w:t xml:space="preserve">), lai stiprinātu uz pierādījumiem balstītu dzimumu līdztiesības veicināšanas pasākumu īstenošanu. Pašlaik ir izveidotas Āfrikas, </w:t>
      </w:r>
      <w:r w:rsidR="00A57C67">
        <w:rPr>
          <w:szCs w:val="24"/>
        </w:rPr>
        <w:t>Austrum</w:t>
      </w:r>
      <w:r w:rsidR="00A6772D">
        <w:rPr>
          <w:szCs w:val="24"/>
        </w:rPr>
        <w:t>ā</w:t>
      </w:r>
      <w:r w:rsidR="00A57C67">
        <w:rPr>
          <w:szCs w:val="24"/>
        </w:rPr>
        <w:t>zijas</w:t>
      </w:r>
      <w:r w:rsidR="00F93B1A">
        <w:rPr>
          <w:szCs w:val="24"/>
        </w:rPr>
        <w:t xml:space="preserve">, Klusā okeāna reģiona un Latīņamerikas un Karību jūras </w:t>
      </w:r>
      <w:r w:rsidR="00F93B1A" w:rsidRPr="00F93B1A">
        <w:rPr>
          <w:szCs w:val="24"/>
        </w:rPr>
        <w:t>Reģionālās inovāciju laboratorijas</w:t>
      </w:r>
      <w:r w:rsidR="00F93B1A">
        <w:rPr>
          <w:szCs w:val="24"/>
        </w:rPr>
        <w:t xml:space="preserve"> ar 75 ietekmes novērtējumiem par prasmēm, zemes īpašumtiesībām, pieeju infrastruktūrai, piekļuvi </w:t>
      </w:r>
      <w:r w:rsidR="00F93B1A">
        <w:rPr>
          <w:szCs w:val="24"/>
        </w:rPr>
        <w:lastRenderedPageBreak/>
        <w:t xml:space="preserve">darba tirgum, uzņēmējdarbībai, </w:t>
      </w:r>
      <w:r w:rsidR="00912B71">
        <w:rPr>
          <w:szCs w:val="24"/>
        </w:rPr>
        <w:t xml:space="preserve">par </w:t>
      </w:r>
      <w:r w:rsidR="00F93B1A">
        <w:rPr>
          <w:szCs w:val="24"/>
        </w:rPr>
        <w:t>j</w:t>
      </w:r>
      <w:r w:rsidR="00912B71">
        <w:rPr>
          <w:szCs w:val="24"/>
        </w:rPr>
        <w:t>auniešu nodarbinātību</w:t>
      </w:r>
      <w:r w:rsidR="00F93B1A">
        <w:rPr>
          <w:szCs w:val="24"/>
        </w:rPr>
        <w:t xml:space="preserve">, pašnoteikšanās tiesībām, un vardarbību, kas balstīta uz dzimumu. </w:t>
      </w:r>
      <w:r w:rsidR="00C429ED">
        <w:rPr>
          <w:szCs w:val="24"/>
        </w:rPr>
        <w:t>Piemēram, ietekmes novērtējums par ne-kognitīvo prasmju</w:t>
      </w:r>
      <w:r w:rsidR="00E3561D">
        <w:rPr>
          <w:rStyle w:val="FootnoteReference"/>
          <w:szCs w:val="24"/>
        </w:rPr>
        <w:footnoteReference w:id="23"/>
      </w:r>
      <w:r w:rsidR="00C429ED">
        <w:rPr>
          <w:szCs w:val="24"/>
        </w:rPr>
        <w:t xml:space="preserve"> attīstību Togo demonstrēja 40% peļņas pieaugumu uzņēmumos, kuri pieder sievietēm.</w:t>
      </w:r>
      <w:r w:rsidR="00FE6CED">
        <w:rPr>
          <w:szCs w:val="24"/>
        </w:rPr>
        <w:t xml:space="preserve"> Plānots piesaistīt papildu finansējumu USD 49 milj</w:t>
      </w:r>
      <w:r w:rsidR="00921D98">
        <w:rPr>
          <w:szCs w:val="24"/>
        </w:rPr>
        <w:t>onu</w:t>
      </w:r>
      <w:r w:rsidR="00FE6CED">
        <w:rPr>
          <w:szCs w:val="24"/>
        </w:rPr>
        <w:t xml:space="preserve"> apmērā, lai paplašinātu reģionālo laboratoriju darbību arī Austrumeiropas un Centrālāzijas un Tuvo Austrumu un Ziemeļāfrikas reģionā, lai nodrošinātu stabilu un paredzamu finansējuma bāzi esošajām laboratorijām. </w:t>
      </w:r>
    </w:p>
    <w:p w14:paraId="68E402DA" w14:textId="77777777" w:rsidR="00E31D44" w:rsidRDefault="00E31D44" w:rsidP="00F93B1A">
      <w:pPr>
        <w:pStyle w:val="ListParagraph"/>
        <w:numPr>
          <w:ilvl w:val="0"/>
          <w:numId w:val="2"/>
        </w:numPr>
        <w:jc w:val="both"/>
        <w:rPr>
          <w:szCs w:val="24"/>
        </w:rPr>
      </w:pPr>
      <w:r>
        <w:rPr>
          <w:szCs w:val="24"/>
          <w:u w:val="single"/>
        </w:rPr>
        <w:t>Privātā sektora iesaiste dzimumu līdztiesības novēršanā darbaspēka un īpašuma jomā (USD 12 milj</w:t>
      </w:r>
      <w:r w:rsidR="00921D98">
        <w:rPr>
          <w:szCs w:val="24"/>
          <w:u w:val="single"/>
        </w:rPr>
        <w:t>oni</w:t>
      </w:r>
      <w:r>
        <w:rPr>
          <w:szCs w:val="24"/>
          <w:u w:val="single"/>
        </w:rPr>
        <w:t>).</w:t>
      </w:r>
      <w:r w:rsidRPr="00E31D44">
        <w:rPr>
          <w:szCs w:val="24"/>
        </w:rPr>
        <w:t xml:space="preserve"> </w:t>
      </w:r>
      <w:r>
        <w:rPr>
          <w:szCs w:val="24"/>
        </w:rPr>
        <w:t xml:space="preserve">Nozīmīga loma dzimumu līdztiesības veicināšanā ir </w:t>
      </w:r>
      <w:r w:rsidR="00921D98">
        <w:rPr>
          <w:szCs w:val="24"/>
        </w:rPr>
        <w:t xml:space="preserve">PBG </w:t>
      </w:r>
      <w:r>
        <w:rPr>
          <w:szCs w:val="24"/>
        </w:rPr>
        <w:t>Starptautiskajai Finanšu korporācijai</w:t>
      </w:r>
      <w:r w:rsidR="00D66CCD">
        <w:rPr>
          <w:szCs w:val="24"/>
        </w:rPr>
        <w:t xml:space="preserve"> (IFC)</w:t>
      </w:r>
      <w:r>
        <w:rPr>
          <w:szCs w:val="24"/>
        </w:rPr>
        <w:t>,</w:t>
      </w:r>
      <w:r w:rsidR="00D66CCD">
        <w:rPr>
          <w:szCs w:val="24"/>
        </w:rPr>
        <w:t xml:space="preserve"> </w:t>
      </w:r>
      <w:r>
        <w:rPr>
          <w:szCs w:val="24"/>
        </w:rPr>
        <w:t>kas ir lielākā globālā attīstības finanšu institūci</w:t>
      </w:r>
      <w:r w:rsidR="007D70CE">
        <w:rPr>
          <w:szCs w:val="24"/>
        </w:rPr>
        <w:t xml:space="preserve">ja ar fokusu uz privāto sektoru. 2015.gadā </w:t>
      </w:r>
      <w:r w:rsidR="00921D98">
        <w:rPr>
          <w:szCs w:val="24"/>
        </w:rPr>
        <w:t xml:space="preserve">PBG </w:t>
      </w:r>
      <w:r w:rsidR="007D70CE">
        <w:rPr>
          <w:szCs w:val="24"/>
        </w:rPr>
        <w:t xml:space="preserve">izveidoja Dzimumu līdztiesības </w:t>
      </w:r>
      <w:r w:rsidR="00EE11C6">
        <w:rPr>
          <w:szCs w:val="24"/>
        </w:rPr>
        <w:t xml:space="preserve">trasta </w:t>
      </w:r>
      <w:r w:rsidR="007D70CE">
        <w:rPr>
          <w:szCs w:val="24"/>
        </w:rPr>
        <w:t xml:space="preserve">fonda Privātā sektora ietvaru, finansējot projektus, kas uzlabo sieviešu </w:t>
      </w:r>
      <w:r w:rsidR="00D66CCD">
        <w:rPr>
          <w:szCs w:val="24"/>
        </w:rPr>
        <w:t>iespējas iegūt</w:t>
      </w:r>
      <w:r w:rsidR="007D70CE">
        <w:rPr>
          <w:szCs w:val="24"/>
        </w:rPr>
        <w:t xml:space="preserve"> īpašu</w:t>
      </w:r>
      <w:r w:rsidR="00D66CCD">
        <w:rPr>
          <w:szCs w:val="24"/>
        </w:rPr>
        <w:t>mtiesības</w:t>
      </w:r>
      <w:r w:rsidR="007D70CE">
        <w:rPr>
          <w:szCs w:val="24"/>
        </w:rPr>
        <w:t xml:space="preserve"> un kvalitatīv</w:t>
      </w:r>
      <w:r w:rsidR="00D66CCD">
        <w:rPr>
          <w:szCs w:val="24"/>
        </w:rPr>
        <w:t>u darbu</w:t>
      </w:r>
      <w:r w:rsidR="007D70CE">
        <w:rPr>
          <w:szCs w:val="24"/>
        </w:rPr>
        <w:t>. Ietvars atbalsta tādas aktivitātes, kas attīsta inovatīvus risinājumus, tādējādi palīdzot uzņēmumiem labāk analizēt darbaspēka vērtību no dzimumu līdztiesības perspektīvas un līdz ar to palīdzot integrēt sievietes šo uzņēmumu darbībā.</w:t>
      </w:r>
      <w:r w:rsidR="007A50EF">
        <w:rPr>
          <w:szCs w:val="24"/>
        </w:rPr>
        <w:t xml:space="preserve"> 53% no Privātā sektora ietvara finansējuma </w:t>
      </w:r>
      <w:r w:rsidR="00D66CCD">
        <w:rPr>
          <w:szCs w:val="24"/>
        </w:rPr>
        <w:t>tiek</w:t>
      </w:r>
      <w:r w:rsidR="007A50EF">
        <w:rPr>
          <w:szCs w:val="24"/>
        </w:rPr>
        <w:t xml:space="preserve"> izlietots projektiem, kuru mērķis ir radīt darba iespējas sievietēm netradicionālos se</w:t>
      </w:r>
      <w:r w:rsidR="00D66CCD">
        <w:rPr>
          <w:szCs w:val="24"/>
        </w:rPr>
        <w:t>ktoros, piemēram infrastruktūrā, savukārt</w:t>
      </w:r>
      <w:r w:rsidR="007A50EF">
        <w:rPr>
          <w:szCs w:val="24"/>
        </w:rPr>
        <w:t xml:space="preserve"> 46% no finansējuma </w:t>
      </w:r>
      <w:r w:rsidR="00D66CCD">
        <w:rPr>
          <w:szCs w:val="24"/>
        </w:rPr>
        <w:t>tiek</w:t>
      </w:r>
      <w:r w:rsidR="007A50EF">
        <w:rPr>
          <w:szCs w:val="24"/>
        </w:rPr>
        <w:t xml:space="preserve"> izlietoti projektiem, kas palīdzēs novērst trūkumus īpašumtiesību kontrolē starp sievietēm un vīriešiem. </w:t>
      </w:r>
    </w:p>
    <w:p w14:paraId="0E4E54D8" w14:textId="77777777" w:rsidR="007A50EF" w:rsidRPr="006B76F3" w:rsidRDefault="002609A2" w:rsidP="00F93B1A">
      <w:pPr>
        <w:pStyle w:val="ListParagraph"/>
        <w:numPr>
          <w:ilvl w:val="0"/>
          <w:numId w:val="2"/>
        </w:numPr>
        <w:jc w:val="both"/>
        <w:rPr>
          <w:szCs w:val="24"/>
        </w:rPr>
      </w:pPr>
      <w:r>
        <w:rPr>
          <w:szCs w:val="24"/>
          <w:u w:val="single"/>
        </w:rPr>
        <w:t>Dzimumu datu kvantitātes un kvalitātes uzlabošana, lai konstatētu galvenos dzimumu līdztiesības trūkumus (USD 15 milj</w:t>
      </w:r>
      <w:r w:rsidR="00921D98">
        <w:rPr>
          <w:szCs w:val="24"/>
          <w:u w:val="single"/>
        </w:rPr>
        <w:t>oni</w:t>
      </w:r>
      <w:r>
        <w:rPr>
          <w:szCs w:val="24"/>
          <w:u w:val="single"/>
        </w:rPr>
        <w:t xml:space="preserve">). </w:t>
      </w:r>
      <w:r w:rsidRPr="002609A2">
        <w:rPr>
          <w:szCs w:val="24"/>
        </w:rPr>
        <w:t>L</w:t>
      </w:r>
      <w:r>
        <w:rPr>
          <w:szCs w:val="24"/>
        </w:rPr>
        <w:t>ielākā daļa datu par kopējo nabadzības līmeni analizē mājsaimniecības nevis indivi</w:t>
      </w:r>
      <w:r w:rsidR="00D66CCD">
        <w:rPr>
          <w:szCs w:val="24"/>
        </w:rPr>
        <w:t>duālas personas</w:t>
      </w:r>
      <w:r>
        <w:rPr>
          <w:szCs w:val="24"/>
        </w:rPr>
        <w:t xml:space="preserve">, tādējādi ir </w:t>
      </w:r>
      <w:r w:rsidR="00D66CCD">
        <w:rPr>
          <w:szCs w:val="24"/>
        </w:rPr>
        <w:t>pieejama ierobežota informācija</w:t>
      </w:r>
      <w:r>
        <w:rPr>
          <w:szCs w:val="24"/>
        </w:rPr>
        <w:t xml:space="preserve"> par to</w:t>
      </w:r>
      <w:r w:rsidR="00D66CCD">
        <w:rPr>
          <w:szCs w:val="24"/>
        </w:rPr>
        <w:t>,</w:t>
      </w:r>
      <w:r>
        <w:rPr>
          <w:szCs w:val="24"/>
        </w:rPr>
        <w:t xml:space="preserve"> kā nabadzības rādītāji variē atkarībā no </w:t>
      </w:r>
      <w:r w:rsidR="00D66CCD">
        <w:rPr>
          <w:szCs w:val="24"/>
        </w:rPr>
        <w:t xml:space="preserve">personas </w:t>
      </w:r>
      <w:r>
        <w:rPr>
          <w:szCs w:val="24"/>
        </w:rPr>
        <w:t>dzimuma un vecu</w:t>
      </w:r>
      <w:r w:rsidR="008E67F8">
        <w:rPr>
          <w:szCs w:val="24"/>
        </w:rPr>
        <w:t xml:space="preserve">ma. </w:t>
      </w:r>
      <w:r w:rsidR="00921D98">
        <w:rPr>
          <w:szCs w:val="24"/>
        </w:rPr>
        <w:t xml:space="preserve">PBG </w:t>
      </w:r>
      <w:r>
        <w:rPr>
          <w:szCs w:val="24"/>
        </w:rPr>
        <w:t>ir izstrādājusi plānu paplašinātai datu apkopošanai mājsaimniecības iekšienē par īpašumtiesību, nodarbinātības, uzņēmējdarbības un ienākumu kontroli</w:t>
      </w:r>
      <w:r w:rsidRPr="002609A2">
        <w:rPr>
          <w:szCs w:val="24"/>
        </w:rPr>
        <w:t xml:space="preserve"> </w:t>
      </w:r>
      <w:r>
        <w:rPr>
          <w:szCs w:val="24"/>
        </w:rPr>
        <w:t>individuālā līmenī.</w:t>
      </w:r>
      <w:r w:rsidR="00C6428F">
        <w:rPr>
          <w:szCs w:val="24"/>
        </w:rPr>
        <w:t xml:space="preserve"> Otra darba plūsma ietver </w:t>
      </w:r>
      <w:r w:rsidR="00D66CCD">
        <w:rPr>
          <w:szCs w:val="24"/>
        </w:rPr>
        <w:t>metožu izstrādi</w:t>
      </w:r>
      <w:r w:rsidR="00C6428F">
        <w:rPr>
          <w:szCs w:val="24"/>
        </w:rPr>
        <w:t xml:space="preserve">, lai izvērtētu </w:t>
      </w:r>
      <w:r w:rsidR="00921D98">
        <w:rPr>
          <w:szCs w:val="24"/>
        </w:rPr>
        <w:t xml:space="preserve">PBG </w:t>
      </w:r>
      <w:r w:rsidR="00C6428F">
        <w:rPr>
          <w:szCs w:val="24"/>
        </w:rPr>
        <w:t>finansēto projektu ietekmi un izstrādāt</w:t>
      </w:r>
      <w:r w:rsidR="00D66CCD">
        <w:rPr>
          <w:szCs w:val="24"/>
        </w:rPr>
        <w:t>u</w:t>
      </w:r>
      <w:r w:rsidR="00C6428F">
        <w:rPr>
          <w:szCs w:val="24"/>
        </w:rPr>
        <w:t xml:space="preserve"> vadlīnijas projektu komandām, kā droši un ētiski veikt uz dzimumu balstītas vardarbības izvērtējumu.</w:t>
      </w:r>
    </w:p>
    <w:p w14:paraId="6E19884E" w14:textId="77777777" w:rsidR="00B1551F" w:rsidRPr="00FB456A" w:rsidRDefault="003250CF" w:rsidP="00FB456A">
      <w:pPr>
        <w:jc w:val="center"/>
        <w:rPr>
          <w:rFonts w:cs="Times New Roman"/>
          <w:szCs w:val="24"/>
        </w:rPr>
      </w:pPr>
      <w:r>
        <w:rPr>
          <w:szCs w:val="24"/>
        </w:rPr>
        <w:t xml:space="preserve"> </w:t>
      </w:r>
    </w:p>
    <w:p w14:paraId="648F0E1F" w14:textId="77777777" w:rsidR="003F1587" w:rsidRPr="00FB456A" w:rsidRDefault="003F1587" w:rsidP="00FB456A">
      <w:pPr>
        <w:jc w:val="both"/>
        <w:rPr>
          <w:rFonts w:cs="Times New Roman"/>
          <w:szCs w:val="24"/>
        </w:rPr>
      </w:pPr>
    </w:p>
    <w:p w14:paraId="5F1DA9C8" w14:textId="77777777" w:rsidR="00EE11C6" w:rsidRDefault="00EE11C6" w:rsidP="00EE11C6">
      <w:pPr>
        <w:ind w:firstLine="720"/>
        <w:jc w:val="both"/>
        <w:rPr>
          <w:b/>
          <w:szCs w:val="24"/>
        </w:rPr>
      </w:pPr>
      <w:r w:rsidRPr="0048212D">
        <w:rPr>
          <w:rFonts w:cs="Times New Roman"/>
          <w:b/>
          <w:szCs w:val="24"/>
        </w:rPr>
        <w:t xml:space="preserve">Latvijas dalība </w:t>
      </w:r>
      <w:r w:rsidR="00922C2D">
        <w:rPr>
          <w:rFonts w:cs="Times New Roman"/>
          <w:b/>
          <w:szCs w:val="24"/>
        </w:rPr>
        <w:t xml:space="preserve">PBG </w:t>
      </w:r>
      <w:r w:rsidRPr="0048212D">
        <w:rPr>
          <w:b/>
          <w:szCs w:val="24"/>
        </w:rPr>
        <w:t>Dzimumu līdztiesības trasta fondā</w:t>
      </w:r>
    </w:p>
    <w:p w14:paraId="1007346D" w14:textId="77777777" w:rsidR="003A5D40" w:rsidRPr="0048212D" w:rsidRDefault="003A5D40" w:rsidP="00EE11C6">
      <w:pPr>
        <w:ind w:firstLine="720"/>
        <w:jc w:val="both"/>
        <w:rPr>
          <w:b/>
          <w:szCs w:val="24"/>
        </w:rPr>
      </w:pPr>
    </w:p>
    <w:p w14:paraId="7F72FA1B" w14:textId="139AFD23" w:rsidR="00BA0A9E" w:rsidRPr="00482B72" w:rsidRDefault="00DA06AD" w:rsidP="00482B72">
      <w:pPr>
        <w:ind w:firstLine="720"/>
        <w:jc w:val="both"/>
        <w:rPr>
          <w:rFonts w:cs="Times New Roman"/>
          <w:color w:val="FF0000"/>
          <w:szCs w:val="24"/>
        </w:rPr>
      </w:pPr>
      <w:r w:rsidRPr="00FB456A">
        <w:rPr>
          <w:rFonts w:cs="Times New Roman"/>
          <w:szCs w:val="24"/>
        </w:rPr>
        <w:t xml:space="preserve">Saskaņā ar </w:t>
      </w:r>
      <w:r w:rsidR="00BB6D13">
        <w:rPr>
          <w:rFonts w:cs="Times New Roman"/>
          <w:szCs w:val="24"/>
        </w:rPr>
        <w:t xml:space="preserve">Latvijas </w:t>
      </w:r>
      <w:r w:rsidRPr="00FB456A">
        <w:rPr>
          <w:rFonts w:cs="Times New Roman"/>
          <w:szCs w:val="24"/>
        </w:rPr>
        <w:t>Attīstības sadarbības politikas pamatnostādnēm 2016.–2020. gadam</w:t>
      </w:r>
      <w:r w:rsidR="00BB6D13">
        <w:rPr>
          <w:rFonts w:cs="Times New Roman"/>
          <w:szCs w:val="24"/>
        </w:rPr>
        <w:t xml:space="preserve"> (turpmāk – Pamatnostādnes)</w:t>
      </w:r>
      <w:r w:rsidRPr="00FB456A">
        <w:rPr>
          <w:rFonts w:cs="Times New Roman"/>
          <w:szCs w:val="24"/>
        </w:rPr>
        <w:t xml:space="preserve"> Latvijas attīstības sadarbības prioritārās </w:t>
      </w:r>
      <w:r w:rsidRPr="0031765B">
        <w:rPr>
          <w:rFonts w:cs="Times New Roman"/>
          <w:szCs w:val="24"/>
        </w:rPr>
        <w:t>jomas ietver dzimumu līdztiesības un sieviešu iespēju veicināšanu</w:t>
      </w:r>
      <w:r w:rsidR="00D5168F" w:rsidRPr="0031765B">
        <w:rPr>
          <w:rFonts w:cs="Times New Roman"/>
          <w:szCs w:val="24"/>
        </w:rPr>
        <w:t>,</w:t>
      </w:r>
      <w:r w:rsidR="000F05A4" w:rsidRPr="0031765B">
        <w:rPr>
          <w:rStyle w:val="FootnoteReference"/>
          <w:rFonts w:cs="Times New Roman"/>
          <w:szCs w:val="24"/>
        </w:rPr>
        <w:footnoteReference w:id="24"/>
      </w:r>
      <w:r w:rsidR="00832C9D" w:rsidRPr="0031765B">
        <w:rPr>
          <w:rFonts w:cs="Times New Roman"/>
          <w:szCs w:val="24"/>
        </w:rPr>
        <w:t xml:space="preserve"> </w:t>
      </w:r>
      <w:r w:rsidR="00D5168F" w:rsidRPr="0031765B">
        <w:rPr>
          <w:rFonts w:cs="Times New Roman"/>
          <w:szCs w:val="24"/>
        </w:rPr>
        <w:t>tādējādi Latvijas dalība</w:t>
      </w:r>
      <w:r w:rsidR="00667C78" w:rsidRPr="00667C78">
        <w:t xml:space="preserve"> </w:t>
      </w:r>
      <w:r w:rsidR="00667C78" w:rsidRPr="00667C78">
        <w:rPr>
          <w:rFonts w:cs="Times New Roman"/>
          <w:szCs w:val="24"/>
        </w:rPr>
        <w:t>Dzimumu līdztiesības trasta</w:t>
      </w:r>
      <w:r w:rsidR="00D5168F" w:rsidRPr="0031765B">
        <w:rPr>
          <w:rFonts w:cs="Times New Roman"/>
          <w:szCs w:val="24"/>
        </w:rPr>
        <w:t xml:space="preserve"> fondā nodrošinā</w:t>
      </w:r>
      <w:r w:rsidR="005F4FC8" w:rsidRPr="0031765B">
        <w:rPr>
          <w:rFonts w:cs="Times New Roman"/>
          <w:szCs w:val="24"/>
        </w:rPr>
        <w:t>s</w:t>
      </w:r>
      <w:r w:rsidR="00D5168F" w:rsidRPr="0031765B">
        <w:rPr>
          <w:rFonts w:cs="Times New Roman"/>
          <w:szCs w:val="24"/>
        </w:rPr>
        <w:t xml:space="preserve"> Latvijas ieguldījumu šajā prioritārajā jomā.</w:t>
      </w:r>
      <w:r w:rsidR="00226E4C" w:rsidRPr="0031765B">
        <w:rPr>
          <w:rFonts w:cs="Times New Roman"/>
          <w:szCs w:val="24"/>
        </w:rPr>
        <w:t xml:space="preserve"> Latvijas līdzdalība fondā </w:t>
      </w:r>
      <w:r w:rsidR="005F4FC8" w:rsidRPr="0031765B">
        <w:rPr>
          <w:rFonts w:cs="Times New Roman"/>
          <w:szCs w:val="24"/>
        </w:rPr>
        <w:t xml:space="preserve">veicinās </w:t>
      </w:r>
      <w:r w:rsidR="00CB1393" w:rsidRPr="0031765B">
        <w:rPr>
          <w:rFonts w:cs="Times New Roman"/>
          <w:szCs w:val="24"/>
        </w:rPr>
        <w:t>inovatīvu risinājumu īstenošanu</w:t>
      </w:r>
      <w:r w:rsidR="00226E4C" w:rsidRPr="0031765B">
        <w:rPr>
          <w:rFonts w:cs="Times New Roman"/>
          <w:szCs w:val="24"/>
        </w:rPr>
        <w:t xml:space="preserve"> </w:t>
      </w:r>
      <w:r w:rsidR="007C4853" w:rsidRPr="0031765B">
        <w:rPr>
          <w:szCs w:val="24"/>
        </w:rPr>
        <w:t>dzimumu līdztiesības jomā ar privātā sektora iesaisti</w:t>
      </w:r>
      <w:r w:rsidR="0091719D" w:rsidRPr="0031765B">
        <w:rPr>
          <w:szCs w:val="24"/>
        </w:rPr>
        <w:t>, veicot pētījumus un testējot metodes, kas palīdzēs izprast galvenos trūkumus dzimumu līdztiesības jomā un virzīs tās uz efektīvākas politikas veidošanu</w:t>
      </w:r>
      <w:r w:rsidR="0031765B" w:rsidRPr="0031765B">
        <w:rPr>
          <w:szCs w:val="24"/>
        </w:rPr>
        <w:t xml:space="preserve"> (skatīt fonda prioritātes 2018.-2020.gadam 4.-5.lp.)</w:t>
      </w:r>
      <w:r w:rsidR="0091719D" w:rsidRPr="0031765B">
        <w:rPr>
          <w:szCs w:val="24"/>
        </w:rPr>
        <w:t xml:space="preserve">. Latvijas dalība Dzimumu līdztiesības trasta fondā sniegs pieeju informācijai par fonda finansētiem projektiem, </w:t>
      </w:r>
      <w:r w:rsidR="0031765B" w:rsidRPr="0031765B">
        <w:rPr>
          <w:szCs w:val="24"/>
        </w:rPr>
        <w:t xml:space="preserve">kur nepieciešams </w:t>
      </w:r>
      <w:r w:rsidR="0091719D" w:rsidRPr="0031765B">
        <w:rPr>
          <w:szCs w:val="24"/>
        </w:rPr>
        <w:t>uzlabo</w:t>
      </w:r>
      <w:r w:rsidR="0031765B" w:rsidRPr="0031765B">
        <w:rPr>
          <w:szCs w:val="24"/>
        </w:rPr>
        <w:t>t</w:t>
      </w:r>
      <w:r w:rsidR="0091719D" w:rsidRPr="0031765B">
        <w:rPr>
          <w:szCs w:val="24"/>
        </w:rPr>
        <w:t xml:space="preserve"> sieviešu iespējas iegūt īpašumtiesības un kvalitatīvu darbu, tādējādi radot iespēju dalīties ar šo informāciju ar Latvijas uzņēmējiem, kas varētu būt ieinteresēti </w:t>
      </w:r>
      <w:r w:rsidR="00BD456A" w:rsidRPr="0031765B">
        <w:rPr>
          <w:szCs w:val="24"/>
        </w:rPr>
        <w:t xml:space="preserve">dalībai šo projektu </w:t>
      </w:r>
      <w:r w:rsidR="0091719D" w:rsidRPr="0031765B">
        <w:rPr>
          <w:szCs w:val="24"/>
        </w:rPr>
        <w:lastRenderedPageBreak/>
        <w:t>īstenošanā.</w:t>
      </w:r>
      <w:r w:rsidR="00735445" w:rsidRPr="0031765B">
        <w:rPr>
          <w:rFonts w:cs="Times New Roman"/>
          <w:szCs w:val="24"/>
        </w:rPr>
        <w:t xml:space="preserve"> Tā kā </w:t>
      </w:r>
      <w:r w:rsidR="007C4853" w:rsidRPr="0031765B">
        <w:rPr>
          <w:rFonts w:cs="Times New Roman"/>
          <w:szCs w:val="24"/>
        </w:rPr>
        <w:t>Dzimumu līdztiesības trasta fondā</w:t>
      </w:r>
      <w:r w:rsidR="007C4853" w:rsidRPr="0031765B" w:rsidDel="007C4853">
        <w:rPr>
          <w:rFonts w:cs="Times New Roman"/>
          <w:szCs w:val="24"/>
        </w:rPr>
        <w:t xml:space="preserve"> </w:t>
      </w:r>
      <w:r w:rsidR="00735445" w:rsidRPr="0031765B">
        <w:rPr>
          <w:rFonts w:cs="Times New Roman"/>
          <w:szCs w:val="24"/>
        </w:rPr>
        <w:t xml:space="preserve">piedalās visas Ziemeļvalstis, </w:t>
      </w:r>
      <w:r w:rsidR="00EE3F76" w:rsidRPr="0031765B">
        <w:rPr>
          <w:rFonts w:cs="Times New Roman"/>
          <w:szCs w:val="24"/>
        </w:rPr>
        <w:t xml:space="preserve">tad </w:t>
      </w:r>
      <w:r w:rsidR="00735445" w:rsidRPr="0031765B">
        <w:rPr>
          <w:rFonts w:cs="Times New Roman"/>
          <w:szCs w:val="24"/>
        </w:rPr>
        <w:t xml:space="preserve">Latvijas </w:t>
      </w:r>
      <w:r w:rsidR="00EE3F76" w:rsidRPr="0031765B">
        <w:rPr>
          <w:rFonts w:cs="Times New Roman"/>
          <w:szCs w:val="24"/>
        </w:rPr>
        <w:t xml:space="preserve">kā pirmās Baltijas valsts </w:t>
      </w:r>
      <w:r w:rsidR="00735445" w:rsidRPr="0031765B">
        <w:rPr>
          <w:rFonts w:cs="Times New Roman"/>
          <w:szCs w:val="24"/>
        </w:rPr>
        <w:t>ieguldījums fondā nostiprinās Ziemeļu un Baltijas valstu ciešo dalību sadarbības attīstības jomā</w:t>
      </w:r>
      <w:r w:rsidR="00494ACB" w:rsidRPr="0031765B">
        <w:rPr>
          <w:rFonts w:cs="Times New Roman"/>
          <w:szCs w:val="24"/>
        </w:rPr>
        <w:t>.</w:t>
      </w:r>
      <w:r w:rsidR="007C4853">
        <w:rPr>
          <w:rFonts w:cs="Times New Roman"/>
          <w:szCs w:val="24"/>
        </w:rPr>
        <w:t xml:space="preserve"> </w:t>
      </w:r>
    </w:p>
    <w:p w14:paraId="78F1ED11" w14:textId="7636ABB1" w:rsidR="00C822B7" w:rsidRDefault="00BA0A9E" w:rsidP="00C822B7">
      <w:pPr>
        <w:ind w:firstLine="720"/>
        <w:jc w:val="both"/>
        <w:rPr>
          <w:szCs w:val="24"/>
        </w:rPr>
      </w:pPr>
      <w:r>
        <w:rPr>
          <w:rFonts w:cs="Times New Roman"/>
          <w:szCs w:val="24"/>
        </w:rPr>
        <w:t xml:space="preserve">Tāpat arī Latvijas dalība </w:t>
      </w:r>
      <w:r w:rsidR="00D430A0" w:rsidRPr="00667C78">
        <w:rPr>
          <w:rFonts w:cs="Times New Roman"/>
          <w:szCs w:val="24"/>
        </w:rPr>
        <w:t>Dzimumu līdztiesības trasta</w:t>
      </w:r>
      <w:r w:rsidR="00D430A0" w:rsidRPr="0031765B">
        <w:rPr>
          <w:rFonts w:cs="Times New Roman"/>
          <w:szCs w:val="24"/>
        </w:rPr>
        <w:t xml:space="preserve"> </w:t>
      </w:r>
      <w:r>
        <w:rPr>
          <w:rFonts w:cs="Times New Roman"/>
          <w:szCs w:val="24"/>
        </w:rPr>
        <w:t xml:space="preserve">fondā palielinās </w:t>
      </w:r>
      <w:r w:rsidR="007C4853">
        <w:rPr>
          <w:rFonts w:cs="Times New Roman"/>
          <w:szCs w:val="24"/>
        </w:rPr>
        <w:t xml:space="preserve">Oficiālo attīstības palīdzību </w:t>
      </w:r>
      <w:r w:rsidR="007C4853" w:rsidRPr="00482B72">
        <w:rPr>
          <w:rFonts w:cs="Times New Roman"/>
          <w:szCs w:val="24"/>
        </w:rPr>
        <w:t>(</w:t>
      </w:r>
      <w:r w:rsidR="007C4853">
        <w:rPr>
          <w:rFonts w:cs="Times New Roman"/>
          <w:szCs w:val="24"/>
        </w:rPr>
        <w:t>turpmāk</w:t>
      </w:r>
      <w:r w:rsidR="00667C78">
        <w:rPr>
          <w:rFonts w:cs="Times New Roman"/>
          <w:szCs w:val="24"/>
        </w:rPr>
        <w:t> </w:t>
      </w:r>
      <w:r w:rsidR="00FB58AC" w:rsidRPr="00FB58AC">
        <w:rPr>
          <w:rFonts w:cs="Times New Roman"/>
          <w:szCs w:val="24"/>
        </w:rPr>
        <w:t xml:space="preserve">– </w:t>
      </w:r>
      <w:r w:rsidRPr="00482B72">
        <w:rPr>
          <w:rFonts w:cs="Times New Roman"/>
          <w:szCs w:val="24"/>
        </w:rPr>
        <w:t>OAP</w:t>
      </w:r>
      <w:r w:rsidR="007C4853" w:rsidRPr="00482B72">
        <w:rPr>
          <w:rFonts w:cs="Times New Roman"/>
          <w:szCs w:val="24"/>
        </w:rPr>
        <w:t>)</w:t>
      </w:r>
      <w:r w:rsidRPr="00482B72">
        <w:rPr>
          <w:rFonts w:cs="Times New Roman"/>
          <w:color w:val="FF0000"/>
          <w:szCs w:val="24"/>
        </w:rPr>
        <w:t xml:space="preserve"> </w:t>
      </w:r>
      <w:r>
        <w:rPr>
          <w:rFonts w:cs="Times New Roman"/>
          <w:szCs w:val="24"/>
        </w:rPr>
        <w:t xml:space="preserve">par </w:t>
      </w:r>
      <w:r w:rsidR="00C17D44" w:rsidRPr="00FA64FB">
        <w:rPr>
          <w:rFonts w:cs="Times New Roman"/>
          <w:szCs w:val="24"/>
        </w:rPr>
        <w:t>0,1</w:t>
      </w:r>
      <w:r w:rsidRPr="00FA64FB">
        <w:rPr>
          <w:rFonts w:cs="Times New Roman"/>
          <w:szCs w:val="24"/>
        </w:rPr>
        <w:t>%</w:t>
      </w:r>
      <w:r>
        <w:rPr>
          <w:rFonts w:cs="Times New Roman"/>
          <w:szCs w:val="24"/>
        </w:rPr>
        <w:t xml:space="preserve">, tādējādi pakāpeniski tuvinot Latvijas apņemto saistību izpildi pret ES. </w:t>
      </w:r>
      <w:r w:rsidR="00EE11C6" w:rsidRPr="00EE11C6">
        <w:rPr>
          <w:rFonts w:cs="Times New Roman"/>
          <w:szCs w:val="24"/>
        </w:rPr>
        <w:t xml:space="preserve">Latvijas attīstības sadarbības finansējuma saistības izriet no ES ietvaros apstiprinātajām finansējuma saistībām. Atbilstoši šīm saistībām ES un tās dalībvalstīm kopā līdz 2030. gadam attīstības sadarbībai ir jāvelta 0.7 % no </w:t>
      </w:r>
      <w:r w:rsidR="00EE11C6">
        <w:rPr>
          <w:rFonts w:cs="Times New Roman"/>
          <w:szCs w:val="24"/>
        </w:rPr>
        <w:t>nacionālā kopienākuma (turpmāk NKI)</w:t>
      </w:r>
      <w:r w:rsidR="00EE11C6" w:rsidRPr="00EE11C6">
        <w:rPr>
          <w:rFonts w:cs="Times New Roman"/>
          <w:szCs w:val="24"/>
        </w:rPr>
        <w:t>, tajā skaitā 0.15–0.20% no NKI novirzot vismazāk attīstī</w:t>
      </w:r>
      <w:r w:rsidR="00EE11C6">
        <w:rPr>
          <w:rFonts w:cs="Times New Roman"/>
          <w:szCs w:val="24"/>
        </w:rPr>
        <w:t>tajām</w:t>
      </w:r>
      <w:r w:rsidR="00EE11C6" w:rsidRPr="00EE11C6">
        <w:rPr>
          <w:rFonts w:cs="Times New Roman"/>
          <w:szCs w:val="24"/>
        </w:rPr>
        <w:t xml:space="preserve"> valst</w:t>
      </w:r>
      <w:r w:rsidR="00EE11C6">
        <w:rPr>
          <w:rFonts w:cs="Times New Roman"/>
          <w:szCs w:val="24"/>
        </w:rPr>
        <w:t>īm</w:t>
      </w:r>
      <w:r w:rsidR="00EE11C6" w:rsidRPr="00EE11C6">
        <w:rPr>
          <w:rFonts w:cs="Times New Roman"/>
          <w:szCs w:val="24"/>
        </w:rPr>
        <w:t>. Šie ES finansējuma mērķi izriet no ANO 2015. gada jūlijā pieņemtās Adisabebas Rīcības programmas.</w:t>
      </w:r>
      <w:r w:rsidR="00EE11C6">
        <w:rPr>
          <w:rFonts w:cs="Times New Roman"/>
          <w:szCs w:val="24"/>
        </w:rPr>
        <w:t xml:space="preserve"> </w:t>
      </w:r>
      <w:r w:rsidR="00EE11C6" w:rsidRPr="00EE11C6">
        <w:rPr>
          <w:rFonts w:cs="Times New Roman"/>
          <w:szCs w:val="24"/>
        </w:rPr>
        <w:t>Latvijai attiecīgi līdz 2030. gadam attīstības sadarbībai jātiecas atvēlēt 0.33 % no NKI, kā arī 0.15–0.20% no NKI jānovirza vismazāk attīstī</w:t>
      </w:r>
      <w:r w:rsidR="00EE11C6">
        <w:rPr>
          <w:rFonts w:cs="Times New Roman"/>
          <w:szCs w:val="24"/>
        </w:rPr>
        <w:t>tajām</w:t>
      </w:r>
      <w:r w:rsidR="00EE11C6" w:rsidRPr="00EE11C6">
        <w:rPr>
          <w:rFonts w:cs="Times New Roman"/>
          <w:szCs w:val="24"/>
        </w:rPr>
        <w:t xml:space="preserve"> valst</w:t>
      </w:r>
      <w:r w:rsidR="00EE11C6">
        <w:rPr>
          <w:rFonts w:cs="Times New Roman"/>
          <w:szCs w:val="24"/>
        </w:rPr>
        <w:t>īm</w:t>
      </w:r>
      <w:r w:rsidR="00EE11C6" w:rsidRPr="00EE11C6">
        <w:rPr>
          <w:rFonts w:cs="Times New Roman"/>
          <w:szCs w:val="24"/>
        </w:rPr>
        <w:t>.</w:t>
      </w:r>
      <w:r w:rsidR="00EE11C6">
        <w:rPr>
          <w:rFonts w:cs="Times New Roman"/>
          <w:szCs w:val="24"/>
        </w:rPr>
        <w:t xml:space="preserve"> </w:t>
      </w:r>
      <w:r w:rsidR="00BB6D13" w:rsidRPr="00BB6D13">
        <w:rPr>
          <w:rFonts w:cs="Times New Roman"/>
          <w:szCs w:val="24"/>
        </w:rPr>
        <w:t xml:space="preserve">Latvija </w:t>
      </w:r>
      <w:r w:rsidR="00EE11C6">
        <w:rPr>
          <w:rFonts w:cs="Times New Roman"/>
          <w:szCs w:val="24"/>
        </w:rPr>
        <w:t xml:space="preserve">ir </w:t>
      </w:r>
      <w:r w:rsidR="00BB6D13" w:rsidRPr="00BB6D13">
        <w:rPr>
          <w:rFonts w:cs="Times New Roman"/>
          <w:szCs w:val="24"/>
        </w:rPr>
        <w:t>apņ</w:t>
      </w:r>
      <w:r w:rsidR="00EE11C6">
        <w:rPr>
          <w:rFonts w:cs="Times New Roman"/>
          <w:szCs w:val="24"/>
        </w:rPr>
        <w:t>ēmusies</w:t>
      </w:r>
      <w:r w:rsidR="00BB6D13" w:rsidRPr="00BB6D13">
        <w:rPr>
          <w:rFonts w:cs="Times New Roman"/>
          <w:szCs w:val="24"/>
        </w:rPr>
        <w:t xml:space="preserve"> </w:t>
      </w:r>
      <w:r w:rsidR="00C17D44">
        <w:rPr>
          <w:rFonts w:cs="Times New Roman"/>
          <w:szCs w:val="24"/>
        </w:rPr>
        <w:t>laika posmā no 2016. līdz 2020.</w:t>
      </w:r>
      <w:r w:rsidR="00BB6D13" w:rsidRPr="00BB6D13">
        <w:rPr>
          <w:rFonts w:cs="Times New Roman"/>
          <w:szCs w:val="24"/>
        </w:rPr>
        <w:t xml:space="preserve">gadam turpināt pakāpeniski palielināt </w:t>
      </w:r>
      <w:r w:rsidR="00EE11C6">
        <w:rPr>
          <w:rFonts w:cs="Times New Roman"/>
          <w:szCs w:val="24"/>
        </w:rPr>
        <w:t>OAP</w:t>
      </w:r>
      <w:r w:rsidR="00BB6D13" w:rsidRPr="00BB6D13">
        <w:rPr>
          <w:rFonts w:cs="Times New Roman"/>
          <w:szCs w:val="24"/>
        </w:rPr>
        <w:t xml:space="preserve"> līdz 0.17% no </w:t>
      </w:r>
      <w:r w:rsidR="00EE11C6">
        <w:rPr>
          <w:rFonts w:cs="Times New Roman"/>
          <w:szCs w:val="24"/>
        </w:rPr>
        <w:t>NKI</w:t>
      </w:r>
      <w:r w:rsidR="00BB6D13" w:rsidRPr="00BB6D13">
        <w:rPr>
          <w:rFonts w:cs="Times New Roman"/>
          <w:szCs w:val="24"/>
        </w:rPr>
        <w:t>.</w:t>
      </w:r>
      <w:r w:rsidR="007C4853">
        <w:rPr>
          <w:rStyle w:val="FootnoteReference"/>
          <w:rFonts w:cs="Times New Roman"/>
          <w:szCs w:val="24"/>
        </w:rPr>
        <w:footnoteReference w:id="25"/>
      </w:r>
      <w:r w:rsidR="00BB6D13" w:rsidRPr="00BB6D13">
        <w:rPr>
          <w:rFonts w:cs="Times New Roman"/>
          <w:szCs w:val="24"/>
        </w:rPr>
        <w:t xml:space="preserve"> Lai nodrošinātu efektīvu palīdzības sniegšanu, Latvija atbalstu </w:t>
      </w:r>
      <w:r w:rsidR="00EE11C6" w:rsidRPr="00EE11C6">
        <w:rPr>
          <w:rFonts w:cs="Times New Roman"/>
          <w:szCs w:val="24"/>
        </w:rPr>
        <w:t>vismazāk attīstī</w:t>
      </w:r>
      <w:r w:rsidR="00EE11C6">
        <w:rPr>
          <w:rFonts w:cs="Times New Roman"/>
          <w:szCs w:val="24"/>
        </w:rPr>
        <w:t>tajām</w:t>
      </w:r>
      <w:r w:rsidR="00EE11C6" w:rsidRPr="00EE11C6">
        <w:rPr>
          <w:rFonts w:cs="Times New Roman"/>
          <w:szCs w:val="24"/>
        </w:rPr>
        <w:t xml:space="preserve"> valst</w:t>
      </w:r>
      <w:r w:rsidR="00EE11C6">
        <w:rPr>
          <w:rFonts w:cs="Times New Roman"/>
          <w:szCs w:val="24"/>
        </w:rPr>
        <w:t>īm</w:t>
      </w:r>
      <w:r w:rsidR="00EE11C6" w:rsidRPr="00EE11C6">
        <w:rPr>
          <w:rFonts w:cs="Times New Roman"/>
          <w:szCs w:val="24"/>
        </w:rPr>
        <w:t xml:space="preserve"> </w:t>
      </w:r>
      <w:r w:rsidR="00BB6D13" w:rsidRPr="00BB6D13">
        <w:rPr>
          <w:rFonts w:cs="Times New Roman"/>
          <w:szCs w:val="24"/>
        </w:rPr>
        <w:t xml:space="preserve">sniedz caur daudzpusējiem attīstības sadarbības instrumentiem. </w:t>
      </w:r>
      <w:r w:rsidR="009C33DA">
        <w:rPr>
          <w:rFonts w:cs="Times New Roman"/>
          <w:szCs w:val="24"/>
        </w:rPr>
        <w:t>L</w:t>
      </w:r>
      <w:r w:rsidR="00BB6D13" w:rsidRPr="00BB6D13">
        <w:rPr>
          <w:rFonts w:cs="Times New Roman"/>
          <w:szCs w:val="24"/>
        </w:rPr>
        <w:t>īdz 201</w:t>
      </w:r>
      <w:r w:rsidR="00EE11C6">
        <w:rPr>
          <w:rFonts w:cs="Times New Roman"/>
          <w:szCs w:val="24"/>
        </w:rPr>
        <w:t>7</w:t>
      </w:r>
      <w:r w:rsidR="00BB6D13" w:rsidRPr="00BB6D13">
        <w:rPr>
          <w:rFonts w:cs="Times New Roman"/>
          <w:szCs w:val="24"/>
        </w:rPr>
        <w:t xml:space="preserve">.gadam </w:t>
      </w:r>
      <w:r w:rsidR="00C17D44" w:rsidRPr="00FA64FB">
        <w:rPr>
          <w:rFonts w:cs="Times New Roman"/>
          <w:szCs w:val="24"/>
        </w:rPr>
        <w:t>Latvijas divpusējā OAP apjoms ir veidojis vidēji 10%-15% no kopējā OAP apjoma</w:t>
      </w:r>
      <w:r w:rsidR="00885D4D">
        <w:t>.</w:t>
      </w:r>
      <w:r>
        <w:rPr>
          <w:rFonts w:cs="Times New Roman"/>
          <w:szCs w:val="24"/>
        </w:rPr>
        <w:t xml:space="preserve"> </w:t>
      </w:r>
      <w:r w:rsidR="00C822B7">
        <w:rPr>
          <w:rFonts w:cs="Times New Roman"/>
          <w:szCs w:val="24"/>
        </w:rPr>
        <w:t xml:space="preserve">Latvijas dalība </w:t>
      </w:r>
      <w:r w:rsidR="00C822B7">
        <w:rPr>
          <w:szCs w:val="24"/>
        </w:rPr>
        <w:t xml:space="preserve">Dzimumu līdztiesības trasta fondā nodrošinās pakāpenisku Latvijas OAP apjoma palielinājumu, tuvinot to plānotajam OAP mērķim. Tā kā Dzimumu līdztiesības trasta fonds finansē projektus vismazāk attīstītajās valstīs, Latvijas dalība šajā fondā nodrošinās saistību izpildi daļēji novirzīt attīstības sadarbības palīdzību šīm valstīm. </w:t>
      </w:r>
    </w:p>
    <w:p w14:paraId="7420B0C4" w14:textId="0332B98C" w:rsidR="00EC2DBA" w:rsidRPr="00AE5C83" w:rsidRDefault="00F975E3" w:rsidP="00AE5C83">
      <w:pPr>
        <w:ind w:firstLine="360"/>
        <w:jc w:val="both"/>
      </w:pPr>
      <w:r>
        <w:rPr>
          <w:rFonts w:cs="Times New Roman"/>
          <w:szCs w:val="24"/>
        </w:rPr>
        <w:t xml:space="preserve">Iemaksa fondā plānota no </w:t>
      </w:r>
      <w:r w:rsidR="00C822B7">
        <w:rPr>
          <w:rFonts w:cs="Times New Roman"/>
          <w:szCs w:val="24"/>
        </w:rPr>
        <w:t xml:space="preserve">IBRD </w:t>
      </w:r>
      <w:r>
        <w:rPr>
          <w:rFonts w:cs="Times New Roman"/>
          <w:szCs w:val="24"/>
        </w:rPr>
        <w:t>atskaitījuma Latvijai EUR 39,986.</w:t>
      </w:r>
      <w:r w:rsidRPr="00FB456A">
        <w:rPr>
          <w:rFonts w:cs="Times New Roman"/>
          <w:szCs w:val="24"/>
        </w:rPr>
        <w:t>43</w:t>
      </w:r>
      <w:r>
        <w:rPr>
          <w:rFonts w:cs="Times New Roman"/>
          <w:szCs w:val="24"/>
        </w:rPr>
        <w:t xml:space="preserve"> apjomā</w:t>
      </w:r>
      <w:r w:rsidR="005F4FC8">
        <w:rPr>
          <w:rFonts w:cs="Times New Roman"/>
          <w:szCs w:val="24"/>
        </w:rPr>
        <w:t xml:space="preserve">, kas ir izveidojies </w:t>
      </w:r>
      <w:r w:rsidR="008362E5">
        <w:rPr>
          <w:rFonts w:cs="Times New Roman"/>
          <w:szCs w:val="24"/>
        </w:rPr>
        <w:t>valūtas svārstīb</w:t>
      </w:r>
      <w:r w:rsidR="00100EDB">
        <w:rPr>
          <w:rFonts w:cs="Times New Roman"/>
          <w:szCs w:val="24"/>
        </w:rPr>
        <w:t>u rezultātā</w:t>
      </w:r>
      <w:r w:rsidR="005F4FC8">
        <w:rPr>
          <w:rFonts w:cs="Times New Roman"/>
          <w:szCs w:val="24"/>
        </w:rPr>
        <w:t xml:space="preserve"> IBRD kapitālā</w:t>
      </w:r>
      <w:r w:rsidR="00780C38">
        <w:rPr>
          <w:rFonts w:cs="Times New Roman"/>
          <w:szCs w:val="24"/>
        </w:rPr>
        <w:t>.</w:t>
      </w:r>
      <w:r w:rsidR="008362E5">
        <w:rPr>
          <w:rStyle w:val="FootnoteReference"/>
          <w:rFonts w:cs="Times New Roman"/>
          <w:szCs w:val="24"/>
        </w:rPr>
        <w:footnoteReference w:id="26"/>
      </w:r>
      <w:r w:rsidR="008362E5">
        <w:rPr>
          <w:rFonts w:cs="Times New Roman"/>
          <w:szCs w:val="24"/>
        </w:rPr>
        <w:t xml:space="preserve"> </w:t>
      </w:r>
      <w:r w:rsidR="0050152A">
        <w:rPr>
          <w:rFonts w:cs="Times New Roman"/>
          <w:szCs w:val="24"/>
        </w:rPr>
        <w:t>L</w:t>
      </w:r>
      <w:r>
        <w:rPr>
          <w:rFonts w:cs="Times New Roman"/>
          <w:szCs w:val="24"/>
        </w:rPr>
        <w:t xml:space="preserve">īdz ar to </w:t>
      </w:r>
      <w:r w:rsidR="00AB2939">
        <w:rPr>
          <w:rFonts w:cs="Times New Roman"/>
          <w:szCs w:val="24"/>
        </w:rPr>
        <w:t xml:space="preserve">plānotais </w:t>
      </w:r>
      <w:r w:rsidR="00F74340">
        <w:rPr>
          <w:rFonts w:cs="Times New Roman"/>
          <w:szCs w:val="24"/>
        </w:rPr>
        <w:t>ieguldījums fondā</w:t>
      </w:r>
      <w:r w:rsidR="00AB2939">
        <w:rPr>
          <w:rFonts w:cs="Times New Roman"/>
          <w:szCs w:val="24"/>
        </w:rPr>
        <w:t xml:space="preserve"> ir fiskāli neitr</w:t>
      </w:r>
      <w:r w:rsidR="00C97C8A">
        <w:rPr>
          <w:rFonts w:cs="Times New Roman"/>
          <w:szCs w:val="24"/>
        </w:rPr>
        <w:t>āls</w:t>
      </w:r>
      <w:r w:rsidR="001C1CF9">
        <w:rPr>
          <w:rFonts w:cs="Times New Roman"/>
          <w:szCs w:val="24"/>
        </w:rPr>
        <w:t>, tas tiks reģistrēts grāmatvedības uzskaitē, bet netiks atspoguļots kā budžeta izpildes darījums</w:t>
      </w:r>
      <w:r w:rsidR="00AD22ED">
        <w:rPr>
          <w:rFonts w:cs="Times New Roman"/>
          <w:szCs w:val="24"/>
        </w:rPr>
        <w:t>, jo nebūs budžeta izpildes naudas plūsmas</w:t>
      </w:r>
      <w:r w:rsidR="00AB2939">
        <w:rPr>
          <w:rFonts w:cs="Times New Roman"/>
          <w:szCs w:val="24"/>
        </w:rPr>
        <w:t>.</w:t>
      </w:r>
      <w:r w:rsidR="003C038D">
        <w:rPr>
          <w:rFonts w:cs="Times New Roman"/>
          <w:szCs w:val="24"/>
        </w:rPr>
        <w:t xml:space="preserve"> </w:t>
      </w:r>
      <w:r w:rsidR="004C5689" w:rsidRPr="00AE5C83">
        <w:t xml:space="preserve">Ieguldījums fondā no IBRD iemaksātā kapitāla atskaitījuma tiek veikts, pamatojoties uz </w:t>
      </w:r>
      <w:r w:rsidR="00AE5C83">
        <w:t xml:space="preserve">Latvijas </w:t>
      </w:r>
      <w:r w:rsidR="004C5689" w:rsidRPr="00AE5C83">
        <w:t xml:space="preserve">vēstuli IBRD par EUR 39,986.43 novirzīšanu iemaksai </w:t>
      </w:r>
      <w:r w:rsidR="00AE5C83" w:rsidRPr="00AE5C83">
        <w:rPr>
          <w:rFonts w:cs="Times New Roman"/>
          <w:szCs w:val="24"/>
        </w:rPr>
        <w:t xml:space="preserve">Dzimumu līdztiesības trasta </w:t>
      </w:r>
      <w:r w:rsidR="004C5689" w:rsidRPr="00AE5C83">
        <w:t xml:space="preserve">fondā. </w:t>
      </w:r>
      <w:r w:rsidR="00DA5044" w:rsidRPr="00AE5C83">
        <w:t>Savukārt</w:t>
      </w:r>
      <w:r w:rsidR="004C5689" w:rsidRPr="00AE5C83">
        <w:t xml:space="preserve"> </w:t>
      </w:r>
      <w:r w:rsidR="00AE5C83">
        <w:t>d</w:t>
      </w:r>
      <w:r w:rsidR="00E54D7F" w:rsidRPr="00AE5C83">
        <w:rPr>
          <w:rFonts w:cs="Times New Roman"/>
          <w:szCs w:val="24"/>
        </w:rPr>
        <w:t>alība</w:t>
      </w:r>
      <w:r w:rsidR="00AF42AC" w:rsidRPr="00AE5C83">
        <w:rPr>
          <w:rFonts w:cs="Times New Roman"/>
          <w:szCs w:val="24"/>
        </w:rPr>
        <w:t>i</w:t>
      </w:r>
      <w:r w:rsidR="00E54D7F" w:rsidRPr="00AE5C83">
        <w:rPr>
          <w:rFonts w:cs="Times New Roman"/>
          <w:szCs w:val="24"/>
        </w:rPr>
        <w:t xml:space="preserve"> Dzimumu līdztiesības trasta fondā tiek </w:t>
      </w:r>
      <w:r w:rsidR="00AE5C83" w:rsidRPr="00CE7DD1">
        <w:rPr>
          <w:rFonts w:cs="Times New Roman"/>
          <w:szCs w:val="24"/>
        </w:rPr>
        <w:t>noslēgta</w:t>
      </w:r>
      <w:r w:rsidR="00AF42AC" w:rsidRPr="00CE7DD1">
        <w:rPr>
          <w:rFonts w:cs="Times New Roman"/>
          <w:szCs w:val="24"/>
        </w:rPr>
        <w:t xml:space="preserve"> “</w:t>
      </w:r>
      <w:r w:rsidR="00AE5C83" w:rsidRPr="00CE7DD1">
        <w:rPr>
          <w:rFonts w:cs="Times New Roman"/>
          <w:szCs w:val="24"/>
        </w:rPr>
        <w:t>Vienošanā</w:t>
      </w:r>
      <w:r w:rsidR="00E54D7F" w:rsidRPr="00CE7DD1">
        <w:rPr>
          <w:rFonts w:cs="Times New Roman"/>
          <w:szCs w:val="24"/>
        </w:rPr>
        <w:t xml:space="preserve">s par trasta fonda administrēšanu </w:t>
      </w:r>
      <w:r w:rsidR="00AE5C83" w:rsidRPr="00CE7DD1">
        <w:rPr>
          <w:rFonts w:cs="Times New Roman"/>
          <w:szCs w:val="24"/>
        </w:rPr>
        <w:t xml:space="preserve">starp Latvijas Republiku un </w:t>
      </w:r>
      <w:r w:rsidR="00EC2DBA" w:rsidRPr="00CE7DD1">
        <w:t>IBRD</w:t>
      </w:r>
      <w:r w:rsidR="00E54D7F" w:rsidRPr="00CE7DD1">
        <w:t xml:space="preserve"> un </w:t>
      </w:r>
      <w:r w:rsidR="00EC2DBA" w:rsidRPr="00CE7DD1">
        <w:t>IDA</w:t>
      </w:r>
      <w:r w:rsidR="00AE5C83" w:rsidRPr="00CE7DD1">
        <w:t xml:space="preserve"> saistībā ar Dzimumu līdztiesības multidonoru trasta fondu</w:t>
      </w:r>
      <w:r w:rsidR="00AF42AC" w:rsidRPr="00CE7DD1">
        <w:t>”</w:t>
      </w:r>
      <w:r w:rsidR="00AE5C83" w:rsidRPr="00CE7DD1">
        <w:rPr>
          <w:rStyle w:val="FootnoteReference"/>
        </w:rPr>
        <w:footnoteReference w:id="27"/>
      </w:r>
      <w:r w:rsidR="00AE5C83" w:rsidRPr="00CE7DD1">
        <w:t xml:space="preserve"> (turpmāk – Vienošanās)</w:t>
      </w:r>
      <w:r w:rsidR="003A1F64" w:rsidRPr="00CE7DD1">
        <w:t>.</w:t>
      </w:r>
      <w:r w:rsidR="003A1F64" w:rsidRPr="00AE5C83">
        <w:t xml:space="preserve"> </w:t>
      </w:r>
      <w:r w:rsidR="00EC2DBA" w:rsidRPr="00AE5C83">
        <w:t xml:space="preserve">Vienošanās paredz Latvijas (jeb donora) iemaksu fondā, kas tiks izmantota, lai finansētu aktivitātes un izmaksas (Vienošanās </w:t>
      </w:r>
      <w:r w:rsidR="001B4359" w:rsidRPr="00AE5C83">
        <w:t>1</w:t>
      </w:r>
      <w:r w:rsidR="00EC2DBA" w:rsidRPr="00AE5C83">
        <w:t>.p</w:t>
      </w:r>
      <w:r w:rsidR="00A5675B" w:rsidRPr="00AE5C83">
        <w:t>ielikums</w:t>
      </w:r>
      <w:r w:rsidR="00EC2DBA" w:rsidRPr="00AE5C83">
        <w:t xml:space="preserve">) un ko donora vārdā administrēs </w:t>
      </w:r>
      <w:r w:rsidR="0047634A" w:rsidRPr="00AE5C83">
        <w:t xml:space="preserve">un pārvaldīs </w:t>
      </w:r>
      <w:r w:rsidR="00EC2DBA" w:rsidRPr="00AE5C83">
        <w:t xml:space="preserve">IBRD (Vienošanās </w:t>
      </w:r>
      <w:r w:rsidR="001B4359" w:rsidRPr="00AE5C83">
        <w:t>2.</w:t>
      </w:r>
      <w:r w:rsidR="00A5675B" w:rsidRPr="00AE5C83">
        <w:t xml:space="preserve"> </w:t>
      </w:r>
      <w:r w:rsidR="0047634A" w:rsidRPr="00AE5C83">
        <w:t>un 3.</w:t>
      </w:r>
      <w:r w:rsidR="001B4359" w:rsidRPr="00AE5C83">
        <w:t>pielikums</w:t>
      </w:r>
      <w:r w:rsidR="00EC2DBA" w:rsidRPr="00AE5C83">
        <w:t>)</w:t>
      </w:r>
      <w:r w:rsidR="0047634A" w:rsidRPr="00AE5C83">
        <w:t>.</w:t>
      </w:r>
      <w:r w:rsidR="00A13CDC" w:rsidRPr="00AE5C83">
        <w:t xml:space="preserve"> Saskaņā ar Vienoša</w:t>
      </w:r>
      <w:r w:rsidR="00AE5C83">
        <w:t xml:space="preserve">nos </w:t>
      </w:r>
      <w:r w:rsidR="00CD328A">
        <w:t xml:space="preserve">fonds </w:t>
      </w:r>
      <w:r w:rsidR="00AE5C83">
        <w:t>finansēs aktivitātes trīs</w:t>
      </w:r>
      <w:r w:rsidR="00A13CDC" w:rsidRPr="00AE5C83">
        <w:t xml:space="preserve"> prioritāros virzienos:</w:t>
      </w:r>
      <w:r w:rsidR="00AE5C83">
        <w:t xml:space="preserve"> </w:t>
      </w:r>
    </w:p>
    <w:p w14:paraId="252A3854" w14:textId="795F930C" w:rsidR="00A13CDC" w:rsidRPr="00AE5C83" w:rsidRDefault="00CD328A" w:rsidP="00A13CDC">
      <w:pPr>
        <w:pStyle w:val="ListParagraph"/>
        <w:numPr>
          <w:ilvl w:val="0"/>
          <w:numId w:val="5"/>
        </w:numPr>
        <w:jc w:val="both"/>
        <w:rPr>
          <w:rFonts w:cs="Times New Roman"/>
          <w:szCs w:val="24"/>
        </w:rPr>
      </w:pPr>
      <w:r>
        <w:rPr>
          <w:rFonts w:cs="Times New Roman"/>
          <w:szCs w:val="24"/>
        </w:rPr>
        <w:t>p</w:t>
      </w:r>
      <w:r w:rsidR="00A13CDC" w:rsidRPr="00AE5C83">
        <w:rPr>
          <w:rFonts w:cs="Times New Roman"/>
          <w:szCs w:val="24"/>
        </w:rPr>
        <w:t>alielināt datu un pētījumu par dzimumu vienlīdzību pieejamību, t.sk., risināt problēmas ar datu trūkumu, padarīt esošos datus pieejamākus un veikt pētījumus līdz šim</w:t>
      </w:r>
      <w:r w:rsidR="004C5689" w:rsidRPr="00AE5C83">
        <w:rPr>
          <w:rFonts w:cs="Times New Roman"/>
          <w:szCs w:val="24"/>
        </w:rPr>
        <w:t xml:space="preserve"> </w:t>
      </w:r>
      <w:r w:rsidR="00DA5044" w:rsidRPr="00AE5C83">
        <w:rPr>
          <w:rFonts w:cs="Times New Roman"/>
          <w:szCs w:val="24"/>
        </w:rPr>
        <w:t>nepētītās</w:t>
      </w:r>
      <w:r w:rsidR="004C5689" w:rsidRPr="00AE5C83">
        <w:rPr>
          <w:rFonts w:cs="Times New Roman"/>
          <w:szCs w:val="24"/>
        </w:rPr>
        <w:t xml:space="preserve"> </w:t>
      </w:r>
      <w:r w:rsidR="00A13CDC" w:rsidRPr="00AE5C83">
        <w:rPr>
          <w:rFonts w:cs="Times New Roman"/>
          <w:szCs w:val="24"/>
        </w:rPr>
        <w:t xml:space="preserve">jomās </w:t>
      </w:r>
      <w:r w:rsidR="004C5689" w:rsidRPr="00AE5C83">
        <w:rPr>
          <w:rFonts w:cs="Times New Roman"/>
          <w:szCs w:val="24"/>
        </w:rPr>
        <w:t>p</w:t>
      </w:r>
      <w:r w:rsidR="00A13CDC" w:rsidRPr="00AE5C83">
        <w:rPr>
          <w:rFonts w:cs="Times New Roman"/>
          <w:szCs w:val="24"/>
        </w:rPr>
        <w:t xml:space="preserve">ar </w:t>
      </w:r>
      <w:r w:rsidR="00D430A0" w:rsidRPr="00AE5C83">
        <w:rPr>
          <w:rFonts w:cs="Times New Roman"/>
          <w:szCs w:val="24"/>
        </w:rPr>
        <w:t>trūkumiem</w:t>
      </w:r>
      <w:r w:rsidR="00D430A0">
        <w:rPr>
          <w:rFonts w:cs="Times New Roman"/>
          <w:szCs w:val="24"/>
        </w:rPr>
        <w:t xml:space="preserve"> </w:t>
      </w:r>
      <w:r w:rsidR="00A13CDC" w:rsidRPr="00AE5C83">
        <w:rPr>
          <w:rFonts w:cs="Times New Roman"/>
          <w:szCs w:val="24"/>
        </w:rPr>
        <w:t>dzimumu vienlīdzības</w:t>
      </w:r>
      <w:r w:rsidR="00D430A0">
        <w:rPr>
          <w:rFonts w:cs="Times New Roman"/>
          <w:szCs w:val="24"/>
        </w:rPr>
        <w:t xml:space="preserve"> jomā</w:t>
      </w:r>
      <w:r w:rsidR="00A13CDC" w:rsidRPr="00AE5C83">
        <w:rPr>
          <w:rFonts w:cs="Times New Roman"/>
          <w:szCs w:val="24"/>
        </w:rPr>
        <w:t>;</w:t>
      </w:r>
    </w:p>
    <w:p w14:paraId="5FBFC25C" w14:textId="6299196A" w:rsidR="00A13CDC" w:rsidRPr="00AE5C83" w:rsidRDefault="00CD328A" w:rsidP="00A13CDC">
      <w:pPr>
        <w:pStyle w:val="ListParagraph"/>
        <w:numPr>
          <w:ilvl w:val="0"/>
          <w:numId w:val="5"/>
        </w:numPr>
        <w:jc w:val="both"/>
        <w:rPr>
          <w:rFonts w:cs="Times New Roman"/>
          <w:szCs w:val="24"/>
        </w:rPr>
      </w:pPr>
      <w:r>
        <w:rPr>
          <w:rFonts w:cs="Times New Roman"/>
          <w:szCs w:val="24"/>
        </w:rPr>
        <w:t>t</w:t>
      </w:r>
      <w:r w:rsidR="005F4D93" w:rsidRPr="00AE5C83">
        <w:rPr>
          <w:rFonts w:cs="Times New Roman"/>
          <w:szCs w:val="24"/>
        </w:rPr>
        <w:t>estēt j</w:t>
      </w:r>
      <w:r w:rsidR="00A13CDC" w:rsidRPr="00AE5C83">
        <w:rPr>
          <w:rFonts w:cs="Times New Roman"/>
          <w:szCs w:val="24"/>
        </w:rPr>
        <w:t>aunu</w:t>
      </w:r>
      <w:r w:rsidR="005F4D93" w:rsidRPr="00AE5C83">
        <w:rPr>
          <w:rFonts w:cs="Times New Roman"/>
          <w:szCs w:val="24"/>
        </w:rPr>
        <w:t>s</w:t>
      </w:r>
      <w:r w:rsidR="00A13CDC" w:rsidRPr="00AE5C83">
        <w:rPr>
          <w:rFonts w:cs="Times New Roman"/>
          <w:szCs w:val="24"/>
        </w:rPr>
        <w:t xml:space="preserve"> pētījumu</w:t>
      </w:r>
      <w:r w:rsidR="005F4D93" w:rsidRPr="00AE5C83">
        <w:rPr>
          <w:rFonts w:cs="Times New Roman"/>
          <w:szCs w:val="24"/>
        </w:rPr>
        <w:t>s</w:t>
      </w:r>
      <w:r w:rsidR="00A13CDC" w:rsidRPr="00AE5C83">
        <w:rPr>
          <w:rFonts w:cs="Times New Roman"/>
          <w:szCs w:val="24"/>
        </w:rPr>
        <w:t xml:space="preserve">, t.sk., identificēt, kā attīstības palīdzības praktiķi var efektīvi </w:t>
      </w:r>
      <w:r w:rsidR="00475162" w:rsidRPr="00AE5C83">
        <w:rPr>
          <w:rFonts w:cs="Times New Roman"/>
          <w:szCs w:val="24"/>
        </w:rPr>
        <w:t xml:space="preserve">ieviest jauno </w:t>
      </w:r>
      <w:r w:rsidR="00A13CDC" w:rsidRPr="00AE5C83">
        <w:rPr>
          <w:rFonts w:cs="Times New Roman"/>
          <w:szCs w:val="24"/>
        </w:rPr>
        <w:t>pēt</w:t>
      </w:r>
      <w:r w:rsidR="00475162" w:rsidRPr="00AE5C83">
        <w:rPr>
          <w:rFonts w:cs="Times New Roman"/>
          <w:szCs w:val="24"/>
        </w:rPr>
        <w:t>ījumu</w:t>
      </w:r>
      <w:r w:rsidR="00A13CDC" w:rsidRPr="00AE5C83">
        <w:rPr>
          <w:rFonts w:cs="Times New Roman"/>
          <w:szCs w:val="24"/>
        </w:rPr>
        <w:t xml:space="preserve"> rezult</w:t>
      </w:r>
      <w:r w:rsidR="00475162" w:rsidRPr="00AE5C83">
        <w:rPr>
          <w:rFonts w:cs="Times New Roman"/>
          <w:szCs w:val="24"/>
        </w:rPr>
        <w:t>ātus praksē, piemēram</w:t>
      </w:r>
      <w:r w:rsidR="004C5689" w:rsidRPr="00AE5C83">
        <w:rPr>
          <w:rFonts w:cs="Times New Roman"/>
          <w:szCs w:val="24"/>
        </w:rPr>
        <w:t>,</w:t>
      </w:r>
      <w:r w:rsidR="00475162" w:rsidRPr="00AE5C83">
        <w:rPr>
          <w:rFonts w:cs="Times New Roman"/>
          <w:szCs w:val="24"/>
        </w:rPr>
        <w:t xml:space="preserve"> stiprinot un paplašinot veiksmīgākos risinājumus;</w:t>
      </w:r>
    </w:p>
    <w:p w14:paraId="5A902713" w14:textId="2670D133" w:rsidR="00475162" w:rsidRPr="00AE5C83" w:rsidRDefault="00CD328A" w:rsidP="00A13CDC">
      <w:pPr>
        <w:pStyle w:val="ListParagraph"/>
        <w:numPr>
          <w:ilvl w:val="0"/>
          <w:numId w:val="5"/>
        </w:numPr>
        <w:jc w:val="both"/>
        <w:rPr>
          <w:rFonts w:cs="Times New Roman"/>
          <w:szCs w:val="24"/>
        </w:rPr>
      </w:pPr>
      <w:r>
        <w:rPr>
          <w:rFonts w:cs="Times New Roman"/>
          <w:szCs w:val="24"/>
        </w:rPr>
        <w:t>p</w:t>
      </w:r>
      <w:r w:rsidR="005F4D93" w:rsidRPr="00AE5C83">
        <w:rPr>
          <w:rFonts w:cs="Times New Roman"/>
          <w:szCs w:val="24"/>
        </w:rPr>
        <w:t>iesaistī</w:t>
      </w:r>
      <w:r w:rsidR="00475162" w:rsidRPr="00AE5C83">
        <w:rPr>
          <w:rFonts w:cs="Times New Roman"/>
          <w:szCs w:val="24"/>
        </w:rPr>
        <w:t>t partnerus dzimumu līdztiesības veicināšanai, t.sk., sabiedrības un privātā sektora piesaiste</w:t>
      </w:r>
      <w:r w:rsidR="004C5689" w:rsidRPr="00AE5C83">
        <w:rPr>
          <w:rFonts w:cs="Times New Roman"/>
          <w:szCs w:val="24"/>
        </w:rPr>
        <w:t>i</w:t>
      </w:r>
      <w:r w:rsidR="00475162" w:rsidRPr="00AE5C83">
        <w:rPr>
          <w:rFonts w:cs="Times New Roman"/>
          <w:szCs w:val="24"/>
        </w:rPr>
        <w:t>, it īpaši attīstības valstī</w:t>
      </w:r>
      <w:r w:rsidR="004C5689" w:rsidRPr="00AE5C83">
        <w:rPr>
          <w:rFonts w:cs="Times New Roman"/>
          <w:szCs w:val="24"/>
        </w:rPr>
        <w:t>s</w:t>
      </w:r>
      <w:r w:rsidR="00475162" w:rsidRPr="00AE5C83">
        <w:rPr>
          <w:rFonts w:cs="Times New Roman"/>
          <w:szCs w:val="24"/>
        </w:rPr>
        <w:t>, lai identificētu, izplatītu un īstenotu inovatīvas iniciatīvas dzimumu līdztiesības jomā.</w:t>
      </w:r>
    </w:p>
    <w:p w14:paraId="6737F411" w14:textId="60D1CCF8" w:rsidR="009B05EA" w:rsidRPr="00AE5C83" w:rsidRDefault="005F4D93" w:rsidP="009E2AAB">
      <w:pPr>
        <w:ind w:firstLine="720"/>
        <w:jc w:val="both"/>
        <w:rPr>
          <w:rFonts w:cs="Times New Roman"/>
          <w:szCs w:val="24"/>
        </w:rPr>
      </w:pPr>
      <w:r w:rsidRPr="00AE5C83">
        <w:rPr>
          <w:rFonts w:cs="Times New Roman"/>
          <w:szCs w:val="24"/>
        </w:rPr>
        <w:lastRenderedPageBreak/>
        <w:t xml:space="preserve">Vienošanās paredz, ka </w:t>
      </w:r>
      <w:r w:rsidR="00C977A9" w:rsidRPr="00AE5C83">
        <w:rPr>
          <w:rFonts w:cs="Times New Roman"/>
          <w:szCs w:val="24"/>
        </w:rPr>
        <w:t>Dzimumu līdztiesības padome (</w:t>
      </w:r>
      <w:r w:rsidR="00C977A9" w:rsidRPr="00AE5C83">
        <w:rPr>
          <w:rFonts w:cs="Times New Roman"/>
          <w:i/>
          <w:szCs w:val="24"/>
        </w:rPr>
        <w:t>Gender Leadership Council</w:t>
      </w:r>
      <w:r w:rsidR="00C977A9" w:rsidRPr="00AE5C83">
        <w:rPr>
          <w:rFonts w:cs="Times New Roman"/>
          <w:szCs w:val="24"/>
        </w:rPr>
        <w:t xml:space="preserve">) </w:t>
      </w:r>
      <w:r w:rsidR="00E94FB8" w:rsidRPr="00AE5C83">
        <w:rPr>
          <w:rFonts w:cs="Times New Roman"/>
          <w:szCs w:val="24"/>
        </w:rPr>
        <w:t>pieņem lēmumus par</w:t>
      </w:r>
      <w:r w:rsidR="00D619F4" w:rsidRPr="00AE5C83">
        <w:rPr>
          <w:rFonts w:cs="Times New Roman"/>
          <w:szCs w:val="24"/>
        </w:rPr>
        <w:t xml:space="preserve"> f</w:t>
      </w:r>
      <w:r w:rsidR="00C977A9" w:rsidRPr="00AE5C83">
        <w:rPr>
          <w:rFonts w:cs="Times New Roman"/>
          <w:szCs w:val="24"/>
        </w:rPr>
        <w:t xml:space="preserve">inansējuma </w:t>
      </w:r>
      <w:r w:rsidR="00E94FB8" w:rsidRPr="00AE5C83">
        <w:rPr>
          <w:rFonts w:cs="Times New Roman"/>
          <w:szCs w:val="24"/>
        </w:rPr>
        <w:t>sadali</w:t>
      </w:r>
      <w:r w:rsidRPr="00AE5C83">
        <w:rPr>
          <w:rFonts w:cs="Times New Roman"/>
          <w:szCs w:val="24"/>
        </w:rPr>
        <w:t xml:space="preserve"> atbilstoši </w:t>
      </w:r>
      <w:r w:rsidR="00D619F4" w:rsidRPr="00AE5C83">
        <w:rPr>
          <w:rFonts w:cs="Times New Roman"/>
          <w:szCs w:val="24"/>
        </w:rPr>
        <w:t>fonda mērķi</w:t>
      </w:r>
      <w:r w:rsidR="00E94FB8" w:rsidRPr="00AE5C83">
        <w:rPr>
          <w:rFonts w:cs="Times New Roman"/>
          <w:szCs w:val="24"/>
        </w:rPr>
        <w:t>e</w:t>
      </w:r>
      <w:r w:rsidR="00D619F4" w:rsidRPr="00AE5C83">
        <w:rPr>
          <w:rFonts w:cs="Times New Roman"/>
          <w:szCs w:val="24"/>
        </w:rPr>
        <w:t xml:space="preserve">m un PBG </w:t>
      </w:r>
      <w:r w:rsidR="00E94FB8" w:rsidRPr="00AE5C83">
        <w:rPr>
          <w:rFonts w:cs="Times New Roman"/>
          <w:szCs w:val="24"/>
        </w:rPr>
        <w:t xml:space="preserve">Dzimumu līdztiesības </w:t>
      </w:r>
      <w:r w:rsidR="00D619F4" w:rsidRPr="00AE5C83">
        <w:rPr>
          <w:rFonts w:cs="Times New Roman"/>
          <w:szCs w:val="24"/>
        </w:rPr>
        <w:t xml:space="preserve">stratēģijai. </w:t>
      </w:r>
      <w:r w:rsidR="00D847A8" w:rsidRPr="00AE5C83">
        <w:rPr>
          <w:rFonts w:cs="Times New Roman"/>
          <w:szCs w:val="24"/>
        </w:rPr>
        <w:t xml:space="preserve">Finansējums tiek sadalīts, balstoties uz vispārējiem kritērijiem – </w:t>
      </w:r>
      <w:r w:rsidR="002F6CF5" w:rsidRPr="00AE5C83">
        <w:rPr>
          <w:rFonts w:cs="Times New Roman"/>
          <w:szCs w:val="24"/>
        </w:rPr>
        <w:t xml:space="preserve">(1) </w:t>
      </w:r>
      <w:r w:rsidR="00D847A8" w:rsidRPr="00AE5C83">
        <w:rPr>
          <w:rFonts w:cs="Times New Roman"/>
          <w:szCs w:val="24"/>
        </w:rPr>
        <w:t xml:space="preserve">atbilstība PBG Dzimumu līdztiesības stratēģijai, </w:t>
      </w:r>
      <w:r w:rsidR="002F6CF5" w:rsidRPr="00AE5C83">
        <w:rPr>
          <w:rFonts w:cs="Times New Roman"/>
          <w:szCs w:val="24"/>
        </w:rPr>
        <w:t xml:space="preserve">(2) </w:t>
      </w:r>
      <w:r w:rsidR="00D847A8" w:rsidRPr="00AE5C83">
        <w:rPr>
          <w:rFonts w:cs="Times New Roman"/>
          <w:szCs w:val="24"/>
        </w:rPr>
        <w:t xml:space="preserve">atbilstība reģionālajām vajadzībām un prioritātēm saskaņā ar </w:t>
      </w:r>
      <w:r w:rsidR="001F369C" w:rsidRPr="00AE5C83">
        <w:rPr>
          <w:rFonts w:cs="Times New Roman"/>
          <w:szCs w:val="24"/>
        </w:rPr>
        <w:t xml:space="preserve">PBG </w:t>
      </w:r>
      <w:r w:rsidR="00D847A8" w:rsidRPr="00AE5C83">
        <w:rPr>
          <w:rFonts w:cs="Times New Roman"/>
          <w:szCs w:val="24"/>
        </w:rPr>
        <w:t>Reģionālajiem dzimumu līdztiesības rīcības plāniem (</w:t>
      </w:r>
      <w:r w:rsidR="00D847A8" w:rsidRPr="00AE5C83">
        <w:rPr>
          <w:rFonts w:cs="Times New Roman"/>
          <w:i/>
          <w:szCs w:val="24"/>
        </w:rPr>
        <w:t>Regional Gender Action Plans</w:t>
      </w:r>
      <w:r w:rsidR="00D847A8" w:rsidRPr="00AE5C83">
        <w:rPr>
          <w:rFonts w:cs="Times New Roman"/>
          <w:szCs w:val="24"/>
        </w:rPr>
        <w:t xml:space="preserve">), </w:t>
      </w:r>
      <w:r w:rsidR="002F6CF5" w:rsidRPr="00AE5C83">
        <w:rPr>
          <w:rFonts w:cs="Times New Roman"/>
          <w:szCs w:val="24"/>
        </w:rPr>
        <w:t xml:space="preserve">(3) </w:t>
      </w:r>
      <w:r w:rsidR="00D847A8" w:rsidRPr="00AE5C83">
        <w:rPr>
          <w:rFonts w:cs="Times New Roman"/>
          <w:szCs w:val="24"/>
        </w:rPr>
        <w:t xml:space="preserve">atbilstība fonda vispārējiem mērķiem – stiprināt izpratni, zināšanas un kapacitāti </w:t>
      </w:r>
      <w:r w:rsidR="001F369C" w:rsidRPr="00AE5C83">
        <w:rPr>
          <w:rFonts w:cs="Times New Roman"/>
          <w:szCs w:val="24"/>
        </w:rPr>
        <w:t xml:space="preserve">par dzimumu līdztiesību </w:t>
      </w:r>
      <w:r w:rsidR="00D847A8" w:rsidRPr="00AE5C83">
        <w:rPr>
          <w:rFonts w:cs="Times New Roman"/>
          <w:szCs w:val="24"/>
        </w:rPr>
        <w:t>informētas politikas veidošan</w:t>
      </w:r>
      <w:r w:rsidR="001F369C" w:rsidRPr="00AE5C83">
        <w:rPr>
          <w:rFonts w:cs="Times New Roman"/>
          <w:szCs w:val="24"/>
        </w:rPr>
        <w:t>ai</w:t>
      </w:r>
      <w:r w:rsidR="00D847A8" w:rsidRPr="00AE5C83">
        <w:rPr>
          <w:rFonts w:cs="Times New Roman"/>
          <w:szCs w:val="24"/>
        </w:rPr>
        <w:t xml:space="preserve">, </w:t>
      </w:r>
      <w:r w:rsidR="002F6CF5" w:rsidRPr="00AE5C83">
        <w:rPr>
          <w:rFonts w:cs="Times New Roman"/>
          <w:szCs w:val="24"/>
        </w:rPr>
        <w:t>(4) ap</w:t>
      </w:r>
      <w:r w:rsidR="001F369C" w:rsidRPr="00AE5C83">
        <w:rPr>
          <w:rFonts w:cs="Times New Roman"/>
          <w:szCs w:val="24"/>
        </w:rPr>
        <w:t>mērs</w:t>
      </w:r>
      <w:r w:rsidR="002F6CF5" w:rsidRPr="00AE5C83">
        <w:rPr>
          <w:rFonts w:cs="Times New Roman"/>
          <w:szCs w:val="24"/>
        </w:rPr>
        <w:t xml:space="preserve">, kādā aktivitātes sniedz būtisku sabiedrisko labumu vai stimulē inovācijas un investīcijas dzimumu līdztiesības </w:t>
      </w:r>
      <w:r w:rsidR="00A623CF" w:rsidRPr="00AE5C83">
        <w:rPr>
          <w:rFonts w:cs="Times New Roman"/>
          <w:szCs w:val="24"/>
        </w:rPr>
        <w:t>jomas problēmjautājumos</w:t>
      </w:r>
      <w:r w:rsidR="002F6CF5" w:rsidRPr="00AE5C83">
        <w:rPr>
          <w:rFonts w:cs="Times New Roman"/>
          <w:szCs w:val="24"/>
        </w:rPr>
        <w:t>.</w:t>
      </w:r>
      <w:r w:rsidR="001F369C" w:rsidRPr="00AE5C83">
        <w:rPr>
          <w:rFonts w:cs="Times New Roman"/>
          <w:szCs w:val="24"/>
        </w:rPr>
        <w:t xml:space="preserve"> </w:t>
      </w:r>
      <w:r w:rsidR="00D9738C" w:rsidRPr="00AE5C83">
        <w:rPr>
          <w:rFonts w:cs="Times New Roman"/>
          <w:szCs w:val="24"/>
        </w:rPr>
        <w:t>Fonda finansējums tiek sadalīts</w:t>
      </w:r>
      <w:r w:rsidR="004C1DAE" w:rsidRPr="00AE5C83">
        <w:rPr>
          <w:rFonts w:cs="Times New Roman"/>
          <w:szCs w:val="24"/>
        </w:rPr>
        <w:t xml:space="preserve"> </w:t>
      </w:r>
      <w:r w:rsidR="004C5689" w:rsidRPr="00AE5C83">
        <w:rPr>
          <w:rFonts w:cs="Times New Roman"/>
          <w:szCs w:val="24"/>
        </w:rPr>
        <w:t>a)</w:t>
      </w:r>
      <w:r w:rsidR="004C1DAE" w:rsidRPr="00AE5C83">
        <w:rPr>
          <w:rFonts w:cs="Times New Roman"/>
          <w:szCs w:val="24"/>
        </w:rPr>
        <w:t xml:space="preserve"> stratēģiskajās aktivitātēs, kas ir saistītas ar trim minētajām prioritārajām jomām </w:t>
      </w:r>
      <w:r w:rsidR="00316A55" w:rsidRPr="00AE5C83">
        <w:rPr>
          <w:rFonts w:cs="Times New Roman"/>
          <w:szCs w:val="24"/>
        </w:rPr>
        <w:t xml:space="preserve">un </w:t>
      </w:r>
      <w:r w:rsidR="004C5689" w:rsidRPr="00AE5C83">
        <w:rPr>
          <w:rFonts w:cs="Times New Roman"/>
          <w:szCs w:val="24"/>
        </w:rPr>
        <w:t xml:space="preserve">b) </w:t>
      </w:r>
      <w:r w:rsidR="00316A55" w:rsidRPr="00AE5C83">
        <w:rPr>
          <w:rFonts w:cs="Times New Roman"/>
          <w:szCs w:val="24"/>
        </w:rPr>
        <w:t xml:space="preserve">reģionālajos bloka grantos, kas tiks izsniegti uz trim gadiem un kuru izsniegšanas izvērtējums tiks veikts ik pēc 18 mēnešiem, atkarībā no finansējuma pieejamības. </w:t>
      </w:r>
      <w:r w:rsidR="001B15B3" w:rsidRPr="00AE5C83">
        <w:rPr>
          <w:rFonts w:cs="Times New Roman"/>
          <w:szCs w:val="24"/>
        </w:rPr>
        <w:t>PBG investēs un reinvestēs iemaks</w:t>
      </w:r>
      <w:r w:rsidR="0024177B" w:rsidRPr="00AE5C83">
        <w:rPr>
          <w:rFonts w:cs="Times New Roman"/>
          <w:szCs w:val="24"/>
        </w:rPr>
        <w:t>as</w:t>
      </w:r>
      <w:r w:rsidR="001B15B3" w:rsidRPr="00AE5C83">
        <w:rPr>
          <w:rFonts w:cs="Times New Roman"/>
          <w:szCs w:val="24"/>
        </w:rPr>
        <w:t xml:space="preserve"> atbilstoši PBG administrēto trasta fondu investīciju politikai un kārtībai, un visus ienākumus no šādām investīcijām PBG ieskaitīs fondā un izmantos tiem pašiem mērķiem kā donoru iemaksas. </w:t>
      </w:r>
      <w:r w:rsidR="0024177B" w:rsidRPr="00AE5C83">
        <w:rPr>
          <w:rFonts w:cs="Times New Roman"/>
          <w:szCs w:val="24"/>
        </w:rPr>
        <w:t>PBG kā fonda administrators donoru vārdā slēgs granta līgumus ar atbilstīgajiem saņēmējiem, kas tiks izvēlēti atbilstoši PBG Vienošanās 1.pielikumam par finansējuma sadales kritērijiem un grantu līgumu nosacījumiem. PBG veiks grantu līgumos finansēto darbību uzraudzību</w:t>
      </w:r>
      <w:r w:rsidR="009E2AAB" w:rsidRPr="00AE5C83">
        <w:rPr>
          <w:rFonts w:cs="Times New Roman"/>
          <w:szCs w:val="24"/>
        </w:rPr>
        <w:t>.</w:t>
      </w:r>
      <w:r w:rsidR="00AE5C83" w:rsidRPr="00AE5C83">
        <w:rPr>
          <w:rFonts w:cs="Times New Roman"/>
          <w:szCs w:val="24"/>
        </w:rPr>
        <w:t xml:space="preserve"> </w:t>
      </w:r>
      <w:r w:rsidR="00FE1CF0" w:rsidRPr="00AE5C83">
        <w:rPr>
          <w:rFonts w:cs="Times New Roman"/>
          <w:szCs w:val="24"/>
        </w:rPr>
        <w:t>PBG nodrošinās donoriem finanšu informāciju, kas saistīta ar ieņēmumiem, izmaksu un fonda bilanci fonda valūtā caur Pasaules Bankas trasta fondu donoru centra mājas lapu. Sešu mēnešu laikā no fonda saistību izpildes un fonda darbības apturēšanas gala finanšu informācija attiecībā uz ieņēmumiem, izmaksu un fonda bilanci fonda valūtā tiks nodrošināta caur minēto mājas lapu.</w:t>
      </w:r>
      <w:r w:rsidR="00A81E8A" w:rsidRPr="00AE5C83">
        <w:rPr>
          <w:rFonts w:cs="Times New Roman"/>
          <w:szCs w:val="24"/>
        </w:rPr>
        <w:t xml:space="preserve"> </w:t>
      </w:r>
      <w:r w:rsidR="007058CC" w:rsidRPr="00AE5C83">
        <w:rPr>
          <w:rFonts w:cs="Times New Roman"/>
          <w:szCs w:val="24"/>
        </w:rPr>
        <w:t>Plānots, ka fonda iemaksas tiks pilnībā izmaksātas līdz 2022.gada 30.jūnijam</w:t>
      </w:r>
      <w:r w:rsidR="00DA5747" w:rsidRPr="00AE5C83">
        <w:rPr>
          <w:rFonts w:cs="Times New Roman"/>
          <w:szCs w:val="24"/>
        </w:rPr>
        <w:t>.</w:t>
      </w:r>
      <w:r w:rsidR="009B05EA" w:rsidRPr="00AE5C83">
        <w:rPr>
          <w:rFonts w:cs="Times New Roman"/>
          <w:szCs w:val="24"/>
        </w:rPr>
        <w:t xml:space="preserve"> </w:t>
      </w:r>
      <w:r w:rsidR="00DA5747" w:rsidRPr="00AE5C83">
        <w:rPr>
          <w:rFonts w:cs="Times New Roman"/>
          <w:szCs w:val="24"/>
        </w:rPr>
        <w:t>PBG aprēķinās administrēšanas maksu</w:t>
      </w:r>
      <w:r w:rsidR="0097687B" w:rsidRPr="00AE5C83">
        <w:rPr>
          <w:rFonts w:cs="Times New Roman"/>
          <w:szCs w:val="24"/>
        </w:rPr>
        <w:t>, kas ietver</w:t>
      </w:r>
      <w:r w:rsidR="00DA5747" w:rsidRPr="00AE5C83">
        <w:rPr>
          <w:rFonts w:cs="Times New Roman"/>
          <w:szCs w:val="24"/>
        </w:rPr>
        <w:t xml:space="preserve"> katrā noslēgtajā granta līgumā apstiprināto finansējumu</w:t>
      </w:r>
      <w:r w:rsidR="009B05EA" w:rsidRPr="00AE5C83">
        <w:rPr>
          <w:rFonts w:cs="Times New Roman"/>
          <w:szCs w:val="24"/>
        </w:rPr>
        <w:t xml:space="preserve"> un kas tiks atskaitīta no fonda</w:t>
      </w:r>
      <w:r w:rsidR="00DA5747" w:rsidRPr="00AE5C83">
        <w:rPr>
          <w:rFonts w:cs="Times New Roman"/>
          <w:szCs w:val="24"/>
        </w:rPr>
        <w:t>. Š</w:t>
      </w:r>
      <w:r w:rsidR="0097687B" w:rsidRPr="00AE5C83">
        <w:rPr>
          <w:rFonts w:cs="Times New Roman"/>
          <w:szCs w:val="24"/>
        </w:rPr>
        <w:t xml:space="preserve">ī </w:t>
      </w:r>
      <w:r w:rsidR="002E4E3D" w:rsidRPr="00AE5C83">
        <w:rPr>
          <w:rFonts w:cs="Times New Roman"/>
          <w:szCs w:val="24"/>
        </w:rPr>
        <w:t xml:space="preserve">maksa tiks noteikta 5%-2% apmērā un </w:t>
      </w:r>
      <w:r w:rsidR="009B05EA" w:rsidRPr="00AE5C83">
        <w:rPr>
          <w:rFonts w:cs="Times New Roman"/>
          <w:szCs w:val="24"/>
        </w:rPr>
        <w:t xml:space="preserve">būs atkarīga no </w:t>
      </w:r>
      <w:r w:rsidR="00DA5747" w:rsidRPr="00AE5C83">
        <w:rPr>
          <w:rFonts w:cs="Times New Roman"/>
          <w:szCs w:val="24"/>
        </w:rPr>
        <w:t>kopēj</w:t>
      </w:r>
      <w:r w:rsidR="009B05EA" w:rsidRPr="00AE5C83">
        <w:rPr>
          <w:rFonts w:cs="Times New Roman"/>
          <w:szCs w:val="24"/>
        </w:rPr>
        <w:t>ā</w:t>
      </w:r>
      <w:r w:rsidR="00DA5747" w:rsidRPr="00AE5C83">
        <w:rPr>
          <w:rFonts w:cs="Times New Roman"/>
          <w:szCs w:val="24"/>
        </w:rPr>
        <w:t xml:space="preserve"> </w:t>
      </w:r>
      <w:r w:rsidR="0097687B" w:rsidRPr="00AE5C83">
        <w:rPr>
          <w:rFonts w:cs="Times New Roman"/>
          <w:szCs w:val="24"/>
        </w:rPr>
        <w:t>granta līgumos apstiprināt</w:t>
      </w:r>
      <w:r w:rsidR="009B05EA" w:rsidRPr="00AE5C83">
        <w:rPr>
          <w:rFonts w:cs="Times New Roman"/>
          <w:szCs w:val="24"/>
        </w:rPr>
        <w:t>ā</w:t>
      </w:r>
      <w:r w:rsidR="0097687B" w:rsidRPr="00AE5C83">
        <w:rPr>
          <w:rFonts w:cs="Times New Roman"/>
          <w:szCs w:val="24"/>
        </w:rPr>
        <w:t xml:space="preserve"> </w:t>
      </w:r>
      <w:r w:rsidR="00DA5747" w:rsidRPr="00AE5C83">
        <w:rPr>
          <w:rFonts w:cs="Times New Roman"/>
          <w:szCs w:val="24"/>
        </w:rPr>
        <w:t>finans</w:t>
      </w:r>
      <w:r w:rsidR="0097687B" w:rsidRPr="00AE5C83">
        <w:rPr>
          <w:rFonts w:cs="Times New Roman"/>
          <w:szCs w:val="24"/>
        </w:rPr>
        <w:t>ējum</w:t>
      </w:r>
      <w:r w:rsidR="009B05EA" w:rsidRPr="00AE5C83">
        <w:rPr>
          <w:rFonts w:cs="Times New Roman"/>
          <w:szCs w:val="24"/>
        </w:rPr>
        <w:t>a</w:t>
      </w:r>
      <w:r w:rsidR="0097687B" w:rsidRPr="00AE5C83">
        <w:rPr>
          <w:rFonts w:cs="Times New Roman"/>
          <w:szCs w:val="24"/>
        </w:rPr>
        <w:t>.</w:t>
      </w:r>
      <w:r w:rsidR="0024580C" w:rsidRPr="00AE5C83">
        <w:rPr>
          <w:rFonts w:cs="Times New Roman"/>
          <w:szCs w:val="24"/>
        </w:rPr>
        <w:t xml:space="preserve"> </w:t>
      </w:r>
      <w:r w:rsidR="009B05EA" w:rsidRPr="00AE5C83">
        <w:rPr>
          <w:rFonts w:cs="Times New Roman"/>
          <w:szCs w:val="24"/>
        </w:rPr>
        <w:t xml:space="preserve">PBG </w:t>
      </w:r>
      <w:r w:rsidR="002E4E3D" w:rsidRPr="00AE5C83">
        <w:rPr>
          <w:rFonts w:cs="Times New Roman"/>
          <w:szCs w:val="24"/>
        </w:rPr>
        <w:t>organizēs</w:t>
      </w:r>
      <w:r w:rsidR="009B05EA" w:rsidRPr="00AE5C83">
        <w:rPr>
          <w:rFonts w:cs="Times New Roman"/>
          <w:szCs w:val="24"/>
        </w:rPr>
        <w:t xml:space="preserve"> fonda donoru gada sanāksmes, kurās tiks pre</w:t>
      </w:r>
      <w:r w:rsidR="00AE5C83">
        <w:rPr>
          <w:rFonts w:cs="Times New Roman"/>
          <w:szCs w:val="24"/>
        </w:rPr>
        <w:t>zentēti fonda rezultāti, nākotne</w:t>
      </w:r>
      <w:r w:rsidR="009B05EA" w:rsidRPr="00AE5C83">
        <w:rPr>
          <w:rFonts w:cs="Times New Roman"/>
          <w:szCs w:val="24"/>
        </w:rPr>
        <w:t xml:space="preserve">s programmas plāni un diskutēts par stratēģiskiem jautājumiem. Visi donori tiks vienoti informēti par fonda ziņojumiem. </w:t>
      </w:r>
    </w:p>
    <w:p w14:paraId="689B2D27" w14:textId="77777777" w:rsidR="00644E86" w:rsidRDefault="00644E86" w:rsidP="00C822B7">
      <w:pPr>
        <w:ind w:firstLine="720"/>
        <w:jc w:val="both"/>
        <w:rPr>
          <w:rFonts w:cs="Times New Roman"/>
          <w:szCs w:val="24"/>
        </w:rPr>
      </w:pPr>
    </w:p>
    <w:p w14:paraId="654EAE9D" w14:textId="77777777" w:rsidR="00FA64FB" w:rsidRDefault="00FA64FB" w:rsidP="00BB6D13">
      <w:pPr>
        <w:ind w:firstLine="720"/>
        <w:jc w:val="both"/>
        <w:rPr>
          <w:rFonts w:cs="Times New Roman"/>
          <w:b/>
          <w:szCs w:val="24"/>
        </w:rPr>
      </w:pPr>
    </w:p>
    <w:p w14:paraId="7A2402A4" w14:textId="77777777" w:rsidR="00FA64FB" w:rsidRDefault="00FA64FB" w:rsidP="00BB6D13">
      <w:pPr>
        <w:ind w:firstLine="720"/>
        <w:jc w:val="both"/>
        <w:rPr>
          <w:rFonts w:cs="Times New Roman"/>
          <w:b/>
          <w:szCs w:val="24"/>
        </w:rPr>
      </w:pPr>
    </w:p>
    <w:p w14:paraId="29196832" w14:textId="77777777" w:rsidR="00FA64FB" w:rsidRDefault="00FA64FB" w:rsidP="00BB6D13">
      <w:pPr>
        <w:ind w:firstLine="720"/>
        <w:jc w:val="both"/>
        <w:rPr>
          <w:rFonts w:cs="Times New Roman"/>
          <w:b/>
          <w:szCs w:val="24"/>
        </w:rPr>
      </w:pPr>
    </w:p>
    <w:p w14:paraId="2695B899" w14:textId="77777777" w:rsidR="00FA64FB" w:rsidRDefault="00FA64FB" w:rsidP="00BB6D13">
      <w:pPr>
        <w:ind w:firstLine="720"/>
        <w:jc w:val="both"/>
        <w:rPr>
          <w:rFonts w:cs="Times New Roman"/>
          <w:b/>
          <w:szCs w:val="24"/>
        </w:rPr>
      </w:pPr>
    </w:p>
    <w:p w14:paraId="3F524F27" w14:textId="77777777" w:rsidR="00FA64FB" w:rsidRDefault="00FA64FB" w:rsidP="00BB6D13">
      <w:pPr>
        <w:ind w:firstLine="720"/>
        <w:jc w:val="both"/>
        <w:rPr>
          <w:rFonts w:cs="Times New Roman"/>
          <w:b/>
          <w:szCs w:val="24"/>
        </w:rPr>
      </w:pPr>
    </w:p>
    <w:p w14:paraId="357A6B2E" w14:textId="77777777" w:rsidR="00FA64FB" w:rsidRDefault="00FA64FB" w:rsidP="00BB6D13">
      <w:pPr>
        <w:ind w:firstLine="720"/>
        <w:jc w:val="both"/>
        <w:rPr>
          <w:rFonts w:cs="Times New Roman"/>
          <w:b/>
          <w:szCs w:val="24"/>
        </w:rPr>
      </w:pPr>
    </w:p>
    <w:p w14:paraId="5BB0399D" w14:textId="77777777" w:rsidR="00FA64FB" w:rsidRDefault="00FA64FB" w:rsidP="00BB6D13">
      <w:pPr>
        <w:ind w:firstLine="720"/>
        <w:jc w:val="both"/>
        <w:rPr>
          <w:rFonts w:cs="Times New Roman"/>
          <w:b/>
          <w:szCs w:val="24"/>
        </w:rPr>
      </w:pPr>
    </w:p>
    <w:p w14:paraId="4539721B" w14:textId="77777777" w:rsidR="00FA64FB" w:rsidRDefault="00FA64FB" w:rsidP="00BB6D13">
      <w:pPr>
        <w:ind w:firstLine="720"/>
        <w:jc w:val="both"/>
        <w:rPr>
          <w:rFonts w:cs="Times New Roman"/>
          <w:b/>
          <w:szCs w:val="24"/>
        </w:rPr>
      </w:pPr>
    </w:p>
    <w:p w14:paraId="2AF204D9" w14:textId="77777777" w:rsidR="00FA64FB" w:rsidRDefault="00FA64FB" w:rsidP="00BB6D13">
      <w:pPr>
        <w:ind w:firstLine="720"/>
        <w:jc w:val="both"/>
        <w:rPr>
          <w:rFonts w:cs="Times New Roman"/>
          <w:b/>
          <w:szCs w:val="24"/>
        </w:rPr>
      </w:pPr>
    </w:p>
    <w:p w14:paraId="75730082" w14:textId="77777777" w:rsidR="00FA64FB" w:rsidRDefault="00FA64FB" w:rsidP="00BB6D13">
      <w:pPr>
        <w:ind w:firstLine="720"/>
        <w:jc w:val="both"/>
        <w:rPr>
          <w:rFonts w:cs="Times New Roman"/>
          <w:b/>
          <w:szCs w:val="24"/>
        </w:rPr>
      </w:pPr>
    </w:p>
    <w:p w14:paraId="24203079" w14:textId="6904BA7B" w:rsidR="0048212D" w:rsidRPr="00B12391" w:rsidRDefault="0048212D" w:rsidP="00BB6D13">
      <w:pPr>
        <w:ind w:firstLine="720"/>
        <w:jc w:val="both"/>
        <w:rPr>
          <w:rFonts w:cs="Times New Roman"/>
          <w:b/>
          <w:szCs w:val="24"/>
        </w:rPr>
      </w:pPr>
      <w:r w:rsidRPr="00B12391">
        <w:rPr>
          <w:rFonts w:cs="Times New Roman"/>
          <w:b/>
          <w:szCs w:val="24"/>
        </w:rPr>
        <w:t>Turpmākā rīcība</w:t>
      </w:r>
      <w:r w:rsidR="00416E81" w:rsidRPr="00B12391">
        <w:rPr>
          <w:rFonts w:cs="Times New Roman"/>
          <w:b/>
          <w:szCs w:val="24"/>
        </w:rPr>
        <w:t>:</w:t>
      </w:r>
    </w:p>
    <w:p w14:paraId="01F05CBD" w14:textId="77777777" w:rsidR="00715FF4" w:rsidRDefault="00715FF4" w:rsidP="00BB6D13">
      <w:pPr>
        <w:ind w:firstLine="720"/>
        <w:jc w:val="both"/>
        <w:rPr>
          <w:rFonts w:cs="Times New Roman"/>
          <w:szCs w:val="24"/>
        </w:rPr>
      </w:pPr>
    </w:p>
    <w:p w14:paraId="7D227CC6" w14:textId="77777777" w:rsidR="00683FCE" w:rsidRDefault="00683FCE" w:rsidP="00715FF4">
      <w:pPr>
        <w:pStyle w:val="ListParagraph"/>
        <w:numPr>
          <w:ilvl w:val="0"/>
          <w:numId w:val="3"/>
        </w:numPr>
        <w:ind w:left="426"/>
        <w:jc w:val="both"/>
        <w:rPr>
          <w:rFonts w:cs="Times New Roman"/>
          <w:szCs w:val="24"/>
        </w:rPr>
      </w:pPr>
      <w:r>
        <w:rPr>
          <w:rFonts w:cs="Times New Roman"/>
          <w:szCs w:val="24"/>
        </w:rPr>
        <w:t>Pieņemt zināšanai informatīvo ziņojumu</w:t>
      </w:r>
      <w:r w:rsidR="00715FF4">
        <w:rPr>
          <w:rFonts w:cs="Times New Roman"/>
          <w:szCs w:val="24"/>
        </w:rPr>
        <w:t>.</w:t>
      </w:r>
    </w:p>
    <w:p w14:paraId="2F19A807" w14:textId="6BB139EE" w:rsidR="00683FCE" w:rsidRDefault="00683FCE" w:rsidP="00715FF4">
      <w:pPr>
        <w:pStyle w:val="ListParagraph"/>
        <w:numPr>
          <w:ilvl w:val="0"/>
          <w:numId w:val="3"/>
        </w:numPr>
        <w:ind w:left="426"/>
        <w:jc w:val="both"/>
        <w:rPr>
          <w:rFonts w:cs="Times New Roman"/>
          <w:szCs w:val="24"/>
        </w:rPr>
      </w:pPr>
      <w:r>
        <w:rPr>
          <w:rFonts w:cs="Times New Roman"/>
          <w:szCs w:val="24"/>
        </w:rPr>
        <w:t xml:space="preserve">Atbalstīt Latvijas </w:t>
      </w:r>
      <w:r w:rsidR="00715FF4">
        <w:rPr>
          <w:rFonts w:cs="Times New Roman"/>
          <w:szCs w:val="24"/>
        </w:rPr>
        <w:t xml:space="preserve">Republikas </w:t>
      </w:r>
      <w:r>
        <w:rPr>
          <w:rFonts w:cs="Times New Roman"/>
          <w:szCs w:val="24"/>
        </w:rPr>
        <w:t xml:space="preserve">dalību </w:t>
      </w:r>
      <w:r w:rsidR="00715FF4">
        <w:rPr>
          <w:rFonts w:cs="Times New Roman"/>
          <w:szCs w:val="24"/>
        </w:rPr>
        <w:t xml:space="preserve">Pasaules Bankas </w:t>
      </w:r>
      <w:r w:rsidR="00D430A0">
        <w:rPr>
          <w:rFonts w:cs="Times New Roman"/>
          <w:szCs w:val="24"/>
        </w:rPr>
        <w:t xml:space="preserve">Grupas </w:t>
      </w:r>
      <w:r>
        <w:rPr>
          <w:rFonts w:cs="Times New Roman"/>
          <w:szCs w:val="24"/>
        </w:rPr>
        <w:t>Dzimumu līdztiesības trasta fondā</w:t>
      </w:r>
      <w:r w:rsidR="00715FF4">
        <w:rPr>
          <w:rFonts w:cs="Times New Roman"/>
          <w:szCs w:val="24"/>
        </w:rPr>
        <w:t>.</w:t>
      </w:r>
    </w:p>
    <w:p w14:paraId="1848A428" w14:textId="77777777" w:rsidR="000362BA" w:rsidRPr="000362BA" w:rsidRDefault="000362BA" w:rsidP="000362BA">
      <w:pPr>
        <w:pStyle w:val="ListParagraph"/>
        <w:numPr>
          <w:ilvl w:val="0"/>
          <w:numId w:val="3"/>
        </w:numPr>
        <w:ind w:left="426"/>
        <w:jc w:val="both"/>
        <w:rPr>
          <w:rFonts w:cs="Times New Roman"/>
          <w:szCs w:val="24"/>
        </w:rPr>
      </w:pPr>
      <w:r w:rsidRPr="000362BA">
        <w:rPr>
          <w:rFonts w:cs="Times New Roman"/>
          <w:szCs w:val="24"/>
        </w:rPr>
        <w:lastRenderedPageBreak/>
        <w:t>Pilnvarot finanšu ministri Latvijas Republikas valdības vārdā parakstīt Trasta fonda administrēšanas vienošanos starp Latvijas Republiku un Starptautisko Rekonstrukcijas un attīstības banku un Starptautisko Attīstības asociāciju par Pasaules Bankas Grupas Dzimumu līdztiesības trasta fondu.</w:t>
      </w:r>
    </w:p>
    <w:p w14:paraId="35CE5C7D" w14:textId="57DB5FE1" w:rsidR="000362BA" w:rsidRPr="000362BA" w:rsidRDefault="000362BA" w:rsidP="000362BA">
      <w:pPr>
        <w:pStyle w:val="ListParagraph"/>
        <w:numPr>
          <w:ilvl w:val="0"/>
          <w:numId w:val="3"/>
        </w:numPr>
        <w:ind w:left="426"/>
        <w:jc w:val="both"/>
        <w:rPr>
          <w:rFonts w:cs="Times New Roman"/>
          <w:szCs w:val="24"/>
        </w:rPr>
      </w:pPr>
      <w:r w:rsidRPr="000362BA">
        <w:rPr>
          <w:rFonts w:cs="Times New Roman"/>
          <w:szCs w:val="24"/>
        </w:rPr>
        <w:t>Pilnvarot finanšu ministri parakstīt vēstuli Starptautiskajai Rekonstrukcijas un attīstības bankai, ar kuru Starptautiskā Rekonstrukcijas un attīstības banka ti</w:t>
      </w:r>
      <w:r w:rsidR="00955C37">
        <w:rPr>
          <w:rFonts w:cs="Times New Roman"/>
          <w:szCs w:val="24"/>
        </w:rPr>
        <w:t>ek pilnvarota pārskaitīt EUR 39</w:t>
      </w:r>
      <w:r w:rsidRPr="000362BA">
        <w:rPr>
          <w:rFonts w:cs="Times New Roman"/>
          <w:szCs w:val="24"/>
        </w:rPr>
        <w:t xml:space="preserve">986.43, kas atbilst summai, kādā Starptautiskā Rekonstrukcijas un attīstības banka uztur Latvijas iemaksāto kapitāla daļu EUR denominācijā, Pasaules Bankas Grupas Dzimumu līdztiesības trasta fondā saistībā ar Latvijas dalību Dzimumu līdztiesības trasta fondā. </w:t>
      </w:r>
    </w:p>
    <w:p w14:paraId="1D2E6EFF" w14:textId="38F5DA66" w:rsidR="00832C9D" w:rsidRDefault="00832C9D" w:rsidP="00FB456A">
      <w:pPr>
        <w:jc w:val="both"/>
        <w:rPr>
          <w:rFonts w:cs="Times New Roman"/>
          <w:szCs w:val="24"/>
        </w:rPr>
      </w:pPr>
    </w:p>
    <w:p w14:paraId="4AC83D35" w14:textId="7E20F255" w:rsidR="00F87AFF" w:rsidRDefault="00F87AFF" w:rsidP="00FB456A">
      <w:pPr>
        <w:jc w:val="both"/>
        <w:rPr>
          <w:rFonts w:cs="Times New Roman"/>
          <w:szCs w:val="24"/>
        </w:rPr>
      </w:pPr>
    </w:p>
    <w:p w14:paraId="50FDA5E2" w14:textId="14202084" w:rsidR="00F87AFF" w:rsidRDefault="00F87AFF" w:rsidP="00FB456A">
      <w:pPr>
        <w:jc w:val="both"/>
        <w:rPr>
          <w:rFonts w:cs="Times New Roman"/>
          <w:szCs w:val="24"/>
        </w:rPr>
      </w:pPr>
    </w:p>
    <w:p w14:paraId="2F8C2A6A" w14:textId="77777777" w:rsidR="00FA64FB" w:rsidRPr="00FB456A" w:rsidRDefault="00FA64FB" w:rsidP="00FB456A">
      <w:pPr>
        <w:jc w:val="both"/>
        <w:rPr>
          <w:rFonts w:cs="Times New Roman"/>
          <w:szCs w:val="24"/>
        </w:rPr>
      </w:pPr>
    </w:p>
    <w:p w14:paraId="5021513F" w14:textId="77777777" w:rsidR="00B178D1" w:rsidRDefault="00B178D1" w:rsidP="00FB456A">
      <w:pPr>
        <w:jc w:val="both"/>
        <w:rPr>
          <w:rFonts w:cs="Times New Roman"/>
          <w:szCs w:val="24"/>
        </w:rPr>
      </w:pPr>
    </w:p>
    <w:p w14:paraId="2936C18B" w14:textId="77777777" w:rsidR="00B178D1" w:rsidRDefault="00B178D1" w:rsidP="00FB456A">
      <w:pPr>
        <w:jc w:val="both"/>
        <w:rPr>
          <w:rFonts w:cs="Times New Roman"/>
          <w:szCs w:val="24"/>
        </w:rPr>
      </w:pPr>
      <w:r>
        <w:rPr>
          <w:rFonts w:cs="Times New Roman"/>
          <w:szCs w:val="24"/>
        </w:rPr>
        <w:t>Finanšu ministre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D.Reizniece-Ozola</w:t>
      </w:r>
    </w:p>
    <w:p w14:paraId="34ABBB4D" w14:textId="77777777" w:rsidR="003A3222" w:rsidRDefault="003A3222" w:rsidP="00FB456A">
      <w:pPr>
        <w:jc w:val="both"/>
        <w:rPr>
          <w:rFonts w:cs="Times New Roman"/>
          <w:szCs w:val="24"/>
        </w:rPr>
      </w:pPr>
    </w:p>
    <w:p w14:paraId="3B3D4F97" w14:textId="29C546BA" w:rsidR="003A3222" w:rsidRDefault="003A3222" w:rsidP="00FB456A">
      <w:pPr>
        <w:jc w:val="both"/>
        <w:rPr>
          <w:rFonts w:cs="Times New Roman"/>
          <w:szCs w:val="24"/>
        </w:rPr>
      </w:pPr>
    </w:p>
    <w:p w14:paraId="10371475" w14:textId="53A784F8" w:rsidR="00FA64FB" w:rsidRDefault="00FA64FB" w:rsidP="00FB456A">
      <w:pPr>
        <w:jc w:val="both"/>
        <w:rPr>
          <w:rFonts w:cs="Times New Roman"/>
          <w:szCs w:val="24"/>
        </w:rPr>
      </w:pPr>
    </w:p>
    <w:p w14:paraId="5CA4FF33" w14:textId="133ECBF4" w:rsidR="00FA64FB" w:rsidRDefault="00FA64FB" w:rsidP="00FB456A">
      <w:pPr>
        <w:jc w:val="both"/>
        <w:rPr>
          <w:rFonts w:cs="Times New Roman"/>
          <w:szCs w:val="24"/>
        </w:rPr>
      </w:pPr>
    </w:p>
    <w:p w14:paraId="6B230E34" w14:textId="115E9671" w:rsidR="00FA64FB" w:rsidRDefault="00FA64FB" w:rsidP="00FB456A">
      <w:pPr>
        <w:jc w:val="both"/>
        <w:rPr>
          <w:rFonts w:cs="Times New Roman"/>
          <w:szCs w:val="24"/>
        </w:rPr>
      </w:pPr>
    </w:p>
    <w:p w14:paraId="74BE32CE" w14:textId="472FF662" w:rsidR="00FA64FB" w:rsidRDefault="00FA64FB" w:rsidP="00FB456A">
      <w:pPr>
        <w:jc w:val="both"/>
        <w:rPr>
          <w:rFonts w:cs="Times New Roman"/>
          <w:szCs w:val="24"/>
        </w:rPr>
      </w:pPr>
    </w:p>
    <w:p w14:paraId="160BD72F" w14:textId="10F7BC0B" w:rsidR="00FA64FB" w:rsidRDefault="00FA64FB" w:rsidP="00FB456A">
      <w:pPr>
        <w:jc w:val="both"/>
        <w:rPr>
          <w:rFonts w:cs="Times New Roman"/>
          <w:szCs w:val="24"/>
        </w:rPr>
      </w:pPr>
    </w:p>
    <w:p w14:paraId="0AF59D62" w14:textId="0E4F86A9" w:rsidR="00FA64FB" w:rsidRDefault="00FA64FB" w:rsidP="00FB456A">
      <w:pPr>
        <w:jc w:val="both"/>
        <w:rPr>
          <w:rFonts w:cs="Times New Roman"/>
          <w:szCs w:val="24"/>
        </w:rPr>
      </w:pPr>
    </w:p>
    <w:p w14:paraId="1BEDC402" w14:textId="3C78160A" w:rsidR="00FA64FB" w:rsidRDefault="00FA64FB" w:rsidP="00FB456A">
      <w:pPr>
        <w:jc w:val="both"/>
        <w:rPr>
          <w:rFonts w:cs="Times New Roman"/>
          <w:szCs w:val="24"/>
        </w:rPr>
      </w:pPr>
    </w:p>
    <w:p w14:paraId="65F25080" w14:textId="26925B3E" w:rsidR="00FA64FB" w:rsidRDefault="00FA64FB" w:rsidP="00FB456A">
      <w:pPr>
        <w:jc w:val="both"/>
        <w:rPr>
          <w:rFonts w:cs="Times New Roman"/>
          <w:szCs w:val="24"/>
        </w:rPr>
      </w:pPr>
    </w:p>
    <w:p w14:paraId="57C31863" w14:textId="5BF8138B" w:rsidR="00FA64FB" w:rsidRDefault="00FA64FB" w:rsidP="00FB456A">
      <w:pPr>
        <w:jc w:val="both"/>
        <w:rPr>
          <w:rFonts w:cs="Times New Roman"/>
          <w:szCs w:val="24"/>
        </w:rPr>
      </w:pPr>
    </w:p>
    <w:p w14:paraId="5712B39B" w14:textId="77777777" w:rsidR="00FA64FB" w:rsidRDefault="00FA64FB" w:rsidP="00FB456A">
      <w:pPr>
        <w:jc w:val="both"/>
        <w:rPr>
          <w:rFonts w:cs="Times New Roman"/>
          <w:szCs w:val="24"/>
        </w:rPr>
      </w:pPr>
    </w:p>
    <w:p w14:paraId="3A232CCC" w14:textId="77777777" w:rsidR="003A3222" w:rsidRDefault="003A3222" w:rsidP="00FB456A">
      <w:pPr>
        <w:jc w:val="both"/>
        <w:rPr>
          <w:rFonts w:cs="Times New Roman"/>
          <w:szCs w:val="24"/>
        </w:rPr>
      </w:pPr>
    </w:p>
    <w:p w14:paraId="35E262A4" w14:textId="77777777" w:rsidR="00F87AFF" w:rsidRDefault="00F87AFF" w:rsidP="00FB456A">
      <w:pPr>
        <w:jc w:val="both"/>
        <w:rPr>
          <w:rFonts w:cs="Times New Roman"/>
          <w:sz w:val="18"/>
          <w:szCs w:val="24"/>
        </w:rPr>
      </w:pPr>
    </w:p>
    <w:p w14:paraId="727A58E3" w14:textId="592D31F5" w:rsidR="003A3222" w:rsidRPr="003A3222" w:rsidRDefault="003A3222" w:rsidP="00FB456A">
      <w:pPr>
        <w:jc w:val="both"/>
        <w:rPr>
          <w:rFonts w:cs="Times New Roman"/>
          <w:sz w:val="12"/>
          <w:szCs w:val="24"/>
        </w:rPr>
      </w:pPr>
      <w:r w:rsidRPr="003A3222">
        <w:rPr>
          <w:rFonts w:cs="Times New Roman"/>
          <w:sz w:val="18"/>
          <w:szCs w:val="24"/>
        </w:rPr>
        <w:t>I.Forda</w:t>
      </w:r>
      <w:r w:rsidR="00AD6FDC">
        <w:rPr>
          <w:rFonts w:cs="Times New Roman"/>
          <w:sz w:val="18"/>
          <w:szCs w:val="24"/>
        </w:rPr>
        <w:t>, 67095585</w:t>
      </w:r>
    </w:p>
    <w:p w14:paraId="5AB0E0F1" w14:textId="77777777" w:rsidR="00C822B7" w:rsidRPr="004B47EB" w:rsidRDefault="00EB50AF">
      <w:pPr>
        <w:jc w:val="both"/>
        <w:rPr>
          <w:rFonts w:cs="Times New Roman"/>
          <w:sz w:val="18"/>
          <w:szCs w:val="24"/>
        </w:rPr>
      </w:pPr>
      <w:hyperlink r:id="rId8" w:history="1">
        <w:r w:rsidR="003A3222" w:rsidRPr="003A3222">
          <w:rPr>
            <w:rStyle w:val="Hyperlink"/>
            <w:rFonts w:cs="Times New Roman"/>
            <w:sz w:val="18"/>
            <w:szCs w:val="24"/>
          </w:rPr>
          <w:t>Inga.Forda@fm.gov.lv</w:t>
        </w:r>
      </w:hyperlink>
      <w:r w:rsidR="003A3222" w:rsidRPr="003A3222">
        <w:rPr>
          <w:rFonts w:cs="Times New Roman"/>
          <w:sz w:val="18"/>
          <w:szCs w:val="24"/>
        </w:rPr>
        <w:t xml:space="preserve"> </w:t>
      </w:r>
    </w:p>
    <w:sectPr w:rsidR="00C822B7" w:rsidRPr="004B47EB" w:rsidSect="00FB456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F450" w14:textId="77777777" w:rsidR="00F00AD7" w:rsidRDefault="00F00AD7" w:rsidP="001E48AE">
      <w:r>
        <w:separator/>
      </w:r>
    </w:p>
  </w:endnote>
  <w:endnote w:type="continuationSeparator" w:id="0">
    <w:p w14:paraId="742103DC" w14:textId="77777777" w:rsidR="00F00AD7" w:rsidRDefault="00F00AD7" w:rsidP="001E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32257"/>
      <w:docPartObj>
        <w:docPartGallery w:val="Page Numbers (Bottom of Page)"/>
        <w:docPartUnique/>
      </w:docPartObj>
    </w:sdtPr>
    <w:sdtEndPr>
      <w:rPr>
        <w:noProof/>
      </w:rPr>
    </w:sdtEndPr>
    <w:sdtContent>
      <w:p w14:paraId="3D0CCC4F" w14:textId="77777777" w:rsidR="00291D6F" w:rsidRDefault="00291D6F" w:rsidP="00291D6F">
        <w:pPr>
          <w:pStyle w:val="Footer"/>
        </w:pPr>
      </w:p>
      <w:p w14:paraId="6BACBFA1" w14:textId="31BD0F9D" w:rsidR="00291D6F" w:rsidRPr="00291D6F" w:rsidRDefault="00291D6F" w:rsidP="00291D6F">
        <w:pPr>
          <w:pStyle w:val="Footer"/>
          <w:rPr>
            <w:sz w:val="20"/>
          </w:rPr>
        </w:pPr>
        <w:r w:rsidRPr="00291D6F">
          <w:rPr>
            <w:sz w:val="20"/>
            <w:szCs w:val="24"/>
          </w:rPr>
          <w:t>FMzin_15012018_UFGE</w:t>
        </w:r>
        <w:r w:rsidRPr="00291D6F">
          <w:rPr>
            <w:sz w:val="20"/>
          </w:rPr>
          <w:t xml:space="preserve"> </w:t>
        </w:r>
      </w:p>
      <w:p w14:paraId="2533CE30" w14:textId="5238734E" w:rsidR="003E3CE2" w:rsidRDefault="003E3CE2">
        <w:pPr>
          <w:pStyle w:val="Footer"/>
          <w:jc w:val="center"/>
        </w:pPr>
        <w:r>
          <w:fldChar w:fldCharType="begin"/>
        </w:r>
        <w:r>
          <w:instrText xml:space="preserve"> PAGE   \* MERGEFORMAT </w:instrText>
        </w:r>
        <w:r>
          <w:fldChar w:fldCharType="separate"/>
        </w:r>
        <w:r w:rsidR="00EB50AF">
          <w:rPr>
            <w:noProof/>
          </w:rPr>
          <w:t>1</w:t>
        </w:r>
        <w:r>
          <w:rPr>
            <w:noProof/>
          </w:rPr>
          <w:fldChar w:fldCharType="end"/>
        </w:r>
      </w:p>
    </w:sdtContent>
  </w:sdt>
  <w:p w14:paraId="4F79D07E" w14:textId="77777777" w:rsidR="003E3CE2" w:rsidRDefault="003E3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DB5E" w14:textId="77777777" w:rsidR="00F00AD7" w:rsidRDefault="00F00AD7" w:rsidP="001E48AE">
      <w:r>
        <w:separator/>
      </w:r>
    </w:p>
  </w:footnote>
  <w:footnote w:type="continuationSeparator" w:id="0">
    <w:p w14:paraId="41CF5B22" w14:textId="77777777" w:rsidR="00F00AD7" w:rsidRDefault="00F00AD7" w:rsidP="001E48AE">
      <w:r>
        <w:continuationSeparator/>
      </w:r>
    </w:p>
  </w:footnote>
  <w:footnote w:id="1">
    <w:p w14:paraId="3A4CEC91" w14:textId="77777777" w:rsidR="003E3CE2" w:rsidRPr="0031765B" w:rsidRDefault="003E3CE2">
      <w:pPr>
        <w:pStyle w:val="FootnoteText"/>
        <w:rPr>
          <w:sz w:val="16"/>
          <w:szCs w:val="16"/>
        </w:rPr>
      </w:pPr>
      <w:r>
        <w:rPr>
          <w:rStyle w:val="FootnoteReference"/>
        </w:rPr>
        <w:footnoteRef/>
      </w:r>
      <w:r>
        <w:t xml:space="preserve"> </w:t>
      </w:r>
      <w:r w:rsidRPr="0031765B">
        <w:rPr>
          <w:i/>
          <w:sz w:val="16"/>
          <w:szCs w:val="16"/>
        </w:rPr>
        <w:t>Umbrella Facility for Gender Equality</w:t>
      </w:r>
      <w:r w:rsidRPr="0031765B">
        <w:rPr>
          <w:sz w:val="16"/>
          <w:szCs w:val="16"/>
        </w:rPr>
        <w:t xml:space="preserve"> – UFGE;</w:t>
      </w:r>
    </w:p>
  </w:footnote>
  <w:footnote w:id="2">
    <w:p w14:paraId="341C5802" w14:textId="0B17172D" w:rsidR="003E3CE2" w:rsidRPr="002D5556" w:rsidRDefault="003E3CE2" w:rsidP="00482B72">
      <w:pPr>
        <w:pStyle w:val="FootnoteText"/>
        <w:jc w:val="both"/>
        <w:rPr>
          <w:sz w:val="16"/>
          <w:szCs w:val="16"/>
        </w:rPr>
      </w:pPr>
      <w:r w:rsidRPr="0031765B">
        <w:rPr>
          <w:rStyle w:val="FootnoteReference"/>
          <w:sz w:val="16"/>
          <w:szCs w:val="16"/>
        </w:rPr>
        <w:footnoteRef/>
      </w:r>
      <w:r w:rsidRPr="0031765B">
        <w:rPr>
          <w:sz w:val="16"/>
          <w:szCs w:val="16"/>
        </w:rPr>
        <w:t xml:space="preserve"> Ar likumu “Par Latvijas Republikas iestāšanos Starptautiskajā rekonstrukcijas un attīstības bankā, tās apvienotajās organizācijās un Eiropas rekonstrukcijas un attīstības bankā”. </w:t>
      </w:r>
      <w:r w:rsidRPr="002D5556">
        <w:rPr>
          <w:sz w:val="16"/>
          <w:szCs w:val="16"/>
        </w:rPr>
        <w:t>Kā saņēmējvalsts, Latvija ir saņēmusi palīdzību no PBG kopumā 34 projektos. Savukārt 2012.gadā Latvija graduējās</w:t>
      </w:r>
      <w:r w:rsidR="002D5556" w:rsidRPr="002D5556">
        <w:rPr>
          <w:sz w:val="16"/>
          <w:szCs w:val="16"/>
        </w:rPr>
        <w:t xml:space="preserve"> un</w:t>
      </w:r>
      <w:r w:rsidRPr="002D5556">
        <w:rPr>
          <w:sz w:val="16"/>
          <w:szCs w:val="16"/>
        </w:rPr>
        <w:t xml:space="preserve"> no PBG saņēmējvalsts </w:t>
      </w:r>
      <w:r w:rsidR="002D5556" w:rsidRPr="002D5556">
        <w:rPr>
          <w:sz w:val="16"/>
          <w:szCs w:val="16"/>
        </w:rPr>
        <w:t xml:space="preserve">kļuva par </w:t>
      </w:r>
      <w:r w:rsidRPr="002D5556">
        <w:rPr>
          <w:sz w:val="16"/>
          <w:szCs w:val="16"/>
        </w:rPr>
        <w:t xml:space="preserve">donorvalsti, un šajā statusā ir saņēmusi tehnisko palīdzību no PBG kopumā deviņos projektos. PBG no 2004.-2017.gadam ir veicinājusi arī Latvijas uzņēmumu pakalpojumu eksportu caur PBG īstenotajiem projektiem – USD </w:t>
      </w:r>
      <w:r w:rsidR="002D5556" w:rsidRPr="002D5556">
        <w:rPr>
          <w:sz w:val="16"/>
          <w:szCs w:val="16"/>
        </w:rPr>
        <w:t>29,28</w:t>
      </w:r>
      <w:r w:rsidRPr="002D5556">
        <w:rPr>
          <w:sz w:val="16"/>
          <w:szCs w:val="16"/>
        </w:rPr>
        <w:t xml:space="preserve"> miljonu apmērā, realizējot 6</w:t>
      </w:r>
      <w:r w:rsidR="002D5556" w:rsidRPr="002D5556">
        <w:rPr>
          <w:sz w:val="16"/>
          <w:szCs w:val="16"/>
        </w:rPr>
        <w:t>4</w:t>
      </w:r>
      <w:r w:rsidRPr="002D5556">
        <w:rPr>
          <w:sz w:val="16"/>
          <w:szCs w:val="16"/>
        </w:rPr>
        <w:t xml:space="preserve"> projektus PBG darbības valstīs. Pēdējo desmit gadu laikā Latvijas uzņēmēji ir piedalījušies PBG finansētos projektos tādās valstīs, kā Afganistāna, Bangladeša, Tadžikistāna, Moldova, Kirgizstānas Republika, Gruzija, Krievija, Azerbaidžāna un Baltkrievija, Ukraina, Uzbekistāna, Argentīna;</w:t>
      </w:r>
    </w:p>
  </w:footnote>
  <w:footnote w:id="3">
    <w:p w14:paraId="3E691CB1"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Līdz 2030.gadam izbeigt galēju nabadzību pasaulē, līdz 3% samazinot to iedzīvotāju skaitu, kuru ienākumi dienā ir zem USD 1.9;  http://www.worldbank.org/en/about/what-we-do;</w:t>
      </w:r>
      <w:r w:rsidRPr="0031765B" w:rsidDel="00E3700C">
        <w:rPr>
          <w:sz w:val="16"/>
          <w:szCs w:val="16"/>
        </w:rPr>
        <w:t xml:space="preserve"> </w:t>
      </w:r>
      <w:r w:rsidRPr="0031765B">
        <w:rPr>
          <w:sz w:val="16"/>
          <w:szCs w:val="16"/>
        </w:rPr>
        <w:t xml:space="preserve"> </w:t>
      </w:r>
    </w:p>
  </w:footnote>
  <w:footnote w:id="4">
    <w:p w14:paraId="617E9594" w14:textId="77777777" w:rsidR="003E3CE2" w:rsidRPr="0031765B" w:rsidRDefault="003E3CE2" w:rsidP="00482B72">
      <w:pPr>
        <w:pStyle w:val="FootnoteText"/>
        <w:jc w:val="both"/>
        <w:rPr>
          <w:sz w:val="16"/>
          <w:szCs w:val="16"/>
        </w:rPr>
      </w:pPr>
      <w:r w:rsidRPr="0031765B">
        <w:rPr>
          <w:rStyle w:val="FootnoteReference"/>
          <w:sz w:val="16"/>
          <w:szCs w:val="16"/>
        </w:rPr>
        <w:footnoteRef/>
      </w:r>
      <w:r w:rsidRPr="0031765B">
        <w:rPr>
          <w:sz w:val="16"/>
          <w:szCs w:val="16"/>
        </w:rPr>
        <w:t xml:space="preserve"> Līdz 2030.gadam veicināt ilgtspējīgu attīstību, uzlabojot dzīves līmeni 40% no nabadzīgākajiem iedzīvotājiem katrā valstī; turpat; </w:t>
      </w:r>
    </w:p>
  </w:footnote>
  <w:footnote w:id="5">
    <w:p w14:paraId="503D4274"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International Bank for Reconstruction and Development</w:t>
      </w:r>
      <w:r w:rsidRPr="0031765B">
        <w:rPr>
          <w:sz w:val="16"/>
          <w:szCs w:val="16"/>
        </w:rPr>
        <w:t xml:space="preserve"> - IBRD</w:t>
      </w:r>
    </w:p>
  </w:footnote>
  <w:footnote w:id="6">
    <w:p w14:paraId="592B475D"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International Development Association</w:t>
      </w:r>
      <w:r w:rsidRPr="0031765B">
        <w:rPr>
          <w:sz w:val="16"/>
          <w:szCs w:val="16"/>
        </w:rPr>
        <w:t xml:space="preserve"> - IDA</w:t>
      </w:r>
    </w:p>
  </w:footnote>
  <w:footnote w:id="7">
    <w:p w14:paraId="6C5D91D9"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International Financial Corporation</w:t>
      </w:r>
      <w:r w:rsidRPr="0031765B">
        <w:rPr>
          <w:sz w:val="16"/>
          <w:szCs w:val="16"/>
        </w:rPr>
        <w:t xml:space="preserve"> - IFC</w:t>
      </w:r>
    </w:p>
  </w:footnote>
  <w:footnote w:id="8">
    <w:p w14:paraId="5CB13495"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Multilateral Investment Guarantee Agency</w:t>
      </w:r>
      <w:r w:rsidRPr="0031765B">
        <w:rPr>
          <w:sz w:val="16"/>
          <w:szCs w:val="16"/>
        </w:rPr>
        <w:t xml:space="preserve"> - MIGA</w:t>
      </w:r>
    </w:p>
  </w:footnote>
  <w:footnote w:id="9">
    <w:p w14:paraId="153B109F" w14:textId="77777777" w:rsidR="003E3CE2" w:rsidRPr="0031765B" w:rsidRDefault="003E3CE2" w:rsidP="003B7317">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International Centre for Settlement of Investment Disputes</w:t>
      </w:r>
      <w:r w:rsidRPr="0031765B">
        <w:rPr>
          <w:sz w:val="16"/>
          <w:szCs w:val="16"/>
        </w:rPr>
        <w:t xml:space="preserve"> - ICSID</w:t>
      </w:r>
    </w:p>
  </w:footnote>
  <w:footnote w:id="10">
    <w:p w14:paraId="15F96B19" w14:textId="77777777" w:rsidR="003E3CE2" w:rsidRPr="0031765B" w:rsidRDefault="003E3CE2" w:rsidP="00482B72">
      <w:pPr>
        <w:pStyle w:val="FootnoteText"/>
        <w:jc w:val="both"/>
        <w:rPr>
          <w:sz w:val="16"/>
          <w:szCs w:val="16"/>
        </w:rPr>
      </w:pPr>
      <w:r w:rsidRPr="0031765B">
        <w:rPr>
          <w:rStyle w:val="FootnoteReference"/>
          <w:sz w:val="16"/>
          <w:szCs w:val="16"/>
        </w:rPr>
        <w:footnoteRef/>
      </w:r>
      <w:r w:rsidRPr="0031765B">
        <w:rPr>
          <w:sz w:val="16"/>
          <w:szCs w:val="16"/>
        </w:rPr>
        <w:t xml:space="preserve"> Saskaņā ar PB terminoloģiju, dzimums (</w:t>
      </w:r>
      <w:r w:rsidRPr="0031765B">
        <w:rPr>
          <w:i/>
          <w:sz w:val="16"/>
          <w:szCs w:val="16"/>
        </w:rPr>
        <w:t>Gender</w:t>
      </w:r>
      <w:r w:rsidRPr="0031765B">
        <w:rPr>
          <w:sz w:val="16"/>
          <w:szCs w:val="16"/>
        </w:rPr>
        <w:t>) attiecas uz sociālajām, uzvedības un kultūras iezīmēm, izredzēm un normām atkarībā no sieviešu vai vīriešu dzimuma, savukārt dzimumu līdztiesība (</w:t>
      </w:r>
      <w:r w:rsidRPr="0031765B">
        <w:rPr>
          <w:i/>
          <w:sz w:val="16"/>
          <w:szCs w:val="16"/>
        </w:rPr>
        <w:t>Gender equality</w:t>
      </w:r>
      <w:r w:rsidRPr="0031765B">
        <w:rPr>
          <w:sz w:val="16"/>
          <w:szCs w:val="16"/>
        </w:rPr>
        <w:t>) attiecas uz to, kā šie faktori nosaka veidu, kā sievietes un vīrieši attiecas viens pret otru un no tā izrietošajām atšķirībām varas pozīcijās starp abiem dzimumiem (</w:t>
      </w:r>
      <w:r w:rsidRPr="0031765B">
        <w:rPr>
          <w:i/>
          <w:sz w:val="16"/>
          <w:szCs w:val="16"/>
        </w:rPr>
        <w:t>World Development Report 2012: Gender Equality and Development</w:t>
      </w:r>
      <w:r w:rsidRPr="0031765B">
        <w:rPr>
          <w:sz w:val="16"/>
          <w:szCs w:val="16"/>
        </w:rPr>
        <w:t>);</w:t>
      </w:r>
    </w:p>
  </w:footnote>
  <w:footnote w:id="11">
    <w:p w14:paraId="1C8E4E90" w14:textId="77777777" w:rsidR="003E3CE2" w:rsidRDefault="003E3CE2">
      <w:pPr>
        <w:pStyle w:val="FootnoteText"/>
      </w:pPr>
      <w:r w:rsidRPr="0031765B">
        <w:rPr>
          <w:rStyle w:val="FootnoteReference"/>
          <w:sz w:val="16"/>
          <w:szCs w:val="16"/>
        </w:rPr>
        <w:footnoteRef/>
      </w:r>
      <w:r w:rsidRPr="0031765B">
        <w:rPr>
          <w:sz w:val="16"/>
          <w:szCs w:val="16"/>
        </w:rPr>
        <w:t xml:space="preserve"> </w:t>
      </w:r>
      <w:r w:rsidRPr="0031765B">
        <w:rPr>
          <w:i/>
          <w:sz w:val="16"/>
          <w:szCs w:val="16"/>
        </w:rPr>
        <w:t>SDG 5 -</w:t>
      </w:r>
      <w:r w:rsidRPr="0031765B">
        <w:rPr>
          <w:sz w:val="16"/>
          <w:szCs w:val="16"/>
        </w:rPr>
        <w:t xml:space="preserve"> </w:t>
      </w:r>
      <w:r w:rsidRPr="0031765B">
        <w:rPr>
          <w:i/>
          <w:sz w:val="16"/>
          <w:szCs w:val="16"/>
        </w:rPr>
        <w:t>Achieve gender equality and empower all women and girls, Transforming our world: the 2030 Agenda for Sustainable Development,</w:t>
      </w:r>
      <w:r w:rsidRPr="0031765B">
        <w:rPr>
          <w:sz w:val="16"/>
          <w:szCs w:val="16"/>
        </w:rPr>
        <w:t>18.lp.</w:t>
      </w:r>
      <w:r w:rsidRPr="0031765B">
        <w:rPr>
          <w:i/>
          <w:sz w:val="16"/>
          <w:szCs w:val="16"/>
        </w:rPr>
        <w:t xml:space="preserve"> </w:t>
      </w:r>
      <w:r w:rsidRPr="0031765B">
        <w:rPr>
          <w:sz w:val="16"/>
          <w:szCs w:val="16"/>
        </w:rPr>
        <w:t xml:space="preserve">pieejams: </w:t>
      </w:r>
      <w:hyperlink r:id="rId1" w:history="1">
        <w:r w:rsidRPr="0031765B">
          <w:rPr>
            <w:rStyle w:val="Hyperlink"/>
            <w:sz w:val="16"/>
            <w:szCs w:val="16"/>
          </w:rPr>
          <w:t>https://documents-dds-ny.un.org/doc/UNDOC/GEN/N15/291/89/DOC/N1529189.DOCX</w:t>
        </w:r>
      </w:hyperlink>
      <w:r w:rsidRPr="00482B72">
        <w:rPr>
          <w:i/>
          <w:sz w:val="18"/>
          <w:szCs w:val="18"/>
        </w:rPr>
        <w:t xml:space="preserve"> </w:t>
      </w:r>
    </w:p>
  </w:footnote>
  <w:footnote w:id="12">
    <w:p w14:paraId="1A68B1CC"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World Bank Group gender strategy (FY16-23): gender equality, poverty reduction and inclusive growth</w:t>
      </w:r>
      <w:r w:rsidRPr="0031765B">
        <w:rPr>
          <w:sz w:val="16"/>
          <w:szCs w:val="16"/>
        </w:rPr>
        <w:t xml:space="preserve">, 17.lp.; pieejams šeit: </w:t>
      </w:r>
      <w:hyperlink r:id="rId2" w:history="1">
        <w:r w:rsidRPr="0031765B">
          <w:rPr>
            <w:rStyle w:val="Hyperlink"/>
            <w:sz w:val="16"/>
            <w:szCs w:val="16"/>
          </w:rPr>
          <w:t>http://documents.worldbank.org/curated/en/820851467992505410/World-Bank-Group-gender-strategy-FY16-23-gender-equality-poverty-reduction-and-inclusive-growth</w:t>
        </w:r>
      </w:hyperlink>
    </w:p>
  </w:footnote>
  <w:footnote w:id="13">
    <w:p w14:paraId="3D799D86" w14:textId="77777777" w:rsidR="003E3CE2" w:rsidRPr="0031765B" w:rsidRDefault="003E3CE2">
      <w:pPr>
        <w:pStyle w:val="FootnoteText"/>
        <w:rPr>
          <w:sz w:val="16"/>
          <w:szCs w:val="16"/>
        </w:rPr>
      </w:pPr>
      <w:r w:rsidRPr="0031765B">
        <w:rPr>
          <w:rStyle w:val="FootnoteReference"/>
          <w:sz w:val="16"/>
          <w:szCs w:val="16"/>
        </w:rPr>
        <w:footnoteRef/>
      </w:r>
      <w:r w:rsidRPr="0031765B">
        <w:rPr>
          <w:sz w:val="16"/>
          <w:szCs w:val="16"/>
        </w:rPr>
        <w:t xml:space="preserve"> Turpat, 18.lp;</w:t>
      </w:r>
    </w:p>
  </w:footnote>
  <w:footnote w:id="14">
    <w:p w14:paraId="7D9D0347" w14:textId="77777777" w:rsidR="003E3CE2" w:rsidRPr="0031765B" w:rsidRDefault="003E3CE2" w:rsidP="00A261B5">
      <w:pPr>
        <w:pStyle w:val="FootnoteText"/>
        <w:rPr>
          <w:sz w:val="16"/>
          <w:szCs w:val="16"/>
        </w:rPr>
      </w:pPr>
      <w:r w:rsidRPr="0031765B">
        <w:rPr>
          <w:rStyle w:val="FootnoteReference"/>
          <w:sz w:val="16"/>
          <w:szCs w:val="16"/>
        </w:rPr>
        <w:footnoteRef/>
      </w:r>
      <w:r w:rsidRPr="0031765B">
        <w:rPr>
          <w:sz w:val="16"/>
          <w:szCs w:val="16"/>
        </w:rPr>
        <w:t xml:space="preserve"> </w:t>
      </w:r>
      <w:r w:rsidRPr="0031765B">
        <w:rPr>
          <w:i/>
          <w:sz w:val="16"/>
          <w:szCs w:val="16"/>
        </w:rPr>
        <w:t>World Bank Group gender strategy (FY16-23): gender equality, poverty reduction and inclusive growth</w:t>
      </w:r>
      <w:r w:rsidRPr="0031765B">
        <w:rPr>
          <w:sz w:val="16"/>
          <w:szCs w:val="16"/>
        </w:rPr>
        <w:t xml:space="preserve">, 8.lp.; pieejams šeit: </w:t>
      </w:r>
      <w:hyperlink r:id="rId3" w:history="1">
        <w:r w:rsidRPr="0031765B">
          <w:rPr>
            <w:rStyle w:val="Hyperlink"/>
            <w:sz w:val="16"/>
            <w:szCs w:val="16"/>
          </w:rPr>
          <w:t>http://documents.worldbank.org/curated/en/820851467992505410/World-Bank-Group-gender-strategy-FY16-23-gender-equality-poverty-reduction-and-inclusive-growth</w:t>
        </w:r>
      </w:hyperlink>
      <w:r w:rsidRPr="0031765B">
        <w:rPr>
          <w:sz w:val="16"/>
          <w:szCs w:val="16"/>
        </w:rPr>
        <w:t xml:space="preserve">; </w:t>
      </w:r>
    </w:p>
  </w:footnote>
  <w:footnote w:id="15">
    <w:p w14:paraId="23F5750B" w14:textId="40169C67" w:rsidR="000A389E" w:rsidRDefault="000A389E">
      <w:pPr>
        <w:pStyle w:val="FootnoteText"/>
      </w:pPr>
      <w:r>
        <w:rPr>
          <w:rStyle w:val="FootnoteReference"/>
        </w:rPr>
        <w:footnoteRef/>
      </w:r>
      <w:r>
        <w:t xml:space="preserve"> </w:t>
      </w:r>
      <w:r w:rsidRPr="000A389E">
        <w:rPr>
          <w:sz w:val="16"/>
        </w:rPr>
        <w:t>Turpat</w:t>
      </w:r>
      <w:r>
        <w:rPr>
          <w:sz w:val="16"/>
        </w:rPr>
        <w:t>, 8.lp.;</w:t>
      </w:r>
    </w:p>
  </w:footnote>
  <w:footnote w:id="16">
    <w:p w14:paraId="0B93C6B0" w14:textId="77777777" w:rsidR="003E3CE2" w:rsidRPr="00BD456A" w:rsidRDefault="003E3CE2" w:rsidP="00482B72">
      <w:pPr>
        <w:pStyle w:val="FootnoteText"/>
        <w:jc w:val="both"/>
        <w:rPr>
          <w:sz w:val="18"/>
        </w:rPr>
      </w:pPr>
      <w:r w:rsidRPr="0031765B">
        <w:rPr>
          <w:rStyle w:val="FootnoteReference"/>
          <w:sz w:val="16"/>
          <w:szCs w:val="16"/>
          <w:lang w:val="en-GB"/>
        </w:rPr>
        <w:footnoteRef/>
      </w:r>
      <w:r w:rsidRPr="0031765B">
        <w:rPr>
          <w:sz w:val="16"/>
          <w:szCs w:val="16"/>
        </w:rPr>
        <w:t xml:space="preserve"> Turpat</w:t>
      </w:r>
      <w:r w:rsidRPr="0031765B">
        <w:rPr>
          <w:i/>
          <w:sz w:val="16"/>
          <w:szCs w:val="16"/>
        </w:rPr>
        <w:t>;</w:t>
      </w:r>
    </w:p>
  </w:footnote>
  <w:footnote w:id="17">
    <w:p w14:paraId="3F3A0636" w14:textId="77777777" w:rsidR="005501E0" w:rsidRPr="0031765B" w:rsidRDefault="00C83E14" w:rsidP="00482B72">
      <w:pPr>
        <w:pStyle w:val="FootnoteText"/>
        <w:jc w:val="both"/>
        <w:rPr>
          <w:sz w:val="16"/>
          <w:szCs w:val="16"/>
        </w:rPr>
      </w:pPr>
      <w:r w:rsidRPr="0031765B">
        <w:rPr>
          <w:rStyle w:val="FootnoteReference"/>
          <w:sz w:val="16"/>
          <w:szCs w:val="16"/>
        </w:rPr>
        <w:footnoteRef/>
      </w:r>
      <w:r w:rsidRPr="0031765B">
        <w:rPr>
          <w:sz w:val="16"/>
          <w:szCs w:val="16"/>
        </w:rPr>
        <w:t xml:space="preserve"> </w:t>
      </w:r>
      <w:r w:rsidRPr="0031765B">
        <w:rPr>
          <w:i/>
          <w:sz w:val="16"/>
          <w:szCs w:val="16"/>
        </w:rPr>
        <w:t>UNWomen</w:t>
      </w:r>
      <w:r w:rsidRPr="0031765B">
        <w:rPr>
          <w:sz w:val="16"/>
          <w:szCs w:val="16"/>
        </w:rPr>
        <w:t xml:space="preserve"> iniciatīva </w:t>
      </w:r>
      <w:r w:rsidRPr="0031765B">
        <w:rPr>
          <w:i/>
          <w:sz w:val="16"/>
          <w:szCs w:val="16"/>
        </w:rPr>
        <w:t>HeForShe</w:t>
      </w:r>
      <w:r w:rsidRPr="0031765B">
        <w:rPr>
          <w:sz w:val="16"/>
          <w:szCs w:val="16"/>
        </w:rPr>
        <w:t xml:space="preserve">, kas izveidota 2014.gadā, </w:t>
      </w:r>
      <w:r w:rsidR="005501E0" w:rsidRPr="0031765B">
        <w:rPr>
          <w:sz w:val="16"/>
          <w:szCs w:val="16"/>
        </w:rPr>
        <w:t xml:space="preserve">ir </w:t>
      </w:r>
      <w:r w:rsidRPr="0031765B">
        <w:rPr>
          <w:sz w:val="16"/>
          <w:szCs w:val="16"/>
        </w:rPr>
        <w:t>solidaritātes kustība dzimumu līdzties</w:t>
      </w:r>
      <w:r w:rsidR="005501E0" w:rsidRPr="0031765B">
        <w:rPr>
          <w:sz w:val="16"/>
          <w:szCs w:val="16"/>
        </w:rPr>
        <w:t xml:space="preserve">ībai, kas </w:t>
      </w:r>
      <w:r w:rsidRPr="0031765B">
        <w:rPr>
          <w:sz w:val="16"/>
          <w:szCs w:val="16"/>
        </w:rPr>
        <w:t>nodrošina sistēmisku pieeju un mērķtiecīgu platformu, kurā pasaules mērķauditorija var iesaistīties un kļūt par aģentiem dzimumu līdztiesības sasniegšanā</w:t>
      </w:r>
      <w:r w:rsidR="005501E0" w:rsidRPr="0031765B">
        <w:rPr>
          <w:sz w:val="16"/>
          <w:szCs w:val="16"/>
        </w:rPr>
        <w:t>;</w:t>
      </w:r>
      <w:r w:rsidRPr="0031765B">
        <w:rPr>
          <w:sz w:val="16"/>
          <w:szCs w:val="16"/>
        </w:rPr>
        <w:t xml:space="preserve"> </w:t>
      </w:r>
      <w:r w:rsidR="005501E0" w:rsidRPr="0031765B">
        <w:rPr>
          <w:sz w:val="16"/>
          <w:szCs w:val="16"/>
        </w:rPr>
        <w:t>vairāk informācijas:</w:t>
      </w:r>
    </w:p>
    <w:p w14:paraId="300D08E7" w14:textId="77777777" w:rsidR="00C83E14" w:rsidRPr="0031765B" w:rsidRDefault="00EB50AF" w:rsidP="00482B72">
      <w:pPr>
        <w:pStyle w:val="FootnoteText"/>
        <w:jc w:val="both"/>
        <w:rPr>
          <w:sz w:val="16"/>
          <w:szCs w:val="16"/>
        </w:rPr>
      </w:pPr>
      <w:hyperlink r:id="rId4" w:history="1">
        <w:r w:rsidR="005501E0" w:rsidRPr="0031765B">
          <w:rPr>
            <w:rStyle w:val="Hyperlink"/>
            <w:sz w:val="16"/>
            <w:szCs w:val="16"/>
          </w:rPr>
          <w:t>http://www.heforshe.org/~/media/HeForShe/Files/ThematicChampion/HeForShe_Thematic_Champion_Brief_1_pager.pdf</w:t>
        </w:r>
      </w:hyperlink>
      <w:r w:rsidR="005501E0" w:rsidRPr="0031765B">
        <w:rPr>
          <w:sz w:val="16"/>
          <w:szCs w:val="16"/>
        </w:rPr>
        <w:t xml:space="preserve"> </w:t>
      </w:r>
    </w:p>
  </w:footnote>
  <w:footnote w:id="18">
    <w:p w14:paraId="7F1B6419" w14:textId="77777777" w:rsidR="005501E0" w:rsidRPr="0031765B" w:rsidRDefault="005501E0" w:rsidP="00482B72">
      <w:pPr>
        <w:pStyle w:val="FootnoteText"/>
        <w:jc w:val="both"/>
        <w:rPr>
          <w:sz w:val="16"/>
          <w:szCs w:val="16"/>
        </w:rPr>
      </w:pPr>
      <w:r w:rsidRPr="0031765B">
        <w:rPr>
          <w:rStyle w:val="FootnoteReference"/>
          <w:sz w:val="16"/>
          <w:szCs w:val="16"/>
        </w:rPr>
        <w:footnoteRef/>
      </w:r>
      <w:r w:rsidRPr="0031765B">
        <w:rPr>
          <w:sz w:val="16"/>
          <w:szCs w:val="16"/>
        </w:rPr>
        <w:t xml:space="preserve"> EDGE sertifikācija ir pasaulē vadošā novērtēšanas metodoloģija un biznesa sertifikācijas standarts dzimumu līdztiesības jomā. EDGE sertifikācija ir izveidot</w:t>
      </w:r>
      <w:r w:rsidR="00B12FC8" w:rsidRPr="0031765B">
        <w:rPr>
          <w:sz w:val="16"/>
          <w:szCs w:val="16"/>
        </w:rPr>
        <w:t>a</w:t>
      </w:r>
      <w:r w:rsidRPr="0031765B">
        <w:rPr>
          <w:sz w:val="16"/>
          <w:szCs w:val="16"/>
        </w:rPr>
        <w:t>, lai palīdzētu organizācijā</w:t>
      </w:r>
      <w:r w:rsidR="00B12FC8" w:rsidRPr="0031765B">
        <w:rPr>
          <w:sz w:val="16"/>
          <w:szCs w:val="16"/>
        </w:rPr>
        <w:t>m</w:t>
      </w:r>
      <w:r w:rsidRPr="0031765B">
        <w:rPr>
          <w:sz w:val="16"/>
          <w:szCs w:val="16"/>
        </w:rPr>
        <w:t xml:space="preserve"> ne tikai radīt optimālus darba apstākļus sievietēm un vīriešiem, bet arī </w:t>
      </w:r>
      <w:r w:rsidR="00B12FC8" w:rsidRPr="0031765B">
        <w:rPr>
          <w:sz w:val="16"/>
          <w:szCs w:val="16"/>
        </w:rPr>
        <w:t xml:space="preserve">gūt </w:t>
      </w:r>
      <w:r w:rsidRPr="0031765B">
        <w:rPr>
          <w:sz w:val="16"/>
          <w:szCs w:val="16"/>
        </w:rPr>
        <w:t>no tā priekšrocības. EDGE sertifikācija strādā ar vairāk kā 170 organizācijām vairāk kā 48 valstīs un 23 industrijās;</w:t>
      </w:r>
      <w:r w:rsidR="00697D51" w:rsidRPr="0031765B">
        <w:rPr>
          <w:sz w:val="16"/>
          <w:szCs w:val="16"/>
        </w:rPr>
        <w:t xml:space="preserve"> vairāk informācijas: </w:t>
      </w:r>
      <w:hyperlink r:id="rId5" w:history="1">
        <w:r w:rsidR="00697D51" w:rsidRPr="0031765B">
          <w:rPr>
            <w:rStyle w:val="Hyperlink"/>
            <w:sz w:val="16"/>
            <w:szCs w:val="16"/>
          </w:rPr>
          <w:t>http://edge-cert.org/</w:t>
        </w:r>
      </w:hyperlink>
      <w:r w:rsidR="00697D51" w:rsidRPr="0031765B">
        <w:rPr>
          <w:sz w:val="16"/>
          <w:szCs w:val="16"/>
        </w:rPr>
        <w:t xml:space="preserve"> </w:t>
      </w:r>
    </w:p>
  </w:footnote>
  <w:footnote w:id="19">
    <w:p w14:paraId="58DC1FA5" w14:textId="77777777" w:rsidR="00AF4154" w:rsidRPr="0031765B" w:rsidRDefault="00AF4154" w:rsidP="00BD456A">
      <w:pPr>
        <w:pStyle w:val="FootnoteText"/>
        <w:jc w:val="both"/>
        <w:rPr>
          <w:sz w:val="16"/>
          <w:szCs w:val="16"/>
        </w:rPr>
      </w:pPr>
      <w:r w:rsidRPr="0031765B">
        <w:rPr>
          <w:rStyle w:val="FootnoteReference"/>
          <w:sz w:val="16"/>
          <w:szCs w:val="16"/>
        </w:rPr>
        <w:footnoteRef/>
      </w:r>
      <w:r w:rsidRPr="0031765B">
        <w:rPr>
          <w:sz w:val="16"/>
          <w:szCs w:val="16"/>
        </w:rPr>
        <w:t xml:space="preserve"> </w:t>
      </w:r>
      <w:r w:rsidR="00634AF2" w:rsidRPr="0031765B">
        <w:rPr>
          <w:sz w:val="16"/>
          <w:szCs w:val="16"/>
        </w:rPr>
        <w:t>PBG Starptautiskā Attīstības asociācija jeb IDA ir lielākā attīstības palīdzības platforma pasaulē, kas sniedz grantus un aizdevumus uz atvieglotiem noteikumiem 77 vismazāk attīstītajās valstīs. Reizi trijos gados IDA veic resursu papildināšanu IDA</w:t>
      </w:r>
      <w:r w:rsidR="0031765B" w:rsidRPr="0031765B">
        <w:rPr>
          <w:sz w:val="16"/>
          <w:szCs w:val="16"/>
        </w:rPr>
        <w:t xml:space="preserve"> koncentrējoties</w:t>
      </w:r>
      <w:r w:rsidR="00634AF2" w:rsidRPr="0031765B">
        <w:rPr>
          <w:sz w:val="16"/>
          <w:szCs w:val="16"/>
        </w:rPr>
        <w:t xml:space="preserve"> saņēmējvalstu kritiskākajās jomās. 2017.gadā tika apstiprināta IDA 18.resursu papildināšana jeb IDA18, </w:t>
      </w:r>
      <w:r w:rsidR="0031765B" w:rsidRPr="0031765B">
        <w:rPr>
          <w:sz w:val="16"/>
          <w:szCs w:val="16"/>
        </w:rPr>
        <w:t>(</w:t>
      </w:r>
      <w:r w:rsidR="00634AF2" w:rsidRPr="0031765B">
        <w:rPr>
          <w:sz w:val="16"/>
          <w:szCs w:val="16"/>
        </w:rPr>
        <w:t>75 miljon</w:t>
      </w:r>
      <w:r w:rsidR="0031765B" w:rsidRPr="0031765B">
        <w:rPr>
          <w:sz w:val="16"/>
          <w:szCs w:val="16"/>
        </w:rPr>
        <w:t>i)</w:t>
      </w:r>
      <w:r w:rsidR="00634AF2" w:rsidRPr="0031765B">
        <w:rPr>
          <w:sz w:val="16"/>
          <w:szCs w:val="16"/>
        </w:rPr>
        <w:t>;</w:t>
      </w:r>
    </w:p>
  </w:footnote>
  <w:footnote w:id="20">
    <w:p w14:paraId="0FB6F3DB" w14:textId="77777777" w:rsidR="0054479F" w:rsidRPr="0031765B" w:rsidRDefault="0054479F" w:rsidP="00BD456A">
      <w:pPr>
        <w:pStyle w:val="FootnoteText"/>
        <w:jc w:val="both"/>
        <w:rPr>
          <w:sz w:val="16"/>
          <w:szCs w:val="16"/>
        </w:rPr>
      </w:pPr>
      <w:r w:rsidRPr="0031765B">
        <w:rPr>
          <w:rStyle w:val="FootnoteReference"/>
          <w:sz w:val="16"/>
          <w:szCs w:val="16"/>
        </w:rPr>
        <w:footnoteRef/>
      </w:r>
      <w:r w:rsidRPr="0031765B">
        <w:rPr>
          <w:sz w:val="16"/>
          <w:szCs w:val="16"/>
        </w:rPr>
        <w:t xml:space="preserve"> 2012.gadā</w:t>
      </w:r>
      <w:r w:rsidR="006B75D4" w:rsidRPr="0031765B">
        <w:rPr>
          <w:sz w:val="16"/>
          <w:szCs w:val="16"/>
        </w:rPr>
        <w:t xml:space="preserve"> izveidots PBG administrēts multidonoru trasta fonds</w:t>
      </w:r>
      <w:r w:rsidRPr="0031765B">
        <w:rPr>
          <w:sz w:val="16"/>
          <w:szCs w:val="16"/>
        </w:rPr>
        <w:t>, piedalās 13 valstis - Austrālija, Kanāda, Dānija, Somija, Vācija, Islande, Nīderlande, Norvēģija, Spānija, Zviedrija, Šveice, Apvienotā Karaliste, ASV ar kopēju ieguldījumu USD 72 milj. apmērā kopš fonda dibināšanas brīža;</w:t>
      </w:r>
    </w:p>
  </w:footnote>
  <w:footnote w:id="21">
    <w:p w14:paraId="78B5D626" w14:textId="77777777" w:rsidR="00AF4154" w:rsidRPr="0031765B" w:rsidRDefault="00AF4154" w:rsidP="00BD456A">
      <w:pPr>
        <w:pStyle w:val="FootnoteText"/>
        <w:jc w:val="both"/>
        <w:rPr>
          <w:sz w:val="16"/>
          <w:szCs w:val="16"/>
        </w:rPr>
      </w:pPr>
      <w:r w:rsidRPr="0031765B">
        <w:rPr>
          <w:rStyle w:val="FootnoteReference"/>
          <w:sz w:val="16"/>
          <w:szCs w:val="16"/>
        </w:rPr>
        <w:footnoteRef/>
      </w:r>
      <w:r w:rsidRPr="0031765B">
        <w:rPr>
          <w:sz w:val="16"/>
          <w:szCs w:val="16"/>
        </w:rPr>
        <w:t xml:space="preserve"> </w:t>
      </w:r>
      <w:r w:rsidR="006B75D4" w:rsidRPr="0031765B">
        <w:rPr>
          <w:sz w:val="16"/>
          <w:szCs w:val="16"/>
        </w:rPr>
        <w:t xml:space="preserve">2015.gadā izveidots </w:t>
      </w:r>
      <w:r w:rsidR="0054479F" w:rsidRPr="0031765B">
        <w:rPr>
          <w:sz w:val="16"/>
          <w:szCs w:val="16"/>
        </w:rPr>
        <w:t xml:space="preserve">PBG administrēts multidonoru trasta fonds ar bilaterālo donoru un privāto fondu finanšu ieguldījumiem </w:t>
      </w:r>
      <w:r w:rsidR="00BD456A" w:rsidRPr="0031765B">
        <w:rPr>
          <w:sz w:val="16"/>
          <w:szCs w:val="16"/>
        </w:rPr>
        <w:t xml:space="preserve">virs </w:t>
      </w:r>
      <w:r w:rsidR="0054479F" w:rsidRPr="0031765B">
        <w:rPr>
          <w:sz w:val="16"/>
          <w:szCs w:val="16"/>
        </w:rPr>
        <w:t xml:space="preserve">USD 1 miljarda, lielākie donori Norvēģija (USD 600 miljoni), Kanāda (USD 220 miljoni), USAID (USD 200  miljoni), Japāna (USD 190 miljoni), Bila un Melindas Geitsu Fonds (USD 75 miljoni), </w:t>
      </w:r>
      <w:r w:rsidR="0054479F" w:rsidRPr="0031765B">
        <w:rPr>
          <w:i/>
          <w:sz w:val="16"/>
          <w:szCs w:val="16"/>
        </w:rPr>
        <w:t>MSD for Mothers</w:t>
      </w:r>
      <w:r w:rsidR="0054479F" w:rsidRPr="0031765B">
        <w:rPr>
          <w:sz w:val="16"/>
          <w:szCs w:val="16"/>
        </w:rPr>
        <w:t xml:space="preserve"> iniciatīva (USD 10 miljoni);</w:t>
      </w:r>
    </w:p>
  </w:footnote>
  <w:footnote w:id="22">
    <w:p w14:paraId="72E5557B" w14:textId="77777777" w:rsidR="00C9443F" w:rsidRPr="0031765B" w:rsidRDefault="00AF4154" w:rsidP="00BD456A">
      <w:pPr>
        <w:pStyle w:val="FootnoteText"/>
        <w:jc w:val="both"/>
        <w:rPr>
          <w:sz w:val="16"/>
          <w:szCs w:val="16"/>
        </w:rPr>
      </w:pPr>
      <w:r w:rsidRPr="0031765B">
        <w:rPr>
          <w:rStyle w:val="FootnoteReference"/>
          <w:sz w:val="16"/>
          <w:szCs w:val="16"/>
        </w:rPr>
        <w:footnoteRef/>
      </w:r>
      <w:r w:rsidRPr="0031765B">
        <w:rPr>
          <w:sz w:val="16"/>
          <w:szCs w:val="16"/>
        </w:rPr>
        <w:t xml:space="preserve"> </w:t>
      </w:r>
      <w:r w:rsidR="007633C5" w:rsidRPr="0031765B">
        <w:rPr>
          <w:sz w:val="16"/>
          <w:szCs w:val="16"/>
        </w:rPr>
        <w:t xml:space="preserve">2017.gadā izveidots </w:t>
      </w:r>
      <w:r w:rsidR="00C9443F" w:rsidRPr="0031765B">
        <w:rPr>
          <w:sz w:val="16"/>
          <w:szCs w:val="16"/>
        </w:rPr>
        <w:t>PBG administrēts multidonoru trasta fonds,</w:t>
      </w:r>
      <w:r w:rsidR="007633C5" w:rsidRPr="0031765B">
        <w:rPr>
          <w:sz w:val="16"/>
          <w:szCs w:val="16"/>
        </w:rPr>
        <w:t xml:space="preserve"> </w:t>
      </w:r>
      <w:r w:rsidR="00C9443F" w:rsidRPr="0031765B">
        <w:rPr>
          <w:sz w:val="16"/>
          <w:szCs w:val="16"/>
        </w:rPr>
        <w:t>sadarbībā ar ASV prezidenta administrāciju, Kanādu, Ķīnu, Dāniju Austrāliju, Dāniju, Vāciju, Japānu, Nīderlandi, Norvēģiju, Krieviju, Saūda Arābiju, Dienvidkoreju, AAE un Lielbritāniju</w:t>
      </w:r>
      <w:r w:rsidR="007633C5" w:rsidRPr="0031765B">
        <w:rPr>
          <w:sz w:val="16"/>
          <w:szCs w:val="16"/>
        </w:rPr>
        <w:t xml:space="preserve">, </w:t>
      </w:r>
      <w:r w:rsidR="006B75D4" w:rsidRPr="0031765B">
        <w:rPr>
          <w:sz w:val="16"/>
          <w:szCs w:val="16"/>
        </w:rPr>
        <w:t>kurā piesaistīti USD 200 miljoni un plānots mobilizēt USD 800 miljonus;</w:t>
      </w:r>
    </w:p>
    <w:p w14:paraId="630D3C41" w14:textId="77777777" w:rsidR="00AF4154" w:rsidRDefault="00AF4154">
      <w:pPr>
        <w:pStyle w:val="FootnoteText"/>
      </w:pPr>
    </w:p>
  </w:footnote>
  <w:footnote w:id="23">
    <w:p w14:paraId="0DCD6B19" w14:textId="77777777" w:rsidR="003E3CE2" w:rsidRPr="0031765B" w:rsidRDefault="003E3CE2" w:rsidP="0031765B">
      <w:pPr>
        <w:pStyle w:val="FootnoteText"/>
        <w:rPr>
          <w:sz w:val="16"/>
          <w:szCs w:val="16"/>
        </w:rPr>
      </w:pPr>
      <w:r w:rsidRPr="0031765B">
        <w:rPr>
          <w:rStyle w:val="FootnoteReference"/>
          <w:sz w:val="16"/>
          <w:szCs w:val="16"/>
        </w:rPr>
        <w:footnoteRef/>
      </w:r>
      <w:r w:rsidRPr="0031765B">
        <w:rPr>
          <w:sz w:val="16"/>
          <w:szCs w:val="16"/>
        </w:rPr>
        <w:t xml:space="preserve"> </w:t>
      </w:r>
      <w:r w:rsidR="0031765B">
        <w:rPr>
          <w:sz w:val="16"/>
          <w:szCs w:val="16"/>
        </w:rPr>
        <w:t>A</w:t>
      </w:r>
      <w:r w:rsidR="00921D98" w:rsidRPr="0031765B">
        <w:rPr>
          <w:sz w:val="16"/>
          <w:szCs w:val="16"/>
        </w:rPr>
        <w:t>tmiņas, uzmanība</w:t>
      </w:r>
      <w:r w:rsidR="0031765B">
        <w:rPr>
          <w:sz w:val="16"/>
          <w:szCs w:val="16"/>
        </w:rPr>
        <w:t>s</w:t>
      </w:r>
      <w:r w:rsidR="00921D98" w:rsidRPr="0031765B">
        <w:rPr>
          <w:sz w:val="16"/>
          <w:szCs w:val="16"/>
        </w:rPr>
        <w:t>, plānošanas, valoda</w:t>
      </w:r>
      <w:r w:rsidR="0031765B">
        <w:rPr>
          <w:sz w:val="16"/>
          <w:szCs w:val="16"/>
        </w:rPr>
        <w:t>s</w:t>
      </w:r>
      <w:r w:rsidR="00921D98" w:rsidRPr="0031765B">
        <w:rPr>
          <w:sz w:val="16"/>
          <w:szCs w:val="16"/>
        </w:rPr>
        <w:t xml:space="preserve"> un domāšanas prasmes;</w:t>
      </w:r>
      <w:r w:rsidR="00921D98" w:rsidRPr="0031765B">
        <w:rPr>
          <w:i/>
          <w:sz w:val="16"/>
          <w:szCs w:val="16"/>
        </w:rPr>
        <w:t xml:space="preserve"> </w:t>
      </w:r>
    </w:p>
  </w:footnote>
  <w:footnote w:id="24">
    <w:p w14:paraId="1C925DA0" w14:textId="77777777" w:rsidR="003E3CE2" w:rsidRDefault="003E3CE2" w:rsidP="0031765B">
      <w:pPr>
        <w:pStyle w:val="FootnoteText"/>
      </w:pPr>
      <w:r w:rsidRPr="0031765B">
        <w:rPr>
          <w:rStyle w:val="FootnoteReference"/>
          <w:sz w:val="16"/>
          <w:szCs w:val="16"/>
        </w:rPr>
        <w:footnoteRef/>
      </w:r>
      <w:r w:rsidRPr="0031765B">
        <w:rPr>
          <w:sz w:val="16"/>
          <w:szCs w:val="16"/>
        </w:rPr>
        <w:t xml:space="preserve"> </w:t>
      </w:r>
      <w:r w:rsidR="00CB1393" w:rsidRPr="0031765B">
        <w:rPr>
          <w:rFonts w:cs="Times New Roman"/>
          <w:sz w:val="16"/>
          <w:szCs w:val="16"/>
        </w:rPr>
        <w:t>Attīstības sadarbības politikas pamatnostādnēm 2016.–2020. gadam</w:t>
      </w:r>
      <w:r w:rsidR="00CB1393" w:rsidRPr="0031765B">
        <w:rPr>
          <w:sz w:val="16"/>
          <w:szCs w:val="16"/>
        </w:rPr>
        <w:t xml:space="preserve">, 15.lp. </w:t>
      </w:r>
      <w:hyperlink r:id="rId6" w:history="1">
        <w:r w:rsidR="00CB1393" w:rsidRPr="0031765B">
          <w:rPr>
            <w:rStyle w:val="Hyperlink"/>
            <w:sz w:val="16"/>
            <w:szCs w:val="16"/>
          </w:rPr>
          <w:t>http://www.mfa.gov.lv/images/att_sadarbiba/AMPamn_160816_ASPpamatnostadn.1761.docx</w:t>
        </w:r>
      </w:hyperlink>
      <w:r w:rsidR="00CB1393" w:rsidRPr="0031765B">
        <w:rPr>
          <w:sz w:val="16"/>
          <w:szCs w:val="16"/>
        </w:rPr>
        <w:t>;</w:t>
      </w:r>
      <w:r w:rsidR="00CB1393">
        <w:t xml:space="preserve"> </w:t>
      </w:r>
      <w:r w:rsidR="00CB1393" w:rsidRPr="00482B72" w:rsidDel="00CB1393">
        <w:rPr>
          <w:highlight w:val="yellow"/>
        </w:rPr>
        <w:t xml:space="preserve"> </w:t>
      </w:r>
      <w:r w:rsidR="00CB1393">
        <w:rPr>
          <w:highlight w:val="yellow"/>
        </w:rPr>
        <w:t xml:space="preserve"> </w:t>
      </w:r>
    </w:p>
  </w:footnote>
  <w:footnote w:id="25">
    <w:p w14:paraId="361E77CD" w14:textId="77777777" w:rsidR="007C4853" w:rsidRPr="0031765B" w:rsidRDefault="007C4853">
      <w:pPr>
        <w:pStyle w:val="FootnoteText"/>
        <w:rPr>
          <w:sz w:val="16"/>
          <w:szCs w:val="16"/>
        </w:rPr>
      </w:pPr>
      <w:r w:rsidRPr="0031765B">
        <w:rPr>
          <w:rStyle w:val="FootnoteReference"/>
          <w:sz w:val="16"/>
          <w:szCs w:val="16"/>
        </w:rPr>
        <w:footnoteRef/>
      </w:r>
      <w:r w:rsidRPr="0031765B">
        <w:rPr>
          <w:sz w:val="16"/>
          <w:szCs w:val="16"/>
        </w:rPr>
        <w:t xml:space="preserve"> Turpat, 11.lp.;</w:t>
      </w:r>
    </w:p>
  </w:footnote>
  <w:footnote w:id="26">
    <w:p w14:paraId="49E6C18C" w14:textId="77777777" w:rsidR="003E3CE2" w:rsidRDefault="003E3CE2" w:rsidP="00482B72">
      <w:pPr>
        <w:pStyle w:val="FootnoteText"/>
        <w:jc w:val="both"/>
      </w:pPr>
      <w:r w:rsidRPr="0031765B">
        <w:rPr>
          <w:rStyle w:val="FootnoteReference"/>
          <w:sz w:val="16"/>
          <w:szCs w:val="16"/>
        </w:rPr>
        <w:footnoteRef/>
      </w:r>
      <w:r w:rsidRPr="0031765B">
        <w:rPr>
          <w:sz w:val="16"/>
          <w:szCs w:val="16"/>
        </w:rPr>
        <w:t xml:space="preserve"> </w:t>
      </w:r>
      <w:r w:rsidR="00262854" w:rsidRPr="0031765B">
        <w:rPr>
          <w:sz w:val="16"/>
          <w:szCs w:val="16"/>
        </w:rPr>
        <w:t>2017.gada 30.jūnijā IBRD informēja Finanšu ministriju, ka atmaksās Latvijai EUR 39,986.43. IBRD Statūt</w:t>
      </w:r>
      <w:r w:rsidR="00AD7951" w:rsidRPr="0031765B">
        <w:rPr>
          <w:sz w:val="16"/>
          <w:szCs w:val="16"/>
        </w:rPr>
        <w:t>u 2.panta 9.(b) daļa</w:t>
      </w:r>
      <w:r w:rsidR="00262854" w:rsidRPr="0031765B">
        <w:rPr>
          <w:sz w:val="16"/>
          <w:szCs w:val="16"/>
        </w:rPr>
        <w:t xml:space="preserve"> nosaka, ja dalībvalsts valūtas vērtība pieaug, IBRD atmaksā dalībvalstij summu, kas vienāda ar valūtas </w:t>
      </w:r>
      <w:r w:rsidR="00AD7951" w:rsidRPr="0031765B">
        <w:rPr>
          <w:sz w:val="16"/>
          <w:szCs w:val="16"/>
        </w:rPr>
        <w:t>vērtības</w:t>
      </w:r>
      <w:r w:rsidR="00262854" w:rsidRPr="0031765B">
        <w:rPr>
          <w:sz w:val="16"/>
          <w:szCs w:val="16"/>
        </w:rPr>
        <w:t xml:space="preserve"> pieaugumu. Šīs nacionālās valūtas vērtība tiek uzturēta pret IBRD kapitāla standarta vērtību, pamatojoties uz 1974.gada SDR.</w:t>
      </w:r>
    </w:p>
  </w:footnote>
  <w:footnote w:id="27">
    <w:p w14:paraId="349BFC0A" w14:textId="77777777" w:rsidR="00AE5C83" w:rsidRPr="00AE5C83" w:rsidRDefault="00AE5C83" w:rsidP="00AE5C83">
      <w:pPr>
        <w:pStyle w:val="FootnoteText"/>
        <w:jc w:val="both"/>
        <w:rPr>
          <w:i/>
          <w:lang w:val="en-GB"/>
        </w:rPr>
      </w:pPr>
      <w:r w:rsidRPr="00AE5C83">
        <w:rPr>
          <w:rStyle w:val="FootnoteReference"/>
          <w:i/>
          <w:sz w:val="16"/>
          <w:lang w:val="en-GB"/>
        </w:rPr>
        <w:footnoteRef/>
      </w:r>
      <w:r w:rsidRPr="00AE5C83">
        <w:rPr>
          <w:i/>
          <w:sz w:val="16"/>
          <w:lang w:val="en-GB"/>
        </w:rPr>
        <w:t xml:space="preserve"> Trust Fund Administration Agreement between the Republic of Latvia and the International Bank for Reconstruction and Development and the International Development Association concerning the Umbrella Facility for Gender Equality (UFGE) Multi-Donor Trust Fund</w:t>
      </w:r>
      <w:r>
        <w:rPr>
          <w:i/>
          <w:sz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835"/>
    <w:multiLevelType w:val="multilevel"/>
    <w:tmpl w:val="90EAC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004AE1"/>
    <w:multiLevelType w:val="hybridMultilevel"/>
    <w:tmpl w:val="B7EA25F8"/>
    <w:lvl w:ilvl="0" w:tplc="7B1427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DC3FB7"/>
    <w:multiLevelType w:val="hybridMultilevel"/>
    <w:tmpl w:val="0B587D0A"/>
    <w:lvl w:ilvl="0" w:tplc="191A8418">
      <w:start w:val="1"/>
      <w:numFmt w:val="decimal"/>
      <w:lvlText w:val="(%1)"/>
      <w:lvlJc w:val="left"/>
      <w:pPr>
        <w:ind w:left="360" w:hanging="360"/>
      </w:pPr>
      <w:rPr>
        <w:rFonts w:cstheme="minorBid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03834BE"/>
    <w:multiLevelType w:val="hybridMultilevel"/>
    <w:tmpl w:val="482AF956"/>
    <w:lvl w:ilvl="0" w:tplc="DEC4BE5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94D2937"/>
    <w:multiLevelType w:val="hybridMultilevel"/>
    <w:tmpl w:val="CC8CB148"/>
    <w:lvl w:ilvl="0" w:tplc="BF1AE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87"/>
    <w:rsid w:val="00001F5C"/>
    <w:rsid w:val="0001789F"/>
    <w:rsid w:val="000362BA"/>
    <w:rsid w:val="000402BF"/>
    <w:rsid w:val="000531B2"/>
    <w:rsid w:val="00056AB4"/>
    <w:rsid w:val="0008058E"/>
    <w:rsid w:val="00083C1D"/>
    <w:rsid w:val="000A30CD"/>
    <w:rsid w:val="000A389E"/>
    <w:rsid w:val="000A65F5"/>
    <w:rsid w:val="000B4F35"/>
    <w:rsid w:val="000C4612"/>
    <w:rsid w:val="000C4686"/>
    <w:rsid w:val="000F05A4"/>
    <w:rsid w:val="000F0B6C"/>
    <w:rsid w:val="00100EDB"/>
    <w:rsid w:val="0010603E"/>
    <w:rsid w:val="001067E5"/>
    <w:rsid w:val="00110415"/>
    <w:rsid w:val="00122360"/>
    <w:rsid w:val="00130A1E"/>
    <w:rsid w:val="001602ED"/>
    <w:rsid w:val="001619AB"/>
    <w:rsid w:val="001674C7"/>
    <w:rsid w:val="00184540"/>
    <w:rsid w:val="001A37D1"/>
    <w:rsid w:val="001A6A92"/>
    <w:rsid w:val="001B15B3"/>
    <w:rsid w:val="001B1E8D"/>
    <w:rsid w:val="001B4359"/>
    <w:rsid w:val="001C1CF9"/>
    <w:rsid w:val="001D7964"/>
    <w:rsid w:val="001E48AE"/>
    <w:rsid w:val="001E64F1"/>
    <w:rsid w:val="001F369C"/>
    <w:rsid w:val="0020440A"/>
    <w:rsid w:val="00223CE1"/>
    <w:rsid w:val="00226E4C"/>
    <w:rsid w:val="00240D2D"/>
    <w:rsid w:val="0024177B"/>
    <w:rsid w:val="0024580C"/>
    <w:rsid w:val="00246822"/>
    <w:rsid w:val="002529D1"/>
    <w:rsid w:val="00252E65"/>
    <w:rsid w:val="002609A2"/>
    <w:rsid w:val="00262854"/>
    <w:rsid w:val="00271E1B"/>
    <w:rsid w:val="00291D6F"/>
    <w:rsid w:val="00293871"/>
    <w:rsid w:val="00293939"/>
    <w:rsid w:val="002A22B5"/>
    <w:rsid w:val="002A750B"/>
    <w:rsid w:val="002C220D"/>
    <w:rsid w:val="002D29BD"/>
    <w:rsid w:val="002D5556"/>
    <w:rsid w:val="002E2D03"/>
    <w:rsid w:val="002E4E3D"/>
    <w:rsid w:val="002F2000"/>
    <w:rsid w:val="002F6CF5"/>
    <w:rsid w:val="00303D92"/>
    <w:rsid w:val="003077B4"/>
    <w:rsid w:val="00316A55"/>
    <w:rsid w:val="0031765B"/>
    <w:rsid w:val="0032103A"/>
    <w:rsid w:val="003250CF"/>
    <w:rsid w:val="00336749"/>
    <w:rsid w:val="00337364"/>
    <w:rsid w:val="00350078"/>
    <w:rsid w:val="0035721D"/>
    <w:rsid w:val="003778F0"/>
    <w:rsid w:val="003917CE"/>
    <w:rsid w:val="00396C33"/>
    <w:rsid w:val="003A1F64"/>
    <w:rsid w:val="003A31C9"/>
    <w:rsid w:val="003A3222"/>
    <w:rsid w:val="003A4009"/>
    <w:rsid w:val="003A5D40"/>
    <w:rsid w:val="003B7317"/>
    <w:rsid w:val="003C038D"/>
    <w:rsid w:val="003D3A2F"/>
    <w:rsid w:val="003E3CE2"/>
    <w:rsid w:val="003E4AAC"/>
    <w:rsid w:val="003F1587"/>
    <w:rsid w:val="003F2B27"/>
    <w:rsid w:val="003F2F7C"/>
    <w:rsid w:val="003F7EBE"/>
    <w:rsid w:val="00400098"/>
    <w:rsid w:val="00403656"/>
    <w:rsid w:val="00415D68"/>
    <w:rsid w:val="00416E81"/>
    <w:rsid w:val="0042018B"/>
    <w:rsid w:val="00420307"/>
    <w:rsid w:val="00421522"/>
    <w:rsid w:val="004326D6"/>
    <w:rsid w:val="0043342E"/>
    <w:rsid w:val="00437BE7"/>
    <w:rsid w:val="00443F48"/>
    <w:rsid w:val="00446702"/>
    <w:rsid w:val="00462063"/>
    <w:rsid w:val="004743FD"/>
    <w:rsid w:val="00475162"/>
    <w:rsid w:val="00475C10"/>
    <w:rsid w:val="0047634A"/>
    <w:rsid w:val="004779E3"/>
    <w:rsid w:val="004800EA"/>
    <w:rsid w:val="0048212D"/>
    <w:rsid w:val="00482B72"/>
    <w:rsid w:val="00490278"/>
    <w:rsid w:val="00494ACB"/>
    <w:rsid w:val="004B47EB"/>
    <w:rsid w:val="004C1977"/>
    <w:rsid w:val="004C1DAE"/>
    <w:rsid w:val="004C2F49"/>
    <w:rsid w:val="004C5689"/>
    <w:rsid w:val="004C7AC8"/>
    <w:rsid w:val="004D4999"/>
    <w:rsid w:val="004D6D04"/>
    <w:rsid w:val="004F04CD"/>
    <w:rsid w:val="004F504F"/>
    <w:rsid w:val="004F6348"/>
    <w:rsid w:val="0050076A"/>
    <w:rsid w:val="005012F6"/>
    <w:rsid w:val="0050152A"/>
    <w:rsid w:val="00514772"/>
    <w:rsid w:val="0054479F"/>
    <w:rsid w:val="005473A1"/>
    <w:rsid w:val="005501E0"/>
    <w:rsid w:val="005507BB"/>
    <w:rsid w:val="005544EC"/>
    <w:rsid w:val="005708A8"/>
    <w:rsid w:val="005806D0"/>
    <w:rsid w:val="00587805"/>
    <w:rsid w:val="00591C0D"/>
    <w:rsid w:val="005A04D9"/>
    <w:rsid w:val="005D7A44"/>
    <w:rsid w:val="005E3875"/>
    <w:rsid w:val="005E4B4E"/>
    <w:rsid w:val="005E5E71"/>
    <w:rsid w:val="005F4D93"/>
    <w:rsid w:val="005F4FC8"/>
    <w:rsid w:val="00600C3F"/>
    <w:rsid w:val="00630E3A"/>
    <w:rsid w:val="006312D8"/>
    <w:rsid w:val="00634AF2"/>
    <w:rsid w:val="00640E9C"/>
    <w:rsid w:val="00644E86"/>
    <w:rsid w:val="00657662"/>
    <w:rsid w:val="00660EC8"/>
    <w:rsid w:val="0066247D"/>
    <w:rsid w:val="006662CE"/>
    <w:rsid w:val="00667C78"/>
    <w:rsid w:val="006740CA"/>
    <w:rsid w:val="00683FCE"/>
    <w:rsid w:val="00687ADD"/>
    <w:rsid w:val="006958D2"/>
    <w:rsid w:val="00697D51"/>
    <w:rsid w:val="006A0BF5"/>
    <w:rsid w:val="006B75D4"/>
    <w:rsid w:val="006B76F3"/>
    <w:rsid w:val="006D0CBC"/>
    <w:rsid w:val="006F2053"/>
    <w:rsid w:val="007058CC"/>
    <w:rsid w:val="00715FF4"/>
    <w:rsid w:val="0071741C"/>
    <w:rsid w:val="00731619"/>
    <w:rsid w:val="007322CD"/>
    <w:rsid w:val="00735445"/>
    <w:rsid w:val="00736378"/>
    <w:rsid w:val="00747D9D"/>
    <w:rsid w:val="00752856"/>
    <w:rsid w:val="007633C5"/>
    <w:rsid w:val="007654C7"/>
    <w:rsid w:val="00770D6F"/>
    <w:rsid w:val="007767A6"/>
    <w:rsid w:val="00780C38"/>
    <w:rsid w:val="007821B9"/>
    <w:rsid w:val="00795EE3"/>
    <w:rsid w:val="007A50EF"/>
    <w:rsid w:val="007B429C"/>
    <w:rsid w:val="007C4853"/>
    <w:rsid w:val="007C53F8"/>
    <w:rsid w:val="007D65B1"/>
    <w:rsid w:val="007D70CE"/>
    <w:rsid w:val="007E501C"/>
    <w:rsid w:val="008030AA"/>
    <w:rsid w:val="00803E11"/>
    <w:rsid w:val="00804C71"/>
    <w:rsid w:val="008103D6"/>
    <w:rsid w:val="00813229"/>
    <w:rsid w:val="00823820"/>
    <w:rsid w:val="00832C9D"/>
    <w:rsid w:val="008362E5"/>
    <w:rsid w:val="008423C7"/>
    <w:rsid w:val="0087031F"/>
    <w:rsid w:val="00873277"/>
    <w:rsid w:val="0088292C"/>
    <w:rsid w:val="00885D4D"/>
    <w:rsid w:val="008A5E75"/>
    <w:rsid w:val="008B740D"/>
    <w:rsid w:val="008D0FFD"/>
    <w:rsid w:val="008D2C40"/>
    <w:rsid w:val="008E3584"/>
    <w:rsid w:val="008E67F8"/>
    <w:rsid w:val="008F3709"/>
    <w:rsid w:val="00912B71"/>
    <w:rsid w:val="0091719D"/>
    <w:rsid w:val="00921D98"/>
    <w:rsid w:val="00922C2D"/>
    <w:rsid w:val="0092613D"/>
    <w:rsid w:val="009276E4"/>
    <w:rsid w:val="009379E2"/>
    <w:rsid w:val="009448F7"/>
    <w:rsid w:val="0095393F"/>
    <w:rsid w:val="00955C37"/>
    <w:rsid w:val="009742EC"/>
    <w:rsid w:val="0097687B"/>
    <w:rsid w:val="00982A88"/>
    <w:rsid w:val="009A5681"/>
    <w:rsid w:val="009A75EE"/>
    <w:rsid w:val="009B05EA"/>
    <w:rsid w:val="009C33DA"/>
    <w:rsid w:val="009C43DD"/>
    <w:rsid w:val="009E0AFB"/>
    <w:rsid w:val="009E2AAB"/>
    <w:rsid w:val="009E6F67"/>
    <w:rsid w:val="009F109D"/>
    <w:rsid w:val="00A05EBB"/>
    <w:rsid w:val="00A132EA"/>
    <w:rsid w:val="00A13CDC"/>
    <w:rsid w:val="00A16DD1"/>
    <w:rsid w:val="00A235BD"/>
    <w:rsid w:val="00A261B5"/>
    <w:rsid w:val="00A44807"/>
    <w:rsid w:val="00A462F8"/>
    <w:rsid w:val="00A55A32"/>
    <w:rsid w:val="00A5675B"/>
    <w:rsid w:val="00A57C67"/>
    <w:rsid w:val="00A623CF"/>
    <w:rsid w:val="00A6529C"/>
    <w:rsid w:val="00A6772D"/>
    <w:rsid w:val="00A75912"/>
    <w:rsid w:val="00A81E8A"/>
    <w:rsid w:val="00AA75B5"/>
    <w:rsid w:val="00AB1686"/>
    <w:rsid w:val="00AB2939"/>
    <w:rsid w:val="00AB45D3"/>
    <w:rsid w:val="00AB7E69"/>
    <w:rsid w:val="00AD22ED"/>
    <w:rsid w:val="00AD63F8"/>
    <w:rsid w:val="00AD64B2"/>
    <w:rsid w:val="00AD66B3"/>
    <w:rsid w:val="00AD6FDC"/>
    <w:rsid w:val="00AD7951"/>
    <w:rsid w:val="00AE5C83"/>
    <w:rsid w:val="00AF2121"/>
    <w:rsid w:val="00AF4154"/>
    <w:rsid w:val="00AF42AC"/>
    <w:rsid w:val="00AF4D5F"/>
    <w:rsid w:val="00B0436D"/>
    <w:rsid w:val="00B04D5A"/>
    <w:rsid w:val="00B12391"/>
    <w:rsid w:val="00B12FC8"/>
    <w:rsid w:val="00B1551F"/>
    <w:rsid w:val="00B178D1"/>
    <w:rsid w:val="00B24DDA"/>
    <w:rsid w:val="00B35748"/>
    <w:rsid w:val="00B360B1"/>
    <w:rsid w:val="00B4174F"/>
    <w:rsid w:val="00B51970"/>
    <w:rsid w:val="00B54F9A"/>
    <w:rsid w:val="00B56466"/>
    <w:rsid w:val="00B60CAF"/>
    <w:rsid w:val="00B61A5C"/>
    <w:rsid w:val="00B73F03"/>
    <w:rsid w:val="00BA031B"/>
    <w:rsid w:val="00BA0A9E"/>
    <w:rsid w:val="00BB4778"/>
    <w:rsid w:val="00BB4E2B"/>
    <w:rsid w:val="00BB6D13"/>
    <w:rsid w:val="00BC2FBE"/>
    <w:rsid w:val="00BD456A"/>
    <w:rsid w:val="00BD73C4"/>
    <w:rsid w:val="00BE50E1"/>
    <w:rsid w:val="00BF1B8A"/>
    <w:rsid w:val="00BF331A"/>
    <w:rsid w:val="00BF4DB0"/>
    <w:rsid w:val="00BF562A"/>
    <w:rsid w:val="00C03182"/>
    <w:rsid w:val="00C0556D"/>
    <w:rsid w:val="00C17D44"/>
    <w:rsid w:val="00C35C15"/>
    <w:rsid w:val="00C429ED"/>
    <w:rsid w:val="00C4541C"/>
    <w:rsid w:val="00C6428F"/>
    <w:rsid w:val="00C822B7"/>
    <w:rsid w:val="00C82997"/>
    <w:rsid w:val="00C83E14"/>
    <w:rsid w:val="00C93E50"/>
    <w:rsid w:val="00C9443F"/>
    <w:rsid w:val="00C977A9"/>
    <w:rsid w:val="00C97C8A"/>
    <w:rsid w:val="00CB1393"/>
    <w:rsid w:val="00CB1B78"/>
    <w:rsid w:val="00CB2933"/>
    <w:rsid w:val="00CD328A"/>
    <w:rsid w:val="00CE7DD1"/>
    <w:rsid w:val="00D30AAD"/>
    <w:rsid w:val="00D40D6F"/>
    <w:rsid w:val="00D4254E"/>
    <w:rsid w:val="00D430A0"/>
    <w:rsid w:val="00D44D83"/>
    <w:rsid w:val="00D46C3A"/>
    <w:rsid w:val="00D46F82"/>
    <w:rsid w:val="00D475BB"/>
    <w:rsid w:val="00D5168F"/>
    <w:rsid w:val="00D605BF"/>
    <w:rsid w:val="00D619F4"/>
    <w:rsid w:val="00D66CCD"/>
    <w:rsid w:val="00D6763D"/>
    <w:rsid w:val="00D7122A"/>
    <w:rsid w:val="00D72DA4"/>
    <w:rsid w:val="00D7551A"/>
    <w:rsid w:val="00D80DA0"/>
    <w:rsid w:val="00D8251A"/>
    <w:rsid w:val="00D847A8"/>
    <w:rsid w:val="00D9738C"/>
    <w:rsid w:val="00DA06AD"/>
    <w:rsid w:val="00DA3C8B"/>
    <w:rsid w:val="00DA5044"/>
    <w:rsid w:val="00DA5747"/>
    <w:rsid w:val="00DB2594"/>
    <w:rsid w:val="00DD2AD2"/>
    <w:rsid w:val="00DE0EEB"/>
    <w:rsid w:val="00DF1849"/>
    <w:rsid w:val="00E04A20"/>
    <w:rsid w:val="00E125DF"/>
    <w:rsid w:val="00E153DA"/>
    <w:rsid w:val="00E2767C"/>
    <w:rsid w:val="00E27FC1"/>
    <w:rsid w:val="00E31D44"/>
    <w:rsid w:val="00E31DDE"/>
    <w:rsid w:val="00E3561D"/>
    <w:rsid w:val="00E3700C"/>
    <w:rsid w:val="00E54D7F"/>
    <w:rsid w:val="00E652A4"/>
    <w:rsid w:val="00E7088A"/>
    <w:rsid w:val="00E7428C"/>
    <w:rsid w:val="00E753A6"/>
    <w:rsid w:val="00E80214"/>
    <w:rsid w:val="00E8179C"/>
    <w:rsid w:val="00E94FB8"/>
    <w:rsid w:val="00EA16C7"/>
    <w:rsid w:val="00EA7517"/>
    <w:rsid w:val="00EB50AF"/>
    <w:rsid w:val="00EB5598"/>
    <w:rsid w:val="00EC2DBA"/>
    <w:rsid w:val="00EC5C7D"/>
    <w:rsid w:val="00EE11C6"/>
    <w:rsid w:val="00EE3F76"/>
    <w:rsid w:val="00EF4A5E"/>
    <w:rsid w:val="00F00AD7"/>
    <w:rsid w:val="00F11504"/>
    <w:rsid w:val="00F2235B"/>
    <w:rsid w:val="00F23295"/>
    <w:rsid w:val="00F30B57"/>
    <w:rsid w:val="00F46F9F"/>
    <w:rsid w:val="00F47230"/>
    <w:rsid w:val="00F67CC6"/>
    <w:rsid w:val="00F74340"/>
    <w:rsid w:val="00F823D5"/>
    <w:rsid w:val="00F87AFF"/>
    <w:rsid w:val="00F93B1A"/>
    <w:rsid w:val="00F975E3"/>
    <w:rsid w:val="00FA3B39"/>
    <w:rsid w:val="00FA64FB"/>
    <w:rsid w:val="00FA7AC7"/>
    <w:rsid w:val="00FB456A"/>
    <w:rsid w:val="00FB58AC"/>
    <w:rsid w:val="00FC2473"/>
    <w:rsid w:val="00FC5C2C"/>
    <w:rsid w:val="00FD0B92"/>
    <w:rsid w:val="00FE1CF0"/>
    <w:rsid w:val="00FE327F"/>
    <w:rsid w:val="00FE39BD"/>
    <w:rsid w:val="00FE4C04"/>
    <w:rsid w:val="00FE646D"/>
    <w:rsid w:val="00FE6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0815"/>
  <w15:docId w15:val="{1E2F2057-BF7A-4DF3-851C-0F1C242F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48AE"/>
    <w:rPr>
      <w:sz w:val="20"/>
      <w:szCs w:val="20"/>
    </w:rPr>
  </w:style>
  <w:style w:type="character" w:customStyle="1" w:styleId="FootnoteTextChar">
    <w:name w:val="Footnote Text Char"/>
    <w:basedOn w:val="DefaultParagraphFont"/>
    <w:link w:val="FootnoteText"/>
    <w:uiPriority w:val="99"/>
    <w:rsid w:val="001E48AE"/>
    <w:rPr>
      <w:sz w:val="20"/>
      <w:szCs w:val="20"/>
    </w:rPr>
  </w:style>
  <w:style w:type="character" w:styleId="FootnoteReference">
    <w:name w:val="footnote reference"/>
    <w:basedOn w:val="DefaultParagraphFont"/>
    <w:uiPriority w:val="99"/>
    <w:semiHidden/>
    <w:unhideWhenUsed/>
    <w:rsid w:val="001E48AE"/>
    <w:rPr>
      <w:vertAlign w:val="superscript"/>
    </w:rPr>
  </w:style>
  <w:style w:type="paragraph" w:styleId="BalloonText">
    <w:name w:val="Balloon Text"/>
    <w:basedOn w:val="Normal"/>
    <w:link w:val="BalloonTextChar"/>
    <w:uiPriority w:val="99"/>
    <w:semiHidden/>
    <w:unhideWhenUsed/>
    <w:rsid w:val="00400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98"/>
    <w:rPr>
      <w:rFonts w:ascii="Segoe UI" w:hAnsi="Segoe UI" w:cs="Segoe UI"/>
      <w:sz w:val="18"/>
      <w:szCs w:val="18"/>
    </w:rPr>
  </w:style>
  <w:style w:type="character" w:styleId="Hyperlink">
    <w:name w:val="Hyperlink"/>
    <w:basedOn w:val="DefaultParagraphFont"/>
    <w:uiPriority w:val="99"/>
    <w:unhideWhenUsed/>
    <w:rsid w:val="00FB456A"/>
    <w:rPr>
      <w:color w:val="0563C1" w:themeColor="hyperlink"/>
      <w:u w:val="single"/>
    </w:rPr>
  </w:style>
  <w:style w:type="character" w:styleId="CommentReference">
    <w:name w:val="annotation reference"/>
    <w:basedOn w:val="DefaultParagraphFont"/>
    <w:uiPriority w:val="99"/>
    <w:semiHidden/>
    <w:unhideWhenUsed/>
    <w:rsid w:val="00E31DDE"/>
    <w:rPr>
      <w:sz w:val="16"/>
      <w:szCs w:val="16"/>
    </w:rPr>
  </w:style>
  <w:style w:type="paragraph" w:styleId="CommentText">
    <w:name w:val="annotation text"/>
    <w:basedOn w:val="Normal"/>
    <w:link w:val="CommentTextChar"/>
    <w:uiPriority w:val="99"/>
    <w:semiHidden/>
    <w:unhideWhenUsed/>
    <w:rsid w:val="00E31DDE"/>
    <w:rPr>
      <w:sz w:val="20"/>
      <w:szCs w:val="20"/>
    </w:rPr>
  </w:style>
  <w:style w:type="character" w:customStyle="1" w:styleId="CommentTextChar">
    <w:name w:val="Comment Text Char"/>
    <w:basedOn w:val="DefaultParagraphFont"/>
    <w:link w:val="CommentText"/>
    <w:uiPriority w:val="99"/>
    <w:semiHidden/>
    <w:rsid w:val="00E31DDE"/>
    <w:rPr>
      <w:sz w:val="20"/>
      <w:szCs w:val="20"/>
    </w:rPr>
  </w:style>
  <w:style w:type="paragraph" w:styleId="CommentSubject">
    <w:name w:val="annotation subject"/>
    <w:basedOn w:val="CommentText"/>
    <w:next w:val="CommentText"/>
    <w:link w:val="CommentSubjectChar"/>
    <w:uiPriority w:val="99"/>
    <w:semiHidden/>
    <w:unhideWhenUsed/>
    <w:rsid w:val="00E31DDE"/>
    <w:rPr>
      <w:b/>
      <w:bCs/>
    </w:rPr>
  </w:style>
  <w:style w:type="character" w:customStyle="1" w:styleId="CommentSubjectChar">
    <w:name w:val="Comment Subject Char"/>
    <w:basedOn w:val="CommentTextChar"/>
    <w:link w:val="CommentSubject"/>
    <w:uiPriority w:val="99"/>
    <w:semiHidden/>
    <w:rsid w:val="00E31DDE"/>
    <w:rPr>
      <w:b/>
      <w:bCs/>
      <w:sz w:val="20"/>
      <w:szCs w:val="20"/>
    </w:rPr>
  </w:style>
  <w:style w:type="paragraph" w:styleId="ListParagraph">
    <w:name w:val="List Paragraph"/>
    <w:basedOn w:val="Normal"/>
    <w:uiPriority w:val="34"/>
    <w:qFormat/>
    <w:rsid w:val="006B76F3"/>
    <w:pPr>
      <w:ind w:left="720"/>
      <w:contextualSpacing/>
    </w:pPr>
  </w:style>
  <w:style w:type="paragraph" w:styleId="Header">
    <w:name w:val="header"/>
    <w:basedOn w:val="Normal"/>
    <w:link w:val="HeaderChar"/>
    <w:uiPriority w:val="99"/>
    <w:unhideWhenUsed/>
    <w:rsid w:val="005E3875"/>
    <w:pPr>
      <w:tabs>
        <w:tab w:val="center" w:pos="4153"/>
        <w:tab w:val="right" w:pos="8306"/>
      </w:tabs>
    </w:pPr>
  </w:style>
  <w:style w:type="character" w:customStyle="1" w:styleId="HeaderChar">
    <w:name w:val="Header Char"/>
    <w:basedOn w:val="DefaultParagraphFont"/>
    <w:link w:val="Header"/>
    <w:uiPriority w:val="99"/>
    <w:rsid w:val="005E3875"/>
  </w:style>
  <w:style w:type="paragraph" w:styleId="Footer">
    <w:name w:val="footer"/>
    <w:basedOn w:val="Normal"/>
    <w:link w:val="FooterChar"/>
    <w:uiPriority w:val="99"/>
    <w:unhideWhenUsed/>
    <w:rsid w:val="005E3875"/>
    <w:pPr>
      <w:tabs>
        <w:tab w:val="center" w:pos="4153"/>
        <w:tab w:val="right" w:pos="8306"/>
      </w:tabs>
    </w:pPr>
  </w:style>
  <w:style w:type="character" w:customStyle="1" w:styleId="FooterChar">
    <w:name w:val="Footer Char"/>
    <w:basedOn w:val="DefaultParagraphFont"/>
    <w:link w:val="Footer"/>
    <w:uiPriority w:val="99"/>
    <w:rsid w:val="005E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Ford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820851467992505410/World-Bank-Group-gender-strategy-FY16-23-gender-equality-poverty-reduction-and-inclusive-growth" TargetMode="External"/><Relationship Id="rId2" Type="http://schemas.openxmlformats.org/officeDocument/2006/relationships/hyperlink" Target="http://documents.worldbank.org/curated/en/820851467992505410/World-Bank-Group-gender-strategy-FY16-23-gender-equality-poverty-reduction-and-inclusive-growth" TargetMode="External"/><Relationship Id="rId1" Type="http://schemas.openxmlformats.org/officeDocument/2006/relationships/hyperlink" Target="https://documents-dds-ny.un.org/doc/UNDOC/GEN/N15/291/89/DOC/N1529189.DOCX" TargetMode="External"/><Relationship Id="rId6" Type="http://schemas.openxmlformats.org/officeDocument/2006/relationships/hyperlink" Target="http://www.mfa.gov.lv/images/att_sadarbiba/AMPamn_160816_ASPpamatnostadn.1761.docx" TargetMode="External"/><Relationship Id="rId5" Type="http://schemas.openxmlformats.org/officeDocument/2006/relationships/hyperlink" Target="http://edge-cert.org/" TargetMode="External"/><Relationship Id="rId4" Type="http://schemas.openxmlformats.org/officeDocument/2006/relationships/hyperlink" Target="http://www.heforshe.org/~/media/HeForShe/Files/ThematicChampion/HeForShe_Thematic_Champion_Brief_1_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D572-90B7-412B-9ABC-F4A35EE0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14340</Words>
  <Characters>8175</Characters>
  <Application>Microsoft Office Word</Application>
  <DocSecurity>4</DocSecurity>
  <Lines>68</Lines>
  <Paragraphs>44</Paragraphs>
  <ScaleCrop>false</ScaleCrop>
  <HeadingPairs>
    <vt:vector size="2" baseType="variant">
      <vt:variant>
        <vt:lpstr>Title</vt:lpstr>
      </vt:variant>
      <vt:variant>
        <vt:i4>1</vt:i4>
      </vt:variant>
    </vt:vector>
  </HeadingPairs>
  <TitlesOfParts>
    <vt:vector size="1" baseType="lpstr">
      <vt:lpstr>Informatīvais ziņojums par dalību Pasaules Bankas Grupas Dzimumu līdztiesības trasta fondā</vt:lpstr>
    </vt:vector>
  </TitlesOfParts>
  <Company>Finanšu ministrija</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dalību Pasaules Bankas Grupas Dzimumu līdztiesības trasta fondā</dc:title>
  <dc:subject>Informatīvais ziņojums</dc:subject>
  <dc:creator>Inga Forda</dc:creator>
  <dc:description>inga.forda@fm.gov.lv 67095585</dc:description>
  <cp:lastModifiedBy>Guntis Puķītis</cp:lastModifiedBy>
  <cp:revision>2</cp:revision>
  <cp:lastPrinted>2018-04-19T12:43:00Z</cp:lastPrinted>
  <dcterms:created xsi:type="dcterms:W3CDTF">2018-04-19T13:22:00Z</dcterms:created>
  <dcterms:modified xsi:type="dcterms:W3CDTF">2018-04-19T13:22:00Z</dcterms:modified>
  <cp:contentStatus/>
</cp:coreProperties>
</file>