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530C3" w:rsidRPr="00EE2097" w:rsidRDefault="003530C3" w:rsidP="003530C3">
      <w:pPr>
        <w:shd w:val="clear" w:color="auto" w:fill="FFFFFF"/>
        <w:spacing w:before="130" w:line="260" w:lineRule="exact"/>
        <w:jc w:val="center"/>
        <w:rPr>
          <w:b/>
          <w:bCs/>
        </w:rPr>
      </w:pPr>
      <w:r w:rsidRPr="00EE2097">
        <w:rPr>
          <w:b/>
        </w:rPr>
        <w:t xml:space="preserve">Ministru kabineta noteikumu projekta </w:t>
      </w:r>
      <w:r w:rsidR="00576B88" w:rsidRPr="00EE2097">
        <w:rPr>
          <w:b/>
        </w:rPr>
        <w:t xml:space="preserve">“Grozījumi Ministru kabineta </w:t>
      </w:r>
      <w:proofErr w:type="gramStart"/>
      <w:r w:rsidR="00576B88" w:rsidRPr="00EE2097">
        <w:rPr>
          <w:b/>
        </w:rPr>
        <w:t>2011.gada</w:t>
      </w:r>
      <w:proofErr w:type="gramEnd"/>
      <w:r w:rsidR="00576B88" w:rsidRPr="00EE2097">
        <w:rPr>
          <w:b/>
        </w:rPr>
        <w:t xml:space="preserve"> 15.februāra noteikumos Nr.131 “Iedzīvotāju reģistrā iekļauto ziņu aktualizēšanas kārtība”</w:t>
      </w:r>
      <w:r w:rsidRPr="00EE2097">
        <w:rPr>
          <w:b/>
          <w:bCs/>
        </w:rPr>
        <w:t xml:space="preserve"> sākotnējās ietekmes novērtējuma ziņojums (anotācija)</w:t>
      </w:r>
    </w:p>
    <w:p w:rsidR="003530C3" w:rsidRPr="00EE2097" w:rsidRDefault="003530C3" w:rsidP="003530C3">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3261"/>
        <w:gridCol w:w="5800"/>
      </w:tblGrid>
      <w:tr w:rsidR="003530C3" w:rsidRPr="00EE2097" w:rsidTr="00F77A6F">
        <w:trPr>
          <w:cantSplit/>
        </w:trPr>
        <w:tc>
          <w:tcPr>
            <w:tcW w:w="9581" w:type="dxa"/>
            <w:gridSpan w:val="2"/>
            <w:shd w:val="clear" w:color="auto" w:fill="FFFFFF"/>
            <w:vAlign w:val="center"/>
            <w:hideMark/>
          </w:tcPr>
          <w:p w:rsidR="003530C3" w:rsidRPr="00EE2097" w:rsidRDefault="003530C3" w:rsidP="00F77A6F">
            <w:pPr>
              <w:jc w:val="center"/>
              <w:rPr>
                <w:b/>
                <w:iCs/>
                <w:lang w:eastAsia="en-US"/>
              </w:rPr>
            </w:pPr>
            <w:r w:rsidRPr="00EE2097">
              <w:rPr>
                <w:b/>
                <w:iCs/>
                <w:lang w:eastAsia="en-US"/>
              </w:rPr>
              <w:t>Tiesību akta projekta anotācijas kopsavilkums</w:t>
            </w:r>
          </w:p>
        </w:tc>
      </w:tr>
      <w:tr w:rsidR="003530C3" w:rsidRPr="00EE2097" w:rsidTr="00F77A6F">
        <w:trPr>
          <w:cantSplit/>
        </w:trPr>
        <w:tc>
          <w:tcPr>
            <w:tcW w:w="3430" w:type="dxa"/>
            <w:shd w:val="clear" w:color="auto" w:fill="FFFFFF"/>
            <w:hideMark/>
          </w:tcPr>
          <w:p w:rsidR="003530C3" w:rsidRPr="00EE2097" w:rsidRDefault="003530C3" w:rsidP="00F77A6F">
            <w:pPr>
              <w:rPr>
                <w:iCs/>
                <w:lang w:eastAsia="en-US"/>
              </w:rPr>
            </w:pPr>
            <w:r w:rsidRPr="00EE2097">
              <w:rPr>
                <w:iCs/>
                <w:lang w:eastAsia="en-US"/>
              </w:rPr>
              <w:t>Mērķis, risinājums un projekta spēkā stāšanās laiks (500 zīmes bez atstarpēm)</w:t>
            </w:r>
          </w:p>
        </w:tc>
        <w:tc>
          <w:tcPr>
            <w:tcW w:w="6151" w:type="dxa"/>
            <w:shd w:val="clear" w:color="auto" w:fill="FFFFFF"/>
            <w:hideMark/>
          </w:tcPr>
          <w:p w:rsidR="003530C3" w:rsidRPr="00EE2097" w:rsidRDefault="003530C3" w:rsidP="007E7008">
            <w:pPr>
              <w:jc w:val="both"/>
            </w:pPr>
            <w:r w:rsidRPr="00EE2097">
              <w:t xml:space="preserve">Projekta mērķis ir </w:t>
            </w:r>
            <w:r w:rsidR="00006A1F" w:rsidRPr="00EE2097">
              <w:t>precizēt</w:t>
            </w:r>
            <w:r w:rsidR="00576B88" w:rsidRPr="00EE2097">
              <w:t xml:space="preserve"> termiņu</w:t>
            </w:r>
            <w:r w:rsidR="007E7008" w:rsidRPr="00EE2097">
              <w:t>,</w:t>
            </w:r>
            <w:r w:rsidR="00576B88" w:rsidRPr="00EE2097">
              <w:t xml:space="preserve"> </w:t>
            </w:r>
            <w:r w:rsidR="007E7008" w:rsidRPr="00EE2097">
              <w:t>kādā Latvijas pilsonim, Latvijas nepilsonim un personai, kura Latvijā saņēmusi uzturēšanās atļauju, reģistrācijas apliecību vai pastāvīgās uzturēšanās apliecību, jāsniedz ziņas par dzīvesvietas adresi ārvalstī.</w:t>
            </w:r>
          </w:p>
          <w:p w:rsidR="00006A1F" w:rsidRPr="00EE2097" w:rsidRDefault="00006A1F" w:rsidP="00006A1F">
            <w:pPr>
              <w:jc w:val="both"/>
              <w:rPr>
                <w:iCs/>
                <w:lang w:eastAsia="en-US"/>
              </w:rPr>
            </w:pPr>
            <w:r w:rsidRPr="00EE2097">
              <w:t>Projektam nav noteikts spēkā stāšanās termiņš.</w:t>
            </w:r>
          </w:p>
        </w:tc>
      </w:tr>
    </w:tbl>
    <w:p w:rsidR="003530C3" w:rsidRPr="00EE2097" w:rsidRDefault="003530C3" w:rsidP="003530C3">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3530C3" w:rsidRPr="00EE2097" w:rsidTr="00F77A6F">
        <w:tc>
          <w:tcPr>
            <w:tcW w:w="5000" w:type="pct"/>
            <w:gridSpan w:val="3"/>
            <w:vAlign w:val="center"/>
            <w:hideMark/>
          </w:tcPr>
          <w:p w:rsidR="003530C3" w:rsidRPr="00EE2097" w:rsidRDefault="003530C3" w:rsidP="00F77A6F">
            <w:pPr>
              <w:jc w:val="center"/>
              <w:rPr>
                <w:b/>
                <w:bCs/>
              </w:rPr>
            </w:pPr>
            <w:r w:rsidRPr="00EE2097">
              <w:rPr>
                <w:b/>
                <w:bCs/>
              </w:rPr>
              <w:t>I. Tiesību akta projekta izstrādes nepieciešamība</w:t>
            </w:r>
          </w:p>
        </w:tc>
      </w:tr>
      <w:tr w:rsidR="003530C3" w:rsidRPr="00EE2097" w:rsidTr="00F77A6F">
        <w:tc>
          <w:tcPr>
            <w:tcW w:w="311" w:type="pct"/>
            <w:hideMark/>
          </w:tcPr>
          <w:p w:rsidR="003530C3" w:rsidRPr="00EE2097" w:rsidRDefault="003530C3" w:rsidP="00F77A6F">
            <w:pPr>
              <w:jc w:val="center"/>
            </w:pPr>
            <w:r w:rsidRPr="00EE2097">
              <w:t>1.</w:t>
            </w:r>
          </w:p>
        </w:tc>
        <w:tc>
          <w:tcPr>
            <w:tcW w:w="1479" w:type="pct"/>
            <w:hideMark/>
          </w:tcPr>
          <w:p w:rsidR="003530C3" w:rsidRPr="00EE2097" w:rsidRDefault="003530C3" w:rsidP="00F77A6F">
            <w:r w:rsidRPr="00EE2097">
              <w:t>Pamatojums</w:t>
            </w:r>
          </w:p>
        </w:tc>
        <w:tc>
          <w:tcPr>
            <w:tcW w:w="3210" w:type="pct"/>
            <w:hideMark/>
          </w:tcPr>
          <w:p w:rsidR="003530C3" w:rsidRPr="00EE2097" w:rsidRDefault="00430376" w:rsidP="00F77A6F">
            <w:pPr>
              <w:jc w:val="both"/>
            </w:pPr>
            <w:r w:rsidRPr="00EE2097">
              <w:t>Saeimas Pilsonības, migrācijas un sabiedrības saliedētības komisi</w:t>
            </w:r>
            <w:r w:rsidR="00965A77" w:rsidRPr="00EE2097">
              <w:t xml:space="preserve">jas </w:t>
            </w:r>
            <w:proofErr w:type="gramStart"/>
            <w:r w:rsidR="00965A77" w:rsidRPr="00EE2097">
              <w:t>2018.gada</w:t>
            </w:r>
            <w:proofErr w:type="gramEnd"/>
            <w:r w:rsidR="00965A77" w:rsidRPr="00EE2097">
              <w:t xml:space="preserve"> 1.februāra vēstule</w:t>
            </w:r>
            <w:r w:rsidRPr="00EE2097">
              <w:t xml:space="preserve"> Nr.142.9/15-3-12/18 “Par termiņu, kādā personām jāsniedz informācija par</w:t>
            </w:r>
            <w:r w:rsidR="00965A77" w:rsidRPr="00EE2097">
              <w:t xml:space="preserve"> dzīvesvietas adresi ārvalstīs” Ministru prezidentam (turpmāk – Vēstule).</w:t>
            </w:r>
          </w:p>
        </w:tc>
      </w:tr>
      <w:tr w:rsidR="003530C3" w:rsidRPr="00EE2097" w:rsidTr="00F77A6F">
        <w:tc>
          <w:tcPr>
            <w:tcW w:w="311" w:type="pct"/>
            <w:hideMark/>
          </w:tcPr>
          <w:p w:rsidR="003530C3" w:rsidRPr="00EE2097" w:rsidRDefault="003530C3" w:rsidP="00F77A6F">
            <w:pPr>
              <w:jc w:val="center"/>
            </w:pPr>
            <w:r w:rsidRPr="00EE2097">
              <w:t>2.</w:t>
            </w:r>
          </w:p>
        </w:tc>
        <w:tc>
          <w:tcPr>
            <w:tcW w:w="1479" w:type="pct"/>
            <w:hideMark/>
          </w:tcPr>
          <w:p w:rsidR="003530C3" w:rsidRPr="00EE2097" w:rsidRDefault="003530C3" w:rsidP="00F77A6F">
            <w:r w:rsidRPr="00EE2097">
              <w:t>Pašreizējā situācija un problēmas, kuru risināšanai tiesību akta projekts izstrādāts, tiesiskā regulējuma mērķis un būtība</w:t>
            </w:r>
          </w:p>
        </w:tc>
        <w:tc>
          <w:tcPr>
            <w:tcW w:w="3210" w:type="pct"/>
            <w:hideMark/>
          </w:tcPr>
          <w:p w:rsidR="000D4961" w:rsidRPr="00EE2097" w:rsidRDefault="00430376" w:rsidP="00F77A6F">
            <w:pPr>
              <w:jc w:val="both"/>
            </w:pPr>
            <w:r w:rsidRPr="00EE2097">
              <w:t xml:space="preserve">Saeimas Pilsonības, migrācijas un sabiedrības saliedētības komisija Vēstulē aicina Ministru kabinetu rīkoties, pagarinot Ministru kabineta </w:t>
            </w:r>
            <w:proofErr w:type="gramStart"/>
            <w:r w:rsidRPr="00EE2097">
              <w:t>2011.gada</w:t>
            </w:r>
            <w:proofErr w:type="gramEnd"/>
            <w:r w:rsidRPr="00EE2097">
              <w:t xml:space="preserve"> 15.februāra noteikumos Nr.131 “Iedzīvotāju reģistrā iekļauto ziņu aktualizēšanas kārtība”</w:t>
            </w:r>
            <w:r w:rsidR="00965A77" w:rsidRPr="00EE2097">
              <w:t xml:space="preserve"> (turpmāk – Noteikumi)</w:t>
            </w:r>
            <w:r w:rsidRPr="00EE2097">
              <w:t xml:space="preserve"> 30.punktā minēto termiņu, kurā Latvijas pilsoņiem, nepilsoņiem un personām, kuras Latvijā saņēmušas uzturēšanās atļaujas, reģistrācijas apliecības vai pastāvīgās uzturēšanās apliecības, uzlikts par pienākumu paziņot savu reģistrētās dzīvesvietas adresi ārvalstī, jo uzskata, ka paziņošanas par dzīvesvietas adresi ārvalstīs pienākuma izpildes termiņš personām jānosaka ne mazāks kā trīs mēnešu laikā pēc reģistrā iekļauto ziņu maiņas. </w:t>
            </w:r>
          </w:p>
          <w:p w:rsidR="003530C3" w:rsidRPr="00EE2097" w:rsidRDefault="00430376" w:rsidP="00F77A6F">
            <w:pPr>
              <w:jc w:val="both"/>
            </w:pPr>
            <w:r w:rsidRPr="00EE2097">
              <w:t>Tāpat Vēstulē tiek a</w:t>
            </w:r>
            <w:r w:rsidR="00965A77" w:rsidRPr="00EE2097">
              <w:t>icināts N</w:t>
            </w:r>
            <w:r w:rsidRPr="00EE2097">
              <w:t xml:space="preserve">oteikumos precizēt, ar kuru brīdi vai </w:t>
            </w:r>
            <w:proofErr w:type="gramStart"/>
            <w:r w:rsidRPr="00EE2097">
              <w:t>pie kādiem nosacījumiem</w:t>
            </w:r>
            <w:proofErr w:type="gramEnd"/>
            <w:r w:rsidRPr="00EE2097">
              <w:t xml:space="preserve"> sākas paziņošanas par dzīvesvietas adresi ārvalstīs pienākuma izpildes termiņš.</w:t>
            </w:r>
          </w:p>
          <w:p w:rsidR="00E65669" w:rsidRPr="00EE2097" w:rsidRDefault="00E65669" w:rsidP="00F77A6F">
            <w:pPr>
              <w:jc w:val="both"/>
            </w:pPr>
            <w:r w:rsidRPr="00EE2097">
              <w:t>Ievērojot</w:t>
            </w:r>
            <w:r w:rsidR="00965A77" w:rsidRPr="00EE2097">
              <w:t xml:space="preserve"> </w:t>
            </w:r>
            <w:r w:rsidRPr="00EE2097">
              <w:t>Vēstulē</w:t>
            </w:r>
            <w:r w:rsidR="00965A77" w:rsidRPr="00EE2097">
              <w:t xml:space="preserve"> </w:t>
            </w:r>
            <w:r w:rsidRPr="00EE2097">
              <w:t>norādīto, projekts paredz, ka Latvijas pilsonim, Latvijas nepilsonim un personai, kura Latvijā saņēmusi reģistrācijas apliecību vai pastāvīgās uzturēšanās apliecību, būs jāsniedz ziņas par dzīvesvietas adresi ārvalstīs triju mēnešu laikā pēc pārcelšanās uz pastāvīgu dzīvi ārvalstīs.</w:t>
            </w:r>
          </w:p>
          <w:p w:rsidR="00965A77" w:rsidRPr="00EE2097" w:rsidRDefault="00965A77" w:rsidP="00F77A6F">
            <w:pPr>
              <w:jc w:val="both"/>
            </w:pPr>
            <w:r w:rsidRPr="00EE2097">
              <w:t xml:space="preserve">Kā nosacījums paziņošanas termiņa sākumam </w:t>
            </w:r>
            <w:r w:rsidR="003C403F" w:rsidRPr="00EE2097">
              <w:t>projekts paredz</w:t>
            </w:r>
            <w:r w:rsidRPr="00EE2097">
              <w:t xml:space="preserve"> “pastāvīga dzīve”, ņemot vērā Dzīvesvietas deklarēšanas likuma </w:t>
            </w:r>
            <w:proofErr w:type="gramStart"/>
            <w:r w:rsidRPr="00EE2097">
              <w:t>4.pant</w:t>
            </w:r>
            <w:r w:rsidR="001D19CC" w:rsidRPr="00EE2097">
              <w:t>a</w:t>
            </w:r>
            <w:proofErr w:type="gramEnd"/>
            <w:r w:rsidRPr="00EE2097">
              <w:t xml:space="preserve"> pirmajā daļā noteikto attiecībā uz Latvijas adreses deklarēšanu, proti, dzīvesvietas maiņas gadījumā attiecīgās personas pienākums ir mēneša laikā, kopš tā pastāvīgi dzīvo jaunajā dzīvesvietā, deklarēt to dzīvesvietas deklarēšanas iestādē.</w:t>
            </w:r>
            <w:r w:rsidR="003C403F" w:rsidRPr="00EE2097">
              <w:t xml:space="preserve"> Tādējādi tiklīdz persona pār</w:t>
            </w:r>
            <w:r w:rsidR="005138A2" w:rsidRPr="00EE2097">
              <w:t>celsies</w:t>
            </w:r>
            <w:r w:rsidR="003C403F" w:rsidRPr="00EE2097">
              <w:t xml:space="preserve"> uz pastāvīgu dzīvi ārvalstīs tās pienākums būs triju mēnešu laikā paziņot Pilsonības un migrācijas lietu pārvaldei</w:t>
            </w:r>
            <w:r w:rsidR="005138A2" w:rsidRPr="00EE2097">
              <w:t xml:space="preserve"> vai Latvijas Republikas diplomātiskajai vai </w:t>
            </w:r>
            <w:r w:rsidR="005138A2" w:rsidRPr="00EE2097">
              <w:lastRenderedPageBreak/>
              <w:t>konsulārajai pārstāvniecībai ārvalst</w:t>
            </w:r>
            <w:r w:rsidR="0028174F" w:rsidRPr="00EE2097">
              <w:t>ī</w:t>
            </w:r>
            <w:r w:rsidR="003C403F" w:rsidRPr="00EE2097">
              <w:t xml:space="preserve"> par savu dzīvesvietas adresi ārvalstīs.</w:t>
            </w:r>
          </w:p>
          <w:p w:rsidR="00E65669" w:rsidRPr="00EE2097" w:rsidRDefault="00E65669" w:rsidP="00F77A6F">
            <w:pPr>
              <w:jc w:val="both"/>
            </w:pPr>
            <w:r w:rsidRPr="00EE2097">
              <w:t>Savukārt gadījumā, ja Latvijas pilsonis, Latvijas nepilsonis un persona, kura Latvijā saņēmusi reģistrācijas apliecību vai pastāvīgās uzturēšanās apliecību, mainīs ārvalsts dzīvesvietas adresi, tad šādas ziņas būs jāpaziņo 30 dienu laikā, līdzīgi kā par Latvijas deklarētās dzīvesvietas adreses maiņu jāpaziņo mēneša laikā vai 30 dienu laikā</w:t>
            </w:r>
            <w:r w:rsidR="0028174F" w:rsidRPr="00EE2097">
              <w:t xml:space="preserve"> jāpaziņo</w:t>
            </w:r>
            <w:r w:rsidRPr="00EE2097">
              <w:t xml:space="preserve"> par jebkurām citām izmaiņām, kas veiktas ārvalsts institūcijās (Noteikumu 30.punkts).</w:t>
            </w:r>
          </w:p>
          <w:p w:rsidR="00E65669" w:rsidRPr="00EE2097" w:rsidRDefault="006662A8" w:rsidP="00F77A6F">
            <w:pPr>
              <w:jc w:val="both"/>
            </w:pPr>
            <w:r w:rsidRPr="00EE2097">
              <w:t>Uz personām, kuras saņēmušas Latvijas uzturēšanās atļaujas, attiecas speciālais likums - Imigrācijas likums. Atbilstoši Imigrācijas likuma 39. panta otrajai daļai, ārzemniekam ir pienākums triju darba dienu laikā rakstveidā informēt Pilsonības un migrācijas lietu pārvaldi par izmaiņām uzturēšanās atļaujas pieprasīšanai sniegtajās ziņās. Dzīvesvietas adrese ir viena no ziņām, ko ārzemnieks sniedz, pieprasot uzturēšanās atļauju, līdz ar to projekts paredz noteikt, ka personai, kura saņēmusi uzturēšanās atļauju, ziņas par ārvalsts adresi būs jāsniedz triju darba dienu laikā pēc pārcelšanās uz dzīvi ārvalstīs vai ārvalsts dzīvesvietas adreses maiņu.</w:t>
            </w:r>
            <w:r w:rsidR="00006A1F" w:rsidRPr="00EE2097">
              <w:t xml:space="preserve"> Minētais atbilsts arī šobrīd es</w:t>
            </w:r>
            <w:r w:rsidR="005138A2" w:rsidRPr="00EE2097">
              <w:t>ošai praksei, ka uz personām, kuras</w:t>
            </w:r>
            <w:r w:rsidR="00006A1F" w:rsidRPr="00EE2097">
              <w:t xml:space="preserve"> saņēmušas uzturēšanās atļauju Latvijā, attiecas speciālajā likumā noteiktie termiņu ziņu izmaiņu paziņošanai.</w:t>
            </w:r>
          </w:p>
          <w:p w:rsidR="002527DF" w:rsidRPr="00EE2097" w:rsidRDefault="002527DF" w:rsidP="00F77A6F">
            <w:pPr>
              <w:jc w:val="both"/>
            </w:pPr>
            <w:r w:rsidRPr="00EE2097">
              <w:t xml:space="preserve">Attiecībā uz personu, </w:t>
            </w:r>
            <w:proofErr w:type="gramStart"/>
            <w:r w:rsidRPr="00EE2097">
              <w:t>kura saņēmusi Latvijas uzturēšanās atļauju, tiek paredzēts, ka tā paziņo savu ārvalsts dzīvesvietas adresi</w:t>
            </w:r>
            <w:proofErr w:type="gramEnd"/>
            <w:r w:rsidRPr="00EE2097">
              <w:t xml:space="preserve"> tiklīdz pārceļas uz dzīvi ārvalstī. Noteikumu 30.</w:t>
            </w:r>
            <w:r w:rsidRPr="00EE2097">
              <w:rPr>
                <w:vertAlign w:val="superscript"/>
              </w:rPr>
              <w:t>1</w:t>
            </w:r>
            <w:r w:rsidRPr="00EE2097">
              <w:t xml:space="preserve">3. apakšpunktā netiek norādīta “pastāvīga dzīve”, jo ārzemnieks var ne tikai pārcelties uz pastāvīgu dzīvi ārvalstīs, kā rezultātā Pilsonības un migrācijas lietu pārvalde </w:t>
            </w:r>
            <w:r w:rsidR="002875AE" w:rsidRPr="00EE2097">
              <w:t>ir pamats</w:t>
            </w:r>
            <w:r w:rsidRPr="00EE2097">
              <w:t xml:space="preserve"> ierosināt uzturēšanās atļaujas anulēšanas procesu, atbilstoši Imigrācijas likuma </w:t>
            </w:r>
            <w:proofErr w:type="gramStart"/>
            <w:r w:rsidRPr="00EE2097">
              <w:t>35.panta</w:t>
            </w:r>
            <w:proofErr w:type="gramEnd"/>
            <w:r w:rsidRPr="00EE2097">
              <w:t xml:space="preserve"> pirmās daļas 14.punktam un 36.panta pirmās daļas 5.punktam, bet arī pieteikt attaisnotu prombūtni (saskaņā ar Ministru kabineta 2010.gada 21.jūnija noteikumiem Nr.564 “Uzturēšanās atļauju noteikumi”).</w:t>
            </w:r>
          </w:p>
          <w:p w:rsidR="005A0A4E" w:rsidRPr="00EE2097" w:rsidRDefault="005A0A4E" w:rsidP="005A0A4E">
            <w:pPr>
              <w:pStyle w:val="naisc"/>
              <w:spacing w:before="0" w:after="0" w:line="256" w:lineRule="auto"/>
              <w:jc w:val="both"/>
            </w:pPr>
            <w:r w:rsidRPr="00EE2097">
              <w:t>Ievērojot to, ka dzīvesvietas adreses norādīšanas mērķis ir būt sasniedzamam tiesiskajās attiecībās ar valsti un pašvaldību</w:t>
            </w:r>
            <w:r w:rsidR="002875AE" w:rsidRPr="00EE2097">
              <w:t>,</w:t>
            </w:r>
            <w:r w:rsidRPr="00EE2097">
              <w:t xml:space="preserve"> ir svarīgi, ka arī personas, kura saņēmusi Latvijas uzturēšanās atļauju, prombūtnes gadījumā tiek aktualizētas ziņas par ārvalsts adresi, nodrošinot, ka valsts zina, kur atrodas un var tik</w:t>
            </w:r>
            <w:r w:rsidR="0013303D">
              <w:t>t</w:t>
            </w:r>
            <w:r w:rsidRPr="00EE2097">
              <w:t xml:space="preserve"> sasniegta šī persona.</w:t>
            </w:r>
            <w:r w:rsidR="002875AE" w:rsidRPr="00EE2097">
              <w:t xml:space="preserve"> It īpaši, ņemot vērā</w:t>
            </w:r>
            <w:r w:rsidR="008442CC" w:rsidRPr="00EE2097">
              <w:t xml:space="preserve"> to</w:t>
            </w:r>
            <w:r w:rsidR="002875AE" w:rsidRPr="00EE2097">
              <w:t xml:space="preserve">, ka </w:t>
            </w:r>
            <w:r w:rsidR="008442CC" w:rsidRPr="00EE2097">
              <w:t xml:space="preserve">personas ar Latvijā </w:t>
            </w:r>
            <w:r w:rsidR="005052B9" w:rsidRPr="00EE2097">
              <w:t>izsniegtu</w:t>
            </w:r>
            <w:r w:rsidR="008442CC" w:rsidRPr="00EE2097">
              <w:t xml:space="preserve"> uzturēšanās atļauju</w:t>
            </w:r>
            <w:r w:rsidR="005052B9" w:rsidRPr="00EE2097">
              <w:t xml:space="preserve"> var būt Latvijas bēglis vai persona, kurai Latvija </w:t>
            </w:r>
            <w:r w:rsidR="0013303D">
              <w:t xml:space="preserve">ir </w:t>
            </w:r>
            <w:r w:rsidR="005052B9" w:rsidRPr="00EE2097">
              <w:t>piešķīr</w:t>
            </w:r>
            <w:r w:rsidR="0013303D">
              <w:t>usi</w:t>
            </w:r>
            <w:r w:rsidR="005052B9" w:rsidRPr="00EE2097">
              <w:t xml:space="preserve"> bezvalstnieka vai alternatīvo statusu.</w:t>
            </w:r>
          </w:p>
          <w:p w:rsidR="006606C1" w:rsidRPr="00EE2097" w:rsidRDefault="005138A2" w:rsidP="00F77A6F">
            <w:pPr>
              <w:jc w:val="both"/>
            </w:pPr>
            <w:r w:rsidRPr="00EE2097">
              <w:t>Papildu</w:t>
            </w:r>
            <w:r w:rsidR="0013303D">
              <w:t>s</w:t>
            </w:r>
            <w:bookmarkStart w:id="0" w:name="_GoBack"/>
            <w:bookmarkEnd w:id="0"/>
            <w:r w:rsidR="006606C1" w:rsidRPr="00EE2097">
              <w:t xml:space="preserve"> projekts paredz veikt tehniska rakstura grozījumus:</w:t>
            </w:r>
          </w:p>
          <w:p w:rsidR="00060D2F" w:rsidRPr="00EE2097" w:rsidRDefault="006606C1" w:rsidP="00060D2F">
            <w:pPr>
              <w:jc w:val="both"/>
            </w:pPr>
            <w:r w:rsidRPr="00EE2097">
              <w:t>1. noteikt, ka ziņas Pilsonības un migrācijas lietu pārvaldei sniedz Saeimas</w:t>
            </w:r>
            <w:r w:rsidR="008707C6" w:rsidRPr="00EE2097">
              <w:t xml:space="preserve"> Administrācija, nevis Saeimas K</w:t>
            </w:r>
            <w:r w:rsidRPr="00EE2097">
              <w:t>anceleja</w:t>
            </w:r>
            <w:r w:rsidR="004F79D3" w:rsidRPr="00EE2097">
              <w:t xml:space="preserve">, ņemot vērā </w:t>
            </w:r>
            <w:proofErr w:type="gramStart"/>
            <w:r w:rsidR="004F79D3" w:rsidRPr="00EE2097">
              <w:t>2015.gada</w:t>
            </w:r>
            <w:proofErr w:type="gramEnd"/>
            <w:r w:rsidR="004F79D3" w:rsidRPr="00EE2097">
              <w:t xml:space="preserve"> 27.oktobrī spēkā stājušos grozījumus Saeimas kārtības rullī, kas paredzēja, ka visā Saeimas </w:t>
            </w:r>
            <w:r w:rsidR="004F79D3" w:rsidRPr="00EE2097">
              <w:lastRenderedPageBreak/>
              <w:t xml:space="preserve">Kārtības ruļļa tekstā “Saeimas Kanceleja” tiek aizstāta ar “Saeimas Administrācija”. </w:t>
            </w:r>
          </w:p>
          <w:p w:rsidR="006606C1" w:rsidRPr="00EE2097" w:rsidRDefault="008707C6" w:rsidP="009C22C6">
            <w:pPr>
              <w:jc w:val="both"/>
            </w:pPr>
            <w:r w:rsidRPr="00EE2097">
              <w:t>2. precizēt N</w:t>
            </w:r>
            <w:r w:rsidR="00060D2F" w:rsidRPr="00EE2097">
              <w:t>oteikumu 30.punktā</w:t>
            </w:r>
            <w:r w:rsidR="0028174F" w:rsidRPr="00EE2097">
              <w:t xml:space="preserve"> ietvertās</w:t>
            </w:r>
            <w:r w:rsidR="00060D2F" w:rsidRPr="00EE2097">
              <w:t xml:space="preserve"> normu atsauces, norādot, ka personām ir pienākums sniegt ziņas Pilsonības un migrācijas lietu pārvaldei</w:t>
            </w:r>
            <w:r w:rsidR="0028174F" w:rsidRPr="00EE2097">
              <w:t xml:space="preserve"> ne tikai par izmaiņām Iedzīvotāju reģistrā iekļautajās ziņās, ja ziņas mainījušās un attiecīgais fakts</w:t>
            </w:r>
            <w:proofErr w:type="gramStart"/>
            <w:r w:rsidR="0028174F" w:rsidRPr="00EE2097">
              <w:t xml:space="preserve"> reģistrēts ārvalsts institūcijā</w:t>
            </w:r>
            <w:proofErr w:type="gramEnd"/>
            <w:r w:rsidR="0028174F" w:rsidRPr="00EE2097">
              <w:t>, bet arī</w:t>
            </w:r>
            <w:r w:rsidR="00060D2F" w:rsidRPr="00EE2097">
              <w:t xml:space="preserve"> par personai piešķirto citas valsts identifikācijas kodu, kas ierakstīts kompetentas iestādes izsniegtajā dokumentā</w:t>
            </w:r>
            <w:r w:rsidR="0028174F" w:rsidRPr="00EE2097">
              <w:t xml:space="preserve"> (Noteikumu 13.5.apakšpunkts)</w:t>
            </w:r>
            <w:r w:rsidR="00060D2F" w:rsidRPr="00EE2097">
              <w:t>.</w:t>
            </w:r>
            <w:r w:rsidR="000D4961" w:rsidRPr="00EE2097">
              <w:t xml:space="preserve"> Ievērojot to, ka </w:t>
            </w:r>
            <w:r w:rsidR="00DD50D5" w:rsidRPr="00EE2097">
              <w:t>kopš</w:t>
            </w:r>
            <w:r w:rsidR="000D4961" w:rsidRPr="00EE2097">
              <w:t xml:space="preserve"> </w:t>
            </w:r>
            <w:proofErr w:type="gramStart"/>
            <w:r w:rsidR="00DD50D5" w:rsidRPr="00EE2097">
              <w:t>2017.gada</w:t>
            </w:r>
            <w:proofErr w:type="gramEnd"/>
            <w:r w:rsidR="00DD50D5" w:rsidRPr="00EE2097">
              <w:t xml:space="preserve"> 1.jūlija Iedzīvotāju reģistrā tiek iekļautas ziņas par personai ārvalstī piešķirto identifikācijas kodu un šādas ziņas Pilsonības un migrācijas lietu pārvaldei var sniegt tikai pati persona, kuras rīcībā ir ārvalsts kompetentas iestādes izsniegts dokuments, kurā norādīts identifikācijas kods,</w:t>
            </w:r>
            <w:r w:rsidR="009C22C6" w:rsidRPr="00EE2097">
              <w:t xml:space="preserve"> nepieciešams Noteikumu 30.punktā, kas paredz kārtību un termiņu, kādā persona sniedz ziņas, ietvert atsauci uz Noteikumu 13.5.apakšpunktu (Latvijas pilsonis, Latvijas nepilsonis, persona, kura Latvijā saņēmusi uzturēšanās atļauju, reģistrācijas apliecību vai pastāvīgās uzturēšanās apliecību sniedz ziņas par personai piešķirto citas valsts identifikācijas kodu, kas ierakstīts kompetentas iestādes izsniegtajā dokumentā).</w:t>
            </w:r>
            <w:r w:rsidR="006606C1" w:rsidRPr="00EE2097">
              <w:t xml:space="preserve"> </w:t>
            </w:r>
            <w:r w:rsidR="004F79D3" w:rsidRPr="00EE2097">
              <w:t>Minētais</w:t>
            </w:r>
            <w:r w:rsidR="009C22C6" w:rsidRPr="00EE2097">
              <w:t xml:space="preserve"> arī</w:t>
            </w:r>
            <w:r w:rsidR="004F79D3" w:rsidRPr="00EE2097">
              <w:t xml:space="preserve"> atbilst Iedzīvotāju reģistra likuma pārejas noteikumu 9.punktam, kas paredz, ka Latvijas pilsonis, Latvijas nepilsonis un persona, kura Latvijā saņēmusi uzturēšanās atļauju, reģistrācijas apliecību vai pastāvīgās uzturēšanās apliecību, ziņas par identifikācijas kodu, kas tai ārvalstī piešķirts līdz </w:t>
            </w:r>
            <w:proofErr w:type="gramStart"/>
            <w:r w:rsidR="004F79D3" w:rsidRPr="00EE2097">
              <w:t>2017.gada</w:t>
            </w:r>
            <w:proofErr w:type="gramEnd"/>
            <w:r w:rsidR="004F79D3" w:rsidRPr="00EE2097">
              <w:t xml:space="preserve"> 30.jūnijam un kas ierakstīts kompetentas iestādes izsniegtā dokumentā, kurš ļauj personai uzturēties ārvalstī, sniedz Pilsonības un migrācijas lietu pārvaldei līdz 2020.gada 1.janvārim.</w:t>
            </w:r>
          </w:p>
        </w:tc>
      </w:tr>
      <w:tr w:rsidR="003530C3" w:rsidRPr="00EE2097" w:rsidTr="00F77A6F">
        <w:tc>
          <w:tcPr>
            <w:tcW w:w="311" w:type="pct"/>
            <w:hideMark/>
          </w:tcPr>
          <w:p w:rsidR="003530C3" w:rsidRPr="00EE2097" w:rsidRDefault="003530C3" w:rsidP="00F77A6F">
            <w:pPr>
              <w:jc w:val="center"/>
            </w:pPr>
            <w:r w:rsidRPr="00EE2097">
              <w:lastRenderedPageBreak/>
              <w:t>3.</w:t>
            </w:r>
          </w:p>
        </w:tc>
        <w:tc>
          <w:tcPr>
            <w:tcW w:w="1479" w:type="pct"/>
            <w:hideMark/>
          </w:tcPr>
          <w:p w:rsidR="003530C3" w:rsidRPr="00EE2097" w:rsidRDefault="003530C3" w:rsidP="00F77A6F">
            <w:r w:rsidRPr="00EE2097">
              <w:t>Projekta izstrādē iesaistītās institūcijas un publiskas personas kapitālsabiedrības</w:t>
            </w:r>
          </w:p>
        </w:tc>
        <w:tc>
          <w:tcPr>
            <w:tcW w:w="3210" w:type="pct"/>
            <w:hideMark/>
          </w:tcPr>
          <w:p w:rsidR="003530C3" w:rsidRPr="00EE2097" w:rsidRDefault="003530C3" w:rsidP="00F77A6F">
            <w:r w:rsidRPr="00EE2097">
              <w:t>Pilsonības un migrācijas lietu pārvalde.</w:t>
            </w:r>
          </w:p>
        </w:tc>
      </w:tr>
      <w:tr w:rsidR="003530C3" w:rsidRPr="00EE2097" w:rsidTr="00F77A6F">
        <w:tc>
          <w:tcPr>
            <w:tcW w:w="311" w:type="pct"/>
            <w:hideMark/>
          </w:tcPr>
          <w:p w:rsidR="003530C3" w:rsidRPr="00EE2097" w:rsidRDefault="003530C3" w:rsidP="00F77A6F">
            <w:pPr>
              <w:jc w:val="center"/>
            </w:pPr>
            <w:r w:rsidRPr="00EE2097">
              <w:t>4.</w:t>
            </w:r>
          </w:p>
        </w:tc>
        <w:tc>
          <w:tcPr>
            <w:tcW w:w="1479" w:type="pct"/>
            <w:hideMark/>
          </w:tcPr>
          <w:p w:rsidR="003530C3" w:rsidRPr="00EE2097" w:rsidRDefault="003530C3" w:rsidP="00F77A6F">
            <w:r w:rsidRPr="00EE2097">
              <w:t>Cita informācija</w:t>
            </w:r>
          </w:p>
        </w:tc>
        <w:tc>
          <w:tcPr>
            <w:tcW w:w="3210" w:type="pct"/>
            <w:hideMark/>
          </w:tcPr>
          <w:p w:rsidR="003530C3" w:rsidRPr="00EE2097" w:rsidRDefault="003530C3" w:rsidP="00F77A6F">
            <w:r w:rsidRPr="00EE2097">
              <w:t>Nav.</w:t>
            </w:r>
          </w:p>
        </w:tc>
      </w:tr>
    </w:tbl>
    <w:p w:rsidR="003530C3" w:rsidRPr="00EE2097" w:rsidRDefault="003530C3" w:rsidP="003530C3">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3530C3" w:rsidRPr="00EE2097" w:rsidTr="00F77A6F">
        <w:trPr>
          <w:cantSplit/>
        </w:trPr>
        <w:tc>
          <w:tcPr>
            <w:tcW w:w="5000" w:type="pct"/>
            <w:gridSpan w:val="3"/>
            <w:vAlign w:val="center"/>
            <w:hideMark/>
          </w:tcPr>
          <w:p w:rsidR="003530C3" w:rsidRPr="00EE2097" w:rsidRDefault="003530C3" w:rsidP="00F77A6F">
            <w:pPr>
              <w:jc w:val="center"/>
              <w:rPr>
                <w:b/>
                <w:bCs/>
              </w:rPr>
            </w:pPr>
            <w:r w:rsidRPr="00EE2097">
              <w:rPr>
                <w:b/>
                <w:bCs/>
              </w:rPr>
              <w:t>II. Tiesību akta projekta ietekme uz sabiedrību, tautsaimniecības attīstību un administratīvo slogu</w:t>
            </w:r>
          </w:p>
        </w:tc>
      </w:tr>
      <w:tr w:rsidR="003530C3" w:rsidRPr="00EE2097" w:rsidTr="00F77A6F">
        <w:trPr>
          <w:cantSplit/>
        </w:trPr>
        <w:tc>
          <w:tcPr>
            <w:tcW w:w="311" w:type="pct"/>
            <w:hideMark/>
          </w:tcPr>
          <w:p w:rsidR="003530C3" w:rsidRPr="00EE2097" w:rsidRDefault="003530C3" w:rsidP="00F77A6F">
            <w:pPr>
              <w:jc w:val="center"/>
            </w:pPr>
            <w:r w:rsidRPr="00EE2097">
              <w:t>1.</w:t>
            </w:r>
          </w:p>
        </w:tc>
        <w:tc>
          <w:tcPr>
            <w:tcW w:w="1479" w:type="pct"/>
            <w:hideMark/>
          </w:tcPr>
          <w:p w:rsidR="003530C3" w:rsidRPr="00EE2097" w:rsidRDefault="003530C3" w:rsidP="00F77A6F">
            <w:r w:rsidRPr="00EE2097">
              <w:t>Sabiedrības mērķgrupas, kuras tiesiskais regulējums ietekmē vai varētu ietekmēt</w:t>
            </w:r>
          </w:p>
        </w:tc>
        <w:tc>
          <w:tcPr>
            <w:tcW w:w="3210" w:type="pct"/>
            <w:hideMark/>
          </w:tcPr>
          <w:p w:rsidR="00BE4514" w:rsidRPr="00EE2097" w:rsidRDefault="003530C3" w:rsidP="00430376">
            <w:pPr>
              <w:jc w:val="both"/>
            </w:pPr>
            <w:r w:rsidRPr="00EE2097">
              <w:t>Mērķgrupas aptuvenais skaitliskais lielums</w:t>
            </w:r>
            <w:r w:rsidR="00430376" w:rsidRPr="00EE2097">
              <w:t xml:space="preserve"> </w:t>
            </w:r>
            <w:r w:rsidR="006606C1" w:rsidRPr="00EE2097">
              <w:t xml:space="preserve">24 061 persona </w:t>
            </w:r>
            <w:r w:rsidR="00430376" w:rsidRPr="00EE2097">
              <w:t xml:space="preserve">(tik personu </w:t>
            </w:r>
            <w:proofErr w:type="gramStart"/>
            <w:r w:rsidR="006606C1" w:rsidRPr="00EE2097">
              <w:t>2017.gada</w:t>
            </w:r>
            <w:proofErr w:type="gramEnd"/>
            <w:r w:rsidR="006606C1" w:rsidRPr="00EE2097">
              <w:t xml:space="preserve"> ietvaros norādīja </w:t>
            </w:r>
            <w:r w:rsidR="00430376" w:rsidRPr="00EE2097">
              <w:t>dzīvesvietas adresi ārvalstī).</w:t>
            </w:r>
            <w:r w:rsidR="00760EFA" w:rsidRPr="00EE2097">
              <w:t xml:space="preserve"> </w:t>
            </w:r>
          </w:p>
          <w:p w:rsidR="00430376" w:rsidRPr="00EE2097" w:rsidRDefault="00760EFA" w:rsidP="00430376">
            <w:pPr>
              <w:jc w:val="both"/>
            </w:pPr>
            <w:r w:rsidRPr="00EE2097">
              <w:t xml:space="preserve">Savukārt attiecībā uz ārvalstī piešķirto identifikācijas kodu – </w:t>
            </w:r>
            <w:r w:rsidR="00BE4514" w:rsidRPr="00EE2097">
              <w:t>1 </w:t>
            </w:r>
            <w:r w:rsidRPr="00EE2097">
              <w:t>000</w:t>
            </w:r>
            <w:r w:rsidR="00BE4514" w:rsidRPr="00EE2097">
              <w:t xml:space="preserve"> personas varētu sniegt ziņas par ārvalsts identifikācijas koda piešķiršanu</w:t>
            </w:r>
            <w:r w:rsidRPr="00EE2097">
              <w:t>.</w:t>
            </w:r>
          </w:p>
          <w:p w:rsidR="003530C3" w:rsidRPr="00EE2097" w:rsidRDefault="003530C3" w:rsidP="00430376">
            <w:pPr>
              <w:jc w:val="both"/>
            </w:pPr>
            <w:r w:rsidRPr="00EE2097">
              <w:t>Pilsonības un migrācijas lietu pārvalde.</w:t>
            </w:r>
          </w:p>
        </w:tc>
      </w:tr>
      <w:tr w:rsidR="003530C3" w:rsidRPr="00EE2097" w:rsidTr="00F77A6F">
        <w:trPr>
          <w:cantSplit/>
        </w:trPr>
        <w:tc>
          <w:tcPr>
            <w:tcW w:w="311" w:type="pct"/>
            <w:hideMark/>
          </w:tcPr>
          <w:p w:rsidR="003530C3" w:rsidRPr="00EE2097" w:rsidRDefault="003530C3" w:rsidP="00F77A6F">
            <w:pPr>
              <w:jc w:val="center"/>
            </w:pPr>
            <w:r w:rsidRPr="00EE2097">
              <w:lastRenderedPageBreak/>
              <w:t>2.</w:t>
            </w:r>
          </w:p>
        </w:tc>
        <w:tc>
          <w:tcPr>
            <w:tcW w:w="1479" w:type="pct"/>
            <w:hideMark/>
          </w:tcPr>
          <w:p w:rsidR="003530C3" w:rsidRPr="00EE2097" w:rsidRDefault="003530C3" w:rsidP="00F77A6F">
            <w:r w:rsidRPr="00EE2097">
              <w:t>Tiesiskā regulējuma ietekme uz tautsaimniecību un administratīvo slogu</w:t>
            </w:r>
          </w:p>
        </w:tc>
        <w:tc>
          <w:tcPr>
            <w:tcW w:w="3210" w:type="pct"/>
            <w:hideMark/>
          </w:tcPr>
          <w:p w:rsidR="003530C3" w:rsidRPr="00EE2097" w:rsidRDefault="006606C1" w:rsidP="00F77A6F">
            <w:pPr>
              <w:jc w:val="both"/>
            </w:pPr>
            <w:r w:rsidRPr="00EE2097">
              <w:t>Projekts neparedz jaunu procedūru izveidi</w:t>
            </w:r>
            <w:r w:rsidR="00006A1F" w:rsidRPr="00EE2097">
              <w:t xml:space="preserve"> vai maiņu</w:t>
            </w:r>
            <w:r w:rsidRPr="00EE2097">
              <w:t>, bet precizē termiņus, kādos jāpaziņo ārvalsts adrese. Līdz ar to administratīvais slogs personām un iestādei</w:t>
            </w:r>
            <w:r w:rsidR="00760EFA" w:rsidRPr="00EE2097">
              <w:t xml:space="preserve"> par ārvalsts adreses paziņošanu</w:t>
            </w:r>
            <w:r w:rsidRPr="00EE2097">
              <w:t xml:space="preserve"> ir nemainīgs.</w:t>
            </w:r>
          </w:p>
          <w:p w:rsidR="00760EFA" w:rsidRPr="00EE2097" w:rsidRDefault="00760EFA" w:rsidP="00BE4514">
            <w:pPr>
              <w:jc w:val="both"/>
            </w:pPr>
            <w:r w:rsidRPr="00EE2097">
              <w:t>Attiecībā uz ārvalsts identifikācijas kodu paziņošanu un aktualizēšanu veidosies administratīvais slogs personām un Pilsonības un migrācijas lietu pārvaldei</w:t>
            </w:r>
            <w:r w:rsidR="00BE4514" w:rsidRPr="00EE2097">
              <w:t xml:space="preserve"> tikai tajos gadījumos, kad personām būs atsevišķi jāpaziņo par ārvalsts identifikācijas koda saņemšanu</w:t>
            </w:r>
            <w:r w:rsidRPr="00EE2097">
              <w:t>.</w:t>
            </w:r>
            <w:r w:rsidR="00BE4514" w:rsidRPr="00EE2097">
              <w:t xml:space="preserve"> Savukārt nav saskatāms administratīvais slogs gadījumos, kad šādas ziņas tiks sniegtas</w:t>
            </w:r>
            <w:proofErr w:type="gramStart"/>
            <w:r w:rsidR="00BE4514" w:rsidRPr="00EE2097">
              <w:t xml:space="preserve"> saņemot kādu</w:t>
            </w:r>
            <w:proofErr w:type="gramEnd"/>
            <w:r w:rsidR="00BE4514" w:rsidRPr="00EE2097">
              <w:t xml:space="preserve"> Pilsonības un migrācijas lietu pārvaldes pakalpojumu, piemēram, formējot personu apliecinošu dokumentu, reģistrējot bērna pilsonību vai aktualizējot ziņas par ārvalstī noslēgto laulību.</w:t>
            </w:r>
          </w:p>
        </w:tc>
      </w:tr>
      <w:tr w:rsidR="003530C3" w:rsidRPr="00EE2097" w:rsidTr="00F77A6F">
        <w:trPr>
          <w:cantSplit/>
        </w:trPr>
        <w:tc>
          <w:tcPr>
            <w:tcW w:w="311" w:type="pct"/>
            <w:hideMark/>
          </w:tcPr>
          <w:p w:rsidR="003530C3" w:rsidRPr="00EE2097" w:rsidRDefault="003530C3" w:rsidP="00F77A6F">
            <w:pPr>
              <w:jc w:val="center"/>
            </w:pPr>
            <w:r w:rsidRPr="00EE2097">
              <w:t>3.</w:t>
            </w:r>
          </w:p>
        </w:tc>
        <w:tc>
          <w:tcPr>
            <w:tcW w:w="1479" w:type="pct"/>
            <w:hideMark/>
          </w:tcPr>
          <w:p w:rsidR="003530C3" w:rsidRPr="00EE2097" w:rsidRDefault="003530C3" w:rsidP="00F77A6F">
            <w:r w:rsidRPr="00EE2097">
              <w:t>Administratīvo izmaksu monetārs novērtējums</w:t>
            </w:r>
          </w:p>
        </w:tc>
        <w:tc>
          <w:tcPr>
            <w:tcW w:w="3210" w:type="pct"/>
            <w:hideMark/>
          </w:tcPr>
          <w:p w:rsidR="00760EFA" w:rsidRPr="00EE2097" w:rsidRDefault="00760EFA" w:rsidP="00760EFA">
            <w:pPr>
              <w:pStyle w:val="Heading3"/>
              <w:spacing w:before="0" w:beforeAutospacing="0" w:after="0" w:afterAutospacing="0"/>
              <w:jc w:val="both"/>
              <w:rPr>
                <w:b w:val="0"/>
                <w:sz w:val="24"/>
                <w:szCs w:val="24"/>
              </w:rPr>
            </w:pPr>
            <w:r w:rsidRPr="00EE2097">
              <w:rPr>
                <w:b w:val="0"/>
                <w:sz w:val="24"/>
                <w:szCs w:val="24"/>
              </w:rPr>
              <w:t>Attiecībā uz ziņu sniegšanu par citas valsts piešķirto identifikācijas kodu:</w:t>
            </w:r>
          </w:p>
          <w:p w:rsidR="00760EFA" w:rsidRPr="00EE2097" w:rsidRDefault="00760EFA" w:rsidP="00760EFA">
            <w:pPr>
              <w:pStyle w:val="Heading3"/>
              <w:spacing w:before="0" w:beforeAutospacing="0" w:after="0" w:afterAutospacing="0"/>
              <w:jc w:val="both"/>
              <w:rPr>
                <w:b w:val="0"/>
                <w:sz w:val="24"/>
                <w:szCs w:val="24"/>
              </w:rPr>
            </w:pPr>
            <w:r w:rsidRPr="00EE2097">
              <w:rPr>
                <w:b w:val="0"/>
                <w:sz w:val="24"/>
                <w:szCs w:val="24"/>
              </w:rPr>
              <w:t>Personai:</w:t>
            </w:r>
          </w:p>
          <w:p w:rsidR="00760EFA" w:rsidRPr="00EE2097" w:rsidRDefault="00760EFA" w:rsidP="00760EFA">
            <w:pPr>
              <w:pStyle w:val="Heading3"/>
              <w:spacing w:before="0" w:beforeAutospacing="0" w:after="0" w:afterAutospacing="0"/>
              <w:jc w:val="both"/>
              <w:rPr>
                <w:b w:val="0"/>
                <w:sz w:val="24"/>
                <w:szCs w:val="24"/>
              </w:rPr>
            </w:pPr>
            <w:r w:rsidRPr="00EE2097">
              <w:rPr>
                <w:b w:val="0"/>
                <w:sz w:val="24"/>
                <w:szCs w:val="24"/>
              </w:rPr>
              <w:t xml:space="preserve">Tā kā ziņas par ārvalsts identifikācijas kodu Pilsonības un migrācijas lietu pārvaldei var iesniegt ne tikai klātienē, bet arī elektroniski vai atsūtīt pa pastu, tad klātienē Pilsonības un migrācijas lietu pārvaldē vai Latvijas diplomātiskajā pārstāvniecībā ārvalstīs varētu tikt apkalpotas </w:t>
            </w:r>
            <w:r w:rsidR="00BE4514" w:rsidRPr="00EE2097">
              <w:rPr>
                <w:b w:val="0"/>
                <w:sz w:val="24"/>
                <w:szCs w:val="24"/>
              </w:rPr>
              <w:t>3</w:t>
            </w:r>
            <w:r w:rsidRPr="00EE2097">
              <w:rPr>
                <w:b w:val="0"/>
                <w:sz w:val="24"/>
                <w:szCs w:val="24"/>
              </w:rPr>
              <w:t>00 personas.</w:t>
            </w:r>
          </w:p>
          <w:p w:rsidR="00760EFA" w:rsidRPr="00EE2097" w:rsidRDefault="00760EFA" w:rsidP="00760EFA">
            <w:pPr>
              <w:jc w:val="both"/>
            </w:pPr>
            <w:r w:rsidRPr="00EE2097">
              <w:t xml:space="preserve">C (nokļūšanai Pilsonības un migrācijas lietu pārvaldē vai Latvijas diplomātiskajā vai konsulārajā pārstāvniecībā ārvalstīs un iesnieguma iesniegšana) = </w:t>
            </w:r>
            <w:proofErr w:type="gramStart"/>
            <w:r w:rsidRPr="00EE2097">
              <w:t>(</w:t>
            </w:r>
            <w:proofErr w:type="gramEnd"/>
            <w:r w:rsidRPr="00EE2097">
              <w:t xml:space="preserve">atalgojums 4,47 </w:t>
            </w:r>
            <w:proofErr w:type="spellStart"/>
            <w:r w:rsidRPr="00EE2097">
              <w:rPr>
                <w:i/>
                <w:iCs/>
              </w:rPr>
              <w:t>euro</w:t>
            </w:r>
            <w:proofErr w:type="spellEnd"/>
            <w:r w:rsidRPr="00EE2097">
              <w:t xml:space="preserve">/h x 1 h) x </w:t>
            </w:r>
            <w:r w:rsidR="00BE4514" w:rsidRPr="00EE2097">
              <w:t>300</w:t>
            </w:r>
            <w:r w:rsidRPr="00EE2097">
              <w:t xml:space="preserve"> (personas gadā) = </w:t>
            </w:r>
            <w:r w:rsidR="00BE4514" w:rsidRPr="00EE2097">
              <w:t>1 341</w:t>
            </w:r>
            <w:r w:rsidRPr="00EE2097">
              <w:t xml:space="preserve"> </w:t>
            </w:r>
            <w:proofErr w:type="spellStart"/>
            <w:r w:rsidRPr="00EE2097">
              <w:rPr>
                <w:i/>
                <w:iCs/>
              </w:rPr>
              <w:t>euro</w:t>
            </w:r>
            <w:proofErr w:type="spellEnd"/>
          </w:p>
          <w:p w:rsidR="00760EFA" w:rsidRPr="00EE2097" w:rsidRDefault="00760EFA" w:rsidP="00760EFA">
            <w:pPr>
              <w:pStyle w:val="Heading3"/>
              <w:spacing w:before="0" w:beforeAutospacing="0" w:after="0" w:afterAutospacing="0"/>
              <w:jc w:val="both"/>
              <w:rPr>
                <w:b w:val="0"/>
                <w:iCs/>
                <w:sz w:val="24"/>
                <w:szCs w:val="24"/>
              </w:rPr>
            </w:pPr>
          </w:p>
          <w:p w:rsidR="00760EFA" w:rsidRPr="00EE2097" w:rsidRDefault="00760EFA" w:rsidP="00760EFA">
            <w:pPr>
              <w:jc w:val="both"/>
            </w:pPr>
            <w:r w:rsidRPr="00EE2097">
              <w:t>Iestādei:</w:t>
            </w:r>
          </w:p>
          <w:p w:rsidR="003530C3" w:rsidRPr="00EE2097" w:rsidRDefault="00760EFA" w:rsidP="00BE4514">
            <w:pPr>
              <w:jc w:val="both"/>
            </w:pPr>
            <w:r w:rsidRPr="00EE2097">
              <w:t xml:space="preserve">C (identifikācijas koda iekļaušana) = </w:t>
            </w:r>
            <w:proofErr w:type="gramStart"/>
            <w:r w:rsidRPr="00EE2097">
              <w:t>(</w:t>
            </w:r>
            <w:proofErr w:type="gramEnd"/>
            <w:r w:rsidRPr="00EE2097">
              <w:t xml:space="preserve">atalgojums 5,09 </w:t>
            </w:r>
            <w:proofErr w:type="spellStart"/>
            <w:r w:rsidRPr="00EE2097">
              <w:rPr>
                <w:i/>
                <w:iCs/>
              </w:rPr>
              <w:t>euro</w:t>
            </w:r>
            <w:proofErr w:type="spellEnd"/>
            <w:r w:rsidRPr="00EE2097">
              <w:t xml:space="preserve">/h x 0,08 h (5 min) x </w:t>
            </w:r>
            <w:r w:rsidR="00BE4514" w:rsidRPr="00EE2097">
              <w:t xml:space="preserve">1 000 </w:t>
            </w:r>
            <w:r w:rsidRPr="00EE2097">
              <w:t xml:space="preserve">(personas gadā) = </w:t>
            </w:r>
            <w:r w:rsidR="00BE4514" w:rsidRPr="00EE2097">
              <w:t>407</w:t>
            </w:r>
            <w:r w:rsidRPr="00EE2097">
              <w:t xml:space="preserve"> </w:t>
            </w:r>
            <w:proofErr w:type="spellStart"/>
            <w:r w:rsidRPr="00EE2097">
              <w:rPr>
                <w:i/>
                <w:iCs/>
              </w:rPr>
              <w:t>euro</w:t>
            </w:r>
            <w:proofErr w:type="spellEnd"/>
          </w:p>
        </w:tc>
      </w:tr>
      <w:tr w:rsidR="003530C3" w:rsidRPr="00EE2097" w:rsidTr="00F77A6F">
        <w:trPr>
          <w:cantSplit/>
        </w:trPr>
        <w:tc>
          <w:tcPr>
            <w:tcW w:w="311" w:type="pct"/>
            <w:hideMark/>
          </w:tcPr>
          <w:p w:rsidR="003530C3" w:rsidRPr="00EE2097" w:rsidRDefault="003530C3" w:rsidP="00F77A6F">
            <w:pPr>
              <w:jc w:val="center"/>
            </w:pPr>
            <w:r w:rsidRPr="00EE2097">
              <w:t>4.</w:t>
            </w:r>
          </w:p>
        </w:tc>
        <w:tc>
          <w:tcPr>
            <w:tcW w:w="1479" w:type="pct"/>
            <w:hideMark/>
          </w:tcPr>
          <w:p w:rsidR="003530C3" w:rsidRPr="00EE2097" w:rsidRDefault="003530C3" w:rsidP="00F77A6F">
            <w:r w:rsidRPr="00EE2097">
              <w:t>Atbilstības izmaksu monetārs novērtējums</w:t>
            </w:r>
          </w:p>
        </w:tc>
        <w:tc>
          <w:tcPr>
            <w:tcW w:w="3210" w:type="pct"/>
            <w:hideMark/>
          </w:tcPr>
          <w:p w:rsidR="003530C3" w:rsidRPr="00EE2097" w:rsidRDefault="003530C3" w:rsidP="00F77A6F">
            <w:r w:rsidRPr="00EE2097">
              <w:t>Projekts šo jomu neskar.</w:t>
            </w:r>
          </w:p>
        </w:tc>
      </w:tr>
      <w:tr w:rsidR="003530C3" w:rsidRPr="00EE2097" w:rsidTr="00F77A6F">
        <w:trPr>
          <w:cantSplit/>
        </w:trPr>
        <w:tc>
          <w:tcPr>
            <w:tcW w:w="311" w:type="pct"/>
            <w:hideMark/>
          </w:tcPr>
          <w:p w:rsidR="003530C3" w:rsidRPr="00EE2097" w:rsidRDefault="003530C3" w:rsidP="00F77A6F">
            <w:pPr>
              <w:jc w:val="center"/>
            </w:pPr>
            <w:r w:rsidRPr="00EE2097">
              <w:t>5.</w:t>
            </w:r>
          </w:p>
        </w:tc>
        <w:tc>
          <w:tcPr>
            <w:tcW w:w="1479" w:type="pct"/>
            <w:hideMark/>
          </w:tcPr>
          <w:p w:rsidR="003530C3" w:rsidRPr="00EE2097" w:rsidRDefault="003530C3" w:rsidP="00F77A6F">
            <w:r w:rsidRPr="00EE2097">
              <w:t>Cita informācija</w:t>
            </w:r>
          </w:p>
        </w:tc>
        <w:tc>
          <w:tcPr>
            <w:tcW w:w="3210" w:type="pct"/>
            <w:hideMark/>
          </w:tcPr>
          <w:p w:rsidR="003530C3" w:rsidRPr="00EE2097" w:rsidRDefault="003530C3" w:rsidP="00F77A6F">
            <w:r w:rsidRPr="00EE2097">
              <w:t>Nav.</w:t>
            </w:r>
          </w:p>
        </w:tc>
      </w:tr>
    </w:tbl>
    <w:p w:rsidR="003530C3" w:rsidRPr="00EE2097" w:rsidRDefault="003530C3" w:rsidP="003530C3">
      <w:pPr>
        <w:pStyle w:val="Title"/>
        <w:spacing w:before="130" w:line="260" w:lineRule="exact"/>
        <w:ind w:firstLine="539"/>
        <w:jc w:val="both"/>
        <w:rPr>
          <w:sz w:val="24"/>
          <w:szCs w:val="24"/>
        </w:rPr>
      </w:pPr>
    </w:p>
    <w:p w:rsidR="003530C3" w:rsidRPr="00EE2097" w:rsidRDefault="003530C3" w:rsidP="003530C3"/>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9065"/>
      </w:tblGrid>
      <w:tr w:rsidR="003530C3" w:rsidRPr="00EE2097" w:rsidTr="00F77A6F">
        <w:trPr>
          <w:cantSplit/>
        </w:trPr>
        <w:tc>
          <w:tcPr>
            <w:tcW w:w="9065" w:type="dxa"/>
            <w:shd w:val="clear" w:color="auto" w:fill="auto"/>
            <w:vAlign w:val="center"/>
            <w:hideMark/>
          </w:tcPr>
          <w:p w:rsidR="003530C3" w:rsidRPr="00EE2097" w:rsidRDefault="003530C3" w:rsidP="00F77A6F">
            <w:pPr>
              <w:jc w:val="center"/>
              <w:rPr>
                <w:b/>
                <w:bCs/>
                <w:lang w:eastAsia="en-US"/>
              </w:rPr>
            </w:pPr>
            <w:r w:rsidRPr="00EE2097">
              <w:rPr>
                <w:b/>
                <w:bCs/>
                <w:lang w:eastAsia="en-US"/>
              </w:rPr>
              <w:t>III. Tiesību akta projekta ietekme uz valsts budžetu un pašvaldību budžetiem</w:t>
            </w:r>
          </w:p>
        </w:tc>
      </w:tr>
      <w:tr w:rsidR="006606C1" w:rsidRPr="00EE2097" w:rsidTr="00503258">
        <w:trPr>
          <w:cantSplit/>
        </w:trPr>
        <w:tc>
          <w:tcPr>
            <w:tcW w:w="9065" w:type="dxa"/>
            <w:shd w:val="clear" w:color="auto" w:fill="auto"/>
          </w:tcPr>
          <w:p w:rsidR="006606C1" w:rsidRPr="00EE2097" w:rsidRDefault="006606C1" w:rsidP="006606C1">
            <w:pPr>
              <w:jc w:val="center"/>
              <w:rPr>
                <w:lang w:eastAsia="en-US"/>
              </w:rPr>
            </w:pPr>
            <w:r w:rsidRPr="00EE2097">
              <w:t>Projekts šo jomu neskar.</w:t>
            </w:r>
          </w:p>
        </w:tc>
      </w:tr>
    </w:tbl>
    <w:p w:rsidR="003530C3" w:rsidRPr="00EE2097" w:rsidRDefault="003530C3" w:rsidP="003530C3"/>
    <w:p w:rsidR="003530C3" w:rsidRPr="00EE2097" w:rsidRDefault="003530C3" w:rsidP="003530C3"/>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3530C3" w:rsidRPr="00EE2097" w:rsidTr="00F77A6F">
        <w:trPr>
          <w:cantSplit/>
        </w:trPr>
        <w:tc>
          <w:tcPr>
            <w:tcW w:w="9065" w:type="dxa"/>
            <w:vAlign w:val="center"/>
            <w:hideMark/>
          </w:tcPr>
          <w:p w:rsidR="003530C3" w:rsidRPr="00EE2097" w:rsidRDefault="003530C3" w:rsidP="00F77A6F">
            <w:pPr>
              <w:jc w:val="center"/>
              <w:rPr>
                <w:b/>
                <w:bCs/>
              </w:rPr>
            </w:pPr>
            <w:r w:rsidRPr="00EE2097">
              <w:rPr>
                <w:b/>
                <w:bCs/>
              </w:rPr>
              <w:t>IV. Tiesību akta projekta ietekme uz spēkā esošo tiesību normu sistēmu</w:t>
            </w:r>
          </w:p>
        </w:tc>
      </w:tr>
      <w:tr w:rsidR="003530C3" w:rsidRPr="00EE2097" w:rsidTr="00F77A6F">
        <w:trPr>
          <w:cantSplit/>
          <w:trHeight w:val="288"/>
        </w:trPr>
        <w:tc>
          <w:tcPr>
            <w:tcW w:w="9065" w:type="dxa"/>
          </w:tcPr>
          <w:p w:rsidR="003530C3" w:rsidRPr="00EE2097" w:rsidRDefault="003530C3" w:rsidP="00F77A6F">
            <w:pPr>
              <w:jc w:val="center"/>
            </w:pPr>
            <w:r w:rsidRPr="00EE2097">
              <w:t>Projekts šo jomu neskar.</w:t>
            </w:r>
          </w:p>
        </w:tc>
      </w:tr>
    </w:tbl>
    <w:p w:rsidR="003530C3" w:rsidRPr="00EE2097" w:rsidRDefault="003530C3" w:rsidP="003530C3">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3530C3" w:rsidRPr="00EE2097" w:rsidTr="00F77A6F">
        <w:trPr>
          <w:cantSplit/>
        </w:trPr>
        <w:tc>
          <w:tcPr>
            <w:tcW w:w="5000" w:type="pct"/>
            <w:vAlign w:val="center"/>
            <w:hideMark/>
          </w:tcPr>
          <w:p w:rsidR="003530C3" w:rsidRPr="00EE2097" w:rsidRDefault="003530C3" w:rsidP="00F77A6F">
            <w:pPr>
              <w:jc w:val="center"/>
              <w:rPr>
                <w:b/>
                <w:bCs/>
              </w:rPr>
            </w:pPr>
            <w:r w:rsidRPr="00EE2097">
              <w:rPr>
                <w:b/>
                <w:bCs/>
              </w:rPr>
              <w:t>V. Tiesību akta projekta atbilstība Latvijas Republikas starptautiskajām saistībām</w:t>
            </w:r>
          </w:p>
        </w:tc>
      </w:tr>
      <w:tr w:rsidR="003530C3" w:rsidRPr="00EE2097" w:rsidTr="00F77A6F">
        <w:trPr>
          <w:cantSplit/>
          <w:trHeight w:val="162"/>
        </w:trPr>
        <w:tc>
          <w:tcPr>
            <w:tcW w:w="5000" w:type="pct"/>
          </w:tcPr>
          <w:p w:rsidR="003530C3" w:rsidRPr="00EE2097" w:rsidRDefault="003530C3" w:rsidP="00F77A6F">
            <w:pPr>
              <w:jc w:val="center"/>
            </w:pPr>
            <w:r w:rsidRPr="00EE2097">
              <w:t>Projekts šo jomu neskar.</w:t>
            </w:r>
          </w:p>
        </w:tc>
      </w:tr>
    </w:tbl>
    <w:p w:rsidR="003530C3" w:rsidRPr="00EE2097" w:rsidRDefault="003530C3" w:rsidP="003530C3">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240"/>
        <w:gridCol w:w="2355"/>
        <w:gridCol w:w="6466"/>
      </w:tblGrid>
      <w:tr w:rsidR="003530C3" w:rsidRPr="00EE2097" w:rsidTr="00F77A6F">
        <w:trPr>
          <w:cantSplit/>
        </w:trPr>
        <w:tc>
          <w:tcPr>
            <w:tcW w:w="5000" w:type="pct"/>
            <w:gridSpan w:val="3"/>
            <w:vAlign w:val="center"/>
            <w:hideMark/>
          </w:tcPr>
          <w:p w:rsidR="003530C3" w:rsidRPr="00EE2097" w:rsidRDefault="003530C3" w:rsidP="00F77A6F">
            <w:pPr>
              <w:jc w:val="center"/>
              <w:rPr>
                <w:b/>
                <w:bCs/>
              </w:rPr>
            </w:pPr>
            <w:r w:rsidRPr="00EE2097">
              <w:rPr>
                <w:b/>
                <w:bCs/>
              </w:rPr>
              <w:t>VI. Sabiedrības līdzdalība un komunikācijas aktivitātes</w:t>
            </w:r>
          </w:p>
        </w:tc>
      </w:tr>
      <w:tr w:rsidR="003530C3" w:rsidRPr="00EE2097" w:rsidTr="00F77A6F">
        <w:trPr>
          <w:cantSplit/>
        </w:trPr>
        <w:tc>
          <w:tcPr>
            <w:tcW w:w="311" w:type="pct"/>
            <w:hideMark/>
          </w:tcPr>
          <w:p w:rsidR="003530C3" w:rsidRPr="00EE2097" w:rsidRDefault="003530C3" w:rsidP="00F77A6F">
            <w:pPr>
              <w:jc w:val="center"/>
            </w:pPr>
            <w:r w:rsidRPr="00EE2097">
              <w:lastRenderedPageBreak/>
              <w:t>1.</w:t>
            </w:r>
          </w:p>
        </w:tc>
        <w:tc>
          <w:tcPr>
            <w:tcW w:w="1479" w:type="pct"/>
            <w:hideMark/>
          </w:tcPr>
          <w:p w:rsidR="003530C3" w:rsidRPr="00EE2097" w:rsidRDefault="003530C3" w:rsidP="00F77A6F">
            <w:r w:rsidRPr="00EE2097">
              <w:t>Plānotās sabiedrības līdzdalības un komunikācijas aktivitātes saistībā ar projektu</w:t>
            </w:r>
          </w:p>
        </w:tc>
        <w:tc>
          <w:tcPr>
            <w:tcW w:w="3210" w:type="pct"/>
            <w:hideMark/>
          </w:tcPr>
          <w:p w:rsidR="003530C3" w:rsidRPr="00EE2097" w:rsidRDefault="003530C3" w:rsidP="00F77A6F">
            <w:pPr>
              <w:jc w:val="both"/>
            </w:pPr>
            <w:r w:rsidRPr="00EE2097">
              <w:rPr>
                <w:color w:val="000000" w:themeColor="text1"/>
              </w:rPr>
              <w:t>Par projektu informēta sabiedrība, informāciju publicējot Iekšlietu ministrijas, Pilsonības un migrācijas lietu pārvaldes, Ministru kabineta tīmekļvietnēs.</w:t>
            </w:r>
          </w:p>
        </w:tc>
      </w:tr>
      <w:tr w:rsidR="003530C3" w:rsidRPr="00EE2097" w:rsidTr="00F77A6F">
        <w:trPr>
          <w:cantSplit/>
        </w:trPr>
        <w:tc>
          <w:tcPr>
            <w:tcW w:w="311" w:type="pct"/>
            <w:hideMark/>
          </w:tcPr>
          <w:p w:rsidR="003530C3" w:rsidRPr="00EE2097" w:rsidRDefault="003530C3" w:rsidP="00F77A6F">
            <w:pPr>
              <w:jc w:val="center"/>
            </w:pPr>
            <w:r w:rsidRPr="00EE2097">
              <w:t>2.</w:t>
            </w:r>
          </w:p>
        </w:tc>
        <w:tc>
          <w:tcPr>
            <w:tcW w:w="1479" w:type="pct"/>
            <w:hideMark/>
          </w:tcPr>
          <w:p w:rsidR="003530C3" w:rsidRPr="00EE2097" w:rsidRDefault="003530C3" w:rsidP="00F77A6F">
            <w:r w:rsidRPr="00EE2097">
              <w:t>Sabiedrības līdzdalība projekta izstrādē</w:t>
            </w:r>
          </w:p>
        </w:tc>
        <w:tc>
          <w:tcPr>
            <w:tcW w:w="3210" w:type="pct"/>
            <w:hideMark/>
          </w:tcPr>
          <w:p w:rsidR="003530C3" w:rsidRPr="00EE2097" w:rsidRDefault="003530C3" w:rsidP="00F77A6F">
            <w:pPr>
              <w:jc w:val="both"/>
              <w:rPr>
                <w:rFonts w:eastAsia="Calibri"/>
              </w:rPr>
            </w:pPr>
            <w:r w:rsidRPr="00EE2097">
              <w:rPr>
                <w:rFonts w:eastAsia="Calibri"/>
              </w:rPr>
              <w:t>Projekts publicēts:</w:t>
            </w:r>
          </w:p>
          <w:p w:rsidR="003530C3" w:rsidRPr="00EE2097" w:rsidRDefault="003530C3" w:rsidP="00F77A6F">
            <w:pPr>
              <w:jc w:val="both"/>
              <w:rPr>
                <w:rFonts w:eastAsia="Calibri"/>
              </w:rPr>
            </w:pPr>
            <w:r w:rsidRPr="00EE2097">
              <w:rPr>
                <w:rFonts w:eastAsia="Calibri"/>
              </w:rPr>
              <w:t>1) Pilsonības un migrācija</w:t>
            </w:r>
            <w:r w:rsidR="006606C1" w:rsidRPr="00EE2097">
              <w:rPr>
                <w:rFonts w:eastAsia="Calibri"/>
              </w:rPr>
              <w:t xml:space="preserve">s lietu pārvalde tīmekļvietnē, </w:t>
            </w:r>
            <w:r w:rsidRPr="00EE2097">
              <w:rPr>
                <w:rFonts w:eastAsia="Calibri"/>
              </w:rPr>
              <w:t xml:space="preserve">adrese: </w:t>
            </w:r>
            <w:hyperlink r:id="rId6" w:history="1">
              <w:r w:rsidRPr="00EE2097">
                <w:rPr>
                  <w:rStyle w:val="Hyperlink"/>
                  <w:rFonts w:eastAsia="Calibri"/>
                  <w:u w:val="none"/>
                </w:rPr>
                <w:t>http://www.pmlp.gov.lv/lv/sakums/tiesibu-akti/tiesibu-aktu-projekti/</w:t>
              </w:r>
            </w:hyperlink>
          </w:p>
          <w:p w:rsidR="003530C3" w:rsidRPr="00EE2097" w:rsidRDefault="003530C3" w:rsidP="00F77A6F">
            <w:pPr>
              <w:jc w:val="both"/>
              <w:rPr>
                <w:rFonts w:eastAsia="Calibri"/>
              </w:rPr>
            </w:pPr>
            <w:r w:rsidRPr="00EE2097">
              <w:rPr>
                <w:rFonts w:eastAsia="Calibri"/>
              </w:rPr>
              <w:t>2) Iekš</w:t>
            </w:r>
            <w:r w:rsidR="006606C1" w:rsidRPr="00EE2097">
              <w:rPr>
                <w:rFonts w:eastAsia="Calibri"/>
              </w:rPr>
              <w:t xml:space="preserve">lietu ministrijas tīmekļvietnē, </w:t>
            </w:r>
            <w:r w:rsidRPr="00EE2097">
              <w:rPr>
                <w:rFonts w:eastAsia="Calibri"/>
              </w:rPr>
              <w:t xml:space="preserve">adrese: </w:t>
            </w:r>
            <w:hyperlink r:id="rId7" w:history="1">
              <w:r w:rsidRPr="00EE2097">
                <w:rPr>
                  <w:rStyle w:val="Hyperlink"/>
                  <w:rFonts w:eastAsia="Calibri"/>
                  <w:u w:val="none"/>
                </w:rPr>
                <w:t>http://www.iem.gov.lv/lat/sadarbiba_ar_nvo/diskusiju_dokumenti/</w:t>
              </w:r>
            </w:hyperlink>
          </w:p>
          <w:p w:rsidR="003530C3" w:rsidRPr="00EE2097" w:rsidRDefault="003530C3" w:rsidP="00F77A6F">
            <w:pPr>
              <w:jc w:val="both"/>
              <w:rPr>
                <w:rFonts w:eastAsia="Calibri"/>
              </w:rPr>
            </w:pPr>
            <w:r w:rsidRPr="00EE2097">
              <w:rPr>
                <w:rFonts w:eastAsia="Calibri"/>
              </w:rPr>
              <w:t xml:space="preserve">3) Ministru kabineta tīmekļvietnē, adrese: </w:t>
            </w:r>
            <w:hyperlink r:id="rId8" w:history="1">
              <w:r w:rsidRPr="00EE2097">
                <w:rPr>
                  <w:rStyle w:val="Hyperlink"/>
                  <w:rFonts w:eastAsia="Calibri"/>
                  <w:u w:val="none"/>
                </w:rPr>
                <w:t>http://www.mk.gov.lv/content/ministru-kabineta-diskusiju-dokumenti</w:t>
              </w:r>
            </w:hyperlink>
          </w:p>
          <w:p w:rsidR="003530C3" w:rsidRPr="00EE2097" w:rsidRDefault="003530C3" w:rsidP="00420ACD">
            <w:pPr>
              <w:jc w:val="both"/>
            </w:pPr>
            <w:r w:rsidRPr="00EE2097">
              <w:rPr>
                <w:rFonts w:eastAsia="Calibri"/>
                <w:color w:val="000000" w:themeColor="text1"/>
              </w:rPr>
              <w:t xml:space="preserve">Sabiedrības </w:t>
            </w:r>
            <w:r w:rsidRPr="00EE2097">
              <w:rPr>
                <w:rFonts w:eastAsia="Calibri"/>
              </w:rPr>
              <w:t xml:space="preserve">pārstāvjiem tika dota iespēja līdzdarboties projekta izstrādē, rakstveidā sniedzot viedokli par projektu līdz </w:t>
            </w:r>
            <w:proofErr w:type="gramStart"/>
            <w:r w:rsidRPr="00EE2097">
              <w:rPr>
                <w:rFonts w:eastAsia="Calibri"/>
              </w:rPr>
              <w:t>2018.gada</w:t>
            </w:r>
            <w:proofErr w:type="gramEnd"/>
            <w:r w:rsidRPr="00EE2097">
              <w:rPr>
                <w:rFonts w:eastAsia="Calibri"/>
              </w:rPr>
              <w:t xml:space="preserve"> </w:t>
            </w:r>
            <w:r w:rsidR="00420ACD" w:rsidRPr="00EE2097">
              <w:rPr>
                <w:rFonts w:eastAsia="Calibri"/>
              </w:rPr>
              <w:t>7.martam</w:t>
            </w:r>
            <w:r w:rsidRPr="00EE2097">
              <w:rPr>
                <w:color w:val="000000"/>
              </w:rPr>
              <w:t>.</w:t>
            </w:r>
          </w:p>
        </w:tc>
      </w:tr>
      <w:tr w:rsidR="003530C3" w:rsidRPr="00EE2097" w:rsidTr="00F77A6F">
        <w:trPr>
          <w:cantSplit/>
        </w:trPr>
        <w:tc>
          <w:tcPr>
            <w:tcW w:w="311" w:type="pct"/>
            <w:hideMark/>
          </w:tcPr>
          <w:p w:rsidR="003530C3" w:rsidRPr="00EE2097" w:rsidRDefault="003530C3" w:rsidP="00F77A6F">
            <w:pPr>
              <w:jc w:val="center"/>
            </w:pPr>
            <w:r w:rsidRPr="00EE2097">
              <w:t>3.</w:t>
            </w:r>
          </w:p>
        </w:tc>
        <w:tc>
          <w:tcPr>
            <w:tcW w:w="1479" w:type="pct"/>
            <w:hideMark/>
          </w:tcPr>
          <w:p w:rsidR="003530C3" w:rsidRPr="00EE2097" w:rsidRDefault="003530C3" w:rsidP="00F77A6F">
            <w:r w:rsidRPr="00EE2097">
              <w:t>Sabiedrības līdzdalības rezultāti</w:t>
            </w:r>
          </w:p>
        </w:tc>
        <w:tc>
          <w:tcPr>
            <w:tcW w:w="3210" w:type="pct"/>
            <w:hideMark/>
          </w:tcPr>
          <w:p w:rsidR="003530C3" w:rsidRPr="00EE2097" w:rsidRDefault="003530C3" w:rsidP="00F77A6F">
            <w:pPr>
              <w:rPr>
                <w:color w:val="000000"/>
              </w:rPr>
            </w:pPr>
            <w:r w:rsidRPr="00EE2097">
              <w:rPr>
                <w:color w:val="000000"/>
              </w:rPr>
              <w:t>Komentāri par projektu nav saņemti.</w:t>
            </w:r>
          </w:p>
          <w:p w:rsidR="00CE6F33" w:rsidRPr="00EE2097" w:rsidRDefault="00CE6F33" w:rsidP="00CE6F33">
            <w:pPr>
              <w:jc w:val="both"/>
            </w:pPr>
            <w:r w:rsidRPr="00EE2097">
              <w:t xml:space="preserve">Saeimas Pilsonības, migrācijas un sabiedrības saliedētības komisijas Vēstulei tika pievienots Eiropas Latviešu apvienības vēstule, kurā tiek lūgts attiecībā uz Latvijas valstspiederīgo pienākumu paziņot par dzīvesvietas maiņu uz ārvalstīm noteikt termiņu, kas nav mazāks par trim mēnešiem. </w:t>
            </w:r>
          </w:p>
        </w:tc>
      </w:tr>
      <w:tr w:rsidR="003530C3" w:rsidRPr="00EE2097" w:rsidTr="00F77A6F">
        <w:trPr>
          <w:cantSplit/>
        </w:trPr>
        <w:tc>
          <w:tcPr>
            <w:tcW w:w="311" w:type="pct"/>
            <w:hideMark/>
          </w:tcPr>
          <w:p w:rsidR="003530C3" w:rsidRPr="00EE2097" w:rsidRDefault="003530C3" w:rsidP="00F77A6F">
            <w:pPr>
              <w:jc w:val="center"/>
            </w:pPr>
            <w:r w:rsidRPr="00EE2097">
              <w:t>4.</w:t>
            </w:r>
          </w:p>
        </w:tc>
        <w:tc>
          <w:tcPr>
            <w:tcW w:w="1479" w:type="pct"/>
            <w:hideMark/>
          </w:tcPr>
          <w:p w:rsidR="003530C3" w:rsidRPr="00EE2097" w:rsidRDefault="003530C3" w:rsidP="00F77A6F">
            <w:r w:rsidRPr="00EE2097">
              <w:t>Cita informācija</w:t>
            </w:r>
          </w:p>
        </w:tc>
        <w:tc>
          <w:tcPr>
            <w:tcW w:w="3210" w:type="pct"/>
            <w:hideMark/>
          </w:tcPr>
          <w:p w:rsidR="003530C3" w:rsidRPr="00EE2097" w:rsidRDefault="003530C3" w:rsidP="00F77A6F">
            <w:r w:rsidRPr="00EE2097">
              <w:t>Nav.</w:t>
            </w:r>
          </w:p>
        </w:tc>
      </w:tr>
    </w:tbl>
    <w:p w:rsidR="003530C3" w:rsidRPr="00EE2097" w:rsidRDefault="003530C3" w:rsidP="003530C3">
      <w:pPr>
        <w:pStyle w:val="Title"/>
        <w:spacing w:before="130" w:line="260" w:lineRule="exact"/>
        <w:ind w:firstLine="539"/>
        <w:jc w:val="both"/>
        <w:rPr>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4"/>
        <w:gridCol w:w="2680"/>
        <w:gridCol w:w="5817"/>
      </w:tblGrid>
      <w:tr w:rsidR="003530C3" w:rsidRPr="00EE2097" w:rsidTr="00F77A6F">
        <w:trPr>
          <w:cantSplit/>
        </w:trPr>
        <w:tc>
          <w:tcPr>
            <w:tcW w:w="5000" w:type="pct"/>
            <w:gridSpan w:val="3"/>
            <w:vAlign w:val="center"/>
            <w:hideMark/>
          </w:tcPr>
          <w:p w:rsidR="003530C3" w:rsidRPr="00EE2097" w:rsidRDefault="003530C3" w:rsidP="00F77A6F">
            <w:pPr>
              <w:jc w:val="center"/>
              <w:rPr>
                <w:b/>
                <w:bCs/>
              </w:rPr>
            </w:pPr>
            <w:r w:rsidRPr="00EE2097">
              <w:rPr>
                <w:b/>
                <w:bCs/>
              </w:rPr>
              <w:t>VII. Tiesību akta projekta izpildes nodrošināšana un tās ietekme uz institūcijām</w:t>
            </w:r>
          </w:p>
        </w:tc>
      </w:tr>
      <w:tr w:rsidR="003530C3" w:rsidRPr="00EE2097" w:rsidTr="00F77A6F">
        <w:trPr>
          <w:cantSplit/>
        </w:trPr>
        <w:tc>
          <w:tcPr>
            <w:tcW w:w="311" w:type="pct"/>
            <w:hideMark/>
          </w:tcPr>
          <w:p w:rsidR="003530C3" w:rsidRPr="00EE2097" w:rsidRDefault="003530C3" w:rsidP="00F77A6F">
            <w:pPr>
              <w:jc w:val="center"/>
            </w:pPr>
            <w:r w:rsidRPr="00EE2097">
              <w:t>1.</w:t>
            </w:r>
          </w:p>
        </w:tc>
        <w:tc>
          <w:tcPr>
            <w:tcW w:w="1479" w:type="pct"/>
            <w:hideMark/>
          </w:tcPr>
          <w:p w:rsidR="003530C3" w:rsidRPr="00EE2097" w:rsidRDefault="003530C3" w:rsidP="00F77A6F">
            <w:r w:rsidRPr="00EE2097">
              <w:t>Projekta izpildē iesaistītās institūcijas</w:t>
            </w:r>
          </w:p>
        </w:tc>
        <w:tc>
          <w:tcPr>
            <w:tcW w:w="3210" w:type="pct"/>
            <w:hideMark/>
          </w:tcPr>
          <w:p w:rsidR="003530C3" w:rsidRPr="00EE2097" w:rsidRDefault="003530C3" w:rsidP="00F77A6F">
            <w:r w:rsidRPr="00EE2097">
              <w:t>Pilsonības un migrācijas lietu pārvalde.</w:t>
            </w:r>
          </w:p>
        </w:tc>
      </w:tr>
      <w:tr w:rsidR="003530C3" w:rsidRPr="00EE2097" w:rsidTr="00F77A6F">
        <w:trPr>
          <w:cantSplit/>
        </w:trPr>
        <w:tc>
          <w:tcPr>
            <w:tcW w:w="311" w:type="pct"/>
            <w:hideMark/>
          </w:tcPr>
          <w:p w:rsidR="003530C3" w:rsidRPr="00EE2097" w:rsidRDefault="003530C3" w:rsidP="00F77A6F">
            <w:pPr>
              <w:jc w:val="center"/>
            </w:pPr>
            <w:r w:rsidRPr="00EE2097">
              <w:t>2.</w:t>
            </w:r>
          </w:p>
        </w:tc>
        <w:tc>
          <w:tcPr>
            <w:tcW w:w="1479" w:type="pct"/>
            <w:hideMark/>
          </w:tcPr>
          <w:p w:rsidR="003530C3" w:rsidRPr="00EE2097" w:rsidRDefault="003530C3" w:rsidP="00F77A6F">
            <w:r w:rsidRPr="00EE2097">
              <w:t>Projekta izpildes ietekme uz pārvaldes funkcijām un institucionālo struktūru.</w:t>
            </w:r>
            <w:r w:rsidRPr="00EE2097">
              <w:br/>
              <w:t>Jaunu institūciju izveide, esošu institūciju likvidācija vai reorganizācija, to ietekme uz institūcijas cilvēkresursiem</w:t>
            </w:r>
          </w:p>
        </w:tc>
        <w:tc>
          <w:tcPr>
            <w:tcW w:w="3210" w:type="pct"/>
            <w:hideMark/>
          </w:tcPr>
          <w:p w:rsidR="003530C3" w:rsidRPr="00EE2097" w:rsidRDefault="003530C3" w:rsidP="00F77A6F">
            <w:pPr>
              <w:jc w:val="both"/>
            </w:pPr>
            <w:r w:rsidRPr="00EE2097">
              <w:t>Projekta izpildes rezultātā nav paredzēta esošu institūciju likvidācija vai reorganizācija. Iestāžu institucionālā struktūra netiek ietekmēta, papildus cilvēkresursi nav nepieciešami.</w:t>
            </w:r>
          </w:p>
        </w:tc>
      </w:tr>
      <w:tr w:rsidR="003530C3" w:rsidRPr="00EE2097" w:rsidTr="00F77A6F">
        <w:trPr>
          <w:cantSplit/>
        </w:trPr>
        <w:tc>
          <w:tcPr>
            <w:tcW w:w="311" w:type="pct"/>
            <w:hideMark/>
          </w:tcPr>
          <w:p w:rsidR="003530C3" w:rsidRPr="00EE2097" w:rsidRDefault="003530C3" w:rsidP="00F77A6F">
            <w:pPr>
              <w:jc w:val="center"/>
            </w:pPr>
            <w:r w:rsidRPr="00EE2097">
              <w:t>3.</w:t>
            </w:r>
          </w:p>
        </w:tc>
        <w:tc>
          <w:tcPr>
            <w:tcW w:w="1479" w:type="pct"/>
            <w:hideMark/>
          </w:tcPr>
          <w:p w:rsidR="003530C3" w:rsidRPr="00EE2097" w:rsidRDefault="003530C3" w:rsidP="00F77A6F">
            <w:r w:rsidRPr="00EE2097">
              <w:t>Cita informācija</w:t>
            </w:r>
          </w:p>
        </w:tc>
        <w:tc>
          <w:tcPr>
            <w:tcW w:w="3210" w:type="pct"/>
            <w:hideMark/>
          </w:tcPr>
          <w:p w:rsidR="003530C3" w:rsidRPr="00EE2097" w:rsidRDefault="003530C3" w:rsidP="00F77A6F">
            <w:r w:rsidRPr="00EE2097">
              <w:t>Nav.</w:t>
            </w:r>
          </w:p>
        </w:tc>
      </w:tr>
    </w:tbl>
    <w:p w:rsidR="003530C3" w:rsidRPr="00EE2097" w:rsidRDefault="003530C3" w:rsidP="003530C3"/>
    <w:p w:rsidR="003530C3" w:rsidRPr="00EE2097" w:rsidRDefault="003530C3" w:rsidP="003530C3">
      <w:pPr>
        <w:tabs>
          <w:tab w:val="left" w:pos="6521"/>
        </w:tabs>
        <w:jc w:val="both"/>
      </w:pPr>
    </w:p>
    <w:p w:rsidR="003530C3" w:rsidRPr="00EE2097" w:rsidRDefault="003530C3" w:rsidP="003530C3">
      <w:pPr>
        <w:tabs>
          <w:tab w:val="left" w:pos="6521"/>
        </w:tabs>
        <w:jc w:val="both"/>
      </w:pPr>
      <w:r w:rsidRPr="00EE2097">
        <w:t>Iekšlietu ministrs</w:t>
      </w:r>
      <w:r w:rsidRPr="00EE2097">
        <w:tab/>
        <w:t>R.Kozlovskis</w:t>
      </w:r>
    </w:p>
    <w:p w:rsidR="003530C3" w:rsidRPr="00EE2097" w:rsidRDefault="003530C3" w:rsidP="003530C3">
      <w:pPr>
        <w:pStyle w:val="naisf"/>
        <w:rPr>
          <w:szCs w:val="24"/>
        </w:rPr>
      </w:pPr>
    </w:p>
    <w:p w:rsidR="006606C1" w:rsidRPr="00EE2097" w:rsidRDefault="006606C1" w:rsidP="003530C3">
      <w:pPr>
        <w:pStyle w:val="naisf"/>
        <w:rPr>
          <w:szCs w:val="24"/>
        </w:rPr>
      </w:pPr>
    </w:p>
    <w:p w:rsidR="003530C3" w:rsidRPr="00EE2097" w:rsidRDefault="003530C3" w:rsidP="003530C3">
      <w:pPr>
        <w:pStyle w:val="naisf"/>
        <w:rPr>
          <w:szCs w:val="24"/>
        </w:rPr>
      </w:pPr>
      <w:r w:rsidRPr="00EE2097">
        <w:rPr>
          <w:szCs w:val="24"/>
        </w:rPr>
        <w:t>Vīza: valsts sekretārs</w:t>
      </w:r>
      <w:r w:rsidRPr="00EE2097">
        <w:rPr>
          <w:szCs w:val="24"/>
        </w:rPr>
        <w:tab/>
      </w:r>
      <w:r w:rsidRPr="00EE2097">
        <w:rPr>
          <w:szCs w:val="24"/>
        </w:rPr>
        <w:tab/>
      </w:r>
      <w:r w:rsidRPr="00EE2097">
        <w:rPr>
          <w:szCs w:val="24"/>
        </w:rPr>
        <w:tab/>
      </w:r>
      <w:proofErr w:type="gramStart"/>
      <w:r w:rsidRPr="00EE2097">
        <w:rPr>
          <w:szCs w:val="24"/>
        </w:rPr>
        <w:t xml:space="preserve">  </w:t>
      </w:r>
      <w:proofErr w:type="gramEnd"/>
      <w:r w:rsidRPr="00EE2097">
        <w:rPr>
          <w:szCs w:val="24"/>
        </w:rPr>
        <w:tab/>
      </w:r>
      <w:r w:rsidRPr="00EE2097">
        <w:rPr>
          <w:szCs w:val="24"/>
        </w:rPr>
        <w:tab/>
      </w:r>
      <w:r w:rsidRPr="00EE2097">
        <w:rPr>
          <w:szCs w:val="24"/>
        </w:rPr>
        <w:tab/>
      </w:r>
      <w:r w:rsidRPr="00EE2097">
        <w:rPr>
          <w:szCs w:val="24"/>
        </w:rPr>
        <w:tab/>
      </w:r>
      <w:proofErr w:type="spellStart"/>
      <w:r w:rsidRPr="00EE2097">
        <w:rPr>
          <w:szCs w:val="24"/>
        </w:rPr>
        <w:t>D.Trofimovs</w:t>
      </w:r>
      <w:proofErr w:type="spellEnd"/>
    </w:p>
    <w:p w:rsidR="003530C3" w:rsidRPr="00EE2097" w:rsidRDefault="003530C3" w:rsidP="003530C3">
      <w:pPr>
        <w:pStyle w:val="naisf"/>
        <w:spacing w:before="0" w:after="0"/>
        <w:rPr>
          <w:sz w:val="20"/>
        </w:rPr>
      </w:pPr>
    </w:p>
    <w:p w:rsidR="003530C3" w:rsidRPr="00EE2097" w:rsidRDefault="003530C3" w:rsidP="003530C3">
      <w:pPr>
        <w:rPr>
          <w:sz w:val="20"/>
          <w:szCs w:val="20"/>
        </w:rPr>
      </w:pPr>
    </w:p>
    <w:p w:rsidR="003530C3" w:rsidRPr="00EE2097" w:rsidRDefault="003530C3" w:rsidP="003530C3">
      <w:pPr>
        <w:rPr>
          <w:sz w:val="20"/>
          <w:szCs w:val="20"/>
        </w:rPr>
      </w:pPr>
      <w:r w:rsidRPr="00EE2097">
        <w:rPr>
          <w:sz w:val="20"/>
          <w:szCs w:val="20"/>
        </w:rPr>
        <w:t>Stone, 67219425</w:t>
      </w:r>
    </w:p>
    <w:p w:rsidR="003530C3" w:rsidRPr="00EE2097" w:rsidRDefault="0013303D" w:rsidP="003530C3">
      <w:pPr>
        <w:rPr>
          <w:sz w:val="20"/>
          <w:szCs w:val="20"/>
        </w:rPr>
      </w:pPr>
      <w:hyperlink r:id="rId9" w:history="1">
        <w:r w:rsidR="003530C3" w:rsidRPr="00EE2097">
          <w:rPr>
            <w:rStyle w:val="Hyperlink"/>
            <w:sz w:val="20"/>
            <w:u w:val="none"/>
          </w:rPr>
          <w:t>kristine.stone@pmlp.gov.lv</w:t>
        </w:r>
      </w:hyperlink>
    </w:p>
    <w:p w:rsidR="00657815" w:rsidRPr="00EE2097" w:rsidRDefault="00657815"/>
    <w:sectPr w:rsidR="00657815" w:rsidRPr="00EE2097" w:rsidSect="00A621E4">
      <w:headerReference w:type="default" r:id="rId10"/>
      <w:footerReference w:type="default" r:id="rId11"/>
      <w:footerReference w:type="first" r:id="rId12"/>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6B88" w:rsidRDefault="00576B88" w:rsidP="00576B88">
      <w:r>
        <w:separator/>
      </w:r>
    </w:p>
  </w:endnote>
  <w:endnote w:type="continuationSeparator" w:id="0">
    <w:p w:rsidR="00576B88" w:rsidRDefault="00576B88" w:rsidP="00576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B88" w:rsidRDefault="002B790F" w:rsidP="00AB27B1">
    <w:pPr>
      <w:pStyle w:val="Footer"/>
      <w:jc w:val="both"/>
      <w:rPr>
        <w:sz w:val="20"/>
        <w:szCs w:val="20"/>
      </w:rPr>
    </w:pPr>
    <w:r>
      <w:rPr>
        <w:sz w:val="20"/>
        <w:szCs w:val="20"/>
      </w:rPr>
      <w:t>IEMAn</w:t>
    </w:r>
    <w:r w:rsidR="00576B88" w:rsidRPr="003E0172">
      <w:rPr>
        <w:sz w:val="20"/>
        <w:szCs w:val="20"/>
      </w:rPr>
      <w:t>ot_</w:t>
    </w:r>
    <w:r w:rsidR="006662A8">
      <w:rPr>
        <w:sz w:val="20"/>
        <w:szCs w:val="20"/>
      </w:rPr>
      <w:t>23</w:t>
    </w:r>
    <w:r w:rsidR="00576B88">
      <w:rPr>
        <w:sz w:val="20"/>
        <w:szCs w:val="20"/>
      </w:rPr>
      <w:t>0</w:t>
    </w:r>
    <w:r w:rsidR="004F79D3">
      <w:rPr>
        <w:sz w:val="20"/>
        <w:szCs w:val="20"/>
      </w:rPr>
      <w:t>3</w:t>
    </w:r>
    <w:r w:rsidR="00576B88">
      <w:rPr>
        <w:sz w:val="20"/>
        <w:szCs w:val="20"/>
      </w:rPr>
      <w:t>18</w:t>
    </w:r>
    <w:r w:rsidR="00576B88" w:rsidRPr="003E0172">
      <w:rPr>
        <w:sz w:val="20"/>
        <w:szCs w:val="20"/>
      </w:rPr>
      <w:t>_</w:t>
    </w:r>
    <w:r w:rsidR="00576B88">
      <w:rPr>
        <w:sz w:val="20"/>
        <w:szCs w:val="20"/>
      </w:rPr>
      <w:t>groz131</w:t>
    </w:r>
    <w:r w:rsidR="00576B88" w:rsidRPr="003E0172">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37B6" w:rsidRDefault="00576B88" w:rsidP="00AB27B1">
    <w:pPr>
      <w:pStyle w:val="Footer"/>
      <w:jc w:val="both"/>
    </w:pPr>
    <w:r w:rsidRPr="003E0172">
      <w:rPr>
        <w:sz w:val="20"/>
        <w:szCs w:val="20"/>
      </w:rPr>
      <w:t>IEM</w:t>
    </w:r>
    <w:r w:rsidR="002B790F">
      <w:rPr>
        <w:sz w:val="20"/>
        <w:szCs w:val="20"/>
      </w:rPr>
      <w:t>An</w:t>
    </w:r>
    <w:r w:rsidRPr="003E0172">
      <w:rPr>
        <w:sz w:val="20"/>
        <w:szCs w:val="20"/>
      </w:rPr>
      <w:t>ot_</w:t>
    </w:r>
    <w:r w:rsidR="004F79D3">
      <w:rPr>
        <w:sz w:val="20"/>
        <w:szCs w:val="20"/>
      </w:rPr>
      <w:t>2</w:t>
    </w:r>
    <w:r w:rsidR="006662A8">
      <w:rPr>
        <w:sz w:val="20"/>
        <w:szCs w:val="20"/>
      </w:rPr>
      <w:t>3</w:t>
    </w:r>
    <w:r w:rsidR="004F79D3">
      <w:rPr>
        <w:sz w:val="20"/>
        <w:szCs w:val="20"/>
      </w:rPr>
      <w:t>03</w:t>
    </w:r>
    <w:r>
      <w:rPr>
        <w:sz w:val="20"/>
        <w:szCs w:val="20"/>
      </w:rPr>
      <w:t>18</w:t>
    </w:r>
    <w:r w:rsidRPr="003E0172">
      <w:rPr>
        <w:sz w:val="20"/>
        <w:szCs w:val="20"/>
      </w:rPr>
      <w:t>_</w:t>
    </w:r>
    <w:r>
      <w:rPr>
        <w:sz w:val="20"/>
        <w:szCs w:val="20"/>
      </w:rPr>
      <w:t>groz131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6B88" w:rsidRDefault="00576B88" w:rsidP="00576B88">
      <w:r>
        <w:separator/>
      </w:r>
    </w:p>
  </w:footnote>
  <w:footnote w:type="continuationSeparator" w:id="0">
    <w:p w:rsidR="00576B88" w:rsidRDefault="00576B88" w:rsidP="00576B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3753383"/>
      <w:docPartObj>
        <w:docPartGallery w:val="Page Numbers (Top of Page)"/>
        <w:docPartUnique/>
      </w:docPartObj>
    </w:sdtPr>
    <w:sdtEndPr>
      <w:rPr>
        <w:noProof/>
      </w:rPr>
    </w:sdtEndPr>
    <w:sdtContent>
      <w:p w:rsidR="00AD37B6" w:rsidRDefault="00060D2F">
        <w:pPr>
          <w:pStyle w:val="Header"/>
          <w:jc w:val="center"/>
        </w:pPr>
        <w:r>
          <w:fldChar w:fldCharType="begin"/>
        </w:r>
        <w:r>
          <w:instrText xml:space="preserve"> PAGE   \* MERGEFORMAT </w:instrText>
        </w:r>
        <w:r>
          <w:fldChar w:fldCharType="separate"/>
        </w:r>
        <w:r w:rsidR="0013303D">
          <w:rPr>
            <w:noProof/>
          </w:rPr>
          <w:t>5</w:t>
        </w:r>
        <w:r>
          <w:rPr>
            <w:noProof/>
          </w:rPr>
          <w:fldChar w:fldCharType="end"/>
        </w:r>
      </w:p>
    </w:sdtContent>
  </w:sdt>
  <w:p w:rsidR="00AD37B6" w:rsidRDefault="001330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mirrorMargin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0C3"/>
    <w:rsid w:val="00006A1F"/>
    <w:rsid w:val="0003058D"/>
    <w:rsid w:val="00044D39"/>
    <w:rsid w:val="00060D2F"/>
    <w:rsid w:val="000D4961"/>
    <w:rsid w:val="0013303D"/>
    <w:rsid w:val="001523ED"/>
    <w:rsid w:val="001D19CC"/>
    <w:rsid w:val="00244D40"/>
    <w:rsid w:val="002527DF"/>
    <w:rsid w:val="0028174F"/>
    <w:rsid w:val="002875AE"/>
    <w:rsid w:val="002A288D"/>
    <w:rsid w:val="002B790F"/>
    <w:rsid w:val="003530C3"/>
    <w:rsid w:val="003C403F"/>
    <w:rsid w:val="00420ACD"/>
    <w:rsid w:val="00430376"/>
    <w:rsid w:val="004F79D3"/>
    <w:rsid w:val="005052B9"/>
    <w:rsid w:val="005138A2"/>
    <w:rsid w:val="0055221C"/>
    <w:rsid w:val="00576B88"/>
    <w:rsid w:val="005A0A4E"/>
    <w:rsid w:val="00657815"/>
    <w:rsid w:val="006606C1"/>
    <w:rsid w:val="006662A8"/>
    <w:rsid w:val="00760EFA"/>
    <w:rsid w:val="007E7008"/>
    <w:rsid w:val="008442CC"/>
    <w:rsid w:val="008539A0"/>
    <w:rsid w:val="008707C6"/>
    <w:rsid w:val="008E38F9"/>
    <w:rsid w:val="00965A77"/>
    <w:rsid w:val="009C22C6"/>
    <w:rsid w:val="00A621E4"/>
    <w:rsid w:val="00BE4514"/>
    <w:rsid w:val="00CE6F33"/>
    <w:rsid w:val="00DD50D5"/>
    <w:rsid w:val="00E65669"/>
    <w:rsid w:val="00EE2097"/>
    <w:rsid w:val="00F94AC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978ADA-E1C8-4EC5-BA9E-A30A20E9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0C3"/>
    <w:rPr>
      <w:rFonts w:eastAsia="Times New Roman" w:cs="Times New Roman"/>
      <w:sz w:val="24"/>
      <w:szCs w:val="24"/>
      <w:lang w:eastAsia="lv-LV"/>
    </w:rPr>
  </w:style>
  <w:style w:type="paragraph" w:styleId="Heading3">
    <w:name w:val="heading 3"/>
    <w:basedOn w:val="Normal"/>
    <w:link w:val="Heading3Char"/>
    <w:uiPriority w:val="9"/>
    <w:qFormat/>
    <w:rsid w:val="003530C3"/>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530C3"/>
    <w:rPr>
      <w:rFonts w:eastAsia="Times New Roman" w:cs="Times New Roman"/>
      <w:b/>
      <w:bCs/>
      <w:sz w:val="27"/>
      <w:szCs w:val="27"/>
      <w:lang w:eastAsia="lv-LV"/>
    </w:rPr>
  </w:style>
  <w:style w:type="paragraph" w:styleId="Title">
    <w:name w:val="Title"/>
    <w:basedOn w:val="Normal"/>
    <w:link w:val="TitleChar"/>
    <w:qFormat/>
    <w:rsid w:val="003530C3"/>
    <w:pPr>
      <w:jc w:val="center"/>
    </w:pPr>
    <w:rPr>
      <w:sz w:val="28"/>
      <w:szCs w:val="20"/>
      <w:lang w:eastAsia="en-US"/>
    </w:rPr>
  </w:style>
  <w:style w:type="character" w:customStyle="1" w:styleId="TitleChar">
    <w:name w:val="Title Char"/>
    <w:basedOn w:val="DefaultParagraphFont"/>
    <w:link w:val="Title"/>
    <w:rsid w:val="003530C3"/>
    <w:rPr>
      <w:rFonts w:eastAsia="Times New Roman" w:cs="Times New Roman"/>
      <w:szCs w:val="20"/>
    </w:rPr>
  </w:style>
  <w:style w:type="character" w:styleId="Hyperlink">
    <w:name w:val="Hyperlink"/>
    <w:basedOn w:val="DefaultParagraphFont"/>
    <w:uiPriority w:val="99"/>
    <w:unhideWhenUsed/>
    <w:rsid w:val="003530C3"/>
    <w:rPr>
      <w:color w:val="0000FF"/>
      <w:u w:val="single"/>
    </w:rPr>
  </w:style>
  <w:style w:type="paragraph" w:styleId="Header">
    <w:name w:val="header"/>
    <w:basedOn w:val="Normal"/>
    <w:link w:val="HeaderChar"/>
    <w:uiPriority w:val="99"/>
    <w:unhideWhenUsed/>
    <w:rsid w:val="003530C3"/>
    <w:pPr>
      <w:tabs>
        <w:tab w:val="center" w:pos="4153"/>
        <w:tab w:val="right" w:pos="8306"/>
      </w:tabs>
    </w:pPr>
  </w:style>
  <w:style w:type="character" w:customStyle="1" w:styleId="HeaderChar">
    <w:name w:val="Header Char"/>
    <w:basedOn w:val="DefaultParagraphFont"/>
    <w:link w:val="Header"/>
    <w:uiPriority w:val="99"/>
    <w:rsid w:val="003530C3"/>
    <w:rPr>
      <w:rFonts w:eastAsia="Times New Roman" w:cs="Times New Roman"/>
      <w:sz w:val="24"/>
      <w:szCs w:val="24"/>
      <w:lang w:eastAsia="lv-LV"/>
    </w:rPr>
  </w:style>
  <w:style w:type="paragraph" w:styleId="Footer">
    <w:name w:val="footer"/>
    <w:basedOn w:val="Normal"/>
    <w:link w:val="FooterChar"/>
    <w:uiPriority w:val="99"/>
    <w:unhideWhenUsed/>
    <w:rsid w:val="003530C3"/>
    <w:pPr>
      <w:tabs>
        <w:tab w:val="center" w:pos="4153"/>
        <w:tab w:val="right" w:pos="8306"/>
      </w:tabs>
    </w:pPr>
  </w:style>
  <w:style w:type="character" w:customStyle="1" w:styleId="FooterChar">
    <w:name w:val="Footer Char"/>
    <w:basedOn w:val="DefaultParagraphFont"/>
    <w:link w:val="Footer"/>
    <w:uiPriority w:val="99"/>
    <w:rsid w:val="003530C3"/>
    <w:rPr>
      <w:rFonts w:eastAsia="Times New Roman" w:cs="Times New Roman"/>
      <w:sz w:val="24"/>
      <w:szCs w:val="24"/>
      <w:lang w:eastAsia="lv-LV"/>
    </w:rPr>
  </w:style>
  <w:style w:type="paragraph" w:customStyle="1" w:styleId="naisf">
    <w:name w:val="naisf"/>
    <w:basedOn w:val="Normal"/>
    <w:rsid w:val="003530C3"/>
    <w:pPr>
      <w:spacing w:before="100" w:after="100"/>
    </w:pPr>
    <w:rPr>
      <w:szCs w:val="20"/>
    </w:rPr>
  </w:style>
  <w:style w:type="paragraph" w:customStyle="1" w:styleId="NormalWebCharChar">
    <w:name w:val="Normal (Web) Char Char"/>
    <w:basedOn w:val="Normal"/>
    <w:rsid w:val="003530C3"/>
    <w:pPr>
      <w:widowControl w:val="0"/>
      <w:suppressAutoHyphens/>
      <w:spacing w:before="280" w:after="280"/>
    </w:pPr>
    <w:rPr>
      <w:color w:val="000000"/>
      <w:sz w:val="20"/>
      <w:szCs w:val="20"/>
      <w:lang w:eastAsia="zh-CN"/>
    </w:rPr>
  </w:style>
  <w:style w:type="paragraph" w:styleId="ListParagraph">
    <w:name w:val="List Paragraph"/>
    <w:basedOn w:val="Normal"/>
    <w:uiPriority w:val="34"/>
    <w:qFormat/>
    <w:rsid w:val="006606C1"/>
    <w:pPr>
      <w:ind w:left="720"/>
      <w:contextualSpacing/>
    </w:pPr>
  </w:style>
  <w:style w:type="paragraph" w:styleId="BalloonText">
    <w:name w:val="Balloon Text"/>
    <w:basedOn w:val="Normal"/>
    <w:link w:val="BalloonTextChar"/>
    <w:uiPriority w:val="99"/>
    <w:semiHidden/>
    <w:unhideWhenUsed/>
    <w:rsid w:val="001D19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9CC"/>
    <w:rPr>
      <w:rFonts w:ascii="Segoe UI" w:eastAsia="Times New Roman" w:hAnsi="Segoe UI" w:cs="Segoe UI"/>
      <w:sz w:val="18"/>
      <w:szCs w:val="18"/>
      <w:lang w:eastAsia="lv-LV"/>
    </w:rPr>
  </w:style>
  <w:style w:type="paragraph" w:customStyle="1" w:styleId="naisc">
    <w:name w:val="naisc"/>
    <w:basedOn w:val="Normal"/>
    <w:rsid w:val="005A0A4E"/>
    <w:pPr>
      <w:spacing w:before="75" w:after="75"/>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k.gov.lv/content/ministru-kabineta-diskusiju-dokumenti"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em.gov.lv/lat/sadarbiba_ar_nvo/diskusiju_dokumenti/"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mlp.gov.lv/lv/sakums/tiesibu-akti/tiesibu-aktu-projekti/"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mailto:kristine.stone@pmlp.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5</Pages>
  <Words>7863</Words>
  <Characters>4482</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Stone</dc:creator>
  <cp:keywords/>
  <dc:description/>
  <cp:lastModifiedBy>Kristine Stone</cp:lastModifiedBy>
  <cp:revision>26</cp:revision>
  <cp:lastPrinted>2018-03-23T07:42:00Z</cp:lastPrinted>
  <dcterms:created xsi:type="dcterms:W3CDTF">2018-02-14T12:14:00Z</dcterms:created>
  <dcterms:modified xsi:type="dcterms:W3CDTF">2018-04-05T08:17:00Z</dcterms:modified>
</cp:coreProperties>
</file>