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BD5588" w:rsidRPr="00C86E1D" w:rsidP="00F66D78" w14:paraId="131C9FC2" w14:textId="55A93DAA">
      <w:pPr>
        <w:jc w:val="center"/>
        <w:rPr>
          <w:b/>
        </w:rPr>
      </w:pPr>
      <w:r w:rsidRPr="00C86E1D">
        <w:rPr>
          <w:b/>
          <w:bCs/>
        </w:rPr>
        <w:t>Protokollēmuma</w:t>
      </w:r>
      <w:r w:rsidRPr="00C86E1D">
        <w:rPr>
          <w:b/>
          <w:bCs/>
        </w:rPr>
        <w:t xml:space="preserve"> </w:t>
      </w:r>
      <w:r w:rsidRPr="00C86E1D" w:rsidR="00FF27B9">
        <w:rPr>
          <w:b/>
        </w:rPr>
        <w:t>“</w:t>
      </w:r>
      <w:r w:rsidRPr="00C86E1D" w:rsidR="009C3155">
        <w:rPr>
          <w:b/>
        </w:rPr>
        <w:t>Par papildu valsts budžeta saistību uzņemšanos saistībā ar Eiropas Mazo un vidējo uzņēmumu izpildaģentūras apstiprināto Eiropas Savienības Jūrlietu un zivsaimniecības fonda līdzfinansēto projektu “EASME/EMFF/2016/1.2.1.6 - Jūras telpiskā plānošana”</w:t>
      </w:r>
      <w:r w:rsidRPr="00C86E1D" w:rsidR="00D065B9">
        <w:rPr>
          <w:b/>
        </w:rPr>
        <w:t xml:space="preserve">” </w:t>
      </w:r>
      <w:r w:rsidRPr="00C86E1D">
        <w:rPr>
          <w:b/>
          <w:bCs/>
        </w:rPr>
        <w:t>sākotnējās ietekmes novērtējuma ziņojums (anotācija)</w:t>
      </w:r>
    </w:p>
    <w:p w:rsidR="00BD5588" w:rsidRPr="00C86E1D" w:rsidP="00BD5588" w14:paraId="4C29A43A" w14:textId="77777777">
      <w:pPr>
        <w:pStyle w:val="Title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40"/>
        <w:gridCol w:w="3794"/>
        <w:gridCol w:w="4328"/>
      </w:tblGrid>
      <w:tr w14:paraId="0AB7C8A8" w14:textId="77777777" w:rsidTr="00F66D78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8362" w:type="dxa"/>
            <w:gridSpan w:val="3"/>
            <w:shd w:val="clear" w:color="auto" w:fill="FFFFFF"/>
            <w:vAlign w:val="center"/>
            <w:hideMark/>
          </w:tcPr>
          <w:p w:rsidR="00BD5588" w:rsidRPr="00C86E1D" w:rsidP="00EF6BFB" w14:paraId="748E1B3C" w14:textId="77777777">
            <w:pPr>
              <w:jc w:val="center"/>
              <w:rPr>
                <w:b/>
                <w:iCs/>
                <w:lang w:eastAsia="en-US"/>
              </w:rPr>
            </w:pPr>
            <w:r w:rsidRPr="00C86E1D">
              <w:rPr>
                <w:b/>
                <w:iCs/>
                <w:lang w:eastAsia="en-US"/>
              </w:rPr>
              <w:t>Tiesību akta projekta anotācijas kopsavilkums</w:t>
            </w:r>
          </w:p>
        </w:tc>
      </w:tr>
      <w:tr w14:paraId="49E87ABB" w14:textId="77777777" w:rsidTr="00F66D78">
        <w:tblPrEx>
          <w:tblW w:w="5000" w:type="pct"/>
          <w:shd w:val="clear" w:color="auto" w:fill="FFFFFF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3029" w:type="dxa"/>
            <w:gridSpan w:val="2"/>
            <w:shd w:val="clear" w:color="auto" w:fill="FFFFFF"/>
            <w:hideMark/>
          </w:tcPr>
          <w:p w:rsidR="00BD5588" w:rsidRPr="00C86E1D" w:rsidP="00EF6BFB" w14:paraId="4799923F" w14:textId="77777777">
            <w:pPr>
              <w:rPr>
                <w:iCs/>
                <w:lang w:eastAsia="en-US"/>
              </w:rPr>
            </w:pPr>
            <w:r w:rsidRPr="00C86E1D">
              <w:rPr>
                <w:iCs/>
                <w:lang w:eastAsia="en-US"/>
              </w:rPr>
              <w:t>Mērķis, risinājums un projekta spēkā stāšanās laiks (500 zīmes bez atstarpēm)</w:t>
            </w:r>
          </w:p>
        </w:tc>
        <w:tc>
          <w:tcPr>
            <w:tcW w:w="5333" w:type="dxa"/>
            <w:shd w:val="clear" w:color="auto" w:fill="FFFFFF"/>
            <w:hideMark/>
          </w:tcPr>
          <w:p w:rsidR="00BD5588" w:rsidRPr="0023449A" w:rsidP="0023449A" w14:paraId="698C6415" w14:textId="591DEA34">
            <w:pPr>
              <w:pStyle w:val="CommentText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23449A">
              <w:rPr>
                <w:sz w:val="24"/>
                <w:szCs w:val="24"/>
              </w:rPr>
              <w:t xml:space="preserve">Netiek </w:t>
            </w:r>
            <w:r w:rsidRPr="0023449A">
              <w:rPr>
                <w:sz w:val="24"/>
                <w:szCs w:val="24"/>
              </w:rPr>
              <w:t>aizpildīts saskaņā ar Ministru kabineta 2009. gada 15. decembra instrukcijas “Tiesību akta pr</w:t>
            </w:r>
            <w:bookmarkStart w:id="0" w:name="_GoBack"/>
            <w:bookmarkEnd w:id="0"/>
            <w:r w:rsidRPr="0023449A">
              <w:rPr>
                <w:sz w:val="24"/>
                <w:szCs w:val="24"/>
              </w:rPr>
              <w:t>ojekta sākotnējās ietekmes izvērtēšanas kārtība”</w:t>
            </w:r>
            <w:r w:rsidRPr="0023449A">
              <w:rPr>
                <w:sz w:val="24"/>
                <w:szCs w:val="24"/>
              </w:rPr>
              <w:t xml:space="preserve"> Nr. 19 5.</w:t>
            </w:r>
            <w:r w:rsidRPr="0023449A">
              <w:rPr>
                <w:sz w:val="24"/>
                <w:szCs w:val="24"/>
                <w:vertAlign w:val="superscript"/>
              </w:rPr>
              <w:t>1</w:t>
            </w:r>
            <w:r w:rsidRPr="0023449A">
              <w:rPr>
                <w:sz w:val="24"/>
                <w:szCs w:val="24"/>
              </w:rPr>
              <w:t xml:space="preserve"> punktu.</w:t>
            </w:r>
          </w:p>
        </w:tc>
      </w:tr>
      <w:tr w14:paraId="7508C744" w14:textId="77777777" w:rsidTr="00EF6BFB">
        <w:tblPrEx>
          <w:tblW w:w="5000" w:type="pct"/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5000" w:type="pct"/>
            <w:gridSpan w:val="3"/>
            <w:vAlign w:val="center"/>
            <w:hideMark/>
          </w:tcPr>
          <w:p w:rsidR="00BD5588" w:rsidRPr="00C86E1D" w:rsidP="00EF6BFB" w14:paraId="39866CCD" w14:textId="77777777">
            <w:pPr>
              <w:jc w:val="center"/>
              <w:rPr>
                <w:b/>
                <w:bCs/>
              </w:rPr>
            </w:pPr>
            <w:r w:rsidRPr="00C86E1D">
              <w:rPr>
                <w:b/>
                <w:bCs/>
              </w:rPr>
              <w:t>I. Tiesību akta projekta izstrādes nepieciešamība</w:t>
            </w:r>
          </w:p>
        </w:tc>
      </w:tr>
      <w:tr w14:paraId="3A7AB932" w14:textId="77777777" w:rsidTr="00EF6BFB">
        <w:tblPrEx>
          <w:tblW w:w="5000" w:type="pct"/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311" w:type="pct"/>
            <w:hideMark/>
          </w:tcPr>
          <w:p w:rsidR="00BD5588" w:rsidRPr="00C86E1D" w:rsidP="00EF6BFB" w14:paraId="6CD170E3" w14:textId="77777777">
            <w:pPr>
              <w:jc w:val="center"/>
            </w:pPr>
            <w:r w:rsidRPr="00C86E1D">
              <w:t>1.</w:t>
            </w:r>
          </w:p>
        </w:tc>
        <w:tc>
          <w:tcPr>
            <w:tcW w:w="1479" w:type="pct"/>
            <w:hideMark/>
          </w:tcPr>
          <w:p w:rsidR="00BD5588" w:rsidRPr="00C86E1D" w:rsidP="00EF6BFB" w14:paraId="39E4B7F7" w14:textId="77777777">
            <w:r w:rsidRPr="00C86E1D">
              <w:t>Pamatojums</w:t>
            </w:r>
          </w:p>
        </w:tc>
        <w:tc>
          <w:tcPr>
            <w:tcW w:w="3210" w:type="pct"/>
            <w:hideMark/>
          </w:tcPr>
          <w:p w:rsidR="00BD5588" w:rsidRPr="00C86E1D" w:rsidP="00D80C93" w14:paraId="1672502E" w14:textId="5790D889">
            <w:pPr>
              <w:jc w:val="both"/>
            </w:pPr>
            <w:r w:rsidRPr="00C86E1D">
              <w:t>2017.gada</w:t>
            </w:r>
            <w:r w:rsidRPr="00C86E1D">
              <w:t xml:space="preserve"> 10.novembra </w:t>
            </w:r>
            <w:r w:rsidRPr="00C86E1D" w:rsidR="00AF6655">
              <w:t>G</w:t>
            </w:r>
            <w:r w:rsidRPr="00C86E1D">
              <w:t>ranta līgum</w:t>
            </w:r>
            <w:r w:rsidRPr="00C86E1D" w:rsidR="00AF6655">
              <w:t>a</w:t>
            </w:r>
            <w:r w:rsidRPr="00C86E1D">
              <w:t xml:space="preserve"> Nr. </w:t>
            </w:r>
            <w:r w:rsidRPr="00C86E1D" w:rsidR="00223EE0">
              <w:t>EASME/EMFF/2016/1.2.1.6</w:t>
            </w:r>
            <w:r w:rsidRPr="00C86E1D">
              <w:t>/01/SI2.763067</w:t>
            </w:r>
            <w:r w:rsidRPr="00C86E1D" w:rsidR="00223EE0">
              <w:t xml:space="preserve"> </w:t>
            </w:r>
            <w:r w:rsidRPr="00C86E1D" w:rsidR="00223EE0">
              <w:t>PanBaltic</w:t>
            </w:r>
            <w:r w:rsidRPr="00C86E1D" w:rsidR="00223EE0">
              <w:t xml:space="preserve"> </w:t>
            </w:r>
            <w:r w:rsidRPr="00C86E1D" w:rsidR="00223EE0">
              <w:t>Scope</w:t>
            </w:r>
            <w:r w:rsidRPr="00C86E1D" w:rsidR="00223EE0">
              <w:t xml:space="preserve"> </w:t>
            </w:r>
            <w:r w:rsidRPr="00C86E1D" w:rsidR="009966C1">
              <w:t>(turpmāk – Granta līgums)</w:t>
            </w:r>
            <w:r w:rsidRPr="00C86E1D" w:rsidR="00AF6655">
              <w:t xml:space="preserve"> nosacījumi projekta “Jūras telpiskā plānošana – </w:t>
            </w:r>
            <w:r w:rsidRPr="00C86E1D" w:rsidR="00AF6655">
              <w:t>Pan</w:t>
            </w:r>
            <w:r w:rsidRPr="00C86E1D" w:rsidR="00AF6655">
              <w:t xml:space="preserve"> </w:t>
            </w:r>
            <w:r w:rsidRPr="00C86E1D" w:rsidR="00AF6655">
              <w:t>Baltic</w:t>
            </w:r>
            <w:r w:rsidRPr="00C86E1D" w:rsidR="00AF6655">
              <w:t xml:space="preserve"> </w:t>
            </w:r>
            <w:r w:rsidRPr="00C86E1D" w:rsidR="00AF6655">
              <w:t>Scope</w:t>
            </w:r>
            <w:r w:rsidRPr="00C86E1D" w:rsidR="00AF6655">
              <w:t>” (turpmāk – Projekts) īstenošanai</w:t>
            </w:r>
            <w:r w:rsidRPr="00C86E1D" w:rsidR="00D80C93">
              <w:t>, kas parakstīts starp Eiropas Mazo un vidējo uzņēmumu izpildaģentūru un Zviedrijas Jūras un Ūdeņu apsaimniekošanas aģentūru</w:t>
            </w:r>
            <w:r w:rsidRPr="00C86E1D" w:rsidR="00AF6655">
              <w:t>.</w:t>
            </w:r>
          </w:p>
        </w:tc>
      </w:tr>
      <w:tr w14:paraId="4E7C1F48" w14:textId="77777777" w:rsidTr="007150D0">
        <w:tblPrEx>
          <w:tblW w:w="5000" w:type="pct"/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311" w:type="pct"/>
            <w:hideMark/>
          </w:tcPr>
          <w:p w:rsidR="00BD5588" w:rsidRPr="00C86E1D" w:rsidP="00EF6BFB" w14:paraId="111F8DC1" w14:textId="77777777">
            <w:pPr>
              <w:jc w:val="center"/>
            </w:pPr>
            <w:r w:rsidRPr="00C86E1D">
              <w:t>2.</w:t>
            </w:r>
          </w:p>
        </w:tc>
        <w:tc>
          <w:tcPr>
            <w:tcW w:w="1479" w:type="pct"/>
            <w:hideMark/>
          </w:tcPr>
          <w:p w:rsidR="00BD5588" w:rsidRPr="00C86E1D" w:rsidP="00EF6BFB" w14:paraId="028DEFBF" w14:textId="77777777">
            <w:r w:rsidRPr="00C86E1D">
              <w:t>Pašreizējā situācija un problēmas, kuru risināšanai tiesību akta projekts izstrādāts, tiesiskā regulējuma mērķis un būtība</w:t>
            </w:r>
          </w:p>
        </w:tc>
        <w:tc>
          <w:tcPr>
            <w:tcW w:w="3210" w:type="pct"/>
            <w:hideMark/>
          </w:tcPr>
          <w:p w:rsidR="00EA1CCD" w:rsidRPr="00C86E1D" w:rsidP="003D50EA" w14:paraId="14BD2BF0" w14:textId="4618D539">
            <w:pPr>
              <w:jc w:val="both"/>
            </w:pPr>
            <w:r w:rsidRPr="00C86E1D">
              <w:t>2017.gada</w:t>
            </w:r>
            <w:r w:rsidRPr="00C86E1D">
              <w:t xml:space="preserve"> 18.aprīlī</w:t>
            </w:r>
            <w:r w:rsidRPr="00C86E1D" w:rsidR="0044166D">
              <w:t xml:space="preserve"> Ministru kabinetā</w:t>
            </w:r>
            <w:r w:rsidRPr="00C86E1D">
              <w:t xml:space="preserve"> tika apstiprināts informatīvais ziņojums “Par papildu valsts budžeta saistību uzņemšanos saistībā ar Eiropas Mazo un vidējo uzņēmumu izpildaģentūras izsludināto Eiropas Savienības Jūrlietu un zivsaimniecības fonda līdzfinansēto projektu konkursu “EASME/EMFF/2016/1.2.1.6 - Jūras telpiskā plānošana” (turpmāk – informatīvais ziņojums)</w:t>
            </w:r>
            <w:r w:rsidRPr="00C86E1D" w:rsidR="003E60A3">
              <w:t xml:space="preserve">, ar kuru Vides aizsardzības un reģionālās attīstības ministrijai (turpmāk – VARAM) atļauts uzņemties papildu valsts budžeta saistības Projekta īstenošanas finansēšanai. </w:t>
            </w:r>
          </w:p>
          <w:p w:rsidR="003D50EA" w:rsidRPr="00C86E1D" w:rsidP="003D50EA" w14:paraId="42B061A2" w14:textId="384B3FEC">
            <w:pPr>
              <w:jc w:val="both"/>
            </w:pPr>
            <w:r w:rsidRPr="00C86E1D">
              <w:t xml:space="preserve"> </w:t>
            </w:r>
          </w:p>
          <w:p w:rsidR="003D50EA" w:rsidRPr="00C86E1D" w:rsidP="003D50EA" w14:paraId="77876B31" w14:textId="3B00D121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1D">
              <w:rPr>
                <w:rFonts w:ascii="Times New Roman" w:hAnsi="Times New Roman" w:cs="Times New Roman"/>
                <w:sz w:val="24"/>
                <w:szCs w:val="24"/>
              </w:rPr>
              <w:t xml:space="preserve">Projekta mērķis ir panākt savstarpēji saskaņotu Jūras telpisko plānojumu izstrādi </w:t>
            </w:r>
            <w:r w:rsidRPr="00C86E1D" w:rsidR="00723E07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C86E1D">
              <w:rPr>
                <w:rFonts w:ascii="Times New Roman" w:hAnsi="Times New Roman" w:cs="Times New Roman"/>
                <w:sz w:val="24"/>
                <w:szCs w:val="24"/>
              </w:rPr>
              <w:t xml:space="preserve"> nodrošinā</w:t>
            </w:r>
            <w:r w:rsidRPr="00C86E1D" w:rsidR="00723E0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8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4B5" w:rsidR="009E24B5">
              <w:rPr>
                <w:rFonts w:ascii="Times New Roman" w:eastAsia="Times New Roman" w:hAnsi="Times New Roman"/>
                <w:sz w:val="24"/>
                <w:szCs w:val="24"/>
              </w:rPr>
              <w:t xml:space="preserve">Eiropas Parlamenta un Padomes Direktīvas </w:t>
            </w:r>
            <w:r w:rsidRPr="009E24B5" w:rsidR="009E24B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2014/89/ES (apstiprināta 2014. gada 23. jūlijā), ar ko izveido jūras telpiskās plānošanas satvaru</w:t>
            </w:r>
            <w:r w:rsidR="001350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(turpmāk – </w:t>
            </w:r>
            <w:r w:rsidR="00135087">
              <w:rPr>
                <w:rFonts w:ascii="Times New Roman" w:hAnsi="Times New Roman" w:cs="Times New Roman"/>
                <w:sz w:val="24"/>
                <w:szCs w:val="24"/>
              </w:rPr>
              <w:t xml:space="preserve">Direktīva </w:t>
            </w:r>
            <w:r w:rsidR="001350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2014/89/ES) </w:t>
            </w:r>
            <w:r w:rsidRPr="00C86E1D">
              <w:rPr>
                <w:rFonts w:ascii="Times New Roman" w:hAnsi="Times New Roman" w:cs="Times New Roman"/>
                <w:sz w:val="24"/>
                <w:szCs w:val="24"/>
              </w:rPr>
              <w:t>labāku ieviešanu</w:t>
            </w:r>
            <w:r w:rsidRPr="00C86E1D" w:rsidR="00723E07">
              <w:rPr>
                <w:rFonts w:ascii="Times New Roman" w:hAnsi="Times New Roman" w:cs="Times New Roman"/>
                <w:sz w:val="24"/>
                <w:szCs w:val="24"/>
              </w:rPr>
              <w:t xml:space="preserve"> Baltijas jūras reģiona valstīs. </w:t>
            </w:r>
            <w:r w:rsidRPr="00C86E1D" w:rsidR="00EA1CCD">
              <w:rPr>
                <w:rFonts w:ascii="Times New Roman" w:hAnsi="Times New Roman" w:cs="Times New Roman"/>
                <w:sz w:val="24"/>
                <w:szCs w:val="24"/>
              </w:rPr>
              <w:t xml:space="preserve">VARAM paralēli Projektam organizē </w:t>
            </w:r>
            <w:r w:rsidRPr="00C86E1D" w:rsidR="00EA1CCD">
              <w:rPr>
                <w:rFonts w:ascii="Times New Roman" w:hAnsi="Times New Roman" w:cs="Times New Roman"/>
                <w:sz w:val="24"/>
                <w:szCs w:val="24"/>
              </w:rPr>
              <w:t>nacionālo procesu - jūras plānojuma izstrādi Latvijas teritoriālajiem ūdeņiem un Eiropas Ekonomiskajai Zonai, kā ietvaros ir nepieciešama plaša publiskās pārvaldes un nevalstisko organizāciju iesaiste un koordinācija. Tāpēc Projekta resursi tiks ieguldīti</w:t>
            </w:r>
            <w:r w:rsidRPr="00C86E1D" w:rsidR="00EA1C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publisko iestāžu darbinieku kapacitātes celšanā jūras telpiskās plānošanas jomā. </w:t>
            </w:r>
          </w:p>
          <w:p w:rsidR="00CD093D" w:rsidRPr="00C86E1D" w:rsidP="009966C1" w14:paraId="1A332291" w14:textId="1FFA12B6">
            <w:pPr>
              <w:jc w:val="both"/>
            </w:pPr>
            <w:r w:rsidRPr="00C86E1D">
              <w:t xml:space="preserve">Saskaņā </w:t>
            </w:r>
            <w:r w:rsidRPr="00C86E1D" w:rsidR="00C06A94">
              <w:t xml:space="preserve">ar </w:t>
            </w:r>
            <w:r w:rsidRPr="00C86E1D" w:rsidR="000D797F">
              <w:t>P</w:t>
            </w:r>
            <w:r w:rsidRPr="00C86E1D">
              <w:t xml:space="preserve">rojekta </w:t>
            </w:r>
            <w:r w:rsidRPr="00C86E1D" w:rsidR="00B82966">
              <w:t>Granta</w:t>
            </w:r>
            <w:r w:rsidRPr="00C86E1D">
              <w:t xml:space="preserve"> līguma nosacījumiem ir mainījušies divi būtiski punkti</w:t>
            </w:r>
            <w:r w:rsidRPr="00C86E1D">
              <w:t xml:space="preserve"> –</w:t>
            </w:r>
            <w:r w:rsidRPr="00C86E1D" w:rsidR="003E60A3">
              <w:t xml:space="preserve"> </w:t>
            </w:r>
            <w:r w:rsidRPr="00C86E1D">
              <w:t xml:space="preserve">VARAM kopējais projekta budžets un </w:t>
            </w:r>
            <w:r w:rsidRPr="00C86E1D" w:rsidR="00310B11">
              <w:t>Eiropas Komisijas</w:t>
            </w:r>
            <w:r w:rsidRPr="00C86E1D" w:rsidR="003E1AF2">
              <w:t xml:space="preserve"> (turpmāk - EK)</w:t>
            </w:r>
            <w:r w:rsidRPr="00C86E1D">
              <w:t xml:space="preserve"> prie</w:t>
            </w:r>
            <w:r w:rsidRPr="00C86E1D" w:rsidR="00310B11">
              <w:t>kšfinansējum</w:t>
            </w:r>
            <w:r w:rsidRPr="00C86E1D">
              <w:t xml:space="preserve">a apjoms. </w:t>
            </w:r>
          </w:p>
          <w:p w:rsidR="00CD093D" w:rsidRPr="00C86E1D" w:rsidP="00CD093D" w14:paraId="36C1E6A7" w14:textId="0CC120B1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1D">
              <w:rPr>
                <w:rFonts w:ascii="Times New Roman" w:hAnsi="Times New Roman" w:cs="Times New Roman"/>
                <w:sz w:val="24"/>
                <w:szCs w:val="24"/>
              </w:rPr>
              <w:t xml:space="preserve">Ņemot vērā </w:t>
            </w:r>
            <w:r w:rsidRPr="00C86E1D" w:rsidR="00F66D7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86E1D">
              <w:rPr>
                <w:rFonts w:ascii="Times New Roman" w:hAnsi="Times New Roman" w:cs="Times New Roman"/>
                <w:sz w:val="24"/>
                <w:szCs w:val="24"/>
              </w:rPr>
              <w:t>rojekta Granta līguma nosacījum</w:t>
            </w:r>
            <w:r w:rsidRPr="00C86E1D" w:rsidR="00AF665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86E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86E1D" w:rsidR="00AF66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6E1D">
              <w:rPr>
                <w:rFonts w:ascii="Times New Roman" w:hAnsi="Times New Roman" w:cs="Times New Roman"/>
                <w:sz w:val="24"/>
                <w:szCs w:val="24"/>
              </w:rPr>
              <w:t xml:space="preserve"> kopējais VARAM </w:t>
            </w:r>
            <w:r w:rsidRPr="00C86E1D" w:rsidR="00723E07">
              <w:rPr>
                <w:rFonts w:ascii="Times New Roman" w:hAnsi="Times New Roman" w:cs="Times New Roman"/>
                <w:sz w:val="24"/>
                <w:szCs w:val="24"/>
              </w:rPr>
              <w:t>budžets</w:t>
            </w:r>
            <w:r w:rsidRPr="00C86E1D">
              <w:rPr>
                <w:rFonts w:ascii="Times New Roman" w:hAnsi="Times New Roman" w:cs="Times New Roman"/>
                <w:sz w:val="24"/>
                <w:szCs w:val="24"/>
              </w:rPr>
              <w:t xml:space="preserve"> ir 256 543 </w:t>
            </w:r>
            <w:r w:rsidRPr="00C86E1D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C86E1D" w:rsidR="00F14D10"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Pr="00C86E1D">
              <w:rPr>
                <w:rFonts w:ascii="Times New Roman" w:hAnsi="Times New Roman" w:cs="Times New Roman"/>
                <w:i/>
                <w:sz w:val="24"/>
                <w:szCs w:val="24"/>
              </w:rPr>
              <w:t>ro</w:t>
            </w:r>
            <w:r w:rsidRPr="00C86E1D">
              <w:rPr>
                <w:rFonts w:ascii="Times New Roman" w:hAnsi="Times New Roman" w:cs="Times New Roman"/>
                <w:sz w:val="24"/>
                <w:szCs w:val="24"/>
              </w:rPr>
              <w:t xml:space="preserve">, no kuriem 80% veido EK finansējums 205 234 </w:t>
            </w:r>
            <w:r w:rsidRPr="00C86E1D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C86E1D" w:rsidR="00F14D10"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Pr="00C86E1D">
              <w:rPr>
                <w:rFonts w:ascii="Times New Roman" w:hAnsi="Times New Roman" w:cs="Times New Roman"/>
                <w:i/>
                <w:sz w:val="24"/>
                <w:szCs w:val="24"/>
              </w:rPr>
              <w:t>ro</w:t>
            </w:r>
            <w:r w:rsidRPr="00C86E1D">
              <w:rPr>
                <w:rFonts w:ascii="Times New Roman" w:hAnsi="Times New Roman" w:cs="Times New Roman"/>
                <w:sz w:val="24"/>
                <w:szCs w:val="24"/>
              </w:rPr>
              <w:t xml:space="preserve"> un 20% </w:t>
            </w:r>
            <w:r w:rsidRPr="00C86E1D" w:rsidR="00AF6655">
              <w:rPr>
                <w:rFonts w:ascii="Times New Roman" w:hAnsi="Times New Roman" w:cs="Times New Roman"/>
                <w:sz w:val="24"/>
                <w:szCs w:val="24"/>
              </w:rPr>
              <w:t xml:space="preserve">nacionālais </w:t>
            </w:r>
            <w:r w:rsidRPr="00C86E1D">
              <w:rPr>
                <w:rFonts w:ascii="Times New Roman" w:hAnsi="Times New Roman" w:cs="Times New Roman"/>
                <w:sz w:val="24"/>
                <w:szCs w:val="24"/>
              </w:rPr>
              <w:t>līdzfinansējums</w:t>
            </w:r>
            <w:r w:rsidRPr="00C86E1D" w:rsidR="00AF665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86E1D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  <w:r w:rsidRPr="00C86E1D" w:rsidR="00723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E1D">
              <w:rPr>
                <w:rFonts w:ascii="Times New Roman" w:hAnsi="Times New Roman" w:cs="Times New Roman"/>
                <w:sz w:val="24"/>
                <w:szCs w:val="24"/>
              </w:rPr>
              <w:t xml:space="preserve">309 </w:t>
            </w:r>
            <w:r w:rsidRPr="00C86E1D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C86E1D" w:rsidR="00F14D10"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Pr="00C86E1D">
              <w:rPr>
                <w:rFonts w:ascii="Times New Roman" w:hAnsi="Times New Roman" w:cs="Times New Roman"/>
                <w:i/>
                <w:sz w:val="24"/>
                <w:szCs w:val="24"/>
              </w:rPr>
              <w:t>ro</w:t>
            </w:r>
            <w:r w:rsidRPr="00C86E1D">
              <w:rPr>
                <w:rFonts w:ascii="Times New Roman" w:hAnsi="Times New Roman" w:cs="Times New Roman"/>
                <w:sz w:val="24"/>
                <w:szCs w:val="24"/>
              </w:rPr>
              <w:t xml:space="preserve">. Iemesls šīm izmaiņām bija Granta līguma nosacījumu un budžeta precizēšana, </w:t>
            </w:r>
            <w:r w:rsidRPr="00C86E1D" w:rsidR="00723E07">
              <w:rPr>
                <w:rFonts w:ascii="Times New Roman" w:hAnsi="Times New Roman" w:cs="Times New Roman"/>
                <w:sz w:val="24"/>
                <w:szCs w:val="24"/>
              </w:rPr>
              <w:t>kā rezultātā</w:t>
            </w:r>
            <w:r w:rsidRPr="00C86E1D">
              <w:rPr>
                <w:rFonts w:ascii="Times New Roman" w:hAnsi="Times New Roman" w:cs="Times New Roman"/>
                <w:sz w:val="24"/>
                <w:szCs w:val="24"/>
              </w:rPr>
              <w:t xml:space="preserve"> VARAM </w:t>
            </w:r>
            <w:r w:rsidRPr="00C86E1D" w:rsidR="00723E07">
              <w:rPr>
                <w:rFonts w:ascii="Times New Roman" w:hAnsi="Times New Roman" w:cs="Times New Roman"/>
                <w:sz w:val="24"/>
                <w:szCs w:val="24"/>
              </w:rPr>
              <w:t xml:space="preserve">kopējais projekta budžets samazinājās </w:t>
            </w:r>
            <w:r w:rsidRPr="00C86E1D">
              <w:rPr>
                <w:rFonts w:ascii="Times New Roman" w:hAnsi="Times New Roman" w:cs="Times New Roman"/>
                <w:sz w:val="24"/>
                <w:szCs w:val="24"/>
              </w:rPr>
              <w:t>par 31</w:t>
            </w:r>
            <w:r w:rsidRPr="00C86E1D" w:rsidR="00723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E1D">
              <w:rPr>
                <w:rFonts w:ascii="Times New Roman" w:hAnsi="Times New Roman" w:cs="Times New Roman"/>
                <w:sz w:val="24"/>
                <w:szCs w:val="24"/>
              </w:rPr>
              <w:t xml:space="preserve">003 </w:t>
            </w:r>
            <w:r w:rsidRPr="00C86E1D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C86E1D" w:rsidR="00F14D10"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Pr="00C86E1D">
              <w:rPr>
                <w:rFonts w:ascii="Times New Roman" w:hAnsi="Times New Roman" w:cs="Times New Roman"/>
                <w:i/>
                <w:sz w:val="24"/>
                <w:szCs w:val="24"/>
              </w:rPr>
              <w:t>ro</w:t>
            </w:r>
            <w:r w:rsidRPr="00C86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093D" w:rsidRPr="00C86E1D" w:rsidP="003E60A3" w14:paraId="6CD7440F" w14:textId="52DAB4A8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1D">
              <w:rPr>
                <w:rFonts w:ascii="Times New Roman" w:hAnsi="Times New Roman" w:cs="Times New Roman"/>
                <w:sz w:val="24"/>
                <w:szCs w:val="24"/>
              </w:rPr>
              <w:t xml:space="preserve">Otrs būtiskais izmaiņu punkts skar EK </w:t>
            </w:r>
            <w:r w:rsidRPr="00C86E1D" w:rsidR="00EB7BBE">
              <w:rPr>
                <w:rFonts w:ascii="Times New Roman" w:hAnsi="Times New Roman" w:cs="Times New Roman"/>
                <w:sz w:val="24"/>
                <w:szCs w:val="24"/>
              </w:rPr>
              <w:t>priekšfinansējuma</w:t>
            </w:r>
            <w:r w:rsidRPr="00C86E1D">
              <w:rPr>
                <w:rFonts w:ascii="Times New Roman" w:hAnsi="Times New Roman" w:cs="Times New Roman"/>
                <w:sz w:val="24"/>
                <w:szCs w:val="24"/>
              </w:rPr>
              <w:t xml:space="preserve"> apjomu. Granta līguma nosacījumos </w:t>
            </w:r>
            <w:r w:rsidRPr="00C86E1D" w:rsidR="00EB7BBE">
              <w:rPr>
                <w:rFonts w:ascii="Times New Roman" w:hAnsi="Times New Roman" w:cs="Times New Roman"/>
                <w:sz w:val="24"/>
                <w:szCs w:val="24"/>
              </w:rPr>
              <w:t>priekšfinansējuma</w:t>
            </w:r>
            <w:r w:rsidRPr="00C86E1D" w:rsidR="003E60A3">
              <w:rPr>
                <w:rFonts w:ascii="Times New Roman" w:hAnsi="Times New Roman" w:cs="Times New Roman"/>
                <w:sz w:val="24"/>
                <w:szCs w:val="24"/>
              </w:rPr>
              <w:t xml:space="preserve"> (avansa)</w:t>
            </w:r>
            <w:r w:rsidRPr="00C86E1D" w:rsidR="00996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E1D" w:rsidR="00EB7BBE">
              <w:rPr>
                <w:rFonts w:ascii="Times New Roman" w:hAnsi="Times New Roman" w:cs="Times New Roman"/>
                <w:sz w:val="24"/>
                <w:szCs w:val="24"/>
              </w:rPr>
              <w:t>apjoms</w:t>
            </w:r>
            <w:r w:rsidRPr="00C86E1D">
              <w:rPr>
                <w:rFonts w:ascii="Times New Roman" w:hAnsi="Times New Roman" w:cs="Times New Roman"/>
                <w:sz w:val="24"/>
                <w:szCs w:val="24"/>
              </w:rPr>
              <w:t xml:space="preserve"> tika</w:t>
            </w:r>
            <w:r w:rsidRPr="00C86E1D" w:rsidR="00EA1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E1D">
              <w:rPr>
                <w:rFonts w:ascii="Times New Roman" w:hAnsi="Times New Roman" w:cs="Times New Roman"/>
                <w:sz w:val="24"/>
                <w:szCs w:val="24"/>
              </w:rPr>
              <w:t xml:space="preserve">palielināts </w:t>
            </w:r>
            <w:r w:rsidRPr="00C86E1D" w:rsidR="009966C1">
              <w:rPr>
                <w:rFonts w:ascii="Times New Roman" w:hAnsi="Times New Roman" w:cs="Times New Roman"/>
                <w:sz w:val="24"/>
                <w:szCs w:val="24"/>
              </w:rPr>
              <w:t xml:space="preserve">no 30% </w:t>
            </w:r>
            <w:r w:rsidRPr="00C86E1D">
              <w:rPr>
                <w:rFonts w:ascii="Times New Roman" w:hAnsi="Times New Roman" w:cs="Times New Roman"/>
                <w:sz w:val="24"/>
                <w:szCs w:val="24"/>
              </w:rPr>
              <w:t xml:space="preserve">uz 40% no </w:t>
            </w:r>
            <w:r w:rsidRPr="00C86E1D" w:rsidR="00723E07">
              <w:rPr>
                <w:rFonts w:ascii="Times New Roman" w:hAnsi="Times New Roman" w:cs="Times New Roman"/>
                <w:sz w:val="24"/>
                <w:szCs w:val="24"/>
              </w:rPr>
              <w:t xml:space="preserve">EK finansējuma, bet atmaksa no EK par </w:t>
            </w:r>
            <w:r w:rsidRPr="00C86E1D" w:rsidR="00C06A9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86E1D" w:rsidR="00723E07">
              <w:rPr>
                <w:rFonts w:ascii="Times New Roman" w:hAnsi="Times New Roman" w:cs="Times New Roman"/>
                <w:sz w:val="24"/>
                <w:szCs w:val="24"/>
              </w:rPr>
              <w:t xml:space="preserve">rojekta ietvaros deklarētajiem izdevumiem tiek veikta pēc gala ziņojuma apstiprināšanas. Šīs izmaiņas būtiski ietekmē plānoto </w:t>
            </w:r>
            <w:r w:rsidRPr="00C86E1D" w:rsidR="00C06A9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86E1D" w:rsidR="00723E07">
              <w:rPr>
                <w:rFonts w:ascii="Times New Roman" w:hAnsi="Times New Roman" w:cs="Times New Roman"/>
                <w:sz w:val="24"/>
                <w:szCs w:val="24"/>
              </w:rPr>
              <w:t xml:space="preserve">rojekta finanšu plūsmu. </w:t>
            </w:r>
          </w:p>
          <w:p w:rsidR="003E60A3" w:rsidRPr="00C86E1D" w:rsidP="00723E07" w14:paraId="68F73F5A" w14:textId="77777777">
            <w:pPr>
              <w:jc w:val="both"/>
            </w:pPr>
          </w:p>
          <w:p w:rsidR="00544010" w:rsidRPr="00C86E1D" w14:paraId="195AE126" w14:textId="0C0918F8">
            <w:pPr>
              <w:jc w:val="both"/>
            </w:pPr>
            <w:r w:rsidRPr="00C86E1D">
              <w:t xml:space="preserve">Ņemot vērā šīs izmaiņas, lai nodrošinātu </w:t>
            </w:r>
            <w:r w:rsidRPr="00C86E1D" w:rsidR="00C06A94">
              <w:t>P</w:t>
            </w:r>
            <w:r w:rsidRPr="00C86E1D">
              <w:t xml:space="preserve">rojekta īstenošanu, tiek precizēts valsts budžeta saistību aprēķins </w:t>
            </w:r>
            <w:r w:rsidRPr="00C86E1D">
              <w:t>(</w:t>
            </w:r>
            <w:r w:rsidRPr="00C86E1D">
              <w:t>skat.</w:t>
            </w:r>
            <w:r w:rsidRPr="00C86E1D" w:rsidR="00551778">
              <w:t xml:space="preserve"> </w:t>
            </w:r>
            <w:r w:rsidRPr="00C86E1D">
              <w:t xml:space="preserve">III </w:t>
            </w:r>
            <w:r w:rsidRPr="00C86E1D" w:rsidR="00551778">
              <w:t xml:space="preserve">sadaļas </w:t>
            </w:r>
            <w:r w:rsidRPr="00C86E1D">
              <w:t>6.</w:t>
            </w:r>
            <w:r w:rsidRPr="00C86E1D" w:rsidR="00551778">
              <w:t>punktu</w:t>
            </w:r>
            <w:r w:rsidRPr="00C86E1D">
              <w:t>).</w:t>
            </w:r>
          </w:p>
        </w:tc>
      </w:tr>
      <w:tr w14:paraId="49559CB8" w14:textId="77777777" w:rsidTr="00EF6BFB">
        <w:tblPrEx>
          <w:tblW w:w="5000" w:type="pct"/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311" w:type="pct"/>
            <w:hideMark/>
          </w:tcPr>
          <w:p w:rsidR="00BD5588" w:rsidRPr="00C86E1D" w:rsidP="00EF6BFB" w14:paraId="0AC8FB01" w14:textId="33D30E7D">
            <w:pPr>
              <w:jc w:val="center"/>
            </w:pPr>
            <w:r w:rsidRPr="00C86E1D">
              <w:t>3.</w:t>
            </w:r>
          </w:p>
        </w:tc>
        <w:tc>
          <w:tcPr>
            <w:tcW w:w="1479" w:type="pct"/>
            <w:hideMark/>
          </w:tcPr>
          <w:p w:rsidR="00BD5588" w:rsidRPr="00C86E1D" w:rsidP="00EF6BFB" w14:paraId="5B5213C7" w14:textId="77777777">
            <w:r w:rsidRPr="00C86E1D">
              <w:t>Projekta izstrādē iesaistītās institūcijas un publiskas personas kapitālsabiedrības</w:t>
            </w:r>
          </w:p>
        </w:tc>
        <w:tc>
          <w:tcPr>
            <w:tcW w:w="3210" w:type="pct"/>
            <w:hideMark/>
          </w:tcPr>
          <w:p w:rsidR="00BD5588" w:rsidRPr="00C86E1D" w:rsidP="00EF6BFB" w14:paraId="76CD9EE5" w14:textId="77777777">
            <w:r w:rsidRPr="00C86E1D">
              <w:t>Nav.</w:t>
            </w:r>
          </w:p>
        </w:tc>
      </w:tr>
      <w:tr w14:paraId="5EDF3BBC" w14:textId="77777777" w:rsidTr="00EF6BFB">
        <w:tblPrEx>
          <w:tblW w:w="5000" w:type="pct"/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311" w:type="pct"/>
            <w:hideMark/>
          </w:tcPr>
          <w:p w:rsidR="00BD5588" w:rsidRPr="00C86E1D" w:rsidP="00EF6BFB" w14:paraId="746A1D7A" w14:textId="77777777">
            <w:pPr>
              <w:jc w:val="center"/>
            </w:pPr>
            <w:r w:rsidRPr="00C86E1D">
              <w:t>4.</w:t>
            </w:r>
          </w:p>
        </w:tc>
        <w:tc>
          <w:tcPr>
            <w:tcW w:w="1479" w:type="pct"/>
            <w:hideMark/>
          </w:tcPr>
          <w:p w:rsidR="00BD5588" w:rsidRPr="00C86E1D" w:rsidP="00EF6BFB" w14:paraId="25F9BAF9" w14:textId="77777777">
            <w:r w:rsidRPr="00C86E1D">
              <w:t>Cita informācija</w:t>
            </w:r>
          </w:p>
        </w:tc>
        <w:tc>
          <w:tcPr>
            <w:tcW w:w="3210" w:type="pct"/>
            <w:hideMark/>
          </w:tcPr>
          <w:p w:rsidR="00BD5588" w:rsidRPr="00C86E1D" w:rsidP="00EF6BFB" w14:paraId="78869A6D" w14:textId="77777777">
            <w:r w:rsidRPr="00C86E1D">
              <w:t>Nav.</w:t>
            </w:r>
          </w:p>
        </w:tc>
      </w:tr>
    </w:tbl>
    <w:p w:rsidR="00BD5588" w:rsidRPr="00C86E1D" w:rsidP="00D065B9" w14:paraId="35038A1E" w14:textId="77777777">
      <w:pPr>
        <w:pStyle w:val="Title"/>
        <w:spacing w:before="130" w:line="260" w:lineRule="exact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66"/>
      </w:tblGrid>
      <w:tr w14:paraId="34272DBE" w14:textId="77777777" w:rsidTr="00EF6BFB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5000" w:type="pct"/>
            <w:vAlign w:val="center"/>
            <w:hideMark/>
          </w:tcPr>
          <w:p w:rsidR="00BD5588" w:rsidRPr="00C86E1D" w:rsidP="00EF6BFB" w14:paraId="63D66D2C" w14:textId="77777777">
            <w:pPr>
              <w:jc w:val="center"/>
              <w:rPr>
                <w:b/>
                <w:bCs/>
              </w:rPr>
            </w:pPr>
            <w:r w:rsidRPr="00C86E1D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14:paraId="063713EA" w14:textId="77777777" w:rsidTr="00AF6655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5000" w:type="pct"/>
          </w:tcPr>
          <w:p w:rsidR="00AF6655" w:rsidRPr="00C86E1D" w:rsidP="00F66D78" w14:paraId="2C384836" w14:textId="4ECE622C">
            <w:pPr>
              <w:jc w:val="center"/>
            </w:pPr>
            <w:r w:rsidRPr="00C86E1D">
              <w:t>Nav attiecināms.</w:t>
            </w:r>
            <w:r w:rsidRPr="00C86E1D">
              <w:tab/>
            </w:r>
          </w:p>
        </w:tc>
      </w:tr>
    </w:tbl>
    <w:p w:rsidR="00BD5588" w:rsidRPr="00C86E1D" w:rsidP="00BD5588" w14:paraId="14CA0BAA" w14:textId="5E6D1D60">
      <w:pPr>
        <w:pStyle w:val="Title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96"/>
        <w:gridCol w:w="991"/>
        <w:gridCol w:w="990"/>
        <w:gridCol w:w="868"/>
        <w:gridCol w:w="867"/>
        <w:gridCol w:w="867"/>
        <w:gridCol w:w="867"/>
        <w:gridCol w:w="919"/>
      </w:tblGrid>
      <w:tr w14:paraId="55805EAA" w14:textId="77777777" w:rsidTr="008E6098">
        <w:tblPrEx>
          <w:tblW w:w="5002" w:type="pct"/>
          <w:tblInd w:w="-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8299" w:type="dxa"/>
            <w:gridSpan w:val="8"/>
            <w:shd w:val="clear" w:color="auto" w:fill="auto"/>
            <w:vAlign w:val="center"/>
            <w:hideMark/>
          </w:tcPr>
          <w:p w:rsidR="00BD5588" w:rsidRPr="00C86E1D" w:rsidP="00EF6BFB" w14:paraId="262E33A7" w14:textId="77777777">
            <w:pPr>
              <w:jc w:val="center"/>
              <w:rPr>
                <w:b/>
                <w:bCs/>
                <w:lang w:eastAsia="en-US"/>
              </w:rPr>
            </w:pPr>
            <w:r w:rsidRPr="00C86E1D">
              <w:rPr>
                <w:b/>
                <w:bCs/>
                <w:lang w:eastAsia="en-US"/>
              </w:rPr>
              <w:t>III. Tiesību akta projekta ietekme uz valsts budžetu un pašvaldību budžetiem</w:t>
            </w:r>
          </w:p>
        </w:tc>
      </w:tr>
      <w:tr w14:paraId="6AEAD849" w14:textId="77777777" w:rsidTr="008E6098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1981" w:type="dxa"/>
            <w:vMerge w:val="restart"/>
            <w:shd w:val="clear" w:color="auto" w:fill="FFFFFF"/>
            <w:vAlign w:val="center"/>
          </w:tcPr>
          <w:p w:rsidR="00BD5588" w:rsidRPr="00C86E1D" w:rsidP="00EF6BFB" w14:paraId="38BC8729" w14:textId="77777777">
            <w:pPr>
              <w:jc w:val="center"/>
              <w:rPr>
                <w:bCs/>
                <w:lang w:eastAsia="en-US"/>
              </w:rPr>
            </w:pPr>
            <w:r w:rsidRPr="00C86E1D">
              <w:rPr>
                <w:bCs/>
                <w:lang w:eastAsia="en-US"/>
              </w:rPr>
              <w:t>Rādītāji</w:t>
            </w:r>
          </w:p>
        </w:tc>
        <w:tc>
          <w:tcPr>
            <w:tcW w:w="1965" w:type="dxa"/>
            <w:gridSpan w:val="2"/>
            <w:vMerge w:val="restart"/>
            <w:shd w:val="clear" w:color="auto" w:fill="FFFFFF"/>
            <w:vAlign w:val="center"/>
            <w:hideMark/>
          </w:tcPr>
          <w:p w:rsidR="00BD5588" w:rsidRPr="00C86E1D" w:rsidP="00604DC3" w14:paraId="3399FCD9" w14:textId="77777777">
            <w:pPr>
              <w:jc w:val="center"/>
              <w:rPr>
                <w:bCs/>
                <w:lang w:eastAsia="en-US"/>
              </w:rPr>
            </w:pPr>
            <w:r w:rsidRPr="00C86E1D">
              <w:rPr>
                <w:bCs/>
                <w:lang w:eastAsia="en-US"/>
              </w:rPr>
              <w:t>2018.</w:t>
            </w:r>
            <w:r w:rsidRPr="00C86E1D">
              <w:rPr>
                <w:bCs/>
                <w:lang w:eastAsia="en-US"/>
              </w:rPr>
              <w:t>gads</w:t>
            </w:r>
          </w:p>
        </w:tc>
        <w:tc>
          <w:tcPr>
            <w:tcW w:w="4353" w:type="dxa"/>
            <w:gridSpan w:val="5"/>
            <w:shd w:val="clear" w:color="auto" w:fill="FFFFFF"/>
            <w:vAlign w:val="center"/>
            <w:hideMark/>
          </w:tcPr>
          <w:p w:rsidR="00BD5588" w:rsidRPr="00C86E1D" w:rsidP="00EF6BFB" w14:paraId="3585D937" w14:textId="77777777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Turpmākie trīs gadi (</w:t>
            </w:r>
            <w:r w:rsidRPr="00C86E1D">
              <w:rPr>
                <w:i/>
                <w:iCs/>
                <w:lang w:eastAsia="en-US"/>
              </w:rPr>
              <w:t>euro</w:t>
            </w:r>
            <w:r w:rsidRPr="00C86E1D">
              <w:rPr>
                <w:lang w:eastAsia="en-US"/>
              </w:rPr>
              <w:t>)</w:t>
            </w:r>
          </w:p>
        </w:tc>
      </w:tr>
      <w:tr w14:paraId="7EA2D215" w14:textId="77777777" w:rsidTr="008E6098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1981" w:type="dxa"/>
            <w:vMerge/>
            <w:shd w:val="clear" w:color="auto" w:fill="auto"/>
            <w:vAlign w:val="center"/>
            <w:hideMark/>
          </w:tcPr>
          <w:p w:rsidR="00BD5588" w:rsidRPr="00C86E1D" w:rsidP="00EF6BFB" w14:paraId="4E786965" w14:textId="7777777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  <w:hideMark/>
          </w:tcPr>
          <w:p w:rsidR="00BD5588" w:rsidRPr="00C86E1D" w:rsidP="00EF6BFB" w14:paraId="7C7031B6" w14:textId="7777777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21" w:type="dxa"/>
            <w:gridSpan w:val="2"/>
            <w:shd w:val="clear" w:color="auto" w:fill="FFFFFF"/>
            <w:vAlign w:val="center"/>
            <w:hideMark/>
          </w:tcPr>
          <w:p w:rsidR="00BD5588" w:rsidRPr="00C86E1D" w:rsidP="00EF6BFB" w14:paraId="77301424" w14:textId="77777777">
            <w:pPr>
              <w:jc w:val="center"/>
              <w:rPr>
                <w:bCs/>
                <w:lang w:eastAsia="en-US"/>
              </w:rPr>
            </w:pPr>
            <w:r w:rsidRPr="00C86E1D">
              <w:rPr>
                <w:bCs/>
                <w:lang w:eastAsia="en-US"/>
              </w:rPr>
              <w:t>2019.gads</w:t>
            </w:r>
          </w:p>
        </w:tc>
        <w:tc>
          <w:tcPr>
            <w:tcW w:w="1720" w:type="dxa"/>
            <w:gridSpan w:val="2"/>
            <w:shd w:val="clear" w:color="auto" w:fill="FFFFFF"/>
            <w:vAlign w:val="center"/>
            <w:hideMark/>
          </w:tcPr>
          <w:p w:rsidR="00BD5588" w:rsidRPr="00C86E1D" w:rsidP="00EF6BFB" w14:paraId="0A81A131" w14:textId="77777777">
            <w:pPr>
              <w:jc w:val="center"/>
              <w:rPr>
                <w:bCs/>
                <w:lang w:eastAsia="en-US"/>
              </w:rPr>
            </w:pPr>
            <w:r w:rsidRPr="00C86E1D">
              <w:rPr>
                <w:bCs/>
                <w:lang w:eastAsia="en-US"/>
              </w:rPr>
              <w:t>2020.gads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BD5588" w:rsidRPr="00C86E1D" w:rsidP="00EF6BFB" w14:paraId="2A118EDF" w14:textId="77777777">
            <w:pPr>
              <w:jc w:val="center"/>
              <w:rPr>
                <w:bCs/>
                <w:lang w:eastAsia="en-US"/>
              </w:rPr>
            </w:pPr>
            <w:r w:rsidRPr="00C86E1D">
              <w:rPr>
                <w:bCs/>
                <w:lang w:eastAsia="en-US"/>
              </w:rPr>
              <w:t>2021.gads</w:t>
            </w:r>
          </w:p>
        </w:tc>
      </w:tr>
      <w:tr w14:paraId="320DDA6C" w14:textId="77777777" w:rsidTr="008E6098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1981" w:type="dxa"/>
            <w:vMerge/>
            <w:shd w:val="clear" w:color="auto" w:fill="auto"/>
            <w:vAlign w:val="center"/>
            <w:hideMark/>
          </w:tcPr>
          <w:p w:rsidR="00BD5588" w:rsidRPr="00C86E1D" w:rsidP="00EF6BFB" w14:paraId="47625E00" w14:textId="7777777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83" w:type="dxa"/>
            <w:shd w:val="clear" w:color="auto" w:fill="FFFFFF"/>
            <w:vAlign w:val="center"/>
            <w:hideMark/>
          </w:tcPr>
          <w:p w:rsidR="00BD5588" w:rsidRPr="00C86E1D" w:rsidP="00EF6BFB" w14:paraId="23BCEEE8" w14:textId="77777777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saskaņā ar valsts budžetu kārtējam gadam</w:t>
            </w:r>
          </w:p>
        </w:tc>
        <w:tc>
          <w:tcPr>
            <w:tcW w:w="982" w:type="dxa"/>
            <w:shd w:val="clear" w:color="auto" w:fill="FFFFFF"/>
            <w:vAlign w:val="center"/>
            <w:hideMark/>
          </w:tcPr>
          <w:p w:rsidR="00BD5588" w:rsidRPr="00C86E1D" w:rsidP="00EF6BFB" w14:paraId="22260A02" w14:textId="77777777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izmaiņas kārtējā gadā, salīdzinot ar valsts budžetu kārtējam gadam</w:t>
            </w:r>
          </w:p>
        </w:tc>
        <w:tc>
          <w:tcPr>
            <w:tcW w:w="861" w:type="dxa"/>
            <w:shd w:val="clear" w:color="auto" w:fill="FFFFFF"/>
            <w:vAlign w:val="center"/>
            <w:hideMark/>
          </w:tcPr>
          <w:p w:rsidR="00BD5588" w:rsidRPr="00C86E1D" w:rsidP="00EF6BFB" w14:paraId="285AAC65" w14:textId="77777777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saskaņā ar vidēja termiņa budžeta ietvaru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="00BD5588" w:rsidRPr="00C86E1D" w:rsidP="00EF6BFB" w14:paraId="399464FA" w14:textId="77777777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 xml:space="preserve">izmaiņas, salīdzinot ar vidēja termiņa budžeta ietvaru </w:t>
            </w:r>
            <w:r w:rsidRPr="00C86E1D" w:rsidR="00604DC3">
              <w:rPr>
                <w:bCs/>
                <w:lang w:eastAsia="en-US"/>
              </w:rPr>
              <w:t xml:space="preserve">2019. </w:t>
            </w:r>
            <w:r w:rsidRPr="00C86E1D">
              <w:rPr>
                <w:lang w:eastAsia="en-US"/>
              </w:rPr>
              <w:t>gadam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="00BD5588" w:rsidRPr="00C86E1D" w:rsidP="00EF6BFB" w14:paraId="0CF28CD6" w14:textId="77777777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saskaņā ar vidēja termiņa budžeta ietvaru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="00BD5588" w:rsidRPr="00C86E1D" w:rsidP="00EF6BFB" w14:paraId="5011A231" w14:textId="77777777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 xml:space="preserve">izmaiņas, salīdzinot ar vidēja termiņa budžeta ietvaru </w:t>
            </w:r>
            <w:r w:rsidRPr="00C86E1D" w:rsidR="00604DC3">
              <w:rPr>
                <w:bCs/>
                <w:lang w:eastAsia="en-US"/>
              </w:rPr>
              <w:t xml:space="preserve">2020. </w:t>
            </w:r>
            <w:r w:rsidRPr="00C86E1D">
              <w:rPr>
                <w:lang w:eastAsia="en-US"/>
              </w:rPr>
              <w:t>gadam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BD5588" w:rsidRPr="00C86E1D" w:rsidP="00F36068" w14:paraId="4F881155" w14:textId="12278657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 xml:space="preserve">izmaiņas, salīdzinot ar vidēja termiņa budžeta ietvaru </w:t>
            </w:r>
            <w:r w:rsidRPr="00C86E1D">
              <w:rPr>
                <w:lang w:eastAsia="en-US"/>
              </w:rPr>
              <w:br/>
            </w:r>
            <w:r w:rsidRPr="00C86E1D" w:rsidR="00604DC3">
              <w:rPr>
                <w:bCs/>
                <w:lang w:eastAsia="en-US"/>
              </w:rPr>
              <w:t>202</w:t>
            </w:r>
            <w:r w:rsidRPr="00C86E1D" w:rsidR="00F36068">
              <w:rPr>
                <w:bCs/>
                <w:lang w:eastAsia="en-US"/>
              </w:rPr>
              <w:t>0</w:t>
            </w:r>
            <w:r w:rsidRPr="00C86E1D" w:rsidR="00604DC3">
              <w:rPr>
                <w:bCs/>
                <w:lang w:eastAsia="en-US"/>
              </w:rPr>
              <w:t xml:space="preserve">. </w:t>
            </w:r>
            <w:r w:rsidRPr="00C86E1D">
              <w:rPr>
                <w:lang w:eastAsia="en-US"/>
              </w:rPr>
              <w:t>gadam</w:t>
            </w:r>
          </w:p>
        </w:tc>
      </w:tr>
      <w:tr w14:paraId="361A0CE2" w14:textId="77777777" w:rsidTr="008E6098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1981" w:type="dxa"/>
            <w:shd w:val="clear" w:color="auto" w:fill="FFFFFF"/>
            <w:vAlign w:val="center"/>
            <w:hideMark/>
          </w:tcPr>
          <w:p w:rsidR="00BD5588" w:rsidRPr="00C86E1D" w:rsidP="00EF6BFB" w14:paraId="58813454" w14:textId="77777777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1</w:t>
            </w:r>
          </w:p>
        </w:tc>
        <w:tc>
          <w:tcPr>
            <w:tcW w:w="983" w:type="dxa"/>
            <w:shd w:val="clear" w:color="auto" w:fill="FFFFFF"/>
            <w:vAlign w:val="center"/>
            <w:hideMark/>
          </w:tcPr>
          <w:p w:rsidR="00BD5588" w:rsidRPr="00C86E1D" w:rsidP="00EF6BFB" w14:paraId="6FC16536" w14:textId="77777777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2</w:t>
            </w:r>
          </w:p>
        </w:tc>
        <w:tc>
          <w:tcPr>
            <w:tcW w:w="982" w:type="dxa"/>
            <w:shd w:val="clear" w:color="auto" w:fill="FFFFFF"/>
            <w:vAlign w:val="center"/>
            <w:hideMark/>
          </w:tcPr>
          <w:p w:rsidR="00BD5588" w:rsidRPr="00C86E1D" w:rsidP="00EF6BFB" w14:paraId="6954BBA1" w14:textId="77777777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3</w:t>
            </w:r>
          </w:p>
        </w:tc>
        <w:tc>
          <w:tcPr>
            <w:tcW w:w="861" w:type="dxa"/>
            <w:shd w:val="clear" w:color="auto" w:fill="FFFFFF"/>
            <w:vAlign w:val="center"/>
            <w:hideMark/>
          </w:tcPr>
          <w:p w:rsidR="00BD5588" w:rsidRPr="00C86E1D" w:rsidP="00EF6BFB" w14:paraId="72AF08CB" w14:textId="77777777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4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="00BD5588" w:rsidRPr="00C86E1D" w:rsidP="00EF6BFB" w14:paraId="3FF156DF" w14:textId="77777777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5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="00BD5588" w:rsidRPr="00C86E1D" w:rsidP="00EF6BFB" w14:paraId="289E7E0F" w14:textId="77777777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6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="00BD5588" w:rsidRPr="00C86E1D" w:rsidP="00EF6BFB" w14:paraId="6356BF24" w14:textId="77777777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7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BD5588" w:rsidRPr="00C86E1D" w:rsidP="00EF6BFB" w14:paraId="11EFC30A" w14:textId="77777777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8</w:t>
            </w:r>
          </w:p>
        </w:tc>
      </w:tr>
      <w:tr w14:paraId="7DD151CE" w14:textId="77777777" w:rsidTr="008E6098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1981" w:type="dxa"/>
            <w:shd w:val="clear" w:color="auto" w:fill="D9D9D9" w:themeFill="background1" w:themeFillShade="D9"/>
            <w:hideMark/>
          </w:tcPr>
          <w:p w:rsidR="00723E07" w:rsidRPr="00C86E1D" w:rsidP="00EF6BFB" w14:paraId="206D0110" w14:textId="77777777">
            <w:pPr>
              <w:rPr>
                <w:lang w:eastAsia="en-US"/>
              </w:rPr>
            </w:pPr>
            <w:r w:rsidRPr="00C86E1D">
              <w:rPr>
                <w:lang w:eastAsia="en-US"/>
              </w:rPr>
              <w:t>1. Budžeta ieņēmumi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  <w:hideMark/>
          </w:tcPr>
          <w:p w:rsidR="00723E07" w:rsidRPr="00C86E1D" w:rsidP="00EF6BFB" w14:paraId="10CE76D1" w14:textId="0C76683B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982" w:type="dxa"/>
            <w:shd w:val="clear" w:color="auto" w:fill="D9D9D9" w:themeFill="background1" w:themeFillShade="D9"/>
            <w:vAlign w:val="center"/>
            <w:hideMark/>
          </w:tcPr>
          <w:p w:rsidR="00723E07" w:rsidRPr="00C86E1D" w:rsidP="00F36068" w14:paraId="5BB0E5A6" w14:textId="5430DAE8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82 094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  <w:hideMark/>
          </w:tcPr>
          <w:p w:rsidR="00723E07" w:rsidRPr="00C86E1D" w:rsidP="00EF6BFB" w14:paraId="2C66F436" w14:textId="0C0E91BB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  <w:hideMark/>
          </w:tcPr>
          <w:p w:rsidR="00723E07" w:rsidRPr="00C86E1D" w:rsidP="00EF6BFB" w14:paraId="04B38C78" w14:textId="25F969EF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  <w:hideMark/>
          </w:tcPr>
          <w:p w:rsidR="00723E07" w:rsidRPr="00C86E1D" w:rsidP="00EF6BFB" w14:paraId="77208AB1" w14:textId="2239C02E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  <w:hideMark/>
          </w:tcPr>
          <w:p w:rsidR="00723E07" w:rsidRPr="00C86E1D" w:rsidP="00EF6BFB" w14:paraId="3675A3DC" w14:textId="6C61B5BC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123 140</w:t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  <w:hideMark/>
          </w:tcPr>
          <w:p w:rsidR="00723E07" w:rsidRPr="00C86E1D" w:rsidP="00EF6BFB" w14:paraId="5A1BF6A1" w14:textId="7B85EB2C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</w:tr>
      <w:tr w14:paraId="4A625C9F" w14:textId="77777777" w:rsidTr="008E6098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1981" w:type="dxa"/>
            <w:shd w:val="clear" w:color="auto" w:fill="auto"/>
            <w:hideMark/>
          </w:tcPr>
          <w:p w:rsidR="00723E07" w:rsidRPr="00C86E1D" w:rsidP="00EF6BFB" w14:paraId="623C4B70" w14:textId="77777777">
            <w:pPr>
              <w:rPr>
                <w:lang w:eastAsia="en-US"/>
              </w:rPr>
            </w:pPr>
            <w:r w:rsidRPr="00C86E1D">
              <w:rPr>
                <w:lang w:eastAsia="en-US"/>
              </w:rPr>
              <w:t>1.1. valsts pamatbudžets, tai skaitā ieņēmumi no maksas pakalpojumiem un citi pašu ieņēmumi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3E07" w:rsidRPr="00C86E1D" w:rsidP="00EF6BFB" w14:paraId="3E26EE6A" w14:textId="719496ED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723E07" w:rsidRPr="00C86E1D" w:rsidP="00EF6BFB" w14:paraId="76953378" w14:textId="5E7F3A36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82 094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723E07" w:rsidRPr="00C86E1D" w:rsidP="00EF6BFB" w14:paraId="54E47010" w14:textId="3B9C08B0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23E07" w:rsidRPr="00C86E1D" w:rsidP="00EF6BFB" w14:paraId="5AABFE30" w14:textId="6C0609A6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23E07" w:rsidRPr="00C86E1D" w:rsidP="00EF6BFB" w14:paraId="13435241" w14:textId="3EAD0A9C">
            <w:pPr>
              <w:jc w:val="center"/>
              <w:rPr>
                <w:lang w:eastAsia="en-US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23E07" w:rsidRPr="00C86E1D" w:rsidP="00CE45D7" w14:paraId="18B740C9" w14:textId="0F7CCC54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123 140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723E07" w:rsidRPr="00C86E1D" w:rsidP="00EF6BFB" w14:paraId="493D2933" w14:textId="41B77B32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</w:tr>
      <w:tr w14:paraId="77B330AD" w14:textId="77777777" w:rsidTr="008E6098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1981" w:type="dxa"/>
            <w:shd w:val="clear" w:color="auto" w:fill="auto"/>
            <w:hideMark/>
          </w:tcPr>
          <w:p w:rsidR="00723E07" w:rsidRPr="00C86E1D" w:rsidP="00EF6BFB" w14:paraId="3A882A76" w14:textId="77777777">
            <w:pPr>
              <w:rPr>
                <w:lang w:eastAsia="en-US"/>
              </w:rPr>
            </w:pPr>
            <w:r w:rsidRPr="00C86E1D">
              <w:rPr>
                <w:lang w:eastAsia="en-US"/>
              </w:rPr>
              <w:t>1.2. valsts speciālais budžets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23E07" w:rsidRPr="00C86E1D" w:rsidP="00EF6BFB" w14:paraId="14D1BD86" w14:textId="36FE0E59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723E07" w:rsidRPr="00C86E1D" w:rsidP="00EF6BFB" w14:paraId="4D606A30" w14:textId="4B79365C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723E07" w:rsidRPr="00C86E1D" w:rsidP="00EF6BFB" w14:paraId="06D6893C" w14:textId="042752F3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23E07" w:rsidRPr="00C86E1D" w:rsidP="00EF6BFB" w14:paraId="6F5B7572" w14:textId="73A5DA7D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23E07" w:rsidRPr="00C86E1D" w:rsidP="00EF6BFB" w14:paraId="22B58E87" w14:textId="3CBBDFAD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23E07" w:rsidRPr="00C86E1D" w:rsidP="00EF6BFB" w14:paraId="2A298B1D" w14:textId="0E80C9D7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723E07" w:rsidRPr="00C86E1D" w:rsidP="00EF6BFB" w14:paraId="16CAA89C" w14:textId="7DCBF659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</w:tr>
      <w:tr w14:paraId="10F2E789" w14:textId="77777777" w:rsidTr="008E6098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1981" w:type="dxa"/>
            <w:shd w:val="clear" w:color="auto" w:fill="auto"/>
            <w:hideMark/>
          </w:tcPr>
          <w:p w:rsidR="00723E07" w:rsidRPr="00C86E1D" w:rsidP="00EF6BFB" w14:paraId="305F4C0B" w14:textId="77777777">
            <w:pPr>
              <w:rPr>
                <w:lang w:eastAsia="en-US"/>
              </w:rPr>
            </w:pPr>
            <w:r w:rsidRPr="00C86E1D">
              <w:rPr>
                <w:lang w:eastAsia="en-US"/>
              </w:rPr>
              <w:t>1.3. pašvaldību budžets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23E07" w:rsidRPr="00C86E1D" w:rsidP="00EF6BFB" w14:paraId="52F50AC0" w14:textId="14B6ABD8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723E07" w:rsidRPr="00C86E1D" w:rsidP="00EF6BFB" w14:paraId="1DAA4FE7" w14:textId="3EEB4C85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723E07" w:rsidRPr="00C86E1D" w:rsidP="00EF6BFB" w14:paraId="29C816D4" w14:textId="63E355FE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23E07" w:rsidRPr="00C86E1D" w:rsidP="00EF6BFB" w14:paraId="7C20888C" w14:textId="2366DCA6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23E07" w:rsidRPr="00C86E1D" w:rsidP="00EF6BFB" w14:paraId="07235248" w14:textId="3C2B8AF2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23E07" w:rsidRPr="00C86E1D" w:rsidP="00EF6BFB" w14:paraId="71184B87" w14:textId="6D7E3A0E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723E07" w:rsidRPr="00C86E1D" w:rsidP="00EF6BFB" w14:paraId="4C165CCC" w14:textId="1E862A9E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</w:tr>
      <w:tr w14:paraId="26D4E888" w14:textId="77777777" w:rsidTr="008E6098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1981" w:type="dxa"/>
            <w:shd w:val="clear" w:color="auto" w:fill="D9D9D9" w:themeFill="background1" w:themeFillShade="D9"/>
            <w:hideMark/>
          </w:tcPr>
          <w:p w:rsidR="00723E07" w:rsidRPr="00C86E1D" w:rsidP="00EF6BFB" w14:paraId="51A93C0C" w14:textId="77777777">
            <w:pPr>
              <w:rPr>
                <w:lang w:eastAsia="en-US"/>
              </w:rPr>
            </w:pPr>
            <w:r w:rsidRPr="00C86E1D">
              <w:rPr>
                <w:lang w:eastAsia="en-US"/>
              </w:rPr>
              <w:t>2. Budžeta izdevumi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  <w:hideMark/>
          </w:tcPr>
          <w:p w:rsidR="00723E07" w:rsidRPr="00C86E1D" w:rsidP="00EF6BFB" w14:paraId="64718AEC" w14:textId="61865806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982" w:type="dxa"/>
            <w:shd w:val="clear" w:color="auto" w:fill="D9D9D9" w:themeFill="background1" w:themeFillShade="D9"/>
            <w:vAlign w:val="center"/>
            <w:hideMark/>
          </w:tcPr>
          <w:p w:rsidR="00723E07" w:rsidRPr="00C86E1D" w:rsidP="00F36068" w14:paraId="72EB7585" w14:textId="2DABD161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102 617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  <w:hideMark/>
          </w:tcPr>
          <w:p w:rsidR="00723E07" w:rsidRPr="00C86E1D" w:rsidP="00EF6BFB" w14:paraId="4E085DD6" w14:textId="6A4F5FE0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  <w:hideMark/>
          </w:tcPr>
          <w:p w:rsidR="00723E07" w:rsidRPr="00C86E1D" w:rsidP="00EF6BFB" w14:paraId="3204B196" w14:textId="021DF99B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153 926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  <w:hideMark/>
          </w:tcPr>
          <w:p w:rsidR="00723E07" w:rsidRPr="00C86E1D" w:rsidP="00EF6BFB" w14:paraId="791D8EF8" w14:textId="52FD71FE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  <w:hideMark/>
          </w:tcPr>
          <w:p w:rsidR="00723E07" w:rsidRPr="00C86E1D" w:rsidP="00EF6BFB" w14:paraId="7E02CB3B" w14:textId="1C1DA8B9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  <w:hideMark/>
          </w:tcPr>
          <w:p w:rsidR="00723E07" w:rsidRPr="00C86E1D" w:rsidP="00EF6BFB" w14:paraId="4C3BA279" w14:textId="38DE72F6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</w:tr>
      <w:tr w14:paraId="6AABF207" w14:textId="77777777" w:rsidTr="008E6098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1981" w:type="dxa"/>
            <w:shd w:val="clear" w:color="auto" w:fill="auto"/>
            <w:hideMark/>
          </w:tcPr>
          <w:p w:rsidR="00723E07" w:rsidRPr="00C86E1D" w:rsidP="00EF6BFB" w14:paraId="50E96473" w14:textId="77777777">
            <w:pPr>
              <w:rPr>
                <w:lang w:eastAsia="en-US"/>
              </w:rPr>
            </w:pPr>
            <w:r w:rsidRPr="00C86E1D">
              <w:rPr>
                <w:lang w:eastAsia="en-US"/>
              </w:rPr>
              <w:t>2.1. valsts pamatbudžets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23E07" w:rsidRPr="00C86E1D" w:rsidP="00EF6BFB" w14:paraId="24BF6EB7" w14:textId="79EBC9B3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36068" w:rsidRPr="00C86E1D" w:rsidP="00F36068" w14:paraId="5A391C8C" w14:textId="7F9ACC24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 xml:space="preserve">102 617 </w:t>
            </w:r>
          </w:p>
          <w:p w:rsidR="00723E07" w:rsidRPr="00C86E1D" w:rsidP="00EF6BFB" w14:paraId="5F071B46" w14:textId="3B6D2C73">
            <w:pPr>
              <w:jc w:val="center"/>
              <w:rPr>
                <w:lang w:eastAsia="en-US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723E07" w:rsidRPr="00C86E1D" w:rsidP="00EF6BFB" w14:paraId="2EAE407F" w14:textId="5210065B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23E07" w:rsidRPr="00C86E1D" w:rsidP="00EF6BFB" w14:paraId="6DED0979" w14:textId="4BD0A115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153 926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23E07" w:rsidRPr="00C86E1D" w:rsidP="00EF6BFB" w14:paraId="39914FC8" w14:textId="1DC07C2C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23E07" w:rsidRPr="00C86E1D" w:rsidP="00EF6BFB" w14:paraId="16AE89FE" w14:textId="7C6859C8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723E07" w:rsidRPr="00C86E1D" w:rsidP="00EF6BFB" w14:paraId="40F0A30D" w14:textId="4A493788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</w:tr>
      <w:tr w14:paraId="092461FC" w14:textId="77777777" w:rsidTr="008E6098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1981" w:type="dxa"/>
            <w:shd w:val="clear" w:color="auto" w:fill="auto"/>
            <w:hideMark/>
          </w:tcPr>
          <w:p w:rsidR="00723E07" w:rsidRPr="00C86E1D" w:rsidP="00EF6BFB" w14:paraId="6170DB3F" w14:textId="77777777">
            <w:pPr>
              <w:rPr>
                <w:lang w:eastAsia="en-US"/>
              </w:rPr>
            </w:pPr>
            <w:r w:rsidRPr="00C86E1D">
              <w:rPr>
                <w:lang w:eastAsia="en-US"/>
              </w:rPr>
              <w:t>2.2. valsts speciālais budžets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23E07" w:rsidRPr="00C86E1D" w:rsidP="00EF6BFB" w14:paraId="4197DE85" w14:textId="75E42934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723E07" w:rsidRPr="00C86E1D" w:rsidP="00EF6BFB" w14:paraId="7A407DF6" w14:textId="4D0DB710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723E07" w:rsidRPr="00C86E1D" w:rsidP="00EF6BFB" w14:paraId="172D4AEB" w14:textId="2234AE5E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23E07" w:rsidRPr="00C86E1D" w:rsidP="00EF6BFB" w14:paraId="3F9FD949" w14:textId="5A11FF8C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23E07" w:rsidRPr="00C86E1D" w:rsidP="00EF6BFB" w14:paraId="725F9D08" w14:textId="7F858EEC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23E07" w:rsidRPr="00C86E1D" w:rsidP="00EF6BFB" w14:paraId="5918421A" w14:textId="41C8F79C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723E07" w:rsidRPr="00C86E1D" w:rsidP="00EF6BFB" w14:paraId="12ACC593" w14:textId="55CFE985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</w:tr>
      <w:tr w14:paraId="489899C9" w14:textId="77777777" w:rsidTr="008E6098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1981" w:type="dxa"/>
            <w:shd w:val="clear" w:color="auto" w:fill="auto"/>
            <w:hideMark/>
          </w:tcPr>
          <w:p w:rsidR="00723E07" w:rsidRPr="00C86E1D" w:rsidP="00EF6BFB" w14:paraId="53CFC242" w14:textId="77777777">
            <w:pPr>
              <w:rPr>
                <w:lang w:eastAsia="en-US"/>
              </w:rPr>
            </w:pPr>
            <w:r w:rsidRPr="00C86E1D">
              <w:rPr>
                <w:lang w:eastAsia="en-US"/>
              </w:rPr>
              <w:t>2.3. pašvaldību budžets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23E07" w:rsidRPr="00C86E1D" w:rsidP="00EF6BFB" w14:paraId="645C4347" w14:textId="243E88F5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723E07" w:rsidRPr="00C86E1D" w:rsidP="00EF6BFB" w14:paraId="428DEAD0" w14:textId="0E18D93A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723E07" w:rsidRPr="00C86E1D" w:rsidP="00EF6BFB" w14:paraId="5975F63E" w14:textId="6A523EB7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23E07" w:rsidRPr="00C86E1D" w:rsidP="00EF6BFB" w14:paraId="1D7489B5" w14:textId="703CD89B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23E07" w:rsidRPr="00C86E1D" w:rsidP="00EF6BFB" w14:paraId="1AD3AEC9" w14:textId="694EA240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23E07" w:rsidRPr="00C86E1D" w:rsidP="00EF6BFB" w14:paraId="45E51A2E" w14:textId="08B35954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723E07" w:rsidRPr="00C86E1D" w:rsidP="00EF6BFB" w14:paraId="012A234B" w14:textId="6376AA74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</w:tr>
      <w:tr w14:paraId="439CDAD1" w14:textId="77777777" w:rsidTr="008E6098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1981" w:type="dxa"/>
            <w:shd w:val="clear" w:color="auto" w:fill="D9D9D9" w:themeFill="background1" w:themeFillShade="D9"/>
            <w:hideMark/>
          </w:tcPr>
          <w:p w:rsidR="00723E07" w:rsidRPr="00C86E1D" w:rsidP="00EF6BFB" w14:paraId="21508DF0" w14:textId="77777777">
            <w:pPr>
              <w:rPr>
                <w:lang w:eastAsia="en-US"/>
              </w:rPr>
            </w:pPr>
            <w:r w:rsidRPr="00C86E1D">
              <w:rPr>
                <w:lang w:eastAsia="en-US"/>
              </w:rPr>
              <w:t>3. Finansiālā ietekme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  <w:hideMark/>
          </w:tcPr>
          <w:p w:rsidR="00723E07" w:rsidRPr="00C86E1D" w:rsidP="00EF6BFB" w14:paraId="2A61EDEE" w14:textId="7ED54590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982" w:type="dxa"/>
            <w:shd w:val="clear" w:color="auto" w:fill="D9D9D9" w:themeFill="background1" w:themeFillShade="D9"/>
            <w:vAlign w:val="center"/>
            <w:hideMark/>
          </w:tcPr>
          <w:p w:rsidR="00723E07" w:rsidRPr="00C86E1D" w:rsidP="00EF6BFB" w14:paraId="09F190B7" w14:textId="56DA94A8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-20 523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  <w:hideMark/>
          </w:tcPr>
          <w:p w:rsidR="00723E07" w:rsidRPr="00C86E1D" w:rsidP="00EF6BFB" w14:paraId="13497A60" w14:textId="1A85C7BA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  <w:hideMark/>
          </w:tcPr>
          <w:p w:rsidR="00723E07" w:rsidRPr="00C86E1D" w:rsidP="00EF6BFB" w14:paraId="04E869B4" w14:textId="194BE41E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-153 926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  <w:hideMark/>
          </w:tcPr>
          <w:p w:rsidR="00723E07" w:rsidRPr="00C86E1D" w:rsidP="00EF6BFB" w14:paraId="632BD40A" w14:textId="0F7B198F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  <w:hideMark/>
          </w:tcPr>
          <w:p w:rsidR="00723E07" w:rsidRPr="00C86E1D" w:rsidP="00EF6BFB" w14:paraId="23725F92" w14:textId="5A761428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+123 140</w:t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  <w:hideMark/>
          </w:tcPr>
          <w:p w:rsidR="00723E07" w:rsidRPr="00C86E1D" w:rsidP="00EF6BFB" w14:paraId="75C93901" w14:textId="7EF03192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</w:tr>
      <w:tr w14:paraId="6AD58B85" w14:textId="77777777" w:rsidTr="008E6098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1981" w:type="dxa"/>
            <w:shd w:val="clear" w:color="auto" w:fill="auto"/>
            <w:hideMark/>
          </w:tcPr>
          <w:p w:rsidR="00723E07" w:rsidRPr="00C86E1D" w:rsidP="00EF6BFB" w14:paraId="73835CB7" w14:textId="77777777">
            <w:pPr>
              <w:rPr>
                <w:lang w:eastAsia="en-US"/>
              </w:rPr>
            </w:pPr>
            <w:r w:rsidRPr="00C86E1D">
              <w:rPr>
                <w:lang w:eastAsia="en-US"/>
              </w:rPr>
              <w:t>3.1. valsts pamatbudžets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23E07" w:rsidRPr="00C86E1D" w:rsidP="00EF6BFB" w14:paraId="1188BBB0" w14:textId="5FAAB595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723E07" w:rsidRPr="00C86E1D" w:rsidP="00F36068" w14:paraId="4595154C" w14:textId="62B48AB5">
            <w:pPr>
              <w:rPr>
                <w:lang w:eastAsia="en-US"/>
              </w:rPr>
            </w:pPr>
            <w:r w:rsidRPr="00C86E1D">
              <w:rPr>
                <w:lang w:eastAsia="en-US"/>
              </w:rPr>
              <w:t>- 20 523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723E07" w:rsidRPr="00C86E1D" w:rsidP="00EF6BFB" w14:paraId="035ECD98" w14:textId="433A3093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23E07" w:rsidRPr="00C86E1D" w:rsidP="00EF6BFB" w14:paraId="6701F08C" w14:textId="303F409B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-153 926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23E07" w:rsidRPr="00C86E1D" w:rsidP="00EF6BFB" w14:paraId="50760AC4" w14:textId="059E3E59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23E07" w:rsidRPr="00C86E1D" w:rsidP="00EF6BFB" w14:paraId="5B87EE39" w14:textId="4F944E87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+123 140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723E07" w:rsidRPr="00C86E1D" w:rsidP="00EF6BFB" w14:paraId="08CAE590" w14:textId="07956557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</w:tr>
      <w:tr w14:paraId="6589A579" w14:textId="77777777" w:rsidTr="008E6098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1981" w:type="dxa"/>
            <w:shd w:val="clear" w:color="auto" w:fill="auto"/>
            <w:hideMark/>
          </w:tcPr>
          <w:p w:rsidR="00723E07" w:rsidRPr="00C86E1D" w:rsidP="00EF6BFB" w14:paraId="1D564EBA" w14:textId="77777777">
            <w:pPr>
              <w:rPr>
                <w:lang w:eastAsia="en-US"/>
              </w:rPr>
            </w:pPr>
            <w:r w:rsidRPr="00C86E1D">
              <w:rPr>
                <w:lang w:eastAsia="en-US"/>
              </w:rPr>
              <w:t>3.2. speciālais budžets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23E07" w:rsidRPr="00C86E1D" w:rsidP="00EF6BFB" w14:paraId="1316EE25" w14:textId="095D7B59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723E07" w:rsidRPr="00C86E1D" w:rsidP="00EF6BFB" w14:paraId="71BABA3C" w14:textId="6251B669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723E07" w:rsidRPr="00C86E1D" w:rsidP="00EF6BFB" w14:paraId="238783DD" w14:textId="73CFB302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23E07" w:rsidRPr="00C86E1D" w:rsidP="00EF6BFB" w14:paraId="20DA76B3" w14:textId="02133DE7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23E07" w:rsidRPr="00C86E1D" w:rsidP="00EF6BFB" w14:paraId="78087A74" w14:textId="373A893B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23E07" w:rsidRPr="00C86E1D" w:rsidP="00EF6BFB" w14:paraId="784EB4A4" w14:textId="5BAF6CC2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723E07" w:rsidRPr="00C86E1D" w:rsidP="00EF6BFB" w14:paraId="7E74E532" w14:textId="73EC3487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</w:tr>
      <w:tr w14:paraId="14800D22" w14:textId="77777777" w:rsidTr="008E6098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1981" w:type="dxa"/>
            <w:shd w:val="clear" w:color="auto" w:fill="auto"/>
            <w:hideMark/>
          </w:tcPr>
          <w:p w:rsidR="00723E07" w:rsidRPr="00C86E1D" w:rsidP="00EF6BFB" w14:paraId="6C9E0BF7" w14:textId="77777777">
            <w:pPr>
              <w:rPr>
                <w:lang w:eastAsia="en-US"/>
              </w:rPr>
            </w:pPr>
            <w:r w:rsidRPr="00C86E1D">
              <w:rPr>
                <w:lang w:eastAsia="en-US"/>
              </w:rPr>
              <w:t>3.3. pašvaldību budžets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23E07" w:rsidRPr="00C86E1D" w:rsidP="00EF6BFB" w14:paraId="063DE9FC" w14:textId="47A80804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723E07" w:rsidRPr="00C86E1D" w:rsidP="00EF6BFB" w14:paraId="104627B7" w14:textId="14486DBA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723E07" w:rsidRPr="00C86E1D" w:rsidP="00EF6BFB" w14:paraId="6E6E4FAD" w14:textId="39A63E1B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23E07" w:rsidRPr="00C86E1D" w:rsidP="00EF6BFB" w14:paraId="18F38288" w14:textId="39A95ADD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23E07" w:rsidRPr="00C86E1D" w:rsidP="00EF6BFB" w14:paraId="50E3576C" w14:textId="310FADF2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23E07" w:rsidRPr="00C86E1D" w:rsidP="00EF6BFB" w14:paraId="3C9DB708" w14:textId="4190F8B4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723E07" w:rsidRPr="00C86E1D" w:rsidP="00EF6BFB" w14:paraId="09837DDC" w14:textId="71A1D86C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</w:tr>
      <w:tr w14:paraId="51C4A345" w14:textId="77777777" w:rsidTr="008E6098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1981" w:type="dxa"/>
            <w:shd w:val="clear" w:color="auto" w:fill="D9D9D9" w:themeFill="background1" w:themeFillShade="D9"/>
            <w:hideMark/>
          </w:tcPr>
          <w:p w:rsidR="001B61B8" w:rsidRPr="00C86E1D" w:rsidP="00EF6BFB" w14:paraId="0F848B46" w14:textId="77777777">
            <w:pPr>
              <w:rPr>
                <w:lang w:eastAsia="en-US"/>
              </w:rPr>
            </w:pPr>
            <w:r w:rsidRPr="00C86E1D">
              <w:rPr>
                <w:lang w:eastAsia="en-US"/>
              </w:rPr>
              <w:t>4. Finanšu līdzekļi papildu izdevumu finansēšanai (kompensējošu izdevumu samazinājumu norāda ar "+" zīmi)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  <w:hideMark/>
          </w:tcPr>
          <w:p w:rsidR="001B61B8" w:rsidRPr="00C86E1D" w:rsidP="00EF6BFB" w14:paraId="6ADFBF90" w14:textId="77777777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982" w:type="dxa"/>
            <w:shd w:val="clear" w:color="auto" w:fill="D9D9D9" w:themeFill="background1" w:themeFillShade="D9"/>
            <w:vAlign w:val="center"/>
            <w:hideMark/>
          </w:tcPr>
          <w:p w:rsidR="001B61B8" w:rsidRPr="00C86E1D" w:rsidP="00EF6BFB" w14:paraId="24C4EDED" w14:textId="77777777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  <w:hideMark/>
          </w:tcPr>
          <w:p w:rsidR="001B61B8" w:rsidRPr="00C86E1D" w:rsidP="00EF6BFB" w14:paraId="31E86541" w14:textId="77777777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  <w:hideMark/>
          </w:tcPr>
          <w:p w:rsidR="001B61B8" w:rsidRPr="00C86E1D" w:rsidP="00EF6BFB" w14:paraId="3B814561" w14:textId="77777777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  <w:hideMark/>
          </w:tcPr>
          <w:p w:rsidR="001B61B8" w:rsidRPr="00C86E1D" w:rsidP="00EF6BFB" w14:paraId="694F811D" w14:textId="77777777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  <w:hideMark/>
          </w:tcPr>
          <w:p w:rsidR="001B61B8" w:rsidRPr="00C86E1D" w:rsidP="00EF6BFB" w14:paraId="2A191E70" w14:textId="77777777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  <w:hideMark/>
          </w:tcPr>
          <w:p w:rsidR="001B61B8" w:rsidRPr="00C86E1D" w:rsidP="00EF6BFB" w14:paraId="20B16D8E" w14:textId="77777777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</w:tr>
      <w:tr w14:paraId="3AFF44FF" w14:textId="77777777" w:rsidTr="008E6098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1981" w:type="dxa"/>
            <w:shd w:val="clear" w:color="auto" w:fill="auto"/>
            <w:hideMark/>
          </w:tcPr>
          <w:p w:rsidR="00723E07" w:rsidRPr="00C86E1D" w:rsidP="00EF6BFB" w14:paraId="7FB8813A" w14:textId="77777777">
            <w:pPr>
              <w:rPr>
                <w:lang w:eastAsia="en-US"/>
              </w:rPr>
            </w:pPr>
            <w:r w:rsidRPr="00C86E1D">
              <w:rPr>
                <w:lang w:eastAsia="en-US"/>
              </w:rPr>
              <w:t>5. Precizēta finansiālā ietekme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723E07" w:rsidRPr="00C86E1D" w:rsidP="001B61B8" w14:paraId="555041AA" w14:textId="68F88890">
            <w:pPr>
              <w:jc w:val="center"/>
              <w:rPr>
                <w:lang w:eastAsia="en-US"/>
              </w:rPr>
            </w:pPr>
            <w:r w:rsidRPr="00C86E1D">
              <w:rPr>
                <w:szCs w:val="20"/>
                <w:lang w:eastAsia="en-US"/>
              </w:rPr>
              <w:t>0</w:t>
            </w:r>
          </w:p>
          <w:p w:rsidR="00723E07" w:rsidRPr="00C86E1D" w:rsidP="001B61B8" w14:paraId="6442953D" w14:textId="554EEC68">
            <w:pPr>
              <w:jc w:val="center"/>
              <w:rPr>
                <w:lang w:eastAsia="en-US"/>
              </w:rPr>
            </w:pP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723E07" w:rsidRPr="00C86E1D" w:rsidP="00EF6BFB" w14:paraId="69643912" w14:textId="219BFAB8">
            <w:pPr>
              <w:jc w:val="center"/>
              <w:rPr>
                <w:lang w:eastAsia="en-US"/>
              </w:rPr>
            </w:pPr>
            <w:r w:rsidRPr="00C86E1D">
              <w:rPr>
                <w:szCs w:val="20"/>
                <w:lang w:eastAsia="en-US"/>
              </w:rPr>
              <w:t>-20 523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:rsidR="00723E07" w:rsidRPr="00C86E1D" w:rsidP="001B61B8" w14:paraId="1EA4DC13" w14:textId="77EE28BA">
            <w:pPr>
              <w:jc w:val="center"/>
              <w:rPr>
                <w:lang w:eastAsia="en-US"/>
              </w:rPr>
            </w:pPr>
            <w:r w:rsidRPr="00C86E1D">
              <w:rPr>
                <w:szCs w:val="20"/>
                <w:lang w:eastAsia="en-US"/>
              </w:rPr>
              <w:t>0</w:t>
            </w:r>
          </w:p>
          <w:p w:rsidR="00723E07" w:rsidRPr="00C86E1D" w:rsidP="001B61B8" w14:paraId="44EE67AB" w14:textId="4FD03429">
            <w:pPr>
              <w:jc w:val="center"/>
              <w:rPr>
                <w:lang w:eastAsia="en-US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23E07" w:rsidRPr="00C86E1D" w:rsidP="00EF6BFB" w14:paraId="090BD5D4" w14:textId="069D5724">
            <w:pPr>
              <w:jc w:val="center"/>
              <w:rPr>
                <w:lang w:eastAsia="en-US"/>
              </w:rPr>
            </w:pPr>
            <w:r w:rsidRPr="00C86E1D">
              <w:rPr>
                <w:szCs w:val="20"/>
                <w:lang w:eastAsia="en-US"/>
              </w:rPr>
              <w:t>-153 926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  <w:hideMark/>
          </w:tcPr>
          <w:p w:rsidR="00723E07" w:rsidRPr="00C86E1D" w:rsidP="001B61B8" w14:paraId="11DEA25D" w14:textId="5D24C563">
            <w:pPr>
              <w:jc w:val="center"/>
              <w:rPr>
                <w:lang w:eastAsia="en-US"/>
              </w:rPr>
            </w:pPr>
            <w:r w:rsidRPr="00C86E1D">
              <w:rPr>
                <w:szCs w:val="20"/>
                <w:lang w:eastAsia="en-US"/>
              </w:rPr>
              <w:t>0</w:t>
            </w:r>
          </w:p>
          <w:p w:rsidR="00723E07" w:rsidRPr="00C86E1D" w:rsidP="001B61B8" w14:paraId="2616DD2A" w14:textId="016DF5B2">
            <w:pPr>
              <w:jc w:val="center"/>
              <w:rPr>
                <w:lang w:eastAsia="en-US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23E07" w:rsidRPr="00C86E1D" w:rsidP="00EF6BFB" w14:paraId="562F621B" w14:textId="66B5417A">
            <w:pPr>
              <w:jc w:val="center"/>
              <w:rPr>
                <w:lang w:eastAsia="en-US"/>
              </w:rPr>
            </w:pPr>
            <w:r w:rsidRPr="00C86E1D">
              <w:rPr>
                <w:szCs w:val="20"/>
                <w:lang w:eastAsia="en-US"/>
              </w:rPr>
              <w:t>+123 140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723E07" w:rsidRPr="00C86E1D" w:rsidP="00EF6BFB" w14:paraId="72D39B71" w14:textId="529DCF58">
            <w:pPr>
              <w:jc w:val="center"/>
              <w:rPr>
                <w:lang w:eastAsia="en-US"/>
              </w:rPr>
            </w:pPr>
            <w:r w:rsidRPr="00C86E1D">
              <w:rPr>
                <w:szCs w:val="20"/>
                <w:lang w:eastAsia="en-US"/>
              </w:rPr>
              <w:t>0</w:t>
            </w:r>
          </w:p>
        </w:tc>
      </w:tr>
      <w:tr w14:paraId="13E43201" w14:textId="77777777" w:rsidTr="008E6098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1981" w:type="dxa"/>
            <w:shd w:val="clear" w:color="auto" w:fill="auto"/>
            <w:hideMark/>
          </w:tcPr>
          <w:p w:rsidR="00723E07" w:rsidRPr="00C86E1D" w:rsidP="00EF6BFB" w14:paraId="6E06C9B8" w14:textId="77777777">
            <w:pPr>
              <w:rPr>
                <w:lang w:eastAsia="en-US"/>
              </w:rPr>
            </w:pPr>
            <w:r w:rsidRPr="00C86E1D">
              <w:rPr>
                <w:lang w:eastAsia="en-US"/>
              </w:rPr>
              <w:t>5.1. valsts pamatbudžets</w:t>
            </w:r>
          </w:p>
        </w:tc>
        <w:tc>
          <w:tcPr>
            <w:tcW w:w="983" w:type="dxa"/>
            <w:vMerge/>
            <w:shd w:val="clear" w:color="auto" w:fill="auto"/>
            <w:vAlign w:val="center"/>
            <w:hideMark/>
          </w:tcPr>
          <w:p w:rsidR="00723E07" w:rsidRPr="00C86E1D" w:rsidP="00EF6BFB" w14:paraId="157584F1" w14:textId="77777777">
            <w:pPr>
              <w:jc w:val="center"/>
              <w:rPr>
                <w:lang w:eastAsia="en-US"/>
              </w:rPr>
            </w:pP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723E07" w:rsidRPr="00C86E1D" w:rsidP="00EF6BFB" w14:paraId="5879D702" w14:textId="0B283DA3">
            <w:pPr>
              <w:jc w:val="center"/>
              <w:rPr>
                <w:lang w:eastAsia="en-US"/>
              </w:rPr>
            </w:pPr>
            <w:r w:rsidRPr="00C86E1D">
              <w:rPr>
                <w:szCs w:val="20"/>
                <w:lang w:eastAsia="en-US"/>
              </w:rPr>
              <w:t>-20 523</w:t>
            </w:r>
          </w:p>
        </w:tc>
        <w:tc>
          <w:tcPr>
            <w:tcW w:w="861" w:type="dxa"/>
            <w:vMerge/>
            <w:shd w:val="clear" w:color="auto" w:fill="auto"/>
            <w:vAlign w:val="center"/>
            <w:hideMark/>
          </w:tcPr>
          <w:p w:rsidR="00723E07" w:rsidRPr="00C86E1D" w:rsidP="00EF6BFB" w14:paraId="553A502D" w14:textId="77777777">
            <w:pPr>
              <w:jc w:val="center"/>
              <w:rPr>
                <w:lang w:eastAsia="en-US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23E07" w:rsidRPr="00C86E1D" w:rsidP="00EF6BFB" w14:paraId="3922B021" w14:textId="21D14173">
            <w:pPr>
              <w:jc w:val="center"/>
              <w:rPr>
                <w:lang w:eastAsia="en-US"/>
              </w:rPr>
            </w:pPr>
            <w:r w:rsidRPr="00C86E1D">
              <w:rPr>
                <w:szCs w:val="20"/>
                <w:lang w:eastAsia="en-US"/>
              </w:rPr>
              <w:t>-153 926</w:t>
            </w:r>
          </w:p>
        </w:tc>
        <w:tc>
          <w:tcPr>
            <w:tcW w:w="860" w:type="dxa"/>
            <w:vMerge/>
            <w:shd w:val="clear" w:color="auto" w:fill="auto"/>
            <w:vAlign w:val="center"/>
            <w:hideMark/>
          </w:tcPr>
          <w:p w:rsidR="00723E07" w:rsidRPr="00C86E1D" w:rsidP="00EF6BFB" w14:paraId="02CBBD68" w14:textId="77777777">
            <w:pPr>
              <w:jc w:val="center"/>
              <w:rPr>
                <w:lang w:eastAsia="en-US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23E07" w:rsidRPr="00C86E1D" w:rsidP="00EF6BFB" w14:paraId="5D2DE2F8" w14:textId="73C8AB32">
            <w:pPr>
              <w:jc w:val="center"/>
              <w:rPr>
                <w:lang w:eastAsia="en-US"/>
              </w:rPr>
            </w:pPr>
            <w:r w:rsidRPr="00C86E1D">
              <w:rPr>
                <w:szCs w:val="20"/>
                <w:lang w:eastAsia="en-US"/>
              </w:rPr>
              <w:t>+123 140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723E07" w:rsidRPr="00C86E1D" w:rsidP="00EF6BFB" w14:paraId="44693A09" w14:textId="745C95DF">
            <w:pPr>
              <w:jc w:val="center"/>
              <w:rPr>
                <w:lang w:eastAsia="en-US"/>
              </w:rPr>
            </w:pPr>
            <w:r w:rsidRPr="00C86E1D">
              <w:rPr>
                <w:szCs w:val="20"/>
                <w:lang w:eastAsia="en-US"/>
              </w:rPr>
              <w:t>0</w:t>
            </w:r>
          </w:p>
        </w:tc>
      </w:tr>
      <w:tr w14:paraId="422C5652" w14:textId="77777777" w:rsidTr="008E6098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1981" w:type="dxa"/>
            <w:shd w:val="clear" w:color="auto" w:fill="auto"/>
            <w:hideMark/>
          </w:tcPr>
          <w:p w:rsidR="00723E07" w:rsidRPr="00C86E1D" w:rsidP="00EF6BFB" w14:paraId="345F15D3" w14:textId="77777777">
            <w:pPr>
              <w:rPr>
                <w:lang w:eastAsia="en-US"/>
              </w:rPr>
            </w:pPr>
            <w:r w:rsidRPr="00C86E1D">
              <w:rPr>
                <w:lang w:eastAsia="en-US"/>
              </w:rPr>
              <w:t>5.2. speciālais budžets</w:t>
            </w:r>
          </w:p>
        </w:tc>
        <w:tc>
          <w:tcPr>
            <w:tcW w:w="983" w:type="dxa"/>
            <w:vMerge/>
            <w:shd w:val="clear" w:color="auto" w:fill="auto"/>
            <w:vAlign w:val="center"/>
            <w:hideMark/>
          </w:tcPr>
          <w:p w:rsidR="00723E07" w:rsidRPr="00C86E1D" w:rsidP="00EF6BFB" w14:paraId="3ED501BD" w14:textId="77777777">
            <w:pPr>
              <w:jc w:val="center"/>
              <w:rPr>
                <w:lang w:eastAsia="en-US"/>
              </w:rPr>
            </w:pP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723E07" w:rsidRPr="00C86E1D" w:rsidP="00EF6BFB" w14:paraId="0CB09172" w14:textId="1EEE7DD5">
            <w:pPr>
              <w:jc w:val="center"/>
              <w:rPr>
                <w:lang w:eastAsia="en-US"/>
              </w:rPr>
            </w:pPr>
            <w:r w:rsidRPr="00C86E1D">
              <w:rPr>
                <w:szCs w:val="20"/>
                <w:lang w:eastAsia="en-US"/>
              </w:rPr>
              <w:t>0</w:t>
            </w:r>
          </w:p>
        </w:tc>
        <w:tc>
          <w:tcPr>
            <w:tcW w:w="861" w:type="dxa"/>
            <w:vMerge/>
            <w:shd w:val="clear" w:color="auto" w:fill="auto"/>
            <w:vAlign w:val="center"/>
            <w:hideMark/>
          </w:tcPr>
          <w:p w:rsidR="00723E07" w:rsidRPr="00C86E1D" w:rsidP="00EF6BFB" w14:paraId="6CC87776" w14:textId="77777777">
            <w:pPr>
              <w:jc w:val="center"/>
              <w:rPr>
                <w:lang w:eastAsia="en-US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23E07" w:rsidRPr="00C86E1D" w:rsidP="00EF6BFB" w14:paraId="619BDAC8" w14:textId="3E5E048F">
            <w:pPr>
              <w:jc w:val="center"/>
              <w:rPr>
                <w:lang w:eastAsia="en-US"/>
              </w:rPr>
            </w:pPr>
            <w:r w:rsidRPr="00C86E1D">
              <w:rPr>
                <w:szCs w:val="20"/>
                <w:lang w:eastAsia="en-US"/>
              </w:rPr>
              <w:t>0</w:t>
            </w:r>
          </w:p>
        </w:tc>
        <w:tc>
          <w:tcPr>
            <w:tcW w:w="860" w:type="dxa"/>
            <w:vMerge/>
            <w:shd w:val="clear" w:color="auto" w:fill="auto"/>
            <w:vAlign w:val="center"/>
            <w:hideMark/>
          </w:tcPr>
          <w:p w:rsidR="00723E07" w:rsidRPr="00C86E1D" w:rsidP="00EF6BFB" w14:paraId="332520AB" w14:textId="77777777">
            <w:pPr>
              <w:jc w:val="center"/>
              <w:rPr>
                <w:lang w:eastAsia="en-US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23E07" w:rsidRPr="00C86E1D" w:rsidP="00EF6BFB" w14:paraId="32631D2F" w14:textId="37E1B3EC">
            <w:pPr>
              <w:jc w:val="center"/>
              <w:rPr>
                <w:lang w:eastAsia="en-US"/>
              </w:rPr>
            </w:pPr>
            <w:r w:rsidRPr="00C86E1D">
              <w:rPr>
                <w:szCs w:val="20"/>
                <w:lang w:eastAsia="en-US"/>
              </w:rPr>
              <w:t>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723E07" w:rsidRPr="00C86E1D" w:rsidP="00EF6BFB" w14:paraId="1F635E7B" w14:textId="68C033A2">
            <w:pPr>
              <w:jc w:val="center"/>
              <w:rPr>
                <w:lang w:eastAsia="en-US"/>
              </w:rPr>
            </w:pPr>
            <w:r w:rsidRPr="00C86E1D">
              <w:rPr>
                <w:szCs w:val="20"/>
                <w:lang w:eastAsia="en-US"/>
              </w:rPr>
              <w:t>0</w:t>
            </w:r>
          </w:p>
        </w:tc>
      </w:tr>
      <w:tr w14:paraId="1B5EDE8E" w14:textId="77777777" w:rsidTr="008E6098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1981" w:type="dxa"/>
            <w:shd w:val="clear" w:color="auto" w:fill="auto"/>
            <w:hideMark/>
          </w:tcPr>
          <w:p w:rsidR="00723E07" w:rsidRPr="00C86E1D" w:rsidP="00EF6BFB" w14:paraId="39F86620" w14:textId="77777777">
            <w:pPr>
              <w:rPr>
                <w:lang w:eastAsia="en-US"/>
              </w:rPr>
            </w:pPr>
            <w:r w:rsidRPr="00C86E1D">
              <w:rPr>
                <w:lang w:eastAsia="en-US"/>
              </w:rPr>
              <w:t>5.3. pašvaldību budžets</w:t>
            </w:r>
          </w:p>
        </w:tc>
        <w:tc>
          <w:tcPr>
            <w:tcW w:w="983" w:type="dxa"/>
            <w:vMerge/>
            <w:shd w:val="clear" w:color="auto" w:fill="auto"/>
            <w:vAlign w:val="center"/>
            <w:hideMark/>
          </w:tcPr>
          <w:p w:rsidR="00723E07" w:rsidRPr="00C86E1D" w:rsidP="00EF6BFB" w14:paraId="0972A767" w14:textId="77777777">
            <w:pPr>
              <w:jc w:val="center"/>
              <w:rPr>
                <w:lang w:eastAsia="en-US"/>
              </w:rPr>
            </w:pP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723E07" w:rsidRPr="00C86E1D" w:rsidP="00EF6BFB" w14:paraId="0E8CE2BA" w14:textId="3261A8C7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861" w:type="dxa"/>
            <w:vMerge/>
            <w:shd w:val="clear" w:color="auto" w:fill="auto"/>
            <w:vAlign w:val="center"/>
            <w:hideMark/>
          </w:tcPr>
          <w:p w:rsidR="00723E07" w:rsidRPr="00C86E1D" w:rsidP="00EF6BFB" w14:paraId="4DE2B7E9" w14:textId="77777777">
            <w:pPr>
              <w:jc w:val="center"/>
              <w:rPr>
                <w:lang w:eastAsia="en-US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23E07" w:rsidRPr="00C86E1D" w:rsidP="00EF6BFB" w14:paraId="0DB64448" w14:textId="4FD20262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860" w:type="dxa"/>
            <w:vMerge/>
            <w:shd w:val="clear" w:color="auto" w:fill="auto"/>
            <w:vAlign w:val="center"/>
            <w:hideMark/>
          </w:tcPr>
          <w:p w:rsidR="00723E07" w:rsidRPr="00C86E1D" w:rsidP="00EF6BFB" w14:paraId="24664172" w14:textId="77777777">
            <w:pPr>
              <w:jc w:val="center"/>
              <w:rPr>
                <w:lang w:eastAsia="en-US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23E07" w:rsidRPr="00C86E1D" w:rsidP="00EF6BFB" w14:paraId="01E96A3D" w14:textId="41A98283">
            <w:pPr>
              <w:jc w:val="center"/>
              <w:rPr>
                <w:lang w:eastAsia="en-US"/>
              </w:rPr>
            </w:pPr>
            <w:r w:rsidRPr="00C86E1D">
              <w:rPr>
                <w:lang w:eastAsia="en-US"/>
              </w:rPr>
              <w:t>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723E07" w:rsidRPr="00C86E1D" w:rsidP="00EF6BFB" w14:paraId="729D65FF" w14:textId="1A99B5D7">
            <w:pPr>
              <w:jc w:val="center"/>
              <w:rPr>
                <w:lang w:eastAsia="en-US"/>
              </w:rPr>
            </w:pPr>
            <w:r w:rsidRPr="00C86E1D">
              <w:rPr>
                <w:szCs w:val="20"/>
                <w:lang w:eastAsia="en-US"/>
              </w:rPr>
              <w:t>0</w:t>
            </w:r>
          </w:p>
        </w:tc>
      </w:tr>
      <w:tr w14:paraId="72F658EE" w14:textId="77777777" w:rsidTr="008E6098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1981" w:type="dxa"/>
            <w:shd w:val="clear" w:color="auto" w:fill="auto"/>
            <w:hideMark/>
          </w:tcPr>
          <w:p w:rsidR="001B61B8" w:rsidRPr="00C86E1D" w:rsidP="00EF6BFB" w14:paraId="218C9BD2" w14:textId="77777777">
            <w:pPr>
              <w:rPr>
                <w:lang w:eastAsia="en-US"/>
              </w:rPr>
            </w:pPr>
            <w:r w:rsidRPr="00C86E1D">
              <w:rPr>
                <w:lang w:eastAsia="en-US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6318" w:type="dxa"/>
            <w:gridSpan w:val="7"/>
            <w:vMerge w:val="restart"/>
            <w:shd w:val="clear" w:color="auto" w:fill="auto"/>
            <w:hideMark/>
          </w:tcPr>
          <w:p w:rsidR="00723E07" w:rsidRPr="00C86E1D" w:rsidP="00723E07" w14:paraId="74787C3C" w14:textId="46F1E2A8">
            <w:pPr>
              <w:pStyle w:val="ListParagraph"/>
              <w:spacing w:after="120"/>
              <w:ind w:left="0"/>
              <w:jc w:val="both"/>
              <w:rPr>
                <w:szCs w:val="20"/>
              </w:rPr>
            </w:pPr>
            <w:r w:rsidRPr="00C86E1D">
              <w:rPr>
                <w:szCs w:val="20"/>
              </w:rPr>
              <w:t xml:space="preserve">Saskaņā </w:t>
            </w:r>
            <w:r w:rsidRPr="00C86E1D" w:rsidR="00551778">
              <w:rPr>
                <w:szCs w:val="20"/>
              </w:rPr>
              <w:t>ar P</w:t>
            </w:r>
            <w:r w:rsidRPr="00C86E1D">
              <w:rPr>
                <w:szCs w:val="20"/>
              </w:rPr>
              <w:t xml:space="preserve">rojekta Granta līguma nosacījumiem VARAM kā </w:t>
            </w:r>
            <w:r w:rsidRPr="00C86E1D" w:rsidR="00C06A94">
              <w:rPr>
                <w:szCs w:val="20"/>
              </w:rPr>
              <w:t>P</w:t>
            </w:r>
            <w:r w:rsidRPr="00C86E1D">
              <w:rPr>
                <w:szCs w:val="20"/>
              </w:rPr>
              <w:t xml:space="preserve">rojekta partnera apstiprinātā budžeta daļa ar pievienotās vērtības nodokli ir 256 543 </w:t>
            </w:r>
            <w:r w:rsidRPr="00C86E1D">
              <w:rPr>
                <w:i/>
                <w:szCs w:val="20"/>
              </w:rPr>
              <w:t>euro</w:t>
            </w:r>
            <w:r w:rsidRPr="00C86E1D">
              <w:rPr>
                <w:szCs w:val="20"/>
              </w:rPr>
              <w:t xml:space="preserve">. Finansējuma sadalījums ir sekojošs:  205 234 </w:t>
            </w:r>
            <w:r w:rsidRPr="00C86E1D">
              <w:rPr>
                <w:i/>
                <w:szCs w:val="20"/>
              </w:rPr>
              <w:t>euro</w:t>
            </w:r>
            <w:r w:rsidRPr="00C86E1D">
              <w:rPr>
                <w:szCs w:val="20"/>
              </w:rPr>
              <w:t xml:space="preserve">, jeb 80% – </w:t>
            </w:r>
            <w:r w:rsidRPr="00C86E1D" w:rsidR="00C06A94">
              <w:rPr>
                <w:szCs w:val="20"/>
              </w:rPr>
              <w:t>EK</w:t>
            </w:r>
            <w:r w:rsidRPr="00C86E1D">
              <w:rPr>
                <w:szCs w:val="20"/>
              </w:rPr>
              <w:t xml:space="preserve">; 51 309 </w:t>
            </w:r>
            <w:r w:rsidRPr="00C86E1D">
              <w:rPr>
                <w:i/>
                <w:szCs w:val="20"/>
              </w:rPr>
              <w:t>euro</w:t>
            </w:r>
            <w:r w:rsidRPr="00C86E1D">
              <w:rPr>
                <w:szCs w:val="20"/>
              </w:rPr>
              <w:t xml:space="preserve">, jeb 20% – VARAM līdzfinansējums. Ņemot vērā jau saņemto </w:t>
            </w:r>
            <w:r w:rsidRPr="00C86E1D" w:rsidR="00C06A94">
              <w:rPr>
                <w:szCs w:val="20"/>
              </w:rPr>
              <w:t>P</w:t>
            </w:r>
            <w:r w:rsidRPr="00C86E1D">
              <w:rPr>
                <w:szCs w:val="20"/>
              </w:rPr>
              <w:t xml:space="preserve">rojekta avansa maksājumu 82 094 </w:t>
            </w:r>
            <w:r w:rsidRPr="00C86E1D">
              <w:rPr>
                <w:i/>
                <w:szCs w:val="20"/>
              </w:rPr>
              <w:t>euro</w:t>
            </w:r>
            <w:r w:rsidRPr="00C86E1D">
              <w:rPr>
                <w:szCs w:val="20"/>
              </w:rPr>
              <w:t xml:space="preserve"> apmērā kā 40% no </w:t>
            </w:r>
            <w:r w:rsidRPr="00C86E1D" w:rsidR="00C06A94">
              <w:rPr>
                <w:szCs w:val="20"/>
              </w:rPr>
              <w:t>P</w:t>
            </w:r>
            <w:r w:rsidRPr="00C86E1D">
              <w:rPr>
                <w:szCs w:val="20"/>
              </w:rPr>
              <w:t>rojekta ārvalstu finansējuma daļas</w:t>
            </w:r>
            <w:r w:rsidRPr="00C86E1D" w:rsidR="00551778">
              <w:rPr>
                <w:szCs w:val="20"/>
              </w:rPr>
              <w:t>,</w:t>
            </w:r>
            <w:r w:rsidRPr="00C86E1D">
              <w:rPr>
                <w:szCs w:val="20"/>
              </w:rPr>
              <w:t xml:space="preserve"> un ņemot vērā, kā pārējais ārvalstu finansējums tiks pārskaitīts pēc </w:t>
            </w:r>
            <w:r w:rsidRPr="00C86E1D" w:rsidR="00C06A94">
              <w:rPr>
                <w:szCs w:val="20"/>
              </w:rPr>
              <w:t>P</w:t>
            </w:r>
            <w:r w:rsidRPr="00C86E1D">
              <w:rPr>
                <w:szCs w:val="20"/>
              </w:rPr>
              <w:t xml:space="preserve">rojekta pabeigšanas un gala atskaites iesniegšanas </w:t>
            </w:r>
            <w:r w:rsidRPr="00C86E1D">
              <w:rPr>
                <w:szCs w:val="20"/>
              </w:rPr>
              <w:t>2020.gadā</w:t>
            </w:r>
            <w:r w:rsidRPr="00C86E1D">
              <w:rPr>
                <w:szCs w:val="20"/>
              </w:rPr>
              <w:t xml:space="preserve">, lai nodrošinātu </w:t>
            </w:r>
            <w:r w:rsidRPr="00C86E1D" w:rsidR="00C06A94">
              <w:rPr>
                <w:szCs w:val="20"/>
              </w:rPr>
              <w:t>P</w:t>
            </w:r>
            <w:r w:rsidRPr="00C86E1D">
              <w:rPr>
                <w:szCs w:val="20"/>
              </w:rPr>
              <w:t xml:space="preserve">rojekta īstenošanu VARAM nepieciešams papildu valsts budžeta finansējums priekšfinansējuma nodrošināšanai 123 140 </w:t>
            </w:r>
            <w:r w:rsidRPr="00C86E1D" w:rsidR="003B6682">
              <w:rPr>
                <w:i/>
                <w:szCs w:val="20"/>
              </w:rPr>
              <w:t>euro</w:t>
            </w:r>
            <w:r w:rsidRPr="00C86E1D" w:rsidR="003B6682">
              <w:rPr>
                <w:szCs w:val="20"/>
              </w:rPr>
              <w:t xml:space="preserve"> </w:t>
            </w:r>
            <w:r w:rsidRPr="00C86E1D">
              <w:rPr>
                <w:szCs w:val="20"/>
              </w:rPr>
              <w:t xml:space="preserve">apmērā. </w:t>
            </w:r>
          </w:p>
          <w:p w:rsidR="00723E07" w:rsidRPr="00C86E1D" w:rsidP="00723E07" w14:paraId="1C73FA95" w14:textId="4D42F385">
            <w:pPr>
              <w:pStyle w:val="ListParagraph"/>
              <w:spacing w:after="120"/>
              <w:ind w:left="0"/>
              <w:jc w:val="both"/>
              <w:rPr>
                <w:szCs w:val="20"/>
              </w:rPr>
            </w:pPr>
            <w:r w:rsidRPr="00C86E1D">
              <w:rPr>
                <w:szCs w:val="20"/>
              </w:rPr>
              <w:t>Projekta īstenošanai nepieciešamā finansējuma aprēķins norādīts zemāk tabulā:</w:t>
            </w:r>
          </w:p>
          <w:p w:rsidR="00723E07" w:rsidRPr="00C86E1D" w:rsidP="00723E07" w14:paraId="2860EFB6" w14:textId="77777777">
            <w:pPr>
              <w:tabs>
                <w:tab w:val="left" w:pos="5244"/>
              </w:tabs>
              <w:jc w:val="both"/>
              <w:rPr>
                <w:noProof/>
                <w:szCs w:val="20"/>
              </w:rPr>
            </w:pPr>
            <w:r w:rsidRPr="00C86E1D">
              <w:rPr>
                <w:noProof/>
                <w:szCs w:val="20"/>
              </w:rPr>
              <w:tab/>
            </w:r>
          </w:p>
          <w:tbl>
            <w:tblPr>
              <w:tblStyle w:val="TableGrid"/>
              <w:tblW w:w="6374" w:type="dxa"/>
              <w:tblLayout w:type="fixed"/>
              <w:tblLook w:val="04A0"/>
            </w:tblPr>
            <w:tblGrid>
              <w:gridCol w:w="562"/>
              <w:gridCol w:w="1843"/>
              <w:gridCol w:w="992"/>
              <w:gridCol w:w="993"/>
              <w:gridCol w:w="992"/>
              <w:gridCol w:w="992"/>
            </w:tblGrid>
            <w:tr w14:paraId="2FE570A4" w14:textId="77777777" w:rsidTr="00EE2EB6">
              <w:tblPrEx>
                <w:tblW w:w="6374" w:type="dxa"/>
                <w:tblLayout w:type="fixed"/>
                <w:tblLook w:val="04A0"/>
              </w:tblPrEx>
              <w:tc>
                <w:tcPr>
                  <w:tcW w:w="562" w:type="dxa"/>
                  <w:vAlign w:val="center"/>
                </w:tcPr>
                <w:p w:rsidR="00723E07" w:rsidRPr="00C86E1D" w:rsidP="00EE2EB6" w14:paraId="29D8DAD5" w14:textId="77777777">
                  <w:pPr>
                    <w:jc w:val="center"/>
                    <w:rPr>
                      <w:b/>
                      <w:szCs w:val="20"/>
                    </w:rPr>
                  </w:pPr>
                  <w:r w:rsidRPr="00C86E1D">
                    <w:rPr>
                      <w:b/>
                      <w:szCs w:val="20"/>
                    </w:rPr>
                    <w:t>Nr.p.k</w:t>
                  </w:r>
                  <w:r w:rsidRPr="00C86E1D">
                    <w:rPr>
                      <w:b/>
                      <w:szCs w:val="20"/>
                    </w:rPr>
                    <w:t>.</w:t>
                  </w:r>
                </w:p>
              </w:tc>
              <w:tc>
                <w:tcPr>
                  <w:tcW w:w="1843" w:type="dxa"/>
                  <w:vAlign w:val="center"/>
                </w:tcPr>
                <w:p w:rsidR="00723E07" w:rsidRPr="00C86E1D" w:rsidP="00EE2EB6" w14:paraId="7F4FDC51" w14:textId="77777777">
                  <w:pPr>
                    <w:jc w:val="center"/>
                    <w:rPr>
                      <w:b/>
                      <w:szCs w:val="20"/>
                    </w:rPr>
                  </w:pPr>
                  <w:r w:rsidRPr="00C86E1D">
                    <w:rPr>
                      <w:b/>
                      <w:szCs w:val="20"/>
                    </w:rPr>
                    <w:t>Finansējuma avots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23E07" w:rsidRPr="00C86E1D" w:rsidP="00EE2EB6" w14:paraId="35C3FF72" w14:textId="77777777">
                  <w:pPr>
                    <w:jc w:val="center"/>
                    <w:rPr>
                      <w:b/>
                      <w:szCs w:val="20"/>
                    </w:rPr>
                  </w:pPr>
                  <w:r w:rsidRPr="00C86E1D">
                    <w:rPr>
                      <w:b/>
                      <w:szCs w:val="20"/>
                    </w:rPr>
                    <w:t>2018 (</w:t>
                  </w:r>
                  <w:r w:rsidRPr="00C86E1D">
                    <w:rPr>
                      <w:b/>
                      <w:szCs w:val="20"/>
                    </w:rPr>
                    <w:t>euro</w:t>
                  </w:r>
                  <w:r w:rsidRPr="00C86E1D">
                    <w:rPr>
                      <w:b/>
                      <w:szCs w:val="20"/>
                    </w:rPr>
                    <w:t>)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723E07" w:rsidRPr="00C86E1D" w:rsidP="00EE2EB6" w14:paraId="3B2B812C" w14:textId="77777777">
                  <w:pPr>
                    <w:jc w:val="center"/>
                    <w:rPr>
                      <w:b/>
                      <w:szCs w:val="20"/>
                    </w:rPr>
                  </w:pPr>
                  <w:r w:rsidRPr="00C86E1D">
                    <w:rPr>
                      <w:b/>
                      <w:szCs w:val="20"/>
                    </w:rPr>
                    <w:t>2019 (</w:t>
                  </w:r>
                  <w:r w:rsidRPr="00C86E1D">
                    <w:rPr>
                      <w:b/>
                      <w:szCs w:val="20"/>
                    </w:rPr>
                    <w:t>euro</w:t>
                  </w:r>
                  <w:r w:rsidRPr="00C86E1D">
                    <w:rPr>
                      <w:b/>
                      <w:szCs w:val="20"/>
                    </w:rPr>
                    <w:t>)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23E07" w:rsidRPr="00C86E1D" w:rsidP="00EE2EB6" w14:paraId="0F0736C6" w14:textId="77777777">
                  <w:pPr>
                    <w:jc w:val="center"/>
                    <w:rPr>
                      <w:b/>
                      <w:szCs w:val="20"/>
                    </w:rPr>
                  </w:pPr>
                  <w:r w:rsidRPr="00C86E1D">
                    <w:rPr>
                      <w:b/>
                      <w:szCs w:val="20"/>
                    </w:rPr>
                    <w:t>2020 (</w:t>
                  </w:r>
                  <w:r w:rsidRPr="00C86E1D">
                    <w:rPr>
                      <w:b/>
                      <w:szCs w:val="20"/>
                    </w:rPr>
                    <w:t>euro</w:t>
                  </w:r>
                  <w:r w:rsidRPr="00C86E1D">
                    <w:rPr>
                      <w:b/>
                      <w:szCs w:val="20"/>
                    </w:rPr>
                    <w:t>)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23E07" w:rsidRPr="00C86E1D" w:rsidP="00EE2EB6" w14:paraId="22CD0FD7" w14:textId="77777777">
                  <w:pPr>
                    <w:jc w:val="center"/>
                    <w:rPr>
                      <w:b/>
                      <w:szCs w:val="20"/>
                    </w:rPr>
                  </w:pPr>
                  <w:r w:rsidRPr="00C86E1D">
                    <w:rPr>
                      <w:b/>
                      <w:szCs w:val="20"/>
                    </w:rPr>
                    <w:t>kopā (</w:t>
                  </w:r>
                  <w:r w:rsidRPr="00C86E1D">
                    <w:rPr>
                      <w:b/>
                      <w:szCs w:val="20"/>
                    </w:rPr>
                    <w:t>euro</w:t>
                  </w:r>
                  <w:r w:rsidRPr="00C86E1D">
                    <w:rPr>
                      <w:b/>
                      <w:szCs w:val="20"/>
                    </w:rPr>
                    <w:t>)</w:t>
                  </w:r>
                </w:p>
              </w:tc>
            </w:tr>
            <w:tr w14:paraId="64A52D77" w14:textId="77777777" w:rsidTr="00EE2EB6">
              <w:tblPrEx>
                <w:tblW w:w="6374" w:type="dxa"/>
                <w:tblLayout w:type="fixed"/>
                <w:tblLook w:val="04A0"/>
              </w:tblPrEx>
              <w:tc>
                <w:tcPr>
                  <w:tcW w:w="562" w:type="dxa"/>
                </w:tcPr>
                <w:p w:rsidR="00723E07" w:rsidRPr="00C86E1D" w:rsidP="00EE2EB6" w14:paraId="101F0CA3" w14:textId="77777777">
                  <w:pPr>
                    <w:rPr>
                      <w:szCs w:val="20"/>
                    </w:rPr>
                  </w:pPr>
                  <w:r w:rsidRPr="00C86E1D">
                    <w:rPr>
                      <w:szCs w:val="20"/>
                    </w:rPr>
                    <w:t>1.</w:t>
                  </w:r>
                </w:p>
              </w:tc>
              <w:tc>
                <w:tcPr>
                  <w:tcW w:w="1843" w:type="dxa"/>
                </w:tcPr>
                <w:p w:rsidR="00723E07" w:rsidRPr="00C86E1D" w:rsidP="00EE2EB6" w14:paraId="12348084" w14:textId="77777777">
                  <w:pPr>
                    <w:ind w:hanging="108"/>
                    <w:rPr>
                      <w:szCs w:val="20"/>
                    </w:rPr>
                  </w:pPr>
                  <w:r w:rsidRPr="00C86E1D">
                    <w:rPr>
                      <w:szCs w:val="20"/>
                    </w:rPr>
                    <w:t>Ieņēmumi no ārvalstu finanšu palīdzības – EASME finansējums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23E07" w:rsidRPr="00C86E1D" w:rsidP="00EE2EB6" w14:paraId="0332FD62" w14:textId="77777777">
                  <w:pPr>
                    <w:jc w:val="center"/>
                    <w:rPr>
                      <w:szCs w:val="20"/>
                    </w:rPr>
                  </w:pPr>
                  <w:r w:rsidRPr="00C86E1D">
                    <w:rPr>
                      <w:szCs w:val="20"/>
                    </w:rPr>
                    <w:t>82 094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723E07" w:rsidRPr="00C86E1D" w:rsidP="00EE2EB6" w14:paraId="562F3945" w14:textId="77777777">
                  <w:pPr>
                    <w:jc w:val="center"/>
                    <w:rPr>
                      <w:szCs w:val="20"/>
                    </w:rPr>
                  </w:pPr>
                  <w:r w:rsidRPr="00C86E1D">
                    <w:rPr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23E07" w:rsidRPr="00C86E1D" w:rsidP="00EE2EB6" w14:paraId="6CB4ED66" w14:textId="77777777">
                  <w:pPr>
                    <w:jc w:val="center"/>
                    <w:rPr>
                      <w:szCs w:val="20"/>
                    </w:rPr>
                  </w:pPr>
                  <w:r w:rsidRPr="00C86E1D">
                    <w:rPr>
                      <w:szCs w:val="20"/>
                    </w:rPr>
                    <w:t>123 140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23E07" w:rsidRPr="00C86E1D" w:rsidP="00EE2EB6" w14:paraId="74045105" w14:textId="77777777">
                  <w:pPr>
                    <w:jc w:val="center"/>
                    <w:rPr>
                      <w:szCs w:val="20"/>
                    </w:rPr>
                  </w:pPr>
                  <w:r w:rsidRPr="00C86E1D">
                    <w:rPr>
                      <w:szCs w:val="20"/>
                    </w:rPr>
                    <w:t>205 234</w:t>
                  </w:r>
                </w:p>
              </w:tc>
            </w:tr>
            <w:tr w14:paraId="21543783" w14:textId="77777777" w:rsidTr="00EE2EB6">
              <w:tblPrEx>
                <w:tblW w:w="6374" w:type="dxa"/>
                <w:tblLayout w:type="fixed"/>
                <w:tblLook w:val="04A0"/>
              </w:tblPrEx>
              <w:tc>
                <w:tcPr>
                  <w:tcW w:w="562" w:type="dxa"/>
                </w:tcPr>
                <w:p w:rsidR="00723E07" w:rsidRPr="00C86E1D" w:rsidP="00EE2EB6" w14:paraId="2FCE29CA" w14:textId="77777777">
                  <w:pPr>
                    <w:rPr>
                      <w:szCs w:val="20"/>
                    </w:rPr>
                  </w:pPr>
                  <w:r w:rsidRPr="00C86E1D">
                    <w:rPr>
                      <w:szCs w:val="20"/>
                    </w:rPr>
                    <w:t>2.</w:t>
                  </w:r>
                </w:p>
              </w:tc>
              <w:tc>
                <w:tcPr>
                  <w:tcW w:w="1843" w:type="dxa"/>
                </w:tcPr>
                <w:p w:rsidR="00723E07" w:rsidRPr="00C86E1D" w:rsidP="00EE2EB6" w14:paraId="1325F204" w14:textId="77777777">
                  <w:pPr>
                    <w:rPr>
                      <w:szCs w:val="20"/>
                    </w:rPr>
                  </w:pPr>
                  <w:r w:rsidRPr="00C86E1D">
                    <w:rPr>
                      <w:szCs w:val="20"/>
                    </w:rPr>
                    <w:t>Līdzfinansējums – Vispārējā kārtībā sadalāmā dotācija no vispārējiem ieņēmumiem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23E07" w:rsidRPr="00C86E1D" w:rsidP="00EE2EB6" w14:paraId="31C24FCE" w14:textId="77777777">
                  <w:pPr>
                    <w:jc w:val="center"/>
                    <w:rPr>
                      <w:szCs w:val="20"/>
                    </w:rPr>
                  </w:pPr>
                  <w:r w:rsidRPr="00C86E1D">
                    <w:rPr>
                      <w:szCs w:val="20"/>
                    </w:rPr>
                    <w:t>20 523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723E07" w:rsidRPr="00C86E1D" w:rsidP="00EE2EB6" w14:paraId="067C6F33" w14:textId="77777777">
                  <w:pPr>
                    <w:jc w:val="center"/>
                    <w:rPr>
                      <w:szCs w:val="20"/>
                    </w:rPr>
                  </w:pPr>
                  <w:r w:rsidRPr="00C86E1D">
                    <w:rPr>
                      <w:szCs w:val="20"/>
                    </w:rPr>
                    <w:t>30 786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23E07" w:rsidRPr="00C86E1D" w:rsidP="00EE2EB6" w14:paraId="6EC2B770" w14:textId="77777777">
                  <w:pPr>
                    <w:jc w:val="center"/>
                    <w:rPr>
                      <w:szCs w:val="20"/>
                    </w:rPr>
                  </w:pPr>
                  <w:r w:rsidRPr="00C86E1D">
                    <w:rPr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23E07" w:rsidRPr="00C86E1D" w:rsidP="00EE2EB6" w14:paraId="3F044191" w14:textId="77777777">
                  <w:pPr>
                    <w:jc w:val="center"/>
                    <w:rPr>
                      <w:szCs w:val="20"/>
                    </w:rPr>
                  </w:pPr>
                  <w:r w:rsidRPr="00C86E1D">
                    <w:rPr>
                      <w:szCs w:val="20"/>
                    </w:rPr>
                    <w:t>51 309</w:t>
                  </w:r>
                </w:p>
              </w:tc>
            </w:tr>
            <w:tr w14:paraId="6C060314" w14:textId="77777777" w:rsidTr="00EE2EB6">
              <w:tblPrEx>
                <w:tblW w:w="6374" w:type="dxa"/>
                <w:tblLayout w:type="fixed"/>
                <w:tblLook w:val="04A0"/>
              </w:tblPrEx>
              <w:tc>
                <w:tcPr>
                  <w:tcW w:w="562" w:type="dxa"/>
                </w:tcPr>
                <w:p w:rsidR="00723E07" w:rsidRPr="00C86E1D" w:rsidP="00EE2EB6" w14:paraId="36E25C48" w14:textId="77777777">
                  <w:pPr>
                    <w:rPr>
                      <w:szCs w:val="20"/>
                    </w:rPr>
                  </w:pPr>
                  <w:r w:rsidRPr="00C86E1D">
                    <w:rPr>
                      <w:szCs w:val="20"/>
                    </w:rPr>
                    <w:t>3.</w:t>
                  </w:r>
                </w:p>
              </w:tc>
              <w:tc>
                <w:tcPr>
                  <w:tcW w:w="1843" w:type="dxa"/>
                </w:tcPr>
                <w:p w:rsidR="00723E07" w:rsidRPr="00C86E1D" w:rsidP="00EE2EB6" w14:paraId="24FAF8C5" w14:textId="77777777">
                  <w:pPr>
                    <w:rPr>
                      <w:szCs w:val="20"/>
                    </w:rPr>
                  </w:pPr>
                  <w:r w:rsidRPr="00C86E1D">
                    <w:rPr>
                      <w:szCs w:val="20"/>
                    </w:rPr>
                    <w:t xml:space="preserve">Priekšfinansējums* - Vispārējā </w:t>
                  </w:r>
                  <w:r w:rsidRPr="00C86E1D">
                    <w:rPr>
                      <w:szCs w:val="20"/>
                    </w:rPr>
                    <w:t>kārtībā sadalāmā dotācija no vispārējiem ieņēmumiem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23E07" w:rsidRPr="00C86E1D" w:rsidP="00EE2EB6" w14:paraId="4B266366" w14:textId="77777777">
                  <w:pPr>
                    <w:jc w:val="center"/>
                    <w:rPr>
                      <w:szCs w:val="20"/>
                    </w:rPr>
                  </w:pPr>
                  <w:r w:rsidRPr="00C86E1D">
                    <w:rPr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723E07" w:rsidRPr="00C86E1D" w:rsidP="00EE2EB6" w14:paraId="1AC024FC" w14:textId="77777777">
                  <w:pPr>
                    <w:jc w:val="center"/>
                    <w:rPr>
                      <w:szCs w:val="20"/>
                    </w:rPr>
                  </w:pPr>
                  <w:r w:rsidRPr="00C86E1D">
                    <w:rPr>
                      <w:szCs w:val="20"/>
                    </w:rPr>
                    <w:t>123 140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23E07" w:rsidRPr="00C86E1D" w:rsidP="00EE2EB6" w14:paraId="5857A4B9" w14:textId="77777777">
                  <w:pPr>
                    <w:jc w:val="center"/>
                    <w:rPr>
                      <w:szCs w:val="20"/>
                    </w:rPr>
                  </w:pPr>
                  <w:r w:rsidRPr="00C86E1D">
                    <w:rPr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23E07" w:rsidRPr="00C86E1D" w:rsidP="00EE2EB6" w14:paraId="35572A7E" w14:textId="77777777">
                  <w:pPr>
                    <w:jc w:val="center"/>
                    <w:rPr>
                      <w:szCs w:val="20"/>
                    </w:rPr>
                  </w:pPr>
                  <w:r w:rsidRPr="00C86E1D">
                    <w:rPr>
                      <w:szCs w:val="20"/>
                    </w:rPr>
                    <w:t>123 140</w:t>
                  </w:r>
                </w:p>
              </w:tc>
            </w:tr>
            <w:tr w14:paraId="21566A78" w14:textId="77777777" w:rsidTr="00EE2EB6">
              <w:tblPrEx>
                <w:tblW w:w="6374" w:type="dxa"/>
                <w:tblLayout w:type="fixed"/>
                <w:tblLook w:val="04A0"/>
              </w:tblPrEx>
              <w:tc>
                <w:tcPr>
                  <w:tcW w:w="562" w:type="dxa"/>
                </w:tcPr>
                <w:p w:rsidR="00723E07" w:rsidRPr="00C86E1D" w:rsidP="00EE2EB6" w14:paraId="3DB11844" w14:textId="77777777">
                  <w:pPr>
                    <w:rPr>
                      <w:szCs w:val="20"/>
                    </w:rPr>
                  </w:pPr>
                  <w:r w:rsidRPr="00C86E1D">
                    <w:rPr>
                      <w:szCs w:val="20"/>
                    </w:rPr>
                    <w:t>4.</w:t>
                  </w:r>
                </w:p>
              </w:tc>
              <w:tc>
                <w:tcPr>
                  <w:tcW w:w="1843" w:type="dxa"/>
                </w:tcPr>
                <w:p w:rsidR="00723E07" w:rsidRPr="00C86E1D" w:rsidP="00EE2EB6" w14:paraId="4DFCC83C" w14:textId="77777777">
                  <w:pPr>
                    <w:rPr>
                      <w:szCs w:val="20"/>
                    </w:rPr>
                  </w:pPr>
                  <w:r w:rsidRPr="00C86E1D">
                    <w:rPr>
                      <w:szCs w:val="20"/>
                    </w:rPr>
                    <w:t>Atmaksa valsts pamatbudžetā no ieņēmumiem no ārvalstu finanšu palīdzības par veiktajiem izdevumiem no priekšfinansējuma*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23E07" w:rsidRPr="00C86E1D" w:rsidP="00EE2EB6" w14:paraId="759A9656" w14:textId="77777777">
                  <w:pPr>
                    <w:jc w:val="center"/>
                    <w:rPr>
                      <w:szCs w:val="20"/>
                    </w:rPr>
                  </w:pPr>
                  <w:r w:rsidRPr="00C86E1D">
                    <w:rPr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723E07" w:rsidRPr="00C86E1D" w:rsidP="00EE2EB6" w14:paraId="46865AB3" w14:textId="77777777">
                  <w:pPr>
                    <w:jc w:val="center"/>
                    <w:rPr>
                      <w:szCs w:val="20"/>
                    </w:rPr>
                  </w:pPr>
                  <w:r w:rsidRPr="00C86E1D">
                    <w:rPr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23E07" w:rsidRPr="00C86E1D" w:rsidP="00EE2EB6" w14:paraId="2B526FCD" w14:textId="77777777">
                  <w:pPr>
                    <w:jc w:val="center"/>
                    <w:rPr>
                      <w:szCs w:val="20"/>
                    </w:rPr>
                  </w:pPr>
                  <w:r w:rsidRPr="00C86E1D">
                    <w:rPr>
                      <w:szCs w:val="20"/>
                    </w:rPr>
                    <w:t>-123 140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23E07" w:rsidRPr="00C86E1D" w:rsidP="00EE2EB6" w14:paraId="1497DF18" w14:textId="77777777">
                  <w:pPr>
                    <w:jc w:val="center"/>
                    <w:rPr>
                      <w:szCs w:val="20"/>
                    </w:rPr>
                  </w:pPr>
                  <w:r w:rsidRPr="00C86E1D">
                    <w:rPr>
                      <w:szCs w:val="20"/>
                    </w:rPr>
                    <w:t>-123 140</w:t>
                  </w:r>
                </w:p>
              </w:tc>
            </w:tr>
            <w:tr w14:paraId="0DBEFA85" w14:textId="77777777" w:rsidTr="00EE2EB6">
              <w:tblPrEx>
                <w:tblW w:w="6374" w:type="dxa"/>
                <w:tblLayout w:type="fixed"/>
                <w:tblLook w:val="04A0"/>
              </w:tblPrEx>
              <w:tc>
                <w:tcPr>
                  <w:tcW w:w="562" w:type="dxa"/>
                </w:tcPr>
                <w:p w:rsidR="00723E07" w:rsidRPr="00C86E1D" w:rsidP="00EE2EB6" w14:paraId="0B3F53C4" w14:textId="77777777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23E07" w:rsidRPr="00C86E1D" w:rsidP="00EE2EB6" w14:paraId="177D3556" w14:textId="77777777">
                  <w:pPr>
                    <w:rPr>
                      <w:b/>
                      <w:szCs w:val="20"/>
                    </w:rPr>
                  </w:pPr>
                  <w:r w:rsidRPr="00C86E1D">
                    <w:rPr>
                      <w:b/>
                      <w:szCs w:val="20"/>
                    </w:rPr>
                    <w:t>Kopā (</w:t>
                  </w:r>
                  <w:r w:rsidRPr="00C86E1D">
                    <w:rPr>
                      <w:b/>
                      <w:szCs w:val="20"/>
                    </w:rPr>
                    <w:t>euro</w:t>
                  </w:r>
                  <w:r w:rsidRPr="00C86E1D">
                    <w:rPr>
                      <w:b/>
                      <w:szCs w:val="20"/>
                    </w:rPr>
                    <w:t>)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23E07" w:rsidRPr="00C86E1D" w:rsidP="00EE2EB6" w14:paraId="3973E162" w14:textId="77777777">
                  <w:pPr>
                    <w:jc w:val="center"/>
                    <w:rPr>
                      <w:b/>
                      <w:szCs w:val="20"/>
                    </w:rPr>
                  </w:pPr>
                  <w:r w:rsidRPr="00C86E1D">
                    <w:rPr>
                      <w:b/>
                      <w:szCs w:val="20"/>
                    </w:rPr>
                    <w:t>102 617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723E07" w:rsidRPr="00C86E1D" w:rsidP="00EE2EB6" w14:paraId="2D9A4ED6" w14:textId="77777777">
                  <w:pPr>
                    <w:jc w:val="center"/>
                    <w:rPr>
                      <w:b/>
                      <w:szCs w:val="20"/>
                    </w:rPr>
                  </w:pPr>
                  <w:r w:rsidRPr="00C86E1D">
                    <w:rPr>
                      <w:b/>
                      <w:szCs w:val="20"/>
                    </w:rPr>
                    <w:t>153 926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23E07" w:rsidRPr="00C86E1D" w:rsidP="00EE2EB6" w14:paraId="13CF203E" w14:textId="77777777">
                  <w:pPr>
                    <w:jc w:val="center"/>
                    <w:rPr>
                      <w:b/>
                      <w:szCs w:val="20"/>
                    </w:rPr>
                  </w:pPr>
                  <w:r w:rsidRPr="00C86E1D">
                    <w:rPr>
                      <w:b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23E07" w:rsidRPr="00C86E1D" w:rsidP="00EE2EB6" w14:paraId="0C149C5B" w14:textId="77777777">
                  <w:pPr>
                    <w:jc w:val="center"/>
                    <w:rPr>
                      <w:b/>
                      <w:szCs w:val="20"/>
                    </w:rPr>
                  </w:pPr>
                  <w:r w:rsidRPr="00C86E1D">
                    <w:rPr>
                      <w:b/>
                      <w:szCs w:val="20"/>
                    </w:rPr>
                    <w:t>256 543</w:t>
                  </w:r>
                </w:p>
              </w:tc>
            </w:tr>
          </w:tbl>
          <w:p w:rsidR="006847AA" w:rsidRPr="00C86E1D" w:rsidP="00723E07" w14:paraId="7512F2B7" w14:textId="7FF21BD9">
            <w:pPr>
              <w:pStyle w:val="ListParagraph"/>
              <w:spacing w:after="120"/>
              <w:ind w:left="0"/>
              <w:jc w:val="both"/>
            </w:pPr>
            <w:r w:rsidRPr="00C86E1D">
              <w:rPr>
                <w:szCs w:val="20"/>
              </w:rPr>
              <w:t xml:space="preserve">Kopā </w:t>
            </w:r>
            <w:r w:rsidRPr="00C86E1D" w:rsidR="00C06A94">
              <w:rPr>
                <w:szCs w:val="20"/>
              </w:rPr>
              <w:t>P</w:t>
            </w:r>
            <w:r w:rsidRPr="00C86E1D">
              <w:rPr>
                <w:szCs w:val="20"/>
              </w:rPr>
              <w:t>rojekta īstenošanai nepieciešam</w:t>
            </w:r>
            <w:r w:rsidRPr="00C86E1D" w:rsidR="00551778">
              <w:rPr>
                <w:szCs w:val="20"/>
              </w:rPr>
              <w:t>ai</w:t>
            </w:r>
            <w:r w:rsidRPr="00C86E1D">
              <w:rPr>
                <w:szCs w:val="20"/>
              </w:rPr>
              <w:t xml:space="preserve">s finansējums ir 174 449 </w:t>
            </w:r>
            <w:r w:rsidRPr="00C86E1D">
              <w:rPr>
                <w:i/>
                <w:szCs w:val="20"/>
              </w:rPr>
              <w:t>euro</w:t>
            </w:r>
            <w:r w:rsidRPr="00C86E1D">
              <w:rPr>
                <w:szCs w:val="20"/>
              </w:rPr>
              <w:t xml:space="preserve">, tai skaitā 51 309 </w:t>
            </w:r>
            <w:r w:rsidRPr="00C86E1D">
              <w:rPr>
                <w:i/>
                <w:szCs w:val="20"/>
              </w:rPr>
              <w:t>euro</w:t>
            </w:r>
            <w:r w:rsidRPr="00C86E1D">
              <w:rPr>
                <w:szCs w:val="20"/>
              </w:rPr>
              <w:t xml:space="preserve"> līdzfinansējumam un 123 140 </w:t>
            </w:r>
            <w:r w:rsidRPr="00C86E1D">
              <w:rPr>
                <w:i/>
                <w:szCs w:val="20"/>
              </w:rPr>
              <w:t>euro</w:t>
            </w:r>
            <w:r w:rsidRPr="00C86E1D">
              <w:rPr>
                <w:szCs w:val="20"/>
              </w:rPr>
              <w:t xml:space="preserve"> priekšfinansējumam.  Kopumā tas ir par 15 382 </w:t>
            </w:r>
            <w:r w:rsidRPr="00C86E1D">
              <w:rPr>
                <w:i/>
                <w:szCs w:val="20"/>
              </w:rPr>
              <w:t>euro</w:t>
            </w:r>
            <w:r w:rsidRPr="00C86E1D">
              <w:rPr>
                <w:szCs w:val="20"/>
              </w:rPr>
              <w:t xml:space="preserve"> vairāk nekā </w:t>
            </w:r>
            <w:r w:rsidRPr="00C86E1D" w:rsidR="00551778">
              <w:rPr>
                <w:szCs w:val="20"/>
              </w:rPr>
              <w:t>2017.gada</w:t>
            </w:r>
            <w:r w:rsidRPr="00C86E1D" w:rsidR="00551778">
              <w:rPr>
                <w:szCs w:val="20"/>
              </w:rPr>
              <w:t xml:space="preserve"> 18.aprīlī</w:t>
            </w:r>
            <w:r w:rsidRPr="00C86E1D">
              <w:rPr>
                <w:szCs w:val="20"/>
              </w:rPr>
              <w:t xml:space="preserve"> apstiprinātajā informatīvajā ziņojumā (prot. Nr.20., 22.§.). Nepieciešamā finansējuma sadalījums pa gadiem ir šāds: </w:t>
            </w:r>
            <w:r w:rsidRPr="00C86E1D">
              <w:rPr>
                <w:szCs w:val="20"/>
              </w:rPr>
              <w:t>2018.gads</w:t>
            </w:r>
            <w:r w:rsidRPr="00C86E1D">
              <w:rPr>
                <w:szCs w:val="20"/>
              </w:rPr>
              <w:t xml:space="preserve"> – 20 523 </w:t>
            </w:r>
            <w:r w:rsidRPr="00C86E1D">
              <w:rPr>
                <w:i/>
                <w:szCs w:val="20"/>
              </w:rPr>
              <w:t>euro</w:t>
            </w:r>
            <w:r w:rsidRPr="00C86E1D">
              <w:rPr>
                <w:szCs w:val="20"/>
              </w:rPr>
              <w:t xml:space="preserve">, 2019.gads – 153 926 </w:t>
            </w:r>
            <w:r w:rsidRPr="00C86E1D">
              <w:rPr>
                <w:i/>
                <w:szCs w:val="20"/>
              </w:rPr>
              <w:t>euro</w:t>
            </w:r>
            <w:r w:rsidRPr="00C86E1D">
              <w:rPr>
                <w:szCs w:val="20"/>
              </w:rPr>
              <w:t xml:space="preserve">. </w:t>
            </w:r>
            <w:r w:rsidRPr="00C86E1D">
              <w:t xml:space="preserve">2020. gadā VARAM saņems atmaksu par izdevumiem, kas segti no piešķirtā priekšfinansējuma </w:t>
            </w:r>
            <w:r w:rsidRPr="00C86E1D">
              <w:rPr>
                <w:szCs w:val="20"/>
              </w:rPr>
              <w:t xml:space="preserve">123 140 </w:t>
            </w:r>
            <w:r w:rsidRPr="00C86E1D">
              <w:rPr>
                <w:i/>
              </w:rPr>
              <w:t>euro</w:t>
            </w:r>
            <w:r w:rsidRPr="00C86E1D">
              <w:t xml:space="preserve"> apmērā. </w:t>
            </w:r>
            <w:r w:rsidRPr="00C86E1D" w:rsidR="00EF6BFB">
              <w:t xml:space="preserve"> </w:t>
            </w:r>
          </w:p>
        </w:tc>
      </w:tr>
      <w:tr w14:paraId="002D54F1" w14:textId="77777777" w:rsidTr="008E6098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1981" w:type="dxa"/>
            <w:shd w:val="clear" w:color="auto" w:fill="auto"/>
            <w:hideMark/>
          </w:tcPr>
          <w:p w:rsidR="001B61B8" w:rsidRPr="00C86E1D" w:rsidP="00EF6BFB" w14:paraId="6FBE8570" w14:textId="77777777">
            <w:pPr>
              <w:rPr>
                <w:lang w:eastAsia="en-US"/>
              </w:rPr>
            </w:pPr>
            <w:r w:rsidRPr="00C86E1D">
              <w:rPr>
                <w:lang w:eastAsia="en-US"/>
              </w:rPr>
              <w:t>6.1. detalizēts ieņēmumu aprēķins</w:t>
            </w:r>
          </w:p>
        </w:tc>
        <w:tc>
          <w:tcPr>
            <w:tcW w:w="6318" w:type="dxa"/>
            <w:gridSpan w:val="7"/>
            <w:vMerge/>
            <w:shd w:val="clear" w:color="auto" w:fill="auto"/>
            <w:vAlign w:val="center"/>
            <w:hideMark/>
          </w:tcPr>
          <w:p w:rsidR="001B61B8" w:rsidRPr="00C86E1D" w:rsidP="00EF6BFB" w14:paraId="7B1217F0" w14:textId="77777777">
            <w:pPr>
              <w:jc w:val="center"/>
              <w:rPr>
                <w:lang w:eastAsia="en-US"/>
              </w:rPr>
            </w:pPr>
          </w:p>
        </w:tc>
      </w:tr>
      <w:tr w14:paraId="364316BA" w14:textId="77777777" w:rsidTr="008E6098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c>
          <w:tcPr>
            <w:tcW w:w="1981" w:type="dxa"/>
            <w:shd w:val="clear" w:color="auto" w:fill="auto"/>
            <w:hideMark/>
          </w:tcPr>
          <w:p w:rsidR="001B61B8" w:rsidRPr="00C86E1D" w:rsidP="00EF6BFB" w14:paraId="662053AD" w14:textId="77777777">
            <w:pPr>
              <w:rPr>
                <w:lang w:eastAsia="en-US"/>
              </w:rPr>
            </w:pPr>
            <w:r w:rsidRPr="00C86E1D">
              <w:rPr>
                <w:lang w:eastAsia="en-US"/>
              </w:rPr>
              <w:t>6.2. detalizēts izdevumu aprēķins</w:t>
            </w:r>
          </w:p>
        </w:tc>
        <w:tc>
          <w:tcPr>
            <w:tcW w:w="6318" w:type="dxa"/>
            <w:gridSpan w:val="7"/>
            <w:vMerge/>
            <w:shd w:val="clear" w:color="auto" w:fill="auto"/>
            <w:vAlign w:val="center"/>
            <w:hideMark/>
          </w:tcPr>
          <w:p w:rsidR="001B61B8" w:rsidRPr="00C86E1D" w:rsidP="00EF6BFB" w14:paraId="0137018C" w14:textId="77777777">
            <w:pPr>
              <w:jc w:val="center"/>
              <w:rPr>
                <w:lang w:eastAsia="en-US"/>
              </w:rPr>
            </w:pPr>
          </w:p>
        </w:tc>
      </w:tr>
      <w:tr w14:paraId="1D410F51" w14:textId="77777777" w:rsidTr="008E6098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1981" w:type="dxa"/>
            <w:shd w:val="clear" w:color="auto" w:fill="auto"/>
            <w:hideMark/>
          </w:tcPr>
          <w:p w:rsidR="001B61B8" w:rsidRPr="00C86E1D" w:rsidP="00EF6BFB" w14:paraId="46CBA042" w14:textId="77777777">
            <w:pPr>
              <w:rPr>
                <w:lang w:eastAsia="en-US"/>
              </w:rPr>
            </w:pPr>
            <w:r w:rsidRPr="00C86E1D">
              <w:rPr>
                <w:lang w:eastAsia="en-US"/>
              </w:rPr>
              <w:t>7. Amata vietu skaita izmaiņas</w:t>
            </w:r>
          </w:p>
        </w:tc>
        <w:tc>
          <w:tcPr>
            <w:tcW w:w="6318" w:type="dxa"/>
            <w:gridSpan w:val="7"/>
            <w:shd w:val="clear" w:color="auto" w:fill="auto"/>
            <w:hideMark/>
          </w:tcPr>
          <w:p w:rsidR="001B61B8" w:rsidRPr="00C86E1D" w:rsidP="00604DC3" w14:paraId="0CCFDC3F" w14:textId="77777777">
            <w:pPr>
              <w:ind w:left="45"/>
              <w:jc w:val="both"/>
            </w:pPr>
            <w:r w:rsidRPr="00C86E1D">
              <w:t>Projekts šo jomu neskar.</w:t>
            </w:r>
          </w:p>
        </w:tc>
      </w:tr>
      <w:tr w14:paraId="67B5D293" w14:textId="77777777" w:rsidTr="008E6098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1981" w:type="dxa"/>
            <w:shd w:val="clear" w:color="auto" w:fill="auto"/>
            <w:hideMark/>
          </w:tcPr>
          <w:p w:rsidR="001B61B8" w:rsidRPr="00C86E1D" w:rsidP="00EF6BFB" w14:paraId="63F55344" w14:textId="77777777">
            <w:pPr>
              <w:rPr>
                <w:lang w:eastAsia="en-US"/>
              </w:rPr>
            </w:pPr>
            <w:r w:rsidRPr="00C86E1D">
              <w:rPr>
                <w:lang w:eastAsia="en-US"/>
              </w:rPr>
              <w:t>8. Cita informācija</w:t>
            </w:r>
          </w:p>
        </w:tc>
        <w:tc>
          <w:tcPr>
            <w:tcW w:w="6318" w:type="dxa"/>
            <w:gridSpan w:val="7"/>
            <w:shd w:val="clear" w:color="auto" w:fill="auto"/>
            <w:hideMark/>
          </w:tcPr>
          <w:p w:rsidR="009A7F15" w:rsidRPr="00C86E1D" w:rsidP="00083080" w14:paraId="2387346F" w14:textId="29D4D81D">
            <w:pPr>
              <w:jc w:val="both"/>
              <w:rPr>
                <w:lang w:eastAsia="en-US"/>
              </w:rPr>
            </w:pPr>
            <w:r w:rsidRPr="00C86E1D">
              <w:rPr>
                <w:lang w:eastAsia="en-US"/>
              </w:rPr>
              <w:t xml:space="preserve">VARAM </w:t>
            </w:r>
            <w:r w:rsidRPr="00C86E1D" w:rsidR="00F36068">
              <w:rPr>
                <w:lang w:eastAsia="en-US"/>
              </w:rPr>
              <w:t xml:space="preserve">nepieciešamos valsts budžeta līdzekļus </w:t>
            </w:r>
            <w:r w:rsidRPr="00C86E1D">
              <w:rPr>
                <w:lang w:eastAsia="en-US"/>
              </w:rPr>
              <w:t xml:space="preserve">normatīvajos aktos noteiktā kārtībā pieprasīs Finanšu ministrijai no </w:t>
            </w:r>
            <w:r w:rsidRPr="00C86E1D" w:rsidR="00F36068">
              <w:rPr>
                <w:lang w:eastAsia="en-US"/>
              </w:rPr>
              <w:t xml:space="preserve">74.resora </w:t>
            </w:r>
            <w:r w:rsidRPr="00C86E1D" w:rsidR="007C07C1">
              <w:rPr>
                <w:lang w:eastAsia="en-US"/>
              </w:rPr>
              <w:t>“G</w:t>
            </w:r>
            <w:r w:rsidRPr="00C86E1D" w:rsidR="00F36068">
              <w:rPr>
                <w:lang w:eastAsia="en-US"/>
              </w:rPr>
              <w:t>adskārtējā valsts budžeta izpildes procesā pārdalāmais finansējums</w:t>
            </w:r>
            <w:r w:rsidRPr="00C86E1D" w:rsidR="007C07C1">
              <w:rPr>
                <w:lang w:eastAsia="en-US"/>
              </w:rPr>
              <w:t>”</w:t>
            </w:r>
            <w:r w:rsidRPr="00C86E1D" w:rsidR="00F36068">
              <w:rPr>
                <w:lang w:eastAsia="en-US"/>
              </w:rPr>
              <w:t xml:space="preserve"> </w:t>
            </w:r>
            <w:r w:rsidRPr="00C86E1D">
              <w:rPr>
                <w:lang w:eastAsia="en-US"/>
              </w:rPr>
              <w:t>programmas 80.00.00 "Nesadalītais finansējums Eiropas Savienības politiku instrumentu un pārējās ārvalstu finanšu palīdzības līdzfinansēto projektu un pasākumu īstenošanai</w:t>
            </w:r>
            <w:r w:rsidRPr="00C86E1D" w:rsidR="00551778">
              <w:rPr>
                <w:lang w:eastAsia="en-US"/>
              </w:rPr>
              <w:t>”</w:t>
            </w:r>
            <w:r w:rsidRPr="00C86E1D">
              <w:rPr>
                <w:lang w:eastAsia="en-US"/>
              </w:rPr>
              <w:t xml:space="preserve">. VARAM nodrošinās, ka </w:t>
            </w:r>
            <w:r w:rsidRPr="00C86E1D">
              <w:rPr>
                <w:lang w:eastAsia="en-US"/>
              </w:rPr>
              <w:t>2020.gadā</w:t>
            </w:r>
            <w:r w:rsidRPr="00C86E1D">
              <w:rPr>
                <w:lang w:eastAsia="en-US"/>
              </w:rPr>
              <w:t xml:space="preserve"> valsts pamatbudžetā tiek ieskaitīts no EK saņemtais finansējums par </w:t>
            </w:r>
            <w:r w:rsidRPr="00C86E1D" w:rsidR="00551778">
              <w:rPr>
                <w:lang w:eastAsia="en-US"/>
              </w:rPr>
              <w:t>P</w:t>
            </w:r>
            <w:r w:rsidRPr="00C86E1D">
              <w:rPr>
                <w:lang w:eastAsia="en-US"/>
              </w:rPr>
              <w:t>rojekta īstenošanu.</w:t>
            </w:r>
            <w:r w:rsidRPr="00C86E1D" w:rsidR="00F36068">
              <w:rPr>
                <w:lang w:eastAsia="en-US"/>
              </w:rPr>
              <w:t xml:space="preserve"> </w:t>
            </w:r>
          </w:p>
          <w:p w:rsidR="001B61B8" w:rsidRPr="00C86E1D" w:rsidP="00083080" w14:paraId="5588446C" w14:textId="4424571A">
            <w:pPr>
              <w:jc w:val="both"/>
              <w:rPr>
                <w:lang w:eastAsia="en-US"/>
              </w:rPr>
            </w:pPr>
            <w:r w:rsidRPr="00C86E1D">
              <w:rPr>
                <w:lang w:eastAsia="en-US"/>
              </w:rPr>
              <w:t xml:space="preserve">Saskaņā ar </w:t>
            </w:r>
            <w:r w:rsidRPr="00C86E1D" w:rsidR="00F36068">
              <w:rPr>
                <w:lang w:eastAsia="en-US"/>
              </w:rPr>
              <w:t>28.februāra</w:t>
            </w:r>
            <w:r w:rsidRPr="00C86E1D" w:rsidR="00F36068">
              <w:rPr>
                <w:lang w:eastAsia="en-US"/>
              </w:rPr>
              <w:t xml:space="preserve"> FM rīkojumu Nr.78. </w:t>
            </w:r>
            <w:r w:rsidRPr="00C86E1D">
              <w:rPr>
                <w:lang w:eastAsia="en-US"/>
              </w:rPr>
              <w:t xml:space="preserve">tika palielināta likumā „Par valsts budžetu 2018. gadam” noteiktā apropriācija ārvalstu finanšu palīdzības līdzekļu izmantošanai 82 094 </w:t>
            </w:r>
            <w:r w:rsidRPr="00C86E1D">
              <w:rPr>
                <w:i/>
                <w:lang w:eastAsia="en-US"/>
              </w:rPr>
              <w:t>euro</w:t>
            </w:r>
            <w:r w:rsidRPr="00C86E1D">
              <w:rPr>
                <w:lang w:eastAsia="en-US"/>
              </w:rPr>
              <w:t xml:space="preserve"> apmērā apakšprogrammā 73.06.00 “Pārējās ārvalstu finanšu palīdzības līdzfinansētie projekti (2007-2013)”.</w:t>
            </w:r>
          </w:p>
        </w:tc>
      </w:tr>
      <w:tr w14:paraId="013ABE6B" w14:textId="77777777" w:rsidTr="008E6098">
        <w:tblPrEx>
          <w:tblW w:w="5002" w:type="pct"/>
          <w:tblInd w:w="-2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8299" w:type="dxa"/>
            <w:gridSpan w:val="8"/>
            <w:vAlign w:val="center"/>
            <w:hideMark/>
          </w:tcPr>
          <w:p w:rsidR="001B61B8" w:rsidRPr="00C86E1D" w:rsidP="00EF6BFB" w14:paraId="455C4E75" w14:textId="77777777">
            <w:pPr>
              <w:jc w:val="center"/>
              <w:rPr>
                <w:b/>
                <w:bCs/>
              </w:rPr>
            </w:pPr>
            <w:r w:rsidRPr="00C86E1D">
              <w:rPr>
                <w:b/>
                <w:bCs/>
              </w:rPr>
              <w:t>IV. Tiesību akta projekta ietekme uz spēkā esošo tiesību normu sistēmu</w:t>
            </w:r>
          </w:p>
        </w:tc>
      </w:tr>
      <w:tr w14:paraId="3392F05A" w14:textId="77777777" w:rsidTr="00EE2EB6">
        <w:tblPrEx>
          <w:tblW w:w="5002" w:type="pct"/>
          <w:tblInd w:w="-2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8299" w:type="dxa"/>
            <w:gridSpan w:val="8"/>
            <w:vAlign w:val="center"/>
          </w:tcPr>
          <w:p w:rsidR="00776778" w:rsidRPr="008E6098" w:rsidP="00776778" w14:paraId="28E9FCC6" w14:textId="12B2A881">
            <w:pPr>
              <w:jc w:val="center"/>
              <w:rPr>
                <w:bCs/>
              </w:rPr>
            </w:pPr>
            <w:r w:rsidRPr="00C86E1D">
              <w:rPr>
                <w:bCs/>
              </w:rPr>
              <w:t>Projekts šo jomu neskar.</w:t>
            </w:r>
          </w:p>
        </w:tc>
      </w:tr>
    </w:tbl>
    <w:p w:rsidR="00BD5588" w:rsidRPr="00C86E1D" w:rsidP="00776778" w14:paraId="01BA6EA6" w14:textId="3990E397">
      <w:pPr>
        <w:pStyle w:val="Title"/>
        <w:spacing w:before="130" w:line="260" w:lineRule="exact"/>
        <w:jc w:val="both"/>
        <w:rPr>
          <w:sz w:val="24"/>
          <w:szCs w:val="24"/>
        </w:rPr>
      </w:pPr>
    </w:p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7"/>
        <w:gridCol w:w="2286"/>
        <w:gridCol w:w="5656"/>
      </w:tblGrid>
      <w:tr w14:paraId="1A98C216" w14:textId="77777777" w:rsidTr="00776778">
        <w:tblPrEx>
          <w:tblW w:w="5002" w:type="pct"/>
          <w:tblInd w:w="-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5000" w:type="pct"/>
            <w:gridSpan w:val="3"/>
            <w:vAlign w:val="center"/>
            <w:hideMark/>
          </w:tcPr>
          <w:p w:rsidR="00BD5588" w:rsidRPr="00C86E1D" w:rsidP="00EF6BFB" w14:paraId="68337EEA" w14:textId="77777777">
            <w:pPr>
              <w:jc w:val="center"/>
              <w:rPr>
                <w:b/>
                <w:bCs/>
              </w:rPr>
            </w:pPr>
            <w:r w:rsidRPr="00C86E1D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14:paraId="6A8C71A9" w14:textId="77777777" w:rsidTr="00776778">
        <w:tblPrEx>
          <w:tblW w:w="5002" w:type="pct"/>
          <w:tblInd w:w="-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255" w:type="pct"/>
            <w:vAlign w:val="center"/>
          </w:tcPr>
          <w:p w:rsidR="00776778" w:rsidRPr="008E6098" w:rsidP="00EE2EB6" w14:paraId="772DD062" w14:textId="77777777">
            <w:pPr>
              <w:jc w:val="center"/>
              <w:rPr>
                <w:bCs/>
              </w:rPr>
            </w:pPr>
            <w:r w:rsidRPr="008E6098">
              <w:rPr>
                <w:bCs/>
              </w:rPr>
              <w:t>1.</w:t>
            </w:r>
          </w:p>
        </w:tc>
        <w:tc>
          <w:tcPr>
            <w:tcW w:w="1366" w:type="pct"/>
            <w:vAlign w:val="center"/>
          </w:tcPr>
          <w:p w:rsidR="00776778" w:rsidRPr="008E6098" w:rsidP="00EE2EB6" w14:paraId="33A02B20" w14:textId="77777777">
            <w:pPr>
              <w:rPr>
                <w:lang w:eastAsia="en-US"/>
              </w:rPr>
            </w:pPr>
            <w:r w:rsidRPr="008E6098">
              <w:rPr>
                <w:lang w:eastAsia="en-US"/>
              </w:rPr>
              <w:t>Saistības pret Eiropas Savienību</w:t>
            </w:r>
          </w:p>
        </w:tc>
        <w:tc>
          <w:tcPr>
            <w:tcW w:w="3379" w:type="pct"/>
            <w:vAlign w:val="center"/>
          </w:tcPr>
          <w:p w:rsidR="00776778" w:rsidRPr="008E6098" w:rsidP="00EE2EB6" w14:paraId="22A33747" w14:textId="7DE78B0F">
            <w:pPr>
              <w:jc w:val="both"/>
              <w:rPr>
                <w:bCs/>
              </w:rPr>
            </w:pPr>
            <w:r>
              <w:t>Direktīva</w:t>
            </w:r>
            <w:r w:rsidR="000D37A0">
              <w:t>s</w:t>
            </w:r>
            <w:r>
              <w:t xml:space="preserve"> </w:t>
            </w:r>
            <w:r>
              <w:rPr>
                <w:bCs/>
                <w:shd w:val="clear" w:color="auto" w:fill="FFFFFF"/>
              </w:rPr>
              <w:t xml:space="preserve">2014/89/ES prasības ir pilnībā pārņemtas nacionālajā tiesību sistēmā ar </w:t>
            </w:r>
            <w:r>
              <w:rPr>
                <w:bCs/>
                <w:shd w:val="clear" w:color="auto" w:fill="FFFFFF"/>
              </w:rPr>
              <w:t>2012.gada</w:t>
            </w:r>
            <w:r>
              <w:rPr>
                <w:bCs/>
                <w:shd w:val="clear" w:color="auto" w:fill="FFFFFF"/>
              </w:rPr>
              <w:t xml:space="preserve"> 30.oktobra Ministru kabineta noteikumiem Nr.740 “’Jūras plānojuma izstrādes, ieviešanas un uzraudzības kārtība”. Projekta īstenošana palīdzēs labāk ieviest </w:t>
            </w:r>
            <w:r>
              <w:t xml:space="preserve">Direktīvas </w:t>
            </w:r>
            <w:r>
              <w:rPr>
                <w:bCs/>
                <w:shd w:val="clear" w:color="auto" w:fill="FFFFFF"/>
              </w:rPr>
              <w:t xml:space="preserve">2014/89/ES 10.un </w:t>
            </w:r>
            <w:r>
              <w:rPr>
                <w:bCs/>
                <w:shd w:val="clear" w:color="auto" w:fill="FFFFFF"/>
              </w:rPr>
              <w:t>11.pantu</w:t>
            </w:r>
            <w:r>
              <w:rPr>
                <w:bCs/>
                <w:shd w:val="clear" w:color="auto" w:fill="FFFFFF"/>
              </w:rPr>
              <w:t>, veicinot sadarbību un datu apmaiņu jūras telpiskajā plānošanā starp dalībvalstīm Baltijas jūras reģionā</w:t>
            </w:r>
          </w:p>
        </w:tc>
      </w:tr>
      <w:tr w14:paraId="4E5DBBA3" w14:textId="77777777" w:rsidTr="00776778">
        <w:tblPrEx>
          <w:tblW w:w="5002" w:type="pct"/>
          <w:tblInd w:w="-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  <w:trHeight w:val="135"/>
        </w:trPr>
        <w:tc>
          <w:tcPr>
            <w:tcW w:w="255" w:type="pct"/>
            <w:vAlign w:val="center"/>
          </w:tcPr>
          <w:p w:rsidR="00776778" w:rsidRPr="008E6098" w:rsidP="00EE2EB6" w14:paraId="28F15C8D" w14:textId="77777777">
            <w:pPr>
              <w:jc w:val="center"/>
              <w:rPr>
                <w:bCs/>
              </w:rPr>
            </w:pPr>
            <w:r w:rsidRPr="008E6098">
              <w:rPr>
                <w:bCs/>
              </w:rPr>
              <w:t>2.</w:t>
            </w:r>
          </w:p>
        </w:tc>
        <w:tc>
          <w:tcPr>
            <w:tcW w:w="1366" w:type="pct"/>
            <w:vAlign w:val="center"/>
          </w:tcPr>
          <w:p w:rsidR="00776778" w:rsidRPr="008E6098" w:rsidP="00EE2EB6" w14:paraId="4E78663D" w14:textId="77777777">
            <w:pPr>
              <w:rPr>
                <w:lang w:eastAsia="en-US"/>
              </w:rPr>
            </w:pPr>
            <w:r w:rsidRPr="008E6098">
              <w:rPr>
                <w:lang w:eastAsia="en-US"/>
              </w:rPr>
              <w:t>Citas starptautiskās saistības</w:t>
            </w:r>
          </w:p>
        </w:tc>
        <w:tc>
          <w:tcPr>
            <w:tcW w:w="3379" w:type="pct"/>
            <w:vAlign w:val="center"/>
          </w:tcPr>
          <w:p w:rsidR="00776778" w:rsidRPr="008E6098" w:rsidP="00EE2EB6" w14:paraId="7BF703E7" w14:textId="77777777">
            <w:pPr>
              <w:jc w:val="center"/>
              <w:rPr>
                <w:bCs/>
              </w:rPr>
            </w:pPr>
            <w:r w:rsidRPr="00C86E1D">
              <w:t>Projekts šo jomu neskar.</w:t>
            </w:r>
          </w:p>
        </w:tc>
      </w:tr>
      <w:tr w14:paraId="315C3742" w14:textId="77777777" w:rsidTr="00776778">
        <w:tblPrEx>
          <w:tblW w:w="5002" w:type="pct"/>
          <w:tblInd w:w="-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  <w:trHeight w:val="135"/>
        </w:trPr>
        <w:tc>
          <w:tcPr>
            <w:tcW w:w="255" w:type="pct"/>
            <w:vAlign w:val="center"/>
          </w:tcPr>
          <w:p w:rsidR="00776778" w:rsidRPr="008E6098" w:rsidP="00EE2EB6" w14:paraId="7CF44CD4" w14:textId="77777777">
            <w:pPr>
              <w:jc w:val="center"/>
              <w:rPr>
                <w:bCs/>
              </w:rPr>
            </w:pPr>
            <w:r w:rsidRPr="008E6098">
              <w:rPr>
                <w:bCs/>
              </w:rPr>
              <w:t>3.</w:t>
            </w:r>
          </w:p>
        </w:tc>
        <w:tc>
          <w:tcPr>
            <w:tcW w:w="1366" w:type="pct"/>
            <w:vAlign w:val="center"/>
          </w:tcPr>
          <w:p w:rsidR="00776778" w:rsidRPr="008E6098" w:rsidP="00EE2EB6" w14:paraId="43346171" w14:textId="77777777">
            <w:pPr>
              <w:rPr>
                <w:lang w:eastAsia="en-US"/>
              </w:rPr>
            </w:pPr>
            <w:r w:rsidRPr="008E6098">
              <w:rPr>
                <w:lang w:eastAsia="en-US"/>
              </w:rPr>
              <w:t>Cita informācija</w:t>
            </w:r>
          </w:p>
        </w:tc>
        <w:tc>
          <w:tcPr>
            <w:tcW w:w="3379" w:type="pct"/>
            <w:vAlign w:val="center"/>
          </w:tcPr>
          <w:p w:rsidR="00776778" w:rsidRPr="008E6098" w:rsidP="00EE2EB6" w14:paraId="4B8B12C7" w14:textId="77777777">
            <w:pPr>
              <w:jc w:val="center"/>
              <w:rPr>
                <w:bCs/>
              </w:rPr>
            </w:pPr>
            <w:r>
              <w:rPr>
                <w:bCs/>
              </w:rPr>
              <w:t>Nav</w:t>
            </w:r>
          </w:p>
        </w:tc>
      </w:tr>
    </w:tbl>
    <w:p w:rsidR="00BD5588" w:rsidRPr="00C86E1D" w:rsidP="00604DC3" w14:paraId="492E430F" w14:textId="77777777">
      <w:pPr>
        <w:pStyle w:val="Title"/>
        <w:spacing w:before="130" w:line="260" w:lineRule="exact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66"/>
      </w:tblGrid>
      <w:tr w14:paraId="46644072" w14:textId="77777777" w:rsidTr="00EF6BFB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5000" w:type="pct"/>
            <w:vAlign w:val="center"/>
            <w:hideMark/>
          </w:tcPr>
          <w:p w:rsidR="00BD5588" w:rsidRPr="00C86E1D" w:rsidP="00EF6BFB" w14:paraId="0ECF6BB9" w14:textId="77777777">
            <w:pPr>
              <w:jc w:val="center"/>
              <w:rPr>
                <w:b/>
                <w:bCs/>
              </w:rPr>
            </w:pPr>
            <w:r w:rsidRPr="00C86E1D">
              <w:rPr>
                <w:b/>
                <w:bCs/>
              </w:rPr>
              <w:t>VI. Sabiedrības līdzdalība un komunikācijas aktivitātes</w:t>
            </w:r>
          </w:p>
        </w:tc>
      </w:tr>
      <w:tr w14:paraId="45CB505F" w14:textId="77777777" w:rsidTr="009C3155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5000" w:type="pct"/>
          </w:tcPr>
          <w:p w:rsidR="009C3155" w:rsidRPr="00C86E1D" w:rsidP="00F66D78" w14:paraId="37C96F9B" w14:textId="71EBD2E8">
            <w:pPr>
              <w:jc w:val="center"/>
            </w:pPr>
            <w:r w:rsidRPr="00C86E1D">
              <w:t>Projekts šo jomu neskar</w:t>
            </w:r>
          </w:p>
        </w:tc>
      </w:tr>
    </w:tbl>
    <w:p w:rsidR="00BD5588" w:rsidRPr="00C86E1D" w:rsidP="00BD5588" w14:paraId="2750C1FE" w14:textId="48C42AD5">
      <w:pPr>
        <w:pStyle w:val="Title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0"/>
        <w:gridCol w:w="2475"/>
        <w:gridCol w:w="5371"/>
      </w:tblGrid>
      <w:tr w14:paraId="069B3BF0" w14:textId="77777777" w:rsidTr="00EF6BFB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5000" w:type="pct"/>
            <w:gridSpan w:val="3"/>
            <w:vAlign w:val="center"/>
            <w:hideMark/>
          </w:tcPr>
          <w:p w:rsidR="00BD5588" w:rsidRPr="00C86E1D" w:rsidP="00EF6BFB" w14:paraId="602F0337" w14:textId="77777777">
            <w:pPr>
              <w:jc w:val="center"/>
              <w:rPr>
                <w:b/>
                <w:bCs/>
              </w:rPr>
            </w:pPr>
            <w:r w:rsidRPr="00C86E1D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14:paraId="700F3FB8" w14:textId="77777777" w:rsidTr="00EF6BFB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311" w:type="pct"/>
            <w:hideMark/>
          </w:tcPr>
          <w:p w:rsidR="00BD5588" w:rsidRPr="00C86E1D" w:rsidP="00EF6BFB" w14:paraId="0C570955" w14:textId="77777777">
            <w:pPr>
              <w:jc w:val="center"/>
            </w:pPr>
            <w:r w:rsidRPr="00C86E1D">
              <w:t>1.</w:t>
            </w:r>
          </w:p>
        </w:tc>
        <w:tc>
          <w:tcPr>
            <w:tcW w:w="1479" w:type="pct"/>
            <w:hideMark/>
          </w:tcPr>
          <w:p w:rsidR="00BD5588" w:rsidRPr="00C86E1D" w:rsidP="00EF6BFB" w14:paraId="020DBCA0" w14:textId="77777777">
            <w:r w:rsidRPr="00C86E1D">
              <w:t>Projekta izpildē iesaistītās institūcijas</w:t>
            </w:r>
          </w:p>
        </w:tc>
        <w:tc>
          <w:tcPr>
            <w:tcW w:w="3210" w:type="pct"/>
            <w:hideMark/>
          </w:tcPr>
          <w:p w:rsidR="00BD5588" w:rsidRPr="00C86E1D" w:rsidP="00EF6BFB" w14:paraId="640A092F" w14:textId="77777777">
            <w:r w:rsidRPr="00C86E1D">
              <w:t>VARAM</w:t>
            </w:r>
          </w:p>
        </w:tc>
      </w:tr>
      <w:tr w14:paraId="50B12726" w14:textId="77777777" w:rsidTr="00EF6BFB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311" w:type="pct"/>
            <w:hideMark/>
          </w:tcPr>
          <w:p w:rsidR="00BD5588" w:rsidRPr="00C86E1D" w:rsidP="00EF6BFB" w14:paraId="140C590D" w14:textId="77777777">
            <w:pPr>
              <w:jc w:val="center"/>
            </w:pPr>
            <w:r w:rsidRPr="00C86E1D">
              <w:t>2.</w:t>
            </w:r>
          </w:p>
        </w:tc>
        <w:tc>
          <w:tcPr>
            <w:tcW w:w="1479" w:type="pct"/>
            <w:hideMark/>
          </w:tcPr>
          <w:p w:rsidR="00BD5588" w:rsidRPr="00C86E1D" w:rsidP="00EF6BFB" w14:paraId="38C10E15" w14:textId="77777777">
            <w:r w:rsidRPr="00C86E1D">
              <w:t>Projekta izpildes ietekme uz pārvaldes funkcijām un institucionālo struktūru.</w:t>
            </w:r>
            <w:r w:rsidRPr="00C86E1D"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210" w:type="pct"/>
            <w:hideMark/>
          </w:tcPr>
          <w:p w:rsidR="00F14D10" w:rsidRPr="00C86E1D" w:rsidP="00F14D10" w14:paraId="6146049B" w14:textId="77777777">
            <w:pPr>
              <w:ind w:right="57"/>
              <w:jc w:val="both"/>
              <w:rPr>
                <w:bCs/>
              </w:rPr>
            </w:pPr>
            <w:r w:rsidRPr="00C86E1D">
              <w:rPr>
                <w:bCs/>
              </w:rPr>
              <w:t>Projekts neietekmē iesaistīto institūciju funkcijas un uzdevumus.</w:t>
            </w:r>
          </w:p>
          <w:p w:rsidR="00F14D10" w:rsidRPr="00C86E1D" w:rsidP="00CB22F5" w14:paraId="562BAB5D" w14:textId="77777777">
            <w:pPr>
              <w:pStyle w:val="naiskr"/>
              <w:spacing w:before="0" w:after="0"/>
              <w:jc w:val="both"/>
              <w:rPr>
                <w:iCs/>
              </w:rPr>
            </w:pPr>
          </w:p>
          <w:p w:rsidR="00CB22F5" w:rsidRPr="00C86E1D" w:rsidP="00CB22F5" w14:paraId="6926E952" w14:textId="3B0EF807">
            <w:pPr>
              <w:pStyle w:val="naiskr"/>
              <w:spacing w:before="0" w:after="0"/>
              <w:jc w:val="both"/>
              <w:rPr>
                <w:iCs/>
              </w:rPr>
            </w:pPr>
            <w:r w:rsidRPr="00C86E1D">
              <w:rPr>
                <w:iCs/>
              </w:rPr>
              <w:t xml:space="preserve">Netiek paredzēta jaunu institūciju izveide, esošo institūciju reorganizācija vai likvidācija. </w:t>
            </w:r>
          </w:p>
          <w:p w:rsidR="00BD5588" w:rsidRPr="00C86E1D" w:rsidP="00EF6BFB" w14:paraId="14D1D3A5" w14:textId="5D8E35FD"/>
        </w:tc>
      </w:tr>
      <w:tr w14:paraId="040F5975" w14:textId="77777777" w:rsidTr="00EF6BFB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311" w:type="pct"/>
            <w:hideMark/>
          </w:tcPr>
          <w:p w:rsidR="00BD5588" w:rsidRPr="00C86E1D" w:rsidP="00EF6BFB" w14:paraId="3737BE36" w14:textId="77777777">
            <w:pPr>
              <w:jc w:val="center"/>
            </w:pPr>
            <w:r w:rsidRPr="00C86E1D">
              <w:t>3.</w:t>
            </w:r>
          </w:p>
        </w:tc>
        <w:tc>
          <w:tcPr>
            <w:tcW w:w="1479" w:type="pct"/>
            <w:hideMark/>
          </w:tcPr>
          <w:p w:rsidR="00BD5588" w:rsidRPr="00C86E1D" w:rsidP="00EF6BFB" w14:paraId="7088FC8C" w14:textId="77777777">
            <w:r w:rsidRPr="00C86E1D">
              <w:t>Cita informācija</w:t>
            </w:r>
          </w:p>
        </w:tc>
        <w:tc>
          <w:tcPr>
            <w:tcW w:w="3210" w:type="pct"/>
            <w:hideMark/>
          </w:tcPr>
          <w:p w:rsidR="00BD5588" w:rsidRPr="00C86E1D" w:rsidP="00604DC3" w14:paraId="524D8C61" w14:textId="77777777">
            <w:r w:rsidRPr="00C86E1D">
              <w:t>Nav</w:t>
            </w:r>
          </w:p>
        </w:tc>
      </w:tr>
    </w:tbl>
    <w:p w:rsidR="00E44472" w14:paraId="5BE7866A" w14:textId="77777777"/>
    <w:p w:rsidR="00836916" w:rsidRPr="00C86E1D" w14:paraId="50169B7F" w14:textId="77777777"/>
    <w:p w:rsidR="001B61B8" w:rsidRPr="00C86E1D" w:rsidP="001B61B8" w14:paraId="5C1C7117" w14:textId="77777777">
      <w:r w:rsidRPr="00C86E1D">
        <w:t xml:space="preserve">Vides aizsardzības un </w:t>
      </w:r>
    </w:p>
    <w:p w:rsidR="001B61B8" w:rsidRPr="00C86E1D" w:rsidP="001B61B8" w14:paraId="4A2B5E5D" w14:textId="33BA14C9">
      <w:r w:rsidRPr="00C86E1D">
        <w:t>reģionālās attīstības ministrs</w:t>
      </w:r>
      <w:r w:rsidRPr="00C86E1D">
        <w:tab/>
      </w:r>
      <w:r w:rsidRPr="00C86E1D">
        <w:tab/>
      </w:r>
      <w:r w:rsidRPr="00C86E1D">
        <w:tab/>
      </w:r>
      <w:r w:rsidRPr="00C86E1D">
        <w:tab/>
      </w:r>
      <w:r w:rsidRPr="00C86E1D" w:rsidR="00CB22F5">
        <w:t xml:space="preserve"> </w:t>
      </w:r>
      <w:r w:rsidRPr="00C86E1D" w:rsidR="00861F3C">
        <w:tab/>
      </w:r>
      <w:r w:rsidRPr="00C86E1D">
        <w:t xml:space="preserve">Kaspars Gerhards </w:t>
      </w:r>
    </w:p>
    <w:p w:rsidR="001B61B8" w:rsidRPr="00C86E1D" w:rsidP="001B61B8" w14:paraId="7CCFFBE9" w14:textId="77777777"/>
    <w:p w:rsidR="00861F3C" w:rsidRPr="00C86E1D" w:rsidP="00861F3C" w14:paraId="52000996" w14:textId="77777777"/>
    <w:p w:rsidR="00861F3C" w:rsidRPr="00C86E1D" w:rsidP="00861F3C" w14:paraId="667CA7B7" w14:textId="77777777"/>
    <w:p w:rsidR="00861F3C" w:rsidRPr="00C86E1D" w:rsidP="00861F3C" w14:paraId="573B0AB8" w14:textId="77777777"/>
    <w:p w:rsidR="00861F3C" w:rsidRPr="00C86E1D" w:rsidP="001B61B8" w14:paraId="1F4C2F34" w14:textId="77777777"/>
    <w:p w:rsidR="00861F3C" w:rsidRPr="00C86E1D" w:rsidP="001B61B8" w14:paraId="48BBAD9D" w14:textId="77777777"/>
    <w:p w:rsidR="00861F3C" w:rsidRPr="00C86E1D" w:rsidP="001B61B8" w14:paraId="5F449EE1" w14:textId="77777777"/>
    <w:p w:rsidR="00861F3C" w:rsidRPr="00C86E1D" w:rsidP="001B61B8" w14:paraId="668FF88D" w14:textId="77777777"/>
    <w:p w:rsidR="00861F3C" w:rsidRPr="00C86E1D" w:rsidP="001B61B8" w14:paraId="3C3F18C2" w14:textId="77777777"/>
    <w:p w:rsidR="00861F3C" w:rsidRPr="00C86E1D" w:rsidP="00861F3C" w14:paraId="7A44C420" w14:textId="77777777">
      <w:pPr>
        <w:rPr>
          <w:sz w:val="20"/>
          <w:szCs w:val="20"/>
        </w:rPr>
      </w:pPr>
      <w:r w:rsidRPr="00C86E1D">
        <w:rPr>
          <w:sz w:val="20"/>
          <w:szCs w:val="20"/>
        </w:rPr>
        <w:t>K.Kedo, 67026558,</w:t>
      </w:r>
    </w:p>
    <w:p w:rsidR="00861F3C" w:rsidRPr="00C86E1D" w:rsidP="00861F3C" w14:paraId="3B24EA53" w14:textId="77777777">
      <w:pPr>
        <w:rPr>
          <w:sz w:val="20"/>
          <w:szCs w:val="20"/>
        </w:rPr>
      </w:pPr>
      <w:r w:rsidRPr="00C86E1D">
        <w:rPr>
          <w:sz w:val="20"/>
          <w:szCs w:val="20"/>
        </w:rPr>
        <w:t>kristine.kedo@varam.gov.lv</w:t>
      </w:r>
    </w:p>
    <w:p w:rsidR="00604DC3" w:rsidRPr="00C86E1D" w14:paraId="123E3ECF" w14:textId="77777777"/>
    <w:sectPr>
      <w:footerReference w:type="default" r:id="rId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449A" w:rsidP="00EE2EB6" w14:paraId="5AE9F3AC" w14:textId="77777777">
    <w:pPr>
      <w:widowControl w:val="0"/>
      <w:tabs>
        <w:tab w:val="center" w:pos="4320"/>
        <w:tab w:val="right" w:pos="8640"/>
      </w:tabs>
      <w:jc w:val="both"/>
      <w:rPr>
        <w:rFonts w:eastAsia="Calibri"/>
        <w:sz w:val="20"/>
        <w:szCs w:val="20"/>
        <w:lang w:eastAsia="en-US"/>
      </w:rPr>
    </w:pPr>
  </w:p>
  <w:p w:rsidR="0023449A" w:rsidRPr="00EE2EB6" w:rsidP="00EE2EB6" w14:paraId="57BB3B85" w14:textId="04D83993">
    <w:pPr>
      <w:widowControl w:val="0"/>
      <w:tabs>
        <w:tab w:val="center" w:pos="4320"/>
        <w:tab w:val="right" w:pos="8640"/>
      </w:tabs>
      <w:jc w:val="both"/>
      <w:rPr>
        <w:rFonts w:eastAsia="Calibri"/>
        <w:sz w:val="20"/>
        <w:szCs w:val="20"/>
        <w:lang w:eastAsia="en-US"/>
      </w:rPr>
    </w:pPr>
    <w:r w:rsidRPr="00EE2EB6">
      <w:rPr>
        <w:rFonts w:eastAsia="Calibri"/>
        <w:sz w:val="20"/>
        <w:szCs w:val="20"/>
        <w:lang w:eastAsia="en-US"/>
      </w:rPr>
      <w:t>VARAM</w:t>
    </w:r>
    <w:r>
      <w:rPr>
        <w:rFonts w:eastAsia="Calibri"/>
        <w:sz w:val="20"/>
        <w:szCs w:val="20"/>
        <w:lang w:eastAsia="en-US"/>
      </w:rPr>
      <w:t>Anot</w:t>
    </w:r>
    <w:r w:rsidRPr="00EE2EB6">
      <w:rPr>
        <w:rFonts w:eastAsia="Calibri"/>
        <w:sz w:val="20"/>
        <w:szCs w:val="20"/>
        <w:lang w:eastAsia="en-US"/>
      </w:rPr>
      <w:t>_BalticSCOPE2_260318; Par papildu valsts budžeta saistību uzņemšanos saistībā ar Eiropas Mazo un vidējo uzņēmumu izpildaģentūras apstiprināto Eiropas Savienības Jūrlietu un zivsaimniecības fonda līdzfinansēto projektu “EASME/EMFF/2016/1.2.1.6 - Jūras telpiskā plānošana”</w:t>
    </w:r>
  </w:p>
  <w:sdt>
    <w:sdtPr>
      <w:id w:val="1655733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449A" w:rsidP="00EE2EB6" w14:paraId="42CC2C3D" w14:textId="3D0A51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2B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C1B26CD"/>
    <w:multiLevelType w:val="hybridMultilevel"/>
    <w:tmpl w:val="60122E7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5827145D"/>
    <w:multiLevelType w:val="hybridMultilevel"/>
    <w:tmpl w:val="A7FE24E4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5B564B23"/>
    <w:multiLevelType w:val="hybridMultilevel"/>
    <w:tmpl w:val="4A9EF014"/>
    <w:lvl w:ilvl="0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88"/>
    <w:rsid w:val="00083080"/>
    <w:rsid w:val="000D37A0"/>
    <w:rsid w:val="000D797F"/>
    <w:rsid w:val="00123DD3"/>
    <w:rsid w:val="00134727"/>
    <w:rsid w:val="00135087"/>
    <w:rsid w:val="0016557B"/>
    <w:rsid w:val="00183BE5"/>
    <w:rsid w:val="001B61B8"/>
    <w:rsid w:val="001C428D"/>
    <w:rsid w:val="002003E0"/>
    <w:rsid w:val="00204DE3"/>
    <w:rsid w:val="00221FC5"/>
    <w:rsid w:val="00223EE0"/>
    <w:rsid w:val="0023449A"/>
    <w:rsid w:val="002618AB"/>
    <w:rsid w:val="002A5B94"/>
    <w:rsid w:val="002E0317"/>
    <w:rsid w:val="00310B11"/>
    <w:rsid w:val="00361799"/>
    <w:rsid w:val="003B6682"/>
    <w:rsid w:val="003D50EA"/>
    <w:rsid w:val="003E1AF2"/>
    <w:rsid w:val="003E60A3"/>
    <w:rsid w:val="004308FE"/>
    <w:rsid w:val="0044117E"/>
    <w:rsid w:val="0044166D"/>
    <w:rsid w:val="00460EE4"/>
    <w:rsid w:val="004631CD"/>
    <w:rsid w:val="00472D30"/>
    <w:rsid w:val="00544010"/>
    <w:rsid w:val="00551778"/>
    <w:rsid w:val="00564F8F"/>
    <w:rsid w:val="005A1CFC"/>
    <w:rsid w:val="005F2E0C"/>
    <w:rsid w:val="005F6180"/>
    <w:rsid w:val="00604DC3"/>
    <w:rsid w:val="00654658"/>
    <w:rsid w:val="0066798D"/>
    <w:rsid w:val="006847AA"/>
    <w:rsid w:val="007150D0"/>
    <w:rsid w:val="00723E07"/>
    <w:rsid w:val="00776778"/>
    <w:rsid w:val="00797E65"/>
    <w:rsid w:val="007C07C1"/>
    <w:rsid w:val="00830F26"/>
    <w:rsid w:val="00833227"/>
    <w:rsid w:val="00836916"/>
    <w:rsid w:val="008451AE"/>
    <w:rsid w:val="008537B3"/>
    <w:rsid w:val="00861F3C"/>
    <w:rsid w:val="008723AC"/>
    <w:rsid w:val="008A6A72"/>
    <w:rsid w:val="008E6098"/>
    <w:rsid w:val="008E6898"/>
    <w:rsid w:val="00906FC5"/>
    <w:rsid w:val="009463E0"/>
    <w:rsid w:val="00992127"/>
    <w:rsid w:val="00993905"/>
    <w:rsid w:val="009966C1"/>
    <w:rsid w:val="009A7F15"/>
    <w:rsid w:val="009C3155"/>
    <w:rsid w:val="009C67EB"/>
    <w:rsid w:val="009E24B5"/>
    <w:rsid w:val="00A07A03"/>
    <w:rsid w:val="00A41E0F"/>
    <w:rsid w:val="00A672B0"/>
    <w:rsid w:val="00A81085"/>
    <w:rsid w:val="00A90D56"/>
    <w:rsid w:val="00AC3443"/>
    <w:rsid w:val="00AF6655"/>
    <w:rsid w:val="00B0671F"/>
    <w:rsid w:val="00B1792B"/>
    <w:rsid w:val="00B4023D"/>
    <w:rsid w:val="00B805C2"/>
    <w:rsid w:val="00B82966"/>
    <w:rsid w:val="00B94112"/>
    <w:rsid w:val="00BC163A"/>
    <w:rsid w:val="00BD5588"/>
    <w:rsid w:val="00C06A94"/>
    <w:rsid w:val="00C349B5"/>
    <w:rsid w:val="00C50F1B"/>
    <w:rsid w:val="00C86E1D"/>
    <w:rsid w:val="00CB22F5"/>
    <w:rsid w:val="00CC7185"/>
    <w:rsid w:val="00CD093D"/>
    <w:rsid w:val="00CE45D7"/>
    <w:rsid w:val="00D065B9"/>
    <w:rsid w:val="00D7285B"/>
    <w:rsid w:val="00D80C93"/>
    <w:rsid w:val="00DA31AF"/>
    <w:rsid w:val="00DA3B05"/>
    <w:rsid w:val="00DD20F5"/>
    <w:rsid w:val="00E346F2"/>
    <w:rsid w:val="00E44472"/>
    <w:rsid w:val="00EA1CCD"/>
    <w:rsid w:val="00EB38C0"/>
    <w:rsid w:val="00EB7BBE"/>
    <w:rsid w:val="00EE11A0"/>
    <w:rsid w:val="00EE2EB6"/>
    <w:rsid w:val="00EF6BFB"/>
    <w:rsid w:val="00F14D10"/>
    <w:rsid w:val="00F36068"/>
    <w:rsid w:val="00F66D78"/>
    <w:rsid w:val="00FA2AA6"/>
    <w:rsid w:val="00FA4BFB"/>
    <w:rsid w:val="00FF27B9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542BBAD-DC7E-4428-8D7C-E953B124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5588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D5588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D55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5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5D7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CE45D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966C1"/>
    <w:rPr>
      <w:rFonts w:ascii="Calibri" w:hAnsi="Calibri" w:eastAsiaTheme="minorHAns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966C1"/>
    <w:rPr>
      <w:rFonts w:ascii="Calibri" w:hAnsi="Calibri" w:cs="Calibri"/>
    </w:rPr>
  </w:style>
  <w:style w:type="paragraph" w:customStyle="1" w:styleId="naiskr">
    <w:name w:val="naiskr"/>
    <w:basedOn w:val="Normal"/>
    <w:rsid w:val="006847AA"/>
    <w:pPr>
      <w:spacing w:before="75" w:after="75"/>
    </w:pPr>
  </w:style>
  <w:style w:type="character" w:styleId="CommentReference">
    <w:name w:val="annotation reference"/>
    <w:basedOn w:val="DefaultParagraphFont"/>
    <w:uiPriority w:val="99"/>
    <w:semiHidden/>
    <w:unhideWhenUsed/>
    <w:rsid w:val="00B8296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829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296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96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728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85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728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85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CB22F5"/>
    <w:pPr>
      <w:spacing w:before="100" w:beforeAutospacing="1" w:after="100" w:afterAutospacing="1"/>
    </w:pPr>
  </w:style>
  <w:style w:type="paragraph" w:customStyle="1" w:styleId="tvhtml">
    <w:name w:val="tv_html"/>
    <w:basedOn w:val="Normal"/>
    <w:rsid w:val="00CB22F5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CB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72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19AD5-0605-4153-B37E-95502A3F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6012</Words>
  <Characters>3428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Madars Laurs</cp:lastModifiedBy>
  <cp:revision>10</cp:revision>
  <cp:lastPrinted>2018-03-05T12:31:00Z</cp:lastPrinted>
  <dcterms:created xsi:type="dcterms:W3CDTF">2018-03-22T08:16:00Z</dcterms:created>
  <dcterms:modified xsi:type="dcterms:W3CDTF">2018-03-28T08:44:00Z</dcterms:modified>
</cp:coreProperties>
</file>