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337D" w14:textId="6E5D22F4" w:rsidR="0071522A" w:rsidRPr="00AF292E" w:rsidRDefault="0071522A" w:rsidP="00AF292E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5707818" w14:textId="77777777" w:rsidR="00352521" w:rsidRPr="00AF292E" w:rsidRDefault="00352521" w:rsidP="00AF292E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4A828FB" w14:textId="761CA1B8" w:rsidR="00AF292E" w:rsidRPr="00AF292E" w:rsidRDefault="00AF292E" w:rsidP="00AF292E">
      <w:pPr>
        <w:tabs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292E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7C12AF" w:rsidRPr="007C12AF">
        <w:rPr>
          <w:rFonts w:ascii="Times New Roman" w:hAnsi="Times New Roman" w:cs="Times New Roman"/>
          <w:sz w:val="28"/>
          <w:szCs w:val="28"/>
        </w:rPr>
        <w:t>29. maijā</w:t>
      </w:r>
      <w:r w:rsidRPr="00AF292E">
        <w:rPr>
          <w:rFonts w:ascii="Times New Roman" w:hAnsi="Times New Roman" w:cs="Times New Roman"/>
          <w:sz w:val="28"/>
          <w:szCs w:val="28"/>
        </w:rPr>
        <w:tab/>
        <w:t>Rīkojums Nr.</w:t>
      </w:r>
      <w:r w:rsidR="007C12AF">
        <w:rPr>
          <w:rFonts w:ascii="Times New Roman" w:hAnsi="Times New Roman" w:cs="Times New Roman"/>
          <w:sz w:val="28"/>
          <w:szCs w:val="28"/>
        </w:rPr>
        <w:t> 237</w:t>
      </w:r>
    </w:p>
    <w:p w14:paraId="1238EC85" w14:textId="04A5F226" w:rsidR="00AF292E" w:rsidRPr="00AF292E" w:rsidRDefault="00AF292E" w:rsidP="00AF292E">
      <w:pPr>
        <w:tabs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F292E">
        <w:rPr>
          <w:rFonts w:ascii="Times New Roman" w:hAnsi="Times New Roman" w:cs="Times New Roman"/>
          <w:sz w:val="28"/>
          <w:szCs w:val="28"/>
        </w:rPr>
        <w:t>Rīgā</w:t>
      </w:r>
      <w:r w:rsidRPr="00AF292E">
        <w:rPr>
          <w:rFonts w:ascii="Times New Roman" w:hAnsi="Times New Roman" w:cs="Times New Roman"/>
          <w:sz w:val="28"/>
          <w:szCs w:val="28"/>
        </w:rPr>
        <w:tab/>
        <w:t>(prot. Nr. </w:t>
      </w:r>
      <w:r w:rsidR="007C12AF">
        <w:rPr>
          <w:rFonts w:ascii="Times New Roman" w:hAnsi="Times New Roman" w:cs="Times New Roman"/>
          <w:sz w:val="28"/>
          <w:szCs w:val="28"/>
        </w:rPr>
        <w:t>26</w:t>
      </w:r>
      <w:r w:rsidRPr="00AF292E">
        <w:rPr>
          <w:rFonts w:ascii="Times New Roman" w:hAnsi="Times New Roman" w:cs="Times New Roman"/>
          <w:sz w:val="28"/>
          <w:szCs w:val="28"/>
        </w:rPr>
        <w:t> </w:t>
      </w:r>
      <w:r w:rsidR="007C12A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AF292E">
        <w:rPr>
          <w:rFonts w:ascii="Times New Roman" w:hAnsi="Times New Roman" w:cs="Times New Roman"/>
          <w:sz w:val="28"/>
          <w:szCs w:val="28"/>
        </w:rPr>
        <w:t>. §)</w:t>
      </w:r>
    </w:p>
    <w:p w14:paraId="2AEF35AF" w14:textId="77777777" w:rsidR="000F14C2" w:rsidRPr="00AF292E" w:rsidRDefault="000F14C2" w:rsidP="00AF292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2AEF35B0" w14:textId="42F07DF1" w:rsidR="00092694" w:rsidRDefault="0071522A" w:rsidP="00AF29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OLE_LINK5"/>
      <w:bookmarkStart w:id="2" w:name="OLE_LINK6"/>
      <w:r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Grozījum</w:t>
      </w:r>
      <w:r w:rsidR="002F60C4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Ministru kabineta 2016</w:t>
      </w:r>
      <w:r w:rsidR="00AF292E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C0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F292E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ada 12</w:t>
      </w:r>
      <w:r w:rsidR="00AF292E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C0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F292E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FA0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ktobra rīkojumā Nr.</w:t>
      </w:r>
      <w:r w:rsidR="00AC0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FA0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593 "</w:t>
      </w:r>
      <w:r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Par Latvijas Republikas pārstāvju grupu Latvijas Republikas un Kazahstānas Republikas Starpvaldību komisijā ekonomiskās, zinātniskās un tehniskās sadarbības jautājumos</w:t>
      </w:r>
      <w:r w:rsidR="00AF292E" w:rsidRPr="00AF29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bookmarkEnd w:id="1"/>
      <w:bookmarkEnd w:id="2"/>
    </w:p>
    <w:p w14:paraId="5C115A0D" w14:textId="77777777" w:rsidR="00AF292E" w:rsidRPr="00AF292E" w:rsidRDefault="00AF292E" w:rsidP="00AF29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EF35B1" w14:textId="479C087B" w:rsidR="00502634" w:rsidRPr="00AF292E" w:rsidRDefault="0071522A" w:rsidP="00AF292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Izdarīt Ministru kabineta 2016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="005B63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da 12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</w:t>
      </w:r>
      <w:r w:rsidR="005B63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ktobra rīkojumā Nr.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5B63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593 </w:t>
      </w:r>
      <w:r w:rsidR="00FA09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Par Latvijas Republikas pārstāvju grupu Latvijas Republikas un Kazahstānas Republikas Starpvaldību komisijā ekonomiskās, zinātniskās un tehniskās sadarbības jautājumos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(Latvijas Vēstnesis, 2016, 199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n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r.) grozījumu </w:t>
      </w:r>
      <w:r w:rsidR="002F60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un izteikt 1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="002F60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unktu 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šād</w:t>
      </w:r>
      <w:r w:rsidR="002F60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ā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60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redakcijā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343A35A6" w14:textId="77777777" w:rsidR="00AF292E" w:rsidRDefault="00AF292E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2" w14:textId="76A2E442" w:rsidR="002F60C4" w:rsidRPr="00AF292E" w:rsidRDefault="00AF292E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Saskaņā ar 2004.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gada 8.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oktobrī Astanā (Kazahstānā) parakstītās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5ED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Latvijas Republikas valdības un Kazahstānas Republikas valdības vienošanās par ekonomisko, zinātnisko un tehnisko sadarbību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p6" w:tgtFrame="_blank" w:history="1">
        <w:r w:rsidR="0071522A" w:rsidRPr="00AF292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6.</w:t>
        </w:r>
        <w:r w:rsidR="00AC07B5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71522A" w:rsidRPr="00AF292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pantu</w:t>
        </w:r>
      </w:hyperlink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apstiprināt darbam Latvijas Republikas un Kazahstānas Republikas starpvaldību komisijā ekonomiskās, zinātniskās un tehniskās sadarbības jautājumos Latvijas Republikas pārstāvju grupu </w:t>
      </w:r>
      <w:proofErr w:type="gramStart"/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turpmāk </w:t>
      </w:r>
      <w:r w:rsidR="00AC0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1522A" w:rsidRPr="00AF2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pārstāvju grupa) šādā sastāvā:</w:t>
      </w:r>
    </w:p>
    <w:p w14:paraId="594F464F" w14:textId="77777777" w:rsidR="00AF292E" w:rsidRDefault="00AF292E" w:rsidP="00AF292E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3" w14:textId="65571862" w:rsidR="005E2F3A" w:rsidRPr="00AF292E" w:rsidRDefault="0071522A" w:rsidP="00AF292E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vadītājs</w:t>
      </w:r>
    </w:p>
    <w:p w14:paraId="008F3E7E" w14:textId="77777777" w:rsidR="00AF292E" w:rsidRDefault="00AF292E" w:rsidP="00AF292E">
      <w:pPr>
        <w:shd w:val="clear" w:color="auto" w:fill="FFFFFF"/>
        <w:spacing w:after="0" w:line="240" w:lineRule="auto"/>
        <w:ind w:left="-360" w:right="-1" w:firstLine="63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4" w14:textId="4BEEF49A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Augulis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satiksmes ministrs</w:t>
      </w:r>
    </w:p>
    <w:p w14:paraId="1AD3E1F1" w14:textId="77777777" w:rsidR="00AF292E" w:rsidRDefault="00AF292E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5" w14:textId="125D27FD" w:rsidR="005E2F3A" w:rsidRPr="00AF292E" w:rsidRDefault="0071522A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vadītāja vietnieks</w:t>
      </w:r>
    </w:p>
    <w:p w14:paraId="176F4279" w14:textId="77777777" w:rsidR="00AF292E" w:rsidRDefault="00AF292E" w:rsidP="00AF292E">
      <w:pPr>
        <w:shd w:val="clear" w:color="auto" w:fill="FFFFFF"/>
        <w:spacing w:after="0" w:line="240" w:lineRule="auto"/>
        <w:ind w:left="-360" w:right="-1" w:firstLine="63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6" w14:textId="5D28755F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Ē.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Eglītis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valsts sekretārs</w:t>
      </w:r>
    </w:p>
    <w:p w14:paraId="513A448A" w14:textId="77777777" w:rsidR="00AF292E" w:rsidRDefault="00AF292E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7" w14:textId="2255D0DC" w:rsidR="005E2F3A" w:rsidRPr="00AF292E" w:rsidRDefault="0071522A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locekļi:</w:t>
      </w:r>
    </w:p>
    <w:p w14:paraId="770FF49E" w14:textId="77777777" w:rsidR="00AF292E" w:rsidRDefault="00AF292E" w:rsidP="00AF292E">
      <w:pPr>
        <w:shd w:val="clear" w:color="auto" w:fill="FFFFFF"/>
        <w:spacing w:after="0" w:line="240" w:lineRule="auto"/>
        <w:ind w:left="270"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B8" w14:textId="292B2C7B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E. 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Dambekalne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Zemkopības ministrijas Starptautisko lietu un stratēģijas analīzes departamenta Starptautisko lietu nodaļas vadītāja vietniece</w:t>
      </w:r>
    </w:p>
    <w:p w14:paraId="2AEF35B9" w14:textId="2EA85D52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Jirgena-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Krokforda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Ārlietu ministrijas Pirmā divpusējo attiecību departamenta Austrumeiropas un Centrālāzijas valstu nodaļas pirmā sekretāre</w:t>
      </w:r>
    </w:p>
    <w:p w14:paraId="2AEF35BA" w14:textId="49D4130E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Lejiņa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Izglītības un zinātnes ministrijas valsts sekretāre</w:t>
      </w:r>
    </w:p>
    <w:p w14:paraId="2AEF35BB" w14:textId="22249CFF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Liepiņa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valsts sekretāra vietniece</w:t>
      </w:r>
    </w:p>
    <w:p w14:paraId="2AEF35BC" w14:textId="73AD6129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R.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Muciņš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Vides aizsardzības un reģionālās attīstības ministrijas valsts sekretārs</w:t>
      </w:r>
    </w:p>
    <w:p w14:paraId="2AEF35BD" w14:textId="0357E9A5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Ozoliņš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Satiksmes ministrijas valsts sekretārs</w:t>
      </w:r>
    </w:p>
    <w:p w14:paraId="2AEF35BE" w14:textId="569C71E8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Pogrebņaks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Latvijas Republikas ārkārtējais un pilnvarotais vēstnieks Kazahstānas Republikā</w:t>
      </w:r>
    </w:p>
    <w:p w14:paraId="2AEF35BF" w14:textId="2904162F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Reimanis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Satiksmes ministrijas valsts sekretāra vietnieks</w:t>
      </w:r>
    </w:p>
    <w:p w14:paraId="2AEF35C0" w14:textId="275CFC24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Šerna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Veselības ministrijas Eiropas lietu un starptautiskās sadarbības departamenta direktora vietniece </w:t>
      </w:r>
    </w:p>
    <w:p w14:paraId="2AEF35C1" w14:textId="778F50CE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Vahere-Abražune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Izglītības un zinātnes ministrijas Politikas iniciatīvu un attīstības departamenta direktora vietniece Eiropas Savienības un starptautiskās sadarbības jautājumos</w:t>
      </w:r>
    </w:p>
    <w:p w14:paraId="2AEF35C2" w14:textId="1F1EB02E" w:rsidR="005E2F3A" w:rsidRPr="00AF292E" w:rsidRDefault="0071522A" w:rsidP="00AF29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Ventere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Ārlietu ministrijas Ārējās tirdzniecības un ārējo ekonomisko sakaru veicināšanas departamenta Ārējo ekonomisko sakaru veicināšanas nodaļas vadītāja </w:t>
      </w:r>
    </w:p>
    <w:p w14:paraId="372B7A24" w14:textId="77777777" w:rsidR="00AF292E" w:rsidRDefault="00AF292E" w:rsidP="00AF292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C3" w14:textId="19F97CC4" w:rsidR="005E2F3A" w:rsidRDefault="0071522A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atbildīgā sekretāre</w:t>
      </w:r>
    </w:p>
    <w:p w14:paraId="13341BD6" w14:textId="77777777" w:rsidR="00AF292E" w:rsidRPr="00AF292E" w:rsidRDefault="00AF292E" w:rsidP="00AF292E">
      <w:pPr>
        <w:shd w:val="clear" w:color="auto" w:fill="FFFFFF"/>
        <w:spacing w:after="0" w:line="240" w:lineRule="auto"/>
        <w:ind w:left="-360" w:right="-1" w:firstLine="63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EF35C4" w14:textId="37CEA4D6" w:rsidR="005E2F3A" w:rsidRPr="00AF292E" w:rsidRDefault="0071522A" w:rsidP="00AC07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Koļesņika</w:t>
      </w:r>
      <w:proofErr w:type="spellEnd"/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Eiropas Savienības un ārējo ekonomisko attiecību departamenta Ārējo ekonomisko attiecību nodaļas vecākā referente</w:t>
      </w:r>
      <w:r w:rsidR="00AF292E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2F60C4" w:rsidRPr="00AF29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CAD920D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8BDD5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78EAA" w14:textId="77777777" w:rsidR="00AF292E" w:rsidRPr="00AF292E" w:rsidRDefault="00AF292E" w:rsidP="00AC0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9CAA4" w14:textId="0314187F" w:rsidR="00AF292E" w:rsidRPr="00AF292E" w:rsidRDefault="00AF292E" w:rsidP="00AC07B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F292E">
        <w:rPr>
          <w:sz w:val="28"/>
          <w:szCs w:val="28"/>
        </w:rPr>
        <w:t>Ministru prezidents</w:t>
      </w:r>
      <w:r w:rsidRPr="00AF292E">
        <w:rPr>
          <w:sz w:val="28"/>
          <w:szCs w:val="28"/>
        </w:rPr>
        <w:tab/>
        <w:t xml:space="preserve">Māris Kučinskis </w:t>
      </w:r>
    </w:p>
    <w:p w14:paraId="2BEFD902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4FCFE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A58E4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0FAA5" w14:textId="77777777" w:rsidR="00AF292E" w:rsidRPr="00AF292E" w:rsidRDefault="00AF292E" w:rsidP="00AC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2E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76DC6148" w14:textId="77777777" w:rsidR="00AF292E" w:rsidRPr="00AF292E" w:rsidRDefault="00AF292E" w:rsidP="00AC07B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2E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AF292E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AF292E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AF292E" w:rsidRPr="00AF292E" w:rsidSect="00AF29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35DE" w14:textId="77777777" w:rsidR="00C1662A" w:rsidRDefault="0071522A">
      <w:pPr>
        <w:spacing w:after="0" w:line="240" w:lineRule="auto"/>
      </w:pPr>
      <w:r>
        <w:separator/>
      </w:r>
    </w:p>
  </w:endnote>
  <w:endnote w:type="continuationSeparator" w:id="0">
    <w:p w14:paraId="2AEF35E0" w14:textId="77777777" w:rsidR="00C1662A" w:rsidRDefault="0071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7DEF" w14:textId="77777777" w:rsidR="00AF292E" w:rsidRPr="00AF292E" w:rsidRDefault="00AF292E" w:rsidP="00AF292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R0950_8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D98D" w14:textId="67E0BCB1" w:rsidR="00AF292E" w:rsidRPr="00AF292E" w:rsidRDefault="00AF292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35DA" w14:textId="77777777" w:rsidR="00C1662A" w:rsidRDefault="0071522A">
      <w:pPr>
        <w:spacing w:after="0" w:line="240" w:lineRule="auto"/>
      </w:pPr>
      <w:r>
        <w:separator/>
      </w:r>
    </w:p>
  </w:footnote>
  <w:footnote w:type="continuationSeparator" w:id="0">
    <w:p w14:paraId="2AEF35DC" w14:textId="77777777" w:rsidR="00C1662A" w:rsidRDefault="0071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17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EAC196" w14:textId="757FF305" w:rsidR="00AF292E" w:rsidRPr="00AF292E" w:rsidRDefault="00AF29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29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29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29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9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29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C1FC" w14:textId="6535B900" w:rsidR="00AF292E" w:rsidRDefault="00AF292E">
    <w:pPr>
      <w:pStyle w:val="Header"/>
      <w:rPr>
        <w:rFonts w:ascii="Times New Roman" w:hAnsi="Times New Roman" w:cs="Times New Roman"/>
        <w:sz w:val="24"/>
        <w:szCs w:val="24"/>
      </w:rPr>
    </w:pPr>
  </w:p>
  <w:p w14:paraId="2867731F" w14:textId="6E515079" w:rsidR="00AF292E" w:rsidRPr="00A142D0" w:rsidRDefault="00AF292E" w:rsidP="00501350">
    <w:pPr>
      <w:pStyle w:val="Header"/>
    </w:pPr>
    <w:r>
      <w:rPr>
        <w:noProof/>
      </w:rPr>
      <w:drawing>
        <wp:inline distT="0" distB="0" distL="0" distR="0" wp14:anchorId="114BEA47" wp14:editId="63813168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8E5E5514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405A21EA" w:tentative="1">
      <w:start w:val="1"/>
      <w:numFmt w:val="lowerLetter"/>
      <w:lvlText w:val="%2."/>
      <w:lvlJc w:val="left"/>
      <w:pPr>
        <w:ind w:left="1380" w:hanging="360"/>
      </w:pPr>
    </w:lvl>
    <w:lvl w:ilvl="2" w:tplc="81CAAE98" w:tentative="1">
      <w:start w:val="1"/>
      <w:numFmt w:val="lowerRoman"/>
      <w:lvlText w:val="%3."/>
      <w:lvlJc w:val="right"/>
      <w:pPr>
        <w:ind w:left="2100" w:hanging="180"/>
      </w:pPr>
    </w:lvl>
    <w:lvl w:ilvl="3" w:tplc="A1FE293C" w:tentative="1">
      <w:start w:val="1"/>
      <w:numFmt w:val="decimal"/>
      <w:lvlText w:val="%4."/>
      <w:lvlJc w:val="left"/>
      <w:pPr>
        <w:ind w:left="2820" w:hanging="360"/>
      </w:pPr>
    </w:lvl>
    <w:lvl w:ilvl="4" w:tplc="6EF40B60" w:tentative="1">
      <w:start w:val="1"/>
      <w:numFmt w:val="lowerLetter"/>
      <w:lvlText w:val="%5."/>
      <w:lvlJc w:val="left"/>
      <w:pPr>
        <w:ind w:left="3540" w:hanging="360"/>
      </w:pPr>
    </w:lvl>
    <w:lvl w:ilvl="5" w:tplc="E51C0198" w:tentative="1">
      <w:start w:val="1"/>
      <w:numFmt w:val="lowerRoman"/>
      <w:lvlText w:val="%6."/>
      <w:lvlJc w:val="right"/>
      <w:pPr>
        <w:ind w:left="4260" w:hanging="180"/>
      </w:pPr>
    </w:lvl>
    <w:lvl w:ilvl="6" w:tplc="6E98584C" w:tentative="1">
      <w:start w:val="1"/>
      <w:numFmt w:val="decimal"/>
      <w:lvlText w:val="%7."/>
      <w:lvlJc w:val="left"/>
      <w:pPr>
        <w:ind w:left="4980" w:hanging="360"/>
      </w:pPr>
    </w:lvl>
    <w:lvl w:ilvl="7" w:tplc="D57A671A" w:tentative="1">
      <w:start w:val="1"/>
      <w:numFmt w:val="lowerLetter"/>
      <w:lvlText w:val="%8."/>
      <w:lvlJc w:val="left"/>
      <w:pPr>
        <w:ind w:left="5700" w:hanging="360"/>
      </w:pPr>
    </w:lvl>
    <w:lvl w:ilvl="8" w:tplc="F21EF20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FD58A05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2C0D80" w:tentative="1">
      <w:start w:val="1"/>
      <w:numFmt w:val="lowerLetter"/>
      <w:lvlText w:val="%2."/>
      <w:lvlJc w:val="left"/>
      <w:pPr>
        <w:ind w:left="1440" w:hanging="360"/>
      </w:pPr>
    </w:lvl>
    <w:lvl w:ilvl="2" w:tplc="4E0ED0A4" w:tentative="1">
      <w:start w:val="1"/>
      <w:numFmt w:val="lowerRoman"/>
      <w:lvlText w:val="%3."/>
      <w:lvlJc w:val="right"/>
      <w:pPr>
        <w:ind w:left="2160" w:hanging="180"/>
      </w:pPr>
    </w:lvl>
    <w:lvl w:ilvl="3" w:tplc="A75637CC" w:tentative="1">
      <w:start w:val="1"/>
      <w:numFmt w:val="decimal"/>
      <w:lvlText w:val="%4."/>
      <w:lvlJc w:val="left"/>
      <w:pPr>
        <w:ind w:left="2880" w:hanging="360"/>
      </w:pPr>
    </w:lvl>
    <w:lvl w:ilvl="4" w:tplc="DFC2C54E" w:tentative="1">
      <w:start w:val="1"/>
      <w:numFmt w:val="lowerLetter"/>
      <w:lvlText w:val="%5."/>
      <w:lvlJc w:val="left"/>
      <w:pPr>
        <w:ind w:left="3600" w:hanging="360"/>
      </w:pPr>
    </w:lvl>
    <w:lvl w:ilvl="5" w:tplc="F13AD544" w:tentative="1">
      <w:start w:val="1"/>
      <w:numFmt w:val="lowerRoman"/>
      <w:lvlText w:val="%6."/>
      <w:lvlJc w:val="right"/>
      <w:pPr>
        <w:ind w:left="4320" w:hanging="180"/>
      </w:pPr>
    </w:lvl>
    <w:lvl w:ilvl="6" w:tplc="0BE6FC30" w:tentative="1">
      <w:start w:val="1"/>
      <w:numFmt w:val="decimal"/>
      <w:lvlText w:val="%7."/>
      <w:lvlJc w:val="left"/>
      <w:pPr>
        <w:ind w:left="5040" w:hanging="360"/>
      </w:pPr>
    </w:lvl>
    <w:lvl w:ilvl="7" w:tplc="6A56BC90" w:tentative="1">
      <w:start w:val="1"/>
      <w:numFmt w:val="lowerLetter"/>
      <w:lvlText w:val="%8."/>
      <w:lvlJc w:val="left"/>
      <w:pPr>
        <w:ind w:left="5760" w:hanging="360"/>
      </w:pPr>
    </w:lvl>
    <w:lvl w:ilvl="8" w:tplc="938A7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779AB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FFC815E" w:tentative="1">
      <w:start w:val="1"/>
      <w:numFmt w:val="lowerLetter"/>
      <w:lvlText w:val="%2."/>
      <w:lvlJc w:val="left"/>
      <w:pPr>
        <w:ind w:left="1440" w:hanging="360"/>
      </w:pPr>
    </w:lvl>
    <w:lvl w:ilvl="2" w:tplc="9BE63786" w:tentative="1">
      <w:start w:val="1"/>
      <w:numFmt w:val="lowerRoman"/>
      <w:lvlText w:val="%3."/>
      <w:lvlJc w:val="right"/>
      <w:pPr>
        <w:ind w:left="2160" w:hanging="180"/>
      </w:pPr>
    </w:lvl>
    <w:lvl w:ilvl="3" w:tplc="7A207EBC" w:tentative="1">
      <w:start w:val="1"/>
      <w:numFmt w:val="decimal"/>
      <w:lvlText w:val="%4."/>
      <w:lvlJc w:val="left"/>
      <w:pPr>
        <w:ind w:left="2880" w:hanging="360"/>
      </w:pPr>
    </w:lvl>
    <w:lvl w:ilvl="4" w:tplc="568E194E" w:tentative="1">
      <w:start w:val="1"/>
      <w:numFmt w:val="lowerLetter"/>
      <w:lvlText w:val="%5."/>
      <w:lvlJc w:val="left"/>
      <w:pPr>
        <w:ind w:left="3600" w:hanging="360"/>
      </w:pPr>
    </w:lvl>
    <w:lvl w:ilvl="5" w:tplc="0AE68286" w:tentative="1">
      <w:start w:val="1"/>
      <w:numFmt w:val="lowerRoman"/>
      <w:lvlText w:val="%6."/>
      <w:lvlJc w:val="right"/>
      <w:pPr>
        <w:ind w:left="4320" w:hanging="180"/>
      </w:pPr>
    </w:lvl>
    <w:lvl w:ilvl="6" w:tplc="EC40DC2E" w:tentative="1">
      <w:start w:val="1"/>
      <w:numFmt w:val="decimal"/>
      <w:lvlText w:val="%7."/>
      <w:lvlJc w:val="left"/>
      <w:pPr>
        <w:ind w:left="5040" w:hanging="360"/>
      </w:pPr>
    </w:lvl>
    <w:lvl w:ilvl="7" w:tplc="56CA1E1C" w:tentative="1">
      <w:start w:val="1"/>
      <w:numFmt w:val="lowerLetter"/>
      <w:lvlText w:val="%8."/>
      <w:lvlJc w:val="left"/>
      <w:pPr>
        <w:ind w:left="5760" w:hanging="360"/>
      </w:pPr>
    </w:lvl>
    <w:lvl w:ilvl="8" w:tplc="680281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6CA8"/>
    <w:rsid w:val="00084019"/>
    <w:rsid w:val="00090E70"/>
    <w:rsid w:val="00092694"/>
    <w:rsid w:val="00092C56"/>
    <w:rsid w:val="000A0DD8"/>
    <w:rsid w:val="000A41DE"/>
    <w:rsid w:val="000B03D4"/>
    <w:rsid w:val="000D781B"/>
    <w:rsid w:val="000E32D8"/>
    <w:rsid w:val="000F14C2"/>
    <w:rsid w:val="00122E82"/>
    <w:rsid w:val="00145B36"/>
    <w:rsid w:val="00154E53"/>
    <w:rsid w:val="00165A5A"/>
    <w:rsid w:val="001707CC"/>
    <w:rsid w:val="001B0861"/>
    <w:rsid w:val="001B2646"/>
    <w:rsid w:val="001B5005"/>
    <w:rsid w:val="001F17FC"/>
    <w:rsid w:val="00202C3B"/>
    <w:rsid w:val="00212D78"/>
    <w:rsid w:val="00214205"/>
    <w:rsid w:val="002268DE"/>
    <w:rsid w:val="00236FDB"/>
    <w:rsid w:val="0025148B"/>
    <w:rsid w:val="002527A9"/>
    <w:rsid w:val="00274B7F"/>
    <w:rsid w:val="00277ADE"/>
    <w:rsid w:val="00281074"/>
    <w:rsid w:val="002949F6"/>
    <w:rsid w:val="002A6BC4"/>
    <w:rsid w:val="002C11E9"/>
    <w:rsid w:val="002E1B63"/>
    <w:rsid w:val="002F60C4"/>
    <w:rsid w:val="002F6CA8"/>
    <w:rsid w:val="00300B08"/>
    <w:rsid w:val="0032654F"/>
    <w:rsid w:val="00352521"/>
    <w:rsid w:val="00373345"/>
    <w:rsid w:val="00382A6E"/>
    <w:rsid w:val="003900B9"/>
    <w:rsid w:val="00391D5C"/>
    <w:rsid w:val="003A0049"/>
    <w:rsid w:val="003A548D"/>
    <w:rsid w:val="003C4F98"/>
    <w:rsid w:val="003D60EC"/>
    <w:rsid w:val="003E54E0"/>
    <w:rsid w:val="003E5529"/>
    <w:rsid w:val="003F2B59"/>
    <w:rsid w:val="00441CA4"/>
    <w:rsid w:val="00485F1C"/>
    <w:rsid w:val="004A24E2"/>
    <w:rsid w:val="004C35A8"/>
    <w:rsid w:val="004E3BE4"/>
    <w:rsid w:val="004F30A1"/>
    <w:rsid w:val="00502634"/>
    <w:rsid w:val="0057622E"/>
    <w:rsid w:val="005A046E"/>
    <w:rsid w:val="005B63C4"/>
    <w:rsid w:val="005C40B0"/>
    <w:rsid w:val="005D6C86"/>
    <w:rsid w:val="005E2F3A"/>
    <w:rsid w:val="005E48DD"/>
    <w:rsid w:val="00626BEF"/>
    <w:rsid w:val="006365ED"/>
    <w:rsid w:val="006373E0"/>
    <w:rsid w:val="00651C95"/>
    <w:rsid w:val="00652630"/>
    <w:rsid w:val="00695D7E"/>
    <w:rsid w:val="006A6C28"/>
    <w:rsid w:val="006F0A2E"/>
    <w:rsid w:val="006F649E"/>
    <w:rsid w:val="00707730"/>
    <w:rsid w:val="0071522A"/>
    <w:rsid w:val="00742607"/>
    <w:rsid w:val="00761FDE"/>
    <w:rsid w:val="00790503"/>
    <w:rsid w:val="007C12AF"/>
    <w:rsid w:val="007F1F53"/>
    <w:rsid w:val="00826BE3"/>
    <w:rsid w:val="0084178B"/>
    <w:rsid w:val="00852F51"/>
    <w:rsid w:val="00861758"/>
    <w:rsid w:val="00867834"/>
    <w:rsid w:val="008A13C9"/>
    <w:rsid w:val="008A3B48"/>
    <w:rsid w:val="008B3B51"/>
    <w:rsid w:val="008B506B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61E14"/>
    <w:rsid w:val="009917C2"/>
    <w:rsid w:val="009C1281"/>
    <w:rsid w:val="009C488B"/>
    <w:rsid w:val="00A0604A"/>
    <w:rsid w:val="00A1040B"/>
    <w:rsid w:val="00A11432"/>
    <w:rsid w:val="00A2474D"/>
    <w:rsid w:val="00A36A18"/>
    <w:rsid w:val="00A50F0C"/>
    <w:rsid w:val="00A54189"/>
    <w:rsid w:val="00A573D9"/>
    <w:rsid w:val="00A92087"/>
    <w:rsid w:val="00A96204"/>
    <w:rsid w:val="00AA538A"/>
    <w:rsid w:val="00AC07B5"/>
    <w:rsid w:val="00AC16AB"/>
    <w:rsid w:val="00AC3EC3"/>
    <w:rsid w:val="00AF292E"/>
    <w:rsid w:val="00B040AC"/>
    <w:rsid w:val="00B272B7"/>
    <w:rsid w:val="00B5424E"/>
    <w:rsid w:val="00B766BE"/>
    <w:rsid w:val="00B77D6C"/>
    <w:rsid w:val="00BA1661"/>
    <w:rsid w:val="00BE3F03"/>
    <w:rsid w:val="00BF7CBC"/>
    <w:rsid w:val="00C010CE"/>
    <w:rsid w:val="00C1323F"/>
    <w:rsid w:val="00C1662A"/>
    <w:rsid w:val="00C402E8"/>
    <w:rsid w:val="00C4292C"/>
    <w:rsid w:val="00C65B1E"/>
    <w:rsid w:val="00C663F3"/>
    <w:rsid w:val="00C66F49"/>
    <w:rsid w:val="00C80F6D"/>
    <w:rsid w:val="00CA17EB"/>
    <w:rsid w:val="00CD0811"/>
    <w:rsid w:val="00D11032"/>
    <w:rsid w:val="00D26A1F"/>
    <w:rsid w:val="00D2759F"/>
    <w:rsid w:val="00D5517C"/>
    <w:rsid w:val="00D6057E"/>
    <w:rsid w:val="00D73135"/>
    <w:rsid w:val="00DA53D4"/>
    <w:rsid w:val="00E14D91"/>
    <w:rsid w:val="00E15E6F"/>
    <w:rsid w:val="00E76A0B"/>
    <w:rsid w:val="00E76B71"/>
    <w:rsid w:val="00EA2201"/>
    <w:rsid w:val="00EF37A6"/>
    <w:rsid w:val="00F30F4B"/>
    <w:rsid w:val="00F5493D"/>
    <w:rsid w:val="00F615DA"/>
    <w:rsid w:val="00F72AEC"/>
    <w:rsid w:val="00F84652"/>
    <w:rsid w:val="00FA0977"/>
    <w:rsid w:val="00FC44D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35AD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paragraph" w:customStyle="1" w:styleId="naisf">
    <w:name w:val="naisf"/>
    <w:basedOn w:val="Normal"/>
    <w:rsid w:val="0071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9462-latvijas-republikas-valdibas-un-kazahstanas-republikas-valdibas-vienosanas-par-ekonomisko-zinatnisko-un-tehnisko-sadarb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EF35-C0FF-451F-BEF7-482FCE75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Šikova</dc:creator>
  <cp:lastModifiedBy>Leontine Babkina</cp:lastModifiedBy>
  <cp:revision>10</cp:revision>
  <cp:lastPrinted>2018-05-28T09:08:00Z</cp:lastPrinted>
  <dcterms:created xsi:type="dcterms:W3CDTF">2018-05-17T11:19:00Z</dcterms:created>
  <dcterms:modified xsi:type="dcterms:W3CDTF">2018-05-30T11:22:00Z</dcterms:modified>
</cp:coreProperties>
</file>