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CF1D5" w14:textId="77777777" w:rsidR="00647A32" w:rsidRPr="002C5745" w:rsidRDefault="00647A32" w:rsidP="008A54BE">
      <w:pPr>
        <w:jc w:val="center"/>
        <w:rPr>
          <w:rFonts w:ascii="Times New Roman" w:hAnsi="Times New Roman" w:cs="Times New Roman"/>
          <w:b/>
          <w:sz w:val="26"/>
          <w:szCs w:val="26"/>
          <w:lang w:val="lv-LV"/>
        </w:rPr>
      </w:pPr>
      <w:r w:rsidRPr="002C5745">
        <w:rPr>
          <w:rFonts w:ascii="Times New Roman" w:hAnsi="Times New Roman" w:cs="Times New Roman"/>
          <w:b/>
          <w:sz w:val="26"/>
          <w:szCs w:val="26"/>
          <w:lang w:val="lv-LV"/>
        </w:rPr>
        <w:t>Informatīvais ziņojums</w:t>
      </w:r>
    </w:p>
    <w:p w14:paraId="76B65B5B" w14:textId="77777777" w:rsidR="00991097" w:rsidRPr="002C5745" w:rsidRDefault="00463C7B" w:rsidP="008A54BE">
      <w:pPr>
        <w:jc w:val="center"/>
        <w:rPr>
          <w:rFonts w:ascii="Times New Roman" w:hAnsi="Times New Roman" w:cs="Times New Roman"/>
          <w:b/>
          <w:sz w:val="26"/>
          <w:szCs w:val="26"/>
          <w:lang w:val="lv-LV"/>
        </w:rPr>
      </w:pPr>
      <w:r>
        <w:rPr>
          <w:rFonts w:ascii="Times New Roman" w:hAnsi="Times New Roman" w:cs="Times New Roman"/>
          <w:b/>
          <w:sz w:val="26"/>
          <w:szCs w:val="26"/>
          <w:lang w:val="lv-LV"/>
        </w:rPr>
        <w:t>“</w:t>
      </w:r>
      <w:r w:rsidR="00647A32" w:rsidRPr="002C5745">
        <w:rPr>
          <w:rFonts w:ascii="Times New Roman" w:hAnsi="Times New Roman" w:cs="Times New Roman"/>
          <w:b/>
          <w:sz w:val="26"/>
          <w:szCs w:val="26"/>
          <w:lang w:val="lv-LV"/>
        </w:rPr>
        <w:t>Par n</w:t>
      </w:r>
      <w:r w:rsidR="00404628" w:rsidRPr="002C5745">
        <w:rPr>
          <w:rFonts w:ascii="Times New Roman" w:hAnsi="Times New Roman" w:cs="Times New Roman"/>
          <w:b/>
          <w:sz w:val="26"/>
          <w:szCs w:val="26"/>
          <w:lang w:val="lv-LV"/>
        </w:rPr>
        <w:t>okavējuma naudas regulējum</w:t>
      </w:r>
      <w:r w:rsidR="004F76DF" w:rsidRPr="002C5745">
        <w:rPr>
          <w:rFonts w:ascii="Times New Roman" w:hAnsi="Times New Roman" w:cs="Times New Roman"/>
          <w:b/>
          <w:sz w:val="26"/>
          <w:szCs w:val="26"/>
          <w:lang w:val="lv-LV"/>
        </w:rPr>
        <w:t>a efektivitāti praksē</w:t>
      </w:r>
      <w:r>
        <w:rPr>
          <w:rFonts w:ascii="Times New Roman" w:hAnsi="Times New Roman" w:cs="Times New Roman"/>
          <w:b/>
          <w:sz w:val="26"/>
          <w:szCs w:val="26"/>
          <w:lang w:val="lv-LV"/>
        </w:rPr>
        <w:t>”</w:t>
      </w:r>
    </w:p>
    <w:p w14:paraId="4CDBB03D" w14:textId="77777777" w:rsidR="00897488" w:rsidRPr="002C5745" w:rsidRDefault="00897488" w:rsidP="00135EA3">
      <w:pPr>
        <w:pStyle w:val="Heading1"/>
        <w:jc w:val="center"/>
        <w:rPr>
          <w:rFonts w:ascii="Times New Roman" w:hAnsi="Times New Roman" w:cs="Times New Roman"/>
          <w:b/>
          <w:color w:val="auto"/>
          <w:sz w:val="26"/>
          <w:szCs w:val="26"/>
          <w:lang w:val="lv-LV"/>
        </w:rPr>
      </w:pPr>
      <w:r w:rsidRPr="002C5745">
        <w:rPr>
          <w:rFonts w:ascii="Times New Roman" w:hAnsi="Times New Roman" w:cs="Times New Roman"/>
          <w:b/>
          <w:color w:val="auto"/>
          <w:sz w:val="26"/>
          <w:szCs w:val="26"/>
          <w:lang w:val="lv-LV"/>
        </w:rPr>
        <w:t>1.</w:t>
      </w:r>
      <w:r w:rsidR="0014248A" w:rsidRPr="002C5745">
        <w:rPr>
          <w:rFonts w:ascii="Times New Roman" w:hAnsi="Times New Roman" w:cs="Times New Roman"/>
          <w:b/>
          <w:color w:val="auto"/>
          <w:sz w:val="26"/>
          <w:szCs w:val="26"/>
          <w:lang w:val="lv-LV"/>
        </w:rPr>
        <w:t>  </w:t>
      </w:r>
      <w:r w:rsidRPr="002C5745">
        <w:rPr>
          <w:rFonts w:ascii="Times New Roman" w:hAnsi="Times New Roman" w:cs="Times New Roman"/>
          <w:b/>
          <w:color w:val="auto"/>
          <w:sz w:val="26"/>
          <w:szCs w:val="26"/>
          <w:lang w:val="lv-LV"/>
        </w:rPr>
        <w:t>Informatīvā ziņojuma izstrādes nepieciešamības pamatojums</w:t>
      </w:r>
    </w:p>
    <w:p w14:paraId="2304E981" w14:textId="77777777" w:rsidR="00897488" w:rsidRPr="000B7044" w:rsidRDefault="00897488" w:rsidP="000B7044">
      <w:pPr>
        <w:ind w:firstLine="720"/>
        <w:jc w:val="both"/>
        <w:rPr>
          <w:rFonts w:ascii="Times New Roman" w:hAnsi="Times New Roman" w:cs="Times New Roman"/>
          <w:sz w:val="26"/>
          <w:szCs w:val="26"/>
          <w:lang w:val="lv-LV"/>
        </w:rPr>
      </w:pPr>
      <w:r w:rsidRPr="002C5745">
        <w:rPr>
          <w:rFonts w:ascii="Times New Roman" w:hAnsi="Times New Roman" w:cs="Times New Roman"/>
          <w:sz w:val="26"/>
          <w:szCs w:val="26"/>
          <w:lang w:val="lv-LV"/>
        </w:rPr>
        <w:t>Saskaņā ar Ministru kabineta 2017. gada 4. jūlija sēdes protokola Nr. 33 11. § “</w:t>
      </w:r>
      <w:r w:rsidR="008A54BE" w:rsidRPr="002C5745">
        <w:rPr>
          <w:rFonts w:ascii="Times New Roman" w:hAnsi="Times New Roman" w:cs="Times New Roman"/>
          <w:sz w:val="26"/>
          <w:szCs w:val="26"/>
          <w:lang w:val="lv-LV"/>
        </w:rPr>
        <w:t>Likumprojekts “Grozījumi likumā “Par nodokļiem un nodevām”” 3. punktu Finanšu ministrijai uzdots uzdevums kopīgi ar Satiksmes ministriju, piesaistot arī tranzīta un loģistikas nozares uzņēmēju asociācijas, izvērtēt nokavējuma naudas regulējuma efektivitāti praksē, un iesniegt izskatīšanai Ministru kabinetā priekšlikumus par piedāvāto risinājumu attiecībā uz nokavējuma naudas likmes apmēru un tās piemērošanu.</w:t>
      </w:r>
      <w:r w:rsidR="000B7044">
        <w:rPr>
          <w:rFonts w:ascii="Times New Roman" w:hAnsi="Times New Roman" w:cs="Times New Roman"/>
          <w:sz w:val="26"/>
          <w:szCs w:val="26"/>
          <w:lang w:val="lv-LV"/>
        </w:rPr>
        <w:t xml:space="preserve"> </w:t>
      </w:r>
    </w:p>
    <w:p w14:paraId="31E8996F" w14:textId="7C028021" w:rsidR="001C209F" w:rsidRPr="002C5745" w:rsidRDefault="000B7044" w:rsidP="001C209F">
      <w:pPr>
        <w:ind w:firstLine="720"/>
        <w:jc w:val="both"/>
        <w:rPr>
          <w:rFonts w:ascii="Times New Roman" w:hAnsi="Times New Roman" w:cs="Times New Roman"/>
          <w:sz w:val="26"/>
          <w:szCs w:val="26"/>
          <w:lang w:val="lv-LV"/>
        </w:rPr>
      </w:pPr>
      <w:r>
        <w:rPr>
          <w:rFonts w:ascii="Times New Roman" w:hAnsi="Times New Roman" w:cs="Times New Roman"/>
          <w:sz w:val="26"/>
          <w:szCs w:val="26"/>
          <w:lang w:val="lv-LV"/>
        </w:rPr>
        <w:t>Ministru prezidenta vadītās</w:t>
      </w:r>
      <w:r w:rsidRPr="000B7044">
        <w:rPr>
          <w:rFonts w:ascii="Times New Roman" w:hAnsi="Times New Roman" w:cs="Times New Roman"/>
          <w:sz w:val="26"/>
          <w:szCs w:val="26"/>
          <w:lang w:val="lv-LV"/>
        </w:rPr>
        <w:t xml:space="preserve"> Latvijas Ost</w:t>
      </w:r>
      <w:r>
        <w:rPr>
          <w:rFonts w:ascii="Times New Roman" w:hAnsi="Times New Roman" w:cs="Times New Roman"/>
          <w:sz w:val="26"/>
          <w:szCs w:val="26"/>
          <w:lang w:val="lv-LV"/>
        </w:rPr>
        <w:t>u, tranzīta un loģistikas padomes</w:t>
      </w:r>
      <w:r w:rsidRPr="000B7044" w:rsidDel="000B7044">
        <w:rPr>
          <w:rFonts w:ascii="Times New Roman" w:hAnsi="Times New Roman" w:cs="Times New Roman"/>
          <w:sz w:val="26"/>
          <w:szCs w:val="26"/>
          <w:lang w:val="lv-LV"/>
        </w:rPr>
        <w:t xml:space="preserve"> </w:t>
      </w:r>
      <w:r w:rsidR="001C209F" w:rsidRPr="002C5745">
        <w:rPr>
          <w:rFonts w:ascii="Times New Roman" w:hAnsi="Times New Roman" w:cs="Times New Roman"/>
          <w:sz w:val="26"/>
          <w:szCs w:val="26"/>
          <w:lang w:val="lv-LV"/>
        </w:rPr>
        <w:t>2017.</w:t>
      </w:r>
      <w:r w:rsidR="0061157A" w:rsidRPr="002C5745">
        <w:rPr>
          <w:rFonts w:ascii="Times New Roman" w:hAnsi="Times New Roman" w:cs="Times New Roman"/>
          <w:sz w:val="26"/>
          <w:szCs w:val="26"/>
          <w:lang w:val="lv-LV"/>
        </w:rPr>
        <w:t> </w:t>
      </w:r>
      <w:r w:rsidR="001C209F" w:rsidRPr="002C5745">
        <w:rPr>
          <w:rFonts w:ascii="Times New Roman" w:hAnsi="Times New Roman" w:cs="Times New Roman"/>
          <w:sz w:val="26"/>
          <w:szCs w:val="26"/>
          <w:lang w:val="lv-LV"/>
        </w:rPr>
        <w:t>gada 7.</w:t>
      </w:r>
      <w:r w:rsidR="0061157A" w:rsidRPr="002C5745">
        <w:rPr>
          <w:rFonts w:ascii="Times New Roman" w:hAnsi="Times New Roman" w:cs="Times New Roman"/>
          <w:sz w:val="26"/>
          <w:szCs w:val="26"/>
          <w:lang w:val="lv-LV"/>
        </w:rPr>
        <w:t> </w:t>
      </w:r>
      <w:r w:rsidR="001C209F" w:rsidRPr="002C5745">
        <w:rPr>
          <w:rFonts w:ascii="Times New Roman" w:hAnsi="Times New Roman" w:cs="Times New Roman"/>
          <w:sz w:val="26"/>
          <w:szCs w:val="26"/>
          <w:lang w:val="lv-LV"/>
        </w:rPr>
        <w:t>jūnija sēdē tika pieņemts zināšanai Latvijas Ostu, tranzīta un loģistikas padomes sekretariāta sniegtais ziņojums par tranzīta kravu pārvadājumu traucējošiem faktoriem un priekšlikumiem to novēršanai</w:t>
      </w:r>
      <w:r w:rsidR="0061157A" w:rsidRPr="002C5745">
        <w:rPr>
          <w:rFonts w:ascii="Times New Roman" w:hAnsi="Times New Roman" w:cs="Times New Roman"/>
          <w:sz w:val="26"/>
          <w:szCs w:val="26"/>
          <w:lang w:val="lv-LV"/>
        </w:rPr>
        <w:t xml:space="preserve"> (turpmāk – </w:t>
      </w:r>
      <w:r w:rsidR="005C62E8" w:rsidRPr="002C5745">
        <w:rPr>
          <w:rFonts w:ascii="Times New Roman" w:hAnsi="Times New Roman" w:cs="Times New Roman"/>
          <w:sz w:val="26"/>
          <w:szCs w:val="26"/>
          <w:lang w:val="lv-LV"/>
        </w:rPr>
        <w:t>sekretariāta z</w:t>
      </w:r>
      <w:r w:rsidR="0061157A" w:rsidRPr="002C5745">
        <w:rPr>
          <w:rFonts w:ascii="Times New Roman" w:hAnsi="Times New Roman" w:cs="Times New Roman"/>
          <w:sz w:val="26"/>
          <w:szCs w:val="26"/>
          <w:lang w:val="lv-LV"/>
        </w:rPr>
        <w:t>iņojums)</w:t>
      </w:r>
      <w:r w:rsidR="001C209F" w:rsidRPr="002C5745">
        <w:rPr>
          <w:rFonts w:ascii="Times New Roman" w:hAnsi="Times New Roman" w:cs="Times New Roman"/>
          <w:sz w:val="26"/>
          <w:szCs w:val="26"/>
          <w:lang w:val="lv-LV"/>
        </w:rPr>
        <w:t xml:space="preserve">, kurā Latvijas Tranzīta biznesa asociācija ir vērsusi uzmanību uz nepieciešamību samazināt nokavējuma naudas likmi (izņemot muitas nodoklim piemērojamo nokavējuma naudas likmi) līdz citu Eiropas Savienības </w:t>
      </w:r>
      <w:r w:rsidR="002437E6">
        <w:rPr>
          <w:rFonts w:ascii="Times New Roman" w:hAnsi="Times New Roman" w:cs="Times New Roman"/>
          <w:sz w:val="26"/>
          <w:szCs w:val="26"/>
          <w:lang w:val="lv-LV"/>
        </w:rPr>
        <w:t xml:space="preserve">(turpmāk – ES) </w:t>
      </w:r>
      <w:r w:rsidR="001C209F" w:rsidRPr="002C5745">
        <w:rPr>
          <w:rFonts w:ascii="Times New Roman" w:hAnsi="Times New Roman" w:cs="Times New Roman"/>
          <w:sz w:val="26"/>
          <w:szCs w:val="26"/>
          <w:lang w:val="lv-LV"/>
        </w:rPr>
        <w:t>dalībvalstu noteiktajam vidējam nokavējuma naudas apmēram, tādējādi radot Latvijas komersantiem līdzvērtīgus apstākļus.</w:t>
      </w:r>
    </w:p>
    <w:p w14:paraId="4353156F" w14:textId="5B3BA3D8" w:rsidR="001C209F" w:rsidRPr="002C5745" w:rsidRDefault="000B7044" w:rsidP="008A54BE">
      <w:pPr>
        <w:ind w:firstLine="720"/>
        <w:jc w:val="both"/>
        <w:rPr>
          <w:rFonts w:ascii="Times New Roman" w:hAnsi="Times New Roman" w:cs="Times New Roman"/>
          <w:sz w:val="26"/>
          <w:szCs w:val="26"/>
          <w:lang w:val="lv-LV"/>
        </w:rPr>
      </w:pPr>
      <w:r>
        <w:rPr>
          <w:rFonts w:ascii="Times New Roman" w:hAnsi="Times New Roman" w:cs="Times New Roman"/>
          <w:sz w:val="26"/>
          <w:szCs w:val="26"/>
          <w:lang w:val="lv-LV"/>
        </w:rPr>
        <w:t xml:space="preserve">Ņemot vērā, ka arī </w:t>
      </w:r>
      <w:r w:rsidR="001004F8">
        <w:rPr>
          <w:rFonts w:ascii="Times New Roman" w:hAnsi="Times New Roman" w:cs="Times New Roman"/>
          <w:sz w:val="26"/>
          <w:szCs w:val="26"/>
          <w:lang w:val="lv-LV"/>
        </w:rPr>
        <w:t>Ministru kabineta 2017. gada 4. jūlija sēdes protokola Nr. </w:t>
      </w:r>
      <w:r w:rsidRPr="000B7044">
        <w:rPr>
          <w:rFonts w:ascii="Times New Roman" w:hAnsi="Times New Roman" w:cs="Times New Roman"/>
          <w:sz w:val="26"/>
          <w:szCs w:val="26"/>
          <w:lang w:val="lv-LV"/>
        </w:rPr>
        <w:t>33 11.</w:t>
      </w:r>
      <w:r w:rsidR="001004F8">
        <w:rPr>
          <w:rFonts w:ascii="Times New Roman" w:hAnsi="Times New Roman" w:cs="Times New Roman"/>
          <w:sz w:val="26"/>
          <w:szCs w:val="26"/>
          <w:lang w:val="lv-LV"/>
        </w:rPr>
        <w:t> </w:t>
      </w:r>
      <w:r w:rsidRPr="000B7044">
        <w:rPr>
          <w:rFonts w:ascii="Times New Roman" w:hAnsi="Times New Roman" w:cs="Times New Roman"/>
          <w:sz w:val="26"/>
          <w:szCs w:val="26"/>
          <w:lang w:val="lv-LV"/>
        </w:rPr>
        <w:t xml:space="preserve">§ </w:t>
      </w:r>
      <w:r>
        <w:rPr>
          <w:rFonts w:ascii="Times New Roman" w:hAnsi="Times New Roman" w:cs="Times New Roman"/>
          <w:sz w:val="26"/>
          <w:szCs w:val="26"/>
          <w:lang w:val="lv-LV"/>
        </w:rPr>
        <w:t>3.</w:t>
      </w:r>
      <w:r w:rsidR="001004F8">
        <w:rPr>
          <w:rFonts w:ascii="Times New Roman" w:hAnsi="Times New Roman" w:cs="Times New Roman"/>
          <w:sz w:val="26"/>
          <w:szCs w:val="26"/>
          <w:lang w:val="lv-LV"/>
        </w:rPr>
        <w:t> </w:t>
      </w:r>
      <w:r>
        <w:rPr>
          <w:rFonts w:ascii="Times New Roman" w:hAnsi="Times New Roman" w:cs="Times New Roman"/>
          <w:sz w:val="26"/>
          <w:szCs w:val="26"/>
          <w:lang w:val="lv-LV"/>
        </w:rPr>
        <w:t>punktā iekļautais uzdevums tapa pēc Satiksmes ministrijas</w:t>
      </w:r>
      <w:r w:rsidRPr="000B7044">
        <w:t xml:space="preserve"> </w:t>
      </w:r>
      <w:r>
        <w:rPr>
          <w:rFonts w:ascii="Times New Roman" w:hAnsi="Times New Roman" w:cs="Times New Roman"/>
          <w:sz w:val="26"/>
          <w:szCs w:val="26"/>
          <w:lang w:val="lv-LV"/>
        </w:rPr>
        <w:t>(kā arī</w:t>
      </w:r>
      <w:r w:rsidRPr="000B7044">
        <w:rPr>
          <w:rFonts w:ascii="Times New Roman" w:hAnsi="Times New Roman" w:cs="Times New Roman"/>
          <w:sz w:val="26"/>
          <w:szCs w:val="26"/>
          <w:lang w:val="lv-LV"/>
        </w:rPr>
        <w:t xml:space="preserve"> tranzīta nozares asociāciju</w:t>
      </w:r>
      <w:r>
        <w:rPr>
          <w:rFonts w:ascii="Times New Roman" w:hAnsi="Times New Roman" w:cs="Times New Roman"/>
          <w:sz w:val="26"/>
          <w:szCs w:val="26"/>
          <w:lang w:val="lv-LV"/>
        </w:rPr>
        <w:t>)</w:t>
      </w:r>
      <w:r w:rsidRPr="000B7044">
        <w:rPr>
          <w:rFonts w:ascii="Times New Roman" w:hAnsi="Times New Roman" w:cs="Times New Roman"/>
          <w:sz w:val="26"/>
          <w:szCs w:val="26"/>
          <w:lang w:val="lv-LV"/>
        </w:rPr>
        <w:t xml:space="preserve"> </w:t>
      </w:r>
      <w:r>
        <w:rPr>
          <w:rFonts w:ascii="Times New Roman" w:hAnsi="Times New Roman" w:cs="Times New Roman"/>
          <w:sz w:val="26"/>
          <w:szCs w:val="26"/>
          <w:lang w:val="lv-LV"/>
        </w:rPr>
        <w:t xml:space="preserve">izteiktā </w:t>
      </w:r>
      <w:r w:rsidRPr="000B7044">
        <w:rPr>
          <w:rFonts w:ascii="Times New Roman" w:hAnsi="Times New Roman" w:cs="Times New Roman"/>
          <w:sz w:val="26"/>
          <w:szCs w:val="26"/>
          <w:lang w:val="lv-LV"/>
        </w:rPr>
        <w:t>priekšlikuma</w:t>
      </w:r>
      <w:r>
        <w:rPr>
          <w:rFonts w:ascii="Times New Roman" w:hAnsi="Times New Roman" w:cs="Times New Roman"/>
          <w:sz w:val="26"/>
          <w:szCs w:val="26"/>
          <w:lang w:val="lv-LV"/>
        </w:rPr>
        <w:t xml:space="preserve">, </w:t>
      </w:r>
      <w:r w:rsidR="001C209F" w:rsidRPr="002C5745">
        <w:rPr>
          <w:rFonts w:ascii="Times New Roman" w:hAnsi="Times New Roman" w:cs="Times New Roman"/>
          <w:sz w:val="26"/>
          <w:szCs w:val="26"/>
          <w:lang w:val="lv-LV"/>
        </w:rPr>
        <w:t xml:space="preserve">informatīvā ziņojuma ietvaros netiek izvērtēts </w:t>
      </w:r>
      <w:r w:rsidR="00FA082B" w:rsidRPr="002C5745">
        <w:rPr>
          <w:rFonts w:ascii="Times New Roman" w:hAnsi="Times New Roman" w:cs="Times New Roman"/>
          <w:sz w:val="26"/>
          <w:szCs w:val="26"/>
          <w:lang w:val="lv-LV"/>
        </w:rPr>
        <w:t>muitas nodoklim piemērojamais nokavējuma naudas</w:t>
      </w:r>
      <w:r w:rsidR="001C209F" w:rsidRPr="002C5745">
        <w:rPr>
          <w:rFonts w:ascii="Times New Roman" w:hAnsi="Times New Roman" w:cs="Times New Roman"/>
          <w:sz w:val="26"/>
          <w:szCs w:val="26"/>
          <w:lang w:val="lv-LV"/>
        </w:rPr>
        <w:t xml:space="preserve"> regulējums.</w:t>
      </w:r>
    </w:p>
    <w:p w14:paraId="656A228E" w14:textId="77777777" w:rsidR="006375F3" w:rsidRPr="002C5745" w:rsidRDefault="006375F3" w:rsidP="008A54BE">
      <w:pPr>
        <w:ind w:firstLine="720"/>
        <w:jc w:val="both"/>
        <w:rPr>
          <w:rFonts w:ascii="Times New Roman" w:hAnsi="Times New Roman" w:cs="Times New Roman"/>
          <w:sz w:val="26"/>
          <w:szCs w:val="26"/>
          <w:lang w:val="lv-LV"/>
        </w:rPr>
      </w:pPr>
    </w:p>
    <w:p w14:paraId="33BC9C9F" w14:textId="77777777" w:rsidR="004F76DF" w:rsidRPr="002C5745" w:rsidRDefault="0061157A" w:rsidP="00135EA3">
      <w:pPr>
        <w:pStyle w:val="Heading2"/>
        <w:jc w:val="center"/>
        <w:rPr>
          <w:rFonts w:ascii="Times New Roman" w:hAnsi="Times New Roman" w:cs="Times New Roman"/>
          <w:b/>
          <w:color w:val="auto"/>
          <w:lang w:val="lv-LV"/>
        </w:rPr>
      </w:pPr>
      <w:r w:rsidRPr="002C5745">
        <w:rPr>
          <w:rFonts w:ascii="Times New Roman" w:hAnsi="Times New Roman" w:cs="Times New Roman"/>
          <w:b/>
          <w:color w:val="auto"/>
          <w:lang w:val="lv-LV"/>
        </w:rPr>
        <w:t>2.  </w:t>
      </w:r>
      <w:r w:rsidR="004F76DF" w:rsidRPr="002C5745">
        <w:rPr>
          <w:rFonts w:ascii="Times New Roman" w:hAnsi="Times New Roman" w:cs="Times New Roman"/>
          <w:b/>
          <w:color w:val="auto"/>
          <w:lang w:val="lv-LV"/>
        </w:rPr>
        <w:t>Nokavējuma naudas regul</w:t>
      </w:r>
      <w:r w:rsidR="00931E44" w:rsidRPr="002C5745">
        <w:rPr>
          <w:rFonts w:ascii="Times New Roman" w:hAnsi="Times New Roman" w:cs="Times New Roman"/>
          <w:b/>
          <w:color w:val="auto"/>
          <w:lang w:val="lv-LV"/>
        </w:rPr>
        <w:t>ējuma izvērtējums</w:t>
      </w:r>
    </w:p>
    <w:p w14:paraId="65D13CFA" w14:textId="2AD6D842" w:rsidR="00AB704A" w:rsidRPr="002C5745" w:rsidRDefault="00AB704A" w:rsidP="00AB704A">
      <w:pPr>
        <w:ind w:firstLine="720"/>
        <w:jc w:val="both"/>
        <w:rPr>
          <w:rFonts w:ascii="Times New Roman" w:hAnsi="Times New Roman" w:cs="Times New Roman"/>
          <w:sz w:val="26"/>
          <w:szCs w:val="26"/>
          <w:lang w:val="lv-LV"/>
        </w:rPr>
      </w:pPr>
      <w:r w:rsidRPr="002C5745">
        <w:rPr>
          <w:rFonts w:ascii="Times New Roman" w:hAnsi="Times New Roman" w:cs="Times New Roman"/>
          <w:sz w:val="26"/>
          <w:szCs w:val="26"/>
          <w:lang w:val="lv-LV"/>
        </w:rPr>
        <w:t>Jautājums par nokavējum</w:t>
      </w:r>
      <w:r w:rsidR="00892259">
        <w:rPr>
          <w:rFonts w:ascii="Times New Roman" w:hAnsi="Times New Roman" w:cs="Times New Roman"/>
          <w:sz w:val="26"/>
          <w:szCs w:val="26"/>
          <w:lang w:val="lv-LV"/>
        </w:rPr>
        <w:t>a</w:t>
      </w:r>
      <w:r w:rsidRPr="002C5745">
        <w:rPr>
          <w:rFonts w:ascii="Times New Roman" w:hAnsi="Times New Roman" w:cs="Times New Roman"/>
          <w:sz w:val="26"/>
          <w:szCs w:val="26"/>
          <w:lang w:val="lv-LV"/>
        </w:rPr>
        <w:t xml:space="preserve"> naudas likmes samazināšanu vairākkārt pēc Satiksmes ministrijas, kā arī pēc tranzīta nozares asociāciju priekšlikuma ir skatīts Ministru prezidenta vadītajā Latvijas Ostu, tranzīta un loģistikas padomē. Tā, piemēram, Latvijas Ostu, tranzīta un loģistikas padomes 2017.</w:t>
      </w:r>
      <w:r w:rsidR="001004F8">
        <w:rPr>
          <w:rFonts w:ascii="Times New Roman" w:hAnsi="Times New Roman" w:cs="Times New Roman"/>
          <w:sz w:val="26"/>
          <w:szCs w:val="26"/>
          <w:lang w:val="lv-LV"/>
        </w:rPr>
        <w:t> </w:t>
      </w:r>
      <w:r w:rsidRPr="002C5745">
        <w:rPr>
          <w:rFonts w:ascii="Times New Roman" w:hAnsi="Times New Roman" w:cs="Times New Roman"/>
          <w:sz w:val="26"/>
          <w:szCs w:val="26"/>
          <w:lang w:val="lv-LV"/>
        </w:rPr>
        <w:t>gada 7.</w:t>
      </w:r>
      <w:r w:rsidR="001004F8">
        <w:rPr>
          <w:rFonts w:ascii="Times New Roman" w:hAnsi="Times New Roman" w:cs="Times New Roman"/>
          <w:sz w:val="26"/>
          <w:szCs w:val="26"/>
          <w:lang w:val="lv-LV"/>
        </w:rPr>
        <w:t> </w:t>
      </w:r>
      <w:r w:rsidRPr="002C5745">
        <w:rPr>
          <w:rFonts w:ascii="Times New Roman" w:hAnsi="Times New Roman" w:cs="Times New Roman"/>
          <w:sz w:val="26"/>
          <w:szCs w:val="26"/>
          <w:lang w:val="lv-LV"/>
        </w:rPr>
        <w:t xml:space="preserve">jūnija sēdē tika pieņemts zināšanai </w:t>
      </w:r>
      <w:r w:rsidR="005C62E8" w:rsidRPr="002C5745">
        <w:rPr>
          <w:rFonts w:ascii="Times New Roman" w:hAnsi="Times New Roman" w:cs="Times New Roman"/>
          <w:sz w:val="26"/>
          <w:szCs w:val="26"/>
          <w:lang w:val="lv-LV"/>
        </w:rPr>
        <w:t>sekretariāta z</w:t>
      </w:r>
      <w:r w:rsidRPr="002C5745">
        <w:rPr>
          <w:rFonts w:ascii="Times New Roman" w:hAnsi="Times New Roman" w:cs="Times New Roman"/>
          <w:sz w:val="26"/>
          <w:szCs w:val="26"/>
          <w:lang w:val="lv-LV"/>
        </w:rPr>
        <w:t xml:space="preserve">iņojums, kurā ir uzsvērts, ka viena no identificētajām tranzīta kravu pārvadājumu problēmām ir nodokļu parāda nokavējuma naudas likmes (izņemot muitas nodoklim piemērojamā nokavējuma nauda), kuras būtu nepieciešams samazināt līdz citās </w:t>
      </w:r>
      <w:r w:rsidR="002437E6">
        <w:rPr>
          <w:rFonts w:ascii="Times New Roman" w:hAnsi="Times New Roman" w:cs="Times New Roman"/>
          <w:sz w:val="26"/>
          <w:szCs w:val="26"/>
          <w:lang w:val="lv-LV"/>
        </w:rPr>
        <w:t>ES</w:t>
      </w:r>
      <w:r w:rsidRPr="002C5745">
        <w:rPr>
          <w:rFonts w:ascii="Times New Roman" w:hAnsi="Times New Roman" w:cs="Times New Roman"/>
          <w:sz w:val="26"/>
          <w:szCs w:val="26"/>
          <w:lang w:val="lv-LV"/>
        </w:rPr>
        <w:t xml:space="preserve"> dalībvalstīm noteiktajam vidējam nokavējuma naudas apmēram, tādējādi radot Latvijas komersantiem līdzvērtīgus apstākļus.</w:t>
      </w:r>
    </w:p>
    <w:p w14:paraId="271D2C05" w14:textId="1AF0ABAA" w:rsidR="00AB704A" w:rsidRPr="002C5745" w:rsidRDefault="00C76062" w:rsidP="00AB704A">
      <w:pPr>
        <w:ind w:firstLine="720"/>
        <w:jc w:val="both"/>
        <w:rPr>
          <w:rFonts w:ascii="Times New Roman" w:hAnsi="Times New Roman" w:cs="Times New Roman"/>
          <w:sz w:val="26"/>
          <w:szCs w:val="26"/>
          <w:lang w:val="lv-LV"/>
        </w:rPr>
      </w:pPr>
      <w:r>
        <w:rPr>
          <w:rFonts w:ascii="Times New Roman" w:hAnsi="Times New Roman" w:cs="Times New Roman"/>
          <w:sz w:val="26"/>
          <w:szCs w:val="26"/>
          <w:lang w:val="lv-LV"/>
        </w:rPr>
        <w:t>No s</w:t>
      </w:r>
      <w:r w:rsidR="005C62E8" w:rsidRPr="002C5745">
        <w:rPr>
          <w:rFonts w:ascii="Times New Roman" w:hAnsi="Times New Roman" w:cs="Times New Roman"/>
          <w:sz w:val="26"/>
          <w:szCs w:val="26"/>
          <w:lang w:val="lv-LV"/>
        </w:rPr>
        <w:t>ekretariāta z</w:t>
      </w:r>
      <w:r w:rsidR="00AB704A" w:rsidRPr="002C5745">
        <w:rPr>
          <w:rFonts w:ascii="Times New Roman" w:hAnsi="Times New Roman" w:cs="Times New Roman"/>
          <w:sz w:val="26"/>
          <w:szCs w:val="26"/>
          <w:lang w:val="lv-LV"/>
        </w:rPr>
        <w:t>iņojum</w:t>
      </w:r>
      <w:r>
        <w:rPr>
          <w:rFonts w:ascii="Times New Roman" w:hAnsi="Times New Roman" w:cs="Times New Roman"/>
          <w:sz w:val="26"/>
          <w:szCs w:val="26"/>
          <w:lang w:val="lv-LV"/>
        </w:rPr>
        <w:t>a izriet</w:t>
      </w:r>
      <w:r w:rsidR="00AB704A" w:rsidRPr="002C5745">
        <w:rPr>
          <w:rFonts w:ascii="Times New Roman" w:hAnsi="Times New Roman" w:cs="Times New Roman"/>
          <w:sz w:val="26"/>
          <w:szCs w:val="26"/>
          <w:lang w:val="lv-LV"/>
        </w:rPr>
        <w:t>, ka Latvijas gadījumā nokavējuma nauda tiek faktiski iekasēta nevis kā kompensējošs mehānisms par nesavlaicīgi samaksātu nodokļu parādu, bet gan tiek izmantota kā soda sankcijas instruments, ko nodokļu administrācija piemēro nodokļu maksājumu pārkāpumu gadījumos, kas Latvijas Tranzītu biznesa asociācijas ieskatā neatbilst nokavējuma naudas jēgai un mērķim.</w:t>
      </w:r>
    </w:p>
    <w:p w14:paraId="252E968E" w14:textId="0F6C8DBA" w:rsidR="00AB704A" w:rsidRPr="002C5745" w:rsidRDefault="00AB704A" w:rsidP="00AB704A">
      <w:pPr>
        <w:ind w:firstLine="720"/>
        <w:jc w:val="both"/>
        <w:rPr>
          <w:rFonts w:ascii="Times New Roman" w:hAnsi="Times New Roman" w:cs="Times New Roman"/>
          <w:sz w:val="26"/>
          <w:szCs w:val="26"/>
          <w:lang w:val="lv-LV"/>
        </w:rPr>
      </w:pPr>
      <w:r w:rsidRPr="002C5745">
        <w:rPr>
          <w:rFonts w:ascii="Times New Roman" w:hAnsi="Times New Roman" w:cs="Times New Roman"/>
          <w:sz w:val="26"/>
          <w:szCs w:val="26"/>
          <w:lang w:val="lv-LV"/>
        </w:rPr>
        <w:t xml:space="preserve">Ievērojot </w:t>
      </w:r>
      <w:r w:rsidR="00C76062">
        <w:rPr>
          <w:rFonts w:ascii="Times New Roman" w:hAnsi="Times New Roman" w:cs="Times New Roman"/>
          <w:sz w:val="26"/>
          <w:szCs w:val="26"/>
          <w:lang w:val="lv-LV"/>
        </w:rPr>
        <w:t>sekretariāta z</w:t>
      </w:r>
      <w:r w:rsidRPr="002C5745">
        <w:rPr>
          <w:rFonts w:ascii="Times New Roman" w:hAnsi="Times New Roman" w:cs="Times New Roman"/>
          <w:sz w:val="26"/>
          <w:szCs w:val="26"/>
          <w:lang w:val="lv-LV"/>
        </w:rPr>
        <w:t>iņojumā norādīto</w:t>
      </w:r>
      <w:r w:rsidR="00C76062">
        <w:rPr>
          <w:rFonts w:ascii="Times New Roman" w:hAnsi="Times New Roman" w:cs="Times New Roman"/>
          <w:sz w:val="26"/>
          <w:szCs w:val="26"/>
          <w:lang w:val="lv-LV"/>
        </w:rPr>
        <w:t xml:space="preserve"> un līdzšinējās diskusijas par nokavējuma naudas regulējumu,</w:t>
      </w:r>
      <w:r w:rsidRPr="002C5745">
        <w:rPr>
          <w:rFonts w:ascii="Times New Roman" w:hAnsi="Times New Roman" w:cs="Times New Roman"/>
          <w:sz w:val="26"/>
          <w:szCs w:val="26"/>
          <w:lang w:val="lv-LV"/>
        </w:rPr>
        <w:t xml:space="preserve"> informatīvā ziņojuma ietvaros nokavējuma naudas regulējums ir izvērtēts arī no šādiem aspektiem:</w:t>
      </w:r>
    </w:p>
    <w:p w14:paraId="07529E28" w14:textId="237F56C3" w:rsidR="00224386" w:rsidRPr="002C5745" w:rsidRDefault="001004F8" w:rsidP="00224386">
      <w:pPr>
        <w:ind w:firstLine="720"/>
        <w:jc w:val="both"/>
        <w:rPr>
          <w:rFonts w:ascii="Times New Roman" w:hAnsi="Times New Roman" w:cs="Times New Roman"/>
          <w:sz w:val="26"/>
          <w:szCs w:val="26"/>
          <w:lang w:val="lv-LV"/>
        </w:rPr>
      </w:pPr>
      <w:r>
        <w:rPr>
          <w:rFonts w:ascii="Times New Roman" w:hAnsi="Times New Roman" w:cs="Times New Roman"/>
          <w:sz w:val="26"/>
          <w:szCs w:val="26"/>
          <w:lang w:val="lv-LV"/>
        </w:rPr>
        <w:t>1)  </w:t>
      </w:r>
      <w:r w:rsidR="00224386" w:rsidRPr="002C5745">
        <w:rPr>
          <w:rFonts w:ascii="Times New Roman" w:hAnsi="Times New Roman" w:cs="Times New Roman"/>
          <w:sz w:val="26"/>
          <w:szCs w:val="26"/>
          <w:lang w:val="lv-LV"/>
        </w:rPr>
        <w:t>vai nokavējuma nauda ir uzskatāma par soda sankcijas instrumentu?</w:t>
      </w:r>
    </w:p>
    <w:p w14:paraId="078A0C79" w14:textId="5849B79C" w:rsidR="00AB704A" w:rsidRPr="002C5745" w:rsidRDefault="00AB704A" w:rsidP="00AB704A">
      <w:pPr>
        <w:ind w:firstLine="720"/>
        <w:jc w:val="both"/>
        <w:rPr>
          <w:rFonts w:ascii="Times New Roman" w:hAnsi="Times New Roman" w:cs="Times New Roman"/>
          <w:sz w:val="26"/>
          <w:szCs w:val="26"/>
          <w:lang w:val="lv-LV"/>
        </w:rPr>
      </w:pPr>
      <w:r w:rsidRPr="002C5745">
        <w:rPr>
          <w:rFonts w:ascii="Times New Roman" w:hAnsi="Times New Roman" w:cs="Times New Roman"/>
          <w:sz w:val="26"/>
          <w:szCs w:val="26"/>
          <w:lang w:val="lv-LV"/>
        </w:rPr>
        <w:t>2)  </w:t>
      </w:r>
      <w:r w:rsidR="00224386" w:rsidRPr="002C5745">
        <w:rPr>
          <w:rFonts w:ascii="Times New Roman" w:hAnsi="Times New Roman" w:cs="Times New Roman"/>
          <w:sz w:val="26"/>
          <w:szCs w:val="26"/>
          <w:lang w:val="lv-LV"/>
        </w:rPr>
        <w:t xml:space="preserve">vai esošā nokavējuma naudas likme ir uzskatāma par tranzīta kravu </w:t>
      </w:r>
      <w:r w:rsidR="001004F8">
        <w:rPr>
          <w:rFonts w:ascii="Times New Roman" w:hAnsi="Times New Roman" w:cs="Times New Roman"/>
          <w:sz w:val="26"/>
          <w:szCs w:val="26"/>
          <w:lang w:val="lv-LV"/>
        </w:rPr>
        <w:t>pārvadājumu traucējošu faktoru?</w:t>
      </w:r>
    </w:p>
    <w:p w14:paraId="560D2A50" w14:textId="2DB5423E" w:rsidR="00637370" w:rsidRPr="002C5745" w:rsidRDefault="00637370" w:rsidP="00AB704A">
      <w:pPr>
        <w:ind w:firstLine="720"/>
        <w:jc w:val="both"/>
        <w:rPr>
          <w:rFonts w:ascii="Times New Roman" w:hAnsi="Times New Roman" w:cs="Times New Roman"/>
          <w:sz w:val="26"/>
          <w:szCs w:val="26"/>
          <w:lang w:val="lv-LV"/>
        </w:rPr>
      </w:pPr>
      <w:r w:rsidRPr="002C5745">
        <w:rPr>
          <w:rFonts w:ascii="Times New Roman" w:hAnsi="Times New Roman" w:cs="Times New Roman"/>
          <w:sz w:val="26"/>
          <w:szCs w:val="26"/>
          <w:lang w:val="lv-LV"/>
        </w:rPr>
        <w:t xml:space="preserve">3)  vai nokavējuma naudas apmērs ievērojami pārsniedz citās </w:t>
      </w:r>
      <w:r w:rsidR="002437E6">
        <w:rPr>
          <w:rFonts w:ascii="Times New Roman" w:hAnsi="Times New Roman" w:cs="Times New Roman"/>
          <w:sz w:val="26"/>
          <w:szCs w:val="26"/>
          <w:lang w:val="lv-LV"/>
        </w:rPr>
        <w:t>ES</w:t>
      </w:r>
      <w:r w:rsidRPr="002C5745">
        <w:rPr>
          <w:rFonts w:ascii="Times New Roman" w:hAnsi="Times New Roman" w:cs="Times New Roman"/>
          <w:sz w:val="26"/>
          <w:szCs w:val="26"/>
          <w:lang w:val="lv-LV"/>
        </w:rPr>
        <w:t xml:space="preserve"> dalībvalstīs noteikto nokavējuma naudas apmēru?</w:t>
      </w:r>
    </w:p>
    <w:p w14:paraId="445F046A" w14:textId="77777777" w:rsidR="008A54BE" w:rsidRPr="002C5745" w:rsidRDefault="00931E44" w:rsidP="00135EA3">
      <w:pPr>
        <w:pStyle w:val="Heading2"/>
        <w:jc w:val="center"/>
        <w:rPr>
          <w:rFonts w:ascii="Times New Roman" w:hAnsi="Times New Roman" w:cs="Times New Roman"/>
          <w:b/>
          <w:color w:val="auto"/>
          <w:lang w:val="lv-LV"/>
        </w:rPr>
      </w:pPr>
      <w:r w:rsidRPr="002C5745">
        <w:rPr>
          <w:rFonts w:ascii="Times New Roman" w:hAnsi="Times New Roman" w:cs="Times New Roman"/>
          <w:b/>
          <w:color w:val="auto"/>
          <w:lang w:val="lv-LV"/>
        </w:rPr>
        <w:lastRenderedPageBreak/>
        <w:t>2.1.</w:t>
      </w:r>
      <w:r w:rsidR="00463C7B">
        <w:rPr>
          <w:rFonts w:ascii="Times New Roman" w:hAnsi="Times New Roman" w:cs="Times New Roman"/>
          <w:b/>
          <w:color w:val="auto"/>
          <w:lang w:val="lv-LV"/>
        </w:rPr>
        <w:t>  </w:t>
      </w:r>
      <w:r w:rsidR="0061157A" w:rsidRPr="002C5745">
        <w:rPr>
          <w:rFonts w:ascii="Times New Roman" w:hAnsi="Times New Roman" w:cs="Times New Roman"/>
          <w:b/>
          <w:color w:val="auto"/>
          <w:lang w:val="lv-LV"/>
        </w:rPr>
        <w:t>Nokavējuma naudas būtība</w:t>
      </w:r>
    </w:p>
    <w:p w14:paraId="0C392782" w14:textId="77777777" w:rsidR="00636F78" w:rsidRPr="002C5745" w:rsidRDefault="00636F78" w:rsidP="008E03B3">
      <w:pPr>
        <w:ind w:firstLine="720"/>
        <w:jc w:val="both"/>
        <w:rPr>
          <w:rFonts w:ascii="Times New Roman" w:hAnsi="Times New Roman" w:cs="Times New Roman"/>
          <w:sz w:val="26"/>
          <w:szCs w:val="26"/>
          <w:lang w:val="lv-LV"/>
        </w:rPr>
      </w:pPr>
      <w:r w:rsidRPr="002C5745">
        <w:rPr>
          <w:rFonts w:ascii="Times New Roman" w:hAnsi="Times New Roman" w:cs="Times New Roman"/>
          <w:sz w:val="26"/>
          <w:szCs w:val="26"/>
          <w:lang w:val="lv-LV"/>
        </w:rPr>
        <w:t>Nodokļu pastāvēšana ir saistīta ar valsts pastāvēšanu. Jebkurai valdībai jāatrod līdzekļi valsts pārvaldes aparāta uzturēšanai un tā būtisko funkciju veikšanas nodrošināšanai. Valdības funkciju veikšana ir galvenais nodokļu pastāvēšanas attaisnojums un arguments. Nodokļu iekasēšana ir svarīga valsts aktivitāte, kas ir saistīta ar izmaksām</w:t>
      </w:r>
      <w:r w:rsidR="00F61567" w:rsidRPr="002C5745">
        <w:rPr>
          <w:rFonts w:ascii="Times New Roman" w:hAnsi="Times New Roman" w:cs="Times New Roman"/>
          <w:sz w:val="26"/>
          <w:szCs w:val="26"/>
          <w:lang w:val="lv-LV"/>
        </w:rPr>
        <w:t>.</w:t>
      </w:r>
      <w:r w:rsidRPr="002C5745">
        <w:rPr>
          <w:rStyle w:val="FootnoteReference"/>
          <w:rFonts w:ascii="Times New Roman" w:hAnsi="Times New Roman" w:cs="Times New Roman"/>
          <w:sz w:val="26"/>
          <w:szCs w:val="26"/>
          <w:lang w:val="lv-LV"/>
        </w:rPr>
        <w:footnoteReference w:id="1"/>
      </w:r>
    </w:p>
    <w:p w14:paraId="07AD6745" w14:textId="77777777" w:rsidR="00220CCA" w:rsidRPr="002C5745" w:rsidRDefault="0059624D" w:rsidP="004D6B01">
      <w:pPr>
        <w:ind w:firstLine="720"/>
        <w:jc w:val="both"/>
        <w:rPr>
          <w:rFonts w:ascii="Times New Roman" w:hAnsi="Times New Roman" w:cs="Times New Roman"/>
          <w:sz w:val="26"/>
          <w:szCs w:val="26"/>
          <w:lang w:val="lv-LV"/>
        </w:rPr>
      </w:pPr>
      <w:r w:rsidRPr="002C5745">
        <w:rPr>
          <w:rFonts w:ascii="Times New Roman" w:hAnsi="Times New Roman" w:cs="Times New Roman"/>
          <w:sz w:val="26"/>
          <w:szCs w:val="26"/>
          <w:lang w:val="lv-LV"/>
        </w:rPr>
        <w:t>Neapšaubāmi lielāko daļu no valsts ieņēmumiem veido nodokļi, bez kuru iekasēšanas nav iedomājama valsts pastāvēšana</w:t>
      </w:r>
      <w:r w:rsidRPr="002C5745">
        <w:rPr>
          <w:rStyle w:val="FootnoteReference"/>
          <w:rFonts w:ascii="Times New Roman" w:hAnsi="Times New Roman" w:cs="Times New Roman"/>
          <w:sz w:val="26"/>
          <w:szCs w:val="26"/>
          <w:lang w:val="lv-LV"/>
        </w:rPr>
        <w:footnoteReference w:id="2"/>
      </w:r>
      <w:r w:rsidRPr="002C5745">
        <w:rPr>
          <w:rFonts w:ascii="Times New Roman" w:hAnsi="Times New Roman" w:cs="Times New Roman"/>
          <w:sz w:val="26"/>
          <w:szCs w:val="26"/>
          <w:lang w:val="lv-LV"/>
        </w:rPr>
        <w:t>. Kā rāda p</w:t>
      </w:r>
      <w:r w:rsidR="004D6B01" w:rsidRPr="002C5745">
        <w:rPr>
          <w:rFonts w:ascii="Times New Roman" w:hAnsi="Times New Roman" w:cs="Times New Roman"/>
          <w:sz w:val="26"/>
          <w:szCs w:val="26"/>
          <w:lang w:val="lv-LV"/>
        </w:rPr>
        <w:t>rakse</w:t>
      </w:r>
      <w:r w:rsidRPr="002C5745">
        <w:rPr>
          <w:rFonts w:ascii="Times New Roman" w:hAnsi="Times New Roman" w:cs="Times New Roman"/>
          <w:sz w:val="26"/>
          <w:szCs w:val="26"/>
          <w:lang w:val="lv-LV"/>
        </w:rPr>
        <w:t xml:space="preserve">, </w:t>
      </w:r>
      <w:r w:rsidR="004D6B01" w:rsidRPr="002C5745">
        <w:rPr>
          <w:rFonts w:ascii="Times New Roman" w:hAnsi="Times New Roman" w:cs="Times New Roman"/>
          <w:sz w:val="26"/>
          <w:szCs w:val="26"/>
          <w:lang w:val="lv-LV"/>
        </w:rPr>
        <w:t>pasaulē lielākajā daļā valstu nodokļi veido 75 % - 85 % no visiem budžeta ieņēmumiem</w:t>
      </w:r>
      <w:r w:rsidR="004D6B01" w:rsidRPr="002C5745">
        <w:rPr>
          <w:rStyle w:val="FootnoteReference"/>
          <w:rFonts w:ascii="Times New Roman" w:hAnsi="Times New Roman" w:cs="Times New Roman"/>
          <w:sz w:val="26"/>
          <w:szCs w:val="26"/>
          <w:lang w:val="lv-LV"/>
        </w:rPr>
        <w:footnoteReference w:id="3"/>
      </w:r>
      <w:r w:rsidR="004D6B01" w:rsidRPr="002C5745">
        <w:rPr>
          <w:rFonts w:ascii="Times New Roman" w:hAnsi="Times New Roman" w:cs="Times New Roman"/>
          <w:sz w:val="26"/>
          <w:szCs w:val="26"/>
          <w:lang w:val="lv-LV"/>
        </w:rPr>
        <w:t xml:space="preserve">. Arī Latvijā nodokļu ieņēmumi veido lielāko valsts kopbudžeta ieņēmumu daļu. Tā, piemēram, </w:t>
      </w:r>
      <w:r w:rsidR="00220CCA" w:rsidRPr="002C5745">
        <w:rPr>
          <w:rFonts w:ascii="Times New Roman" w:hAnsi="Times New Roman" w:cs="Times New Roman"/>
          <w:sz w:val="26"/>
          <w:szCs w:val="26"/>
          <w:lang w:val="lv-LV"/>
        </w:rPr>
        <w:t>saskaņā ar Saimnieciskā gada pārskatu par 2015.</w:t>
      </w:r>
      <w:r w:rsidR="0061157A" w:rsidRPr="002C5745">
        <w:rPr>
          <w:rFonts w:ascii="Times New Roman" w:hAnsi="Times New Roman" w:cs="Times New Roman"/>
          <w:sz w:val="26"/>
          <w:szCs w:val="26"/>
          <w:lang w:val="lv-LV"/>
        </w:rPr>
        <w:t> </w:t>
      </w:r>
      <w:r w:rsidR="00220CCA" w:rsidRPr="002C5745">
        <w:rPr>
          <w:rFonts w:ascii="Times New Roman" w:hAnsi="Times New Roman" w:cs="Times New Roman"/>
          <w:sz w:val="26"/>
          <w:szCs w:val="26"/>
          <w:lang w:val="lv-LV"/>
        </w:rPr>
        <w:t>gadu konsolidētā kopbudžeta ieņēmumi 2015.</w:t>
      </w:r>
      <w:r w:rsidR="0061157A" w:rsidRPr="002C5745">
        <w:rPr>
          <w:rFonts w:ascii="Times New Roman" w:hAnsi="Times New Roman" w:cs="Times New Roman"/>
          <w:sz w:val="26"/>
          <w:szCs w:val="26"/>
          <w:lang w:val="lv-LV"/>
        </w:rPr>
        <w:t> </w:t>
      </w:r>
      <w:r w:rsidR="00220CCA" w:rsidRPr="002C5745">
        <w:rPr>
          <w:rFonts w:ascii="Times New Roman" w:hAnsi="Times New Roman" w:cs="Times New Roman"/>
          <w:sz w:val="26"/>
          <w:szCs w:val="26"/>
          <w:lang w:val="lv-LV"/>
        </w:rPr>
        <w:t>gadā bija 8 814 648 703 </w:t>
      </w:r>
      <w:r w:rsidR="0061157A" w:rsidRPr="002C5745">
        <w:rPr>
          <w:rFonts w:ascii="Times New Roman" w:hAnsi="Times New Roman" w:cs="Times New Roman"/>
          <w:i/>
          <w:sz w:val="26"/>
          <w:szCs w:val="26"/>
          <w:lang w:val="lv-LV"/>
        </w:rPr>
        <w:t>euro</w:t>
      </w:r>
      <w:r w:rsidR="00220CCA" w:rsidRPr="002C5745">
        <w:rPr>
          <w:rFonts w:ascii="Times New Roman" w:hAnsi="Times New Roman" w:cs="Times New Roman"/>
          <w:sz w:val="26"/>
          <w:szCs w:val="26"/>
          <w:lang w:val="lv-LV"/>
        </w:rPr>
        <w:t>, no kuriem nodokļu ieņēmumi veidoja 7 002 614</w:t>
      </w:r>
      <w:r w:rsidR="0040012B" w:rsidRPr="002C5745">
        <w:rPr>
          <w:rFonts w:ascii="Times New Roman" w:hAnsi="Times New Roman" w:cs="Times New Roman"/>
          <w:sz w:val="26"/>
          <w:szCs w:val="26"/>
          <w:lang w:val="lv-LV"/>
        </w:rPr>
        <w:t> </w:t>
      </w:r>
      <w:r w:rsidR="00220CCA" w:rsidRPr="002C5745">
        <w:rPr>
          <w:rFonts w:ascii="Times New Roman" w:hAnsi="Times New Roman" w:cs="Times New Roman"/>
          <w:sz w:val="26"/>
          <w:szCs w:val="26"/>
          <w:lang w:val="lv-LV"/>
        </w:rPr>
        <w:t>087</w:t>
      </w:r>
      <w:r w:rsidR="0040012B" w:rsidRPr="002C5745">
        <w:rPr>
          <w:rFonts w:ascii="Times New Roman" w:hAnsi="Times New Roman" w:cs="Times New Roman"/>
          <w:sz w:val="26"/>
          <w:szCs w:val="26"/>
          <w:lang w:val="lv-LV"/>
        </w:rPr>
        <w:t> </w:t>
      </w:r>
      <w:r w:rsidR="00220CCA" w:rsidRPr="002C5745">
        <w:rPr>
          <w:rFonts w:ascii="Times New Roman" w:hAnsi="Times New Roman" w:cs="Times New Roman"/>
          <w:i/>
          <w:sz w:val="26"/>
          <w:szCs w:val="26"/>
          <w:lang w:val="lv-LV"/>
        </w:rPr>
        <w:t xml:space="preserve">euro </w:t>
      </w:r>
      <w:r w:rsidR="00220CCA" w:rsidRPr="002C5745">
        <w:rPr>
          <w:rFonts w:ascii="Times New Roman" w:hAnsi="Times New Roman" w:cs="Times New Roman"/>
          <w:sz w:val="26"/>
          <w:szCs w:val="26"/>
          <w:lang w:val="lv-LV"/>
        </w:rPr>
        <w:t xml:space="preserve">jeb </w:t>
      </w:r>
      <w:r w:rsidR="0019627E" w:rsidRPr="002C5745">
        <w:rPr>
          <w:rFonts w:ascii="Times New Roman" w:hAnsi="Times New Roman" w:cs="Times New Roman"/>
          <w:sz w:val="26"/>
          <w:szCs w:val="26"/>
          <w:lang w:val="lv-LV"/>
        </w:rPr>
        <w:t>~ </w:t>
      </w:r>
      <w:r w:rsidR="00220CCA" w:rsidRPr="002C5745">
        <w:rPr>
          <w:rFonts w:ascii="Times New Roman" w:hAnsi="Times New Roman" w:cs="Times New Roman"/>
          <w:sz w:val="26"/>
          <w:szCs w:val="26"/>
          <w:lang w:val="lv-LV"/>
        </w:rPr>
        <w:t>79 </w:t>
      </w:r>
      <w:r w:rsidR="0040012B" w:rsidRPr="002C5745">
        <w:rPr>
          <w:rFonts w:ascii="Times New Roman" w:hAnsi="Times New Roman" w:cs="Times New Roman"/>
          <w:sz w:val="26"/>
          <w:szCs w:val="26"/>
          <w:lang w:val="lv-LV"/>
        </w:rPr>
        <w:t>%, savukārt 2016.</w:t>
      </w:r>
      <w:r w:rsidR="0061157A" w:rsidRPr="002C5745">
        <w:rPr>
          <w:rFonts w:ascii="Times New Roman" w:hAnsi="Times New Roman" w:cs="Times New Roman"/>
          <w:sz w:val="26"/>
          <w:szCs w:val="26"/>
          <w:lang w:val="lv-LV"/>
        </w:rPr>
        <w:t> </w:t>
      </w:r>
      <w:r w:rsidR="0040012B" w:rsidRPr="002C5745">
        <w:rPr>
          <w:rFonts w:ascii="Times New Roman" w:hAnsi="Times New Roman" w:cs="Times New Roman"/>
          <w:sz w:val="26"/>
          <w:szCs w:val="26"/>
          <w:lang w:val="lv-LV"/>
        </w:rPr>
        <w:t>gadā saskaņā ar Saimnieciskā gada pārskatu par 2016.</w:t>
      </w:r>
      <w:r w:rsidR="0061157A" w:rsidRPr="002C5745">
        <w:rPr>
          <w:rFonts w:ascii="Times New Roman" w:hAnsi="Times New Roman" w:cs="Times New Roman"/>
          <w:sz w:val="26"/>
          <w:szCs w:val="26"/>
          <w:lang w:val="lv-LV"/>
        </w:rPr>
        <w:t> </w:t>
      </w:r>
      <w:r w:rsidR="0040012B" w:rsidRPr="002C5745">
        <w:rPr>
          <w:rFonts w:ascii="Times New Roman" w:hAnsi="Times New Roman" w:cs="Times New Roman"/>
          <w:sz w:val="26"/>
          <w:szCs w:val="26"/>
          <w:lang w:val="lv-LV"/>
        </w:rPr>
        <w:t xml:space="preserve">gadu konsolidētā kopbudžeta ieņēmumi bija 9 065 197 728 </w:t>
      </w:r>
      <w:r w:rsidR="0040012B" w:rsidRPr="002C5745">
        <w:rPr>
          <w:rFonts w:ascii="Times New Roman" w:hAnsi="Times New Roman" w:cs="Times New Roman"/>
          <w:i/>
          <w:sz w:val="26"/>
          <w:szCs w:val="26"/>
          <w:lang w:val="lv-LV"/>
        </w:rPr>
        <w:t>euro</w:t>
      </w:r>
      <w:r w:rsidR="0040012B" w:rsidRPr="002C5745">
        <w:rPr>
          <w:rFonts w:ascii="Times New Roman" w:hAnsi="Times New Roman" w:cs="Times New Roman"/>
          <w:sz w:val="26"/>
          <w:szCs w:val="26"/>
          <w:lang w:val="lv-LV"/>
        </w:rPr>
        <w:t xml:space="preserve">, no kuriem nodokļu ieņēmumi </w:t>
      </w:r>
      <w:r w:rsidR="0015737D" w:rsidRPr="002C5745">
        <w:rPr>
          <w:rFonts w:ascii="Times New Roman" w:hAnsi="Times New Roman" w:cs="Times New Roman"/>
          <w:sz w:val="26"/>
          <w:szCs w:val="26"/>
          <w:lang w:val="lv-LV"/>
        </w:rPr>
        <w:t xml:space="preserve">veidoja </w:t>
      </w:r>
      <w:r w:rsidR="0019627E" w:rsidRPr="002C5745">
        <w:rPr>
          <w:rFonts w:ascii="Times New Roman" w:hAnsi="Times New Roman" w:cs="Times New Roman"/>
          <w:sz w:val="26"/>
          <w:szCs w:val="26"/>
          <w:lang w:val="lv-LV"/>
        </w:rPr>
        <w:t>~ 82 % jeb 7 419 577</w:t>
      </w:r>
      <w:r w:rsidR="00E510B4" w:rsidRPr="002C5745">
        <w:rPr>
          <w:rFonts w:ascii="Times New Roman" w:hAnsi="Times New Roman" w:cs="Times New Roman"/>
          <w:sz w:val="26"/>
          <w:szCs w:val="26"/>
          <w:lang w:val="lv-LV"/>
        </w:rPr>
        <w:t> </w:t>
      </w:r>
      <w:r w:rsidR="0019627E" w:rsidRPr="002C5745">
        <w:rPr>
          <w:rFonts w:ascii="Times New Roman" w:hAnsi="Times New Roman" w:cs="Times New Roman"/>
          <w:sz w:val="26"/>
          <w:szCs w:val="26"/>
          <w:lang w:val="lv-LV"/>
        </w:rPr>
        <w:t>488</w:t>
      </w:r>
      <w:r w:rsidR="00E510B4" w:rsidRPr="002C5745">
        <w:rPr>
          <w:rFonts w:ascii="Times New Roman" w:hAnsi="Times New Roman" w:cs="Times New Roman"/>
          <w:sz w:val="26"/>
          <w:szCs w:val="26"/>
          <w:lang w:val="lv-LV"/>
        </w:rPr>
        <w:t> </w:t>
      </w:r>
      <w:r w:rsidR="0019627E" w:rsidRPr="002C5745">
        <w:rPr>
          <w:rFonts w:ascii="Times New Roman" w:hAnsi="Times New Roman" w:cs="Times New Roman"/>
          <w:i/>
          <w:sz w:val="26"/>
          <w:szCs w:val="26"/>
          <w:lang w:val="lv-LV"/>
        </w:rPr>
        <w:t>euro</w:t>
      </w:r>
      <w:r w:rsidR="00E510B4" w:rsidRPr="002C5745">
        <w:rPr>
          <w:rFonts w:ascii="Times New Roman" w:hAnsi="Times New Roman" w:cs="Times New Roman"/>
          <w:sz w:val="26"/>
          <w:szCs w:val="26"/>
          <w:lang w:val="lv-LV"/>
        </w:rPr>
        <w:t>.</w:t>
      </w:r>
    </w:p>
    <w:p w14:paraId="3A731181" w14:textId="6016A5CF" w:rsidR="00880EC7" w:rsidRDefault="004438FD" w:rsidP="004438FD">
      <w:pPr>
        <w:ind w:firstLine="720"/>
        <w:jc w:val="both"/>
        <w:rPr>
          <w:rFonts w:ascii="Times New Roman" w:hAnsi="Times New Roman" w:cs="Times New Roman"/>
          <w:sz w:val="26"/>
          <w:szCs w:val="26"/>
          <w:lang w:val="lv-LV"/>
        </w:rPr>
      </w:pPr>
      <w:r w:rsidRPr="002C5745">
        <w:rPr>
          <w:rFonts w:ascii="Times New Roman" w:hAnsi="Times New Roman" w:cs="Times New Roman"/>
          <w:sz w:val="26"/>
          <w:szCs w:val="26"/>
          <w:lang w:val="lv-LV"/>
        </w:rPr>
        <w:t xml:space="preserve">Savukārt, izvērtējot nokavējuma naudas ietekmi uz valsts budžetu, ir izvērtēta Valsts ieņēmumu dienesta </w:t>
      </w:r>
      <w:r w:rsidR="002437E6">
        <w:rPr>
          <w:rFonts w:ascii="Times New Roman" w:hAnsi="Times New Roman" w:cs="Times New Roman"/>
          <w:sz w:val="26"/>
          <w:szCs w:val="26"/>
          <w:lang w:val="lv-LV"/>
        </w:rPr>
        <w:t xml:space="preserve">(turpmāk – VID) </w:t>
      </w:r>
      <w:r w:rsidRPr="002C5745">
        <w:rPr>
          <w:rFonts w:ascii="Times New Roman" w:hAnsi="Times New Roman" w:cs="Times New Roman"/>
          <w:sz w:val="26"/>
          <w:szCs w:val="26"/>
          <w:lang w:val="lv-LV"/>
        </w:rPr>
        <w:t xml:space="preserve">sniegtā informācija par </w:t>
      </w:r>
      <w:r w:rsidR="002437E6">
        <w:rPr>
          <w:rFonts w:ascii="Times New Roman" w:hAnsi="Times New Roman" w:cs="Times New Roman"/>
          <w:sz w:val="26"/>
          <w:szCs w:val="26"/>
          <w:lang w:val="lv-LV"/>
        </w:rPr>
        <w:t>VID</w:t>
      </w:r>
      <w:r w:rsidRPr="002C5745">
        <w:rPr>
          <w:rFonts w:ascii="Times New Roman" w:hAnsi="Times New Roman" w:cs="Times New Roman"/>
          <w:sz w:val="26"/>
          <w:szCs w:val="26"/>
          <w:lang w:val="lv-LV"/>
        </w:rPr>
        <w:t xml:space="preserve"> 2016. gadā iekasētajiem tās administrētajiem nodokļu maksājumiem. Proti, </w:t>
      </w:r>
      <w:r w:rsidR="002437E6">
        <w:rPr>
          <w:rFonts w:ascii="Times New Roman" w:hAnsi="Times New Roman" w:cs="Times New Roman"/>
          <w:sz w:val="26"/>
          <w:szCs w:val="26"/>
          <w:lang w:val="lv-LV"/>
        </w:rPr>
        <w:t>VID</w:t>
      </w:r>
      <w:r w:rsidRPr="002C5745">
        <w:rPr>
          <w:rFonts w:ascii="Times New Roman" w:hAnsi="Times New Roman" w:cs="Times New Roman"/>
          <w:sz w:val="26"/>
          <w:szCs w:val="26"/>
          <w:lang w:val="lv-LV"/>
        </w:rPr>
        <w:t xml:space="preserve"> 2016. gadā ir iekasējis nodokļu maksājumus 7 445 515 000 </w:t>
      </w:r>
      <w:r w:rsidRPr="002C5745">
        <w:rPr>
          <w:rFonts w:ascii="Times New Roman" w:hAnsi="Times New Roman" w:cs="Times New Roman"/>
          <w:i/>
          <w:sz w:val="26"/>
          <w:szCs w:val="26"/>
          <w:lang w:val="lv-LV"/>
        </w:rPr>
        <w:t>euro</w:t>
      </w:r>
      <w:r w:rsidRPr="002C5745">
        <w:rPr>
          <w:rFonts w:ascii="Times New Roman" w:hAnsi="Times New Roman" w:cs="Times New Roman"/>
          <w:sz w:val="26"/>
          <w:szCs w:val="26"/>
          <w:lang w:val="lv-LV"/>
        </w:rPr>
        <w:t xml:space="preserve"> apmērā, tajā skaitā nokavējuma naudu </w:t>
      </w:r>
      <w:r w:rsidR="00981F59" w:rsidRPr="00981F59">
        <w:rPr>
          <w:rFonts w:ascii="Times New Roman" w:hAnsi="Times New Roman" w:cs="Times New Roman"/>
          <w:b/>
          <w:bCs/>
          <w:sz w:val="20"/>
          <w:szCs w:val="20"/>
          <w:lang w:eastAsia="lv-LV"/>
        </w:rPr>
        <w:t>14</w:t>
      </w:r>
      <w:r w:rsidR="00981F59">
        <w:rPr>
          <w:rFonts w:ascii="Times New Roman" w:hAnsi="Times New Roman" w:cs="Times New Roman"/>
          <w:b/>
          <w:bCs/>
          <w:sz w:val="20"/>
          <w:szCs w:val="20"/>
          <w:lang w:eastAsia="lv-LV"/>
        </w:rPr>
        <w:t xml:space="preserve"> </w:t>
      </w:r>
      <w:r w:rsidR="00981F59" w:rsidRPr="00981F59">
        <w:rPr>
          <w:rFonts w:ascii="Times New Roman" w:hAnsi="Times New Roman" w:cs="Times New Roman"/>
          <w:b/>
          <w:bCs/>
          <w:sz w:val="20"/>
          <w:szCs w:val="20"/>
          <w:lang w:eastAsia="lv-LV"/>
        </w:rPr>
        <w:t>512</w:t>
      </w:r>
      <w:r w:rsidR="00981F59">
        <w:rPr>
          <w:rFonts w:ascii="Times New Roman" w:hAnsi="Times New Roman" w:cs="Times New Roman"/>
          <w:b/>
          <w:bCs/>
          <w:sz w:val="20"/>
          <w:szCs w:val="20"/>
          <w:lang w:eastAsia="lv-LV"/>
        </w:rPr>
        <w:t xml:space="preserve"> </w:t>
      </w:r>
      <w:r w:rsidR="00981F59" w:rsidRPr="00981F59">
        <w:rPr>
          <w:rFonts w:ascii="Times New Roman" w:hAnsi="Times New Roman" w:cs="Times New Roman"/>
          <w:b/>
          <w:bCs/>
          <w:sz w:val="20"/>
          <w:szCs w:val="20"/>
          <w:lang w:eastAsia="lv-LV"/>
        </w:rPr>
        <w:t>265</w:t>
      </w:r>
      <w:r w:rsidR="00981F59">
        <w:rPr>
          <w:rFonts w:ascii="Times New Roman" w:hAnsi="Times New Roman" w:cs="Times New Roman"/>
          <w:b/>
          <w:bCs/>
          <w:sz w:val="20"/>
          <w:szCs w:val="20"/>
          <w:lang w:eastAsia="lv-LV"/>
        </w:rPr>
        <w:t xml:space="preserve"> </w:t>
      </w:r>
      <w:r w:rsidRPr="002C5745">
        <w:rPr>
          <w:rFonts w:ascii="Times New Roman" w:hAnsi="Times New Roman" w:cs="Times New Roman"/>
          <w:i/>
          <w:sz w:val="26"/>
          <w:szCs w:val="26"/>
          <w:lang w:val="lv-LV"/>
        </w:rPr>
        <w:t>euro</w:t>
      </w:r>
      <w:r w:rsidRPr="002C5745">
        <w:rPr>
          <w:rFonts w:ascii="Times New Roman" w:hAnsi="Times New Roman" w:cs="Times New Roman"/>
          <w:sz w:val="26"/>
          <w:szCs w:val="26"/>
          <w:lang w:val="lv-LV"/>
        </w:rPr>
        <w:t xml:space="preserve">. </w:t>
      </w:r>
    </w:p>
    <w:p w14:paraId="225F68A8" w14:textId="73CB49A4" w:rsidR="004438FD" w:rsidRPr="001004F8" w:rsidRDefault="004438FD" w:rsidP="004438FD">
      <w:pPr>
        <w:ind w:firstLine="720"/>
        <w:jc w:val="both"/>
        <w:rPr>
          <w:rFonts w:ascii="Times New Roman" w:hAnsi="Times New Roman" w:cs="Times New Roman"/>
          <w:sz w:val="12"/>
          <w:szCs w:val="12"/>
          <w:lang w:val="lv-LV"/>
        </w:rPr>
      </w:pPr>
    </w:p>
    <w:tbl>
      <w:tblPr>
        <w:tblStyle w:val="TableGrid"/>
        <w:tblW w:w="0" w:type="auto"/>
        <w:tblLook w:val="04A0" w:firstRow="1" w:lastRow="0" w:firstColumn="1" w:lastColumn="0" w:noHBand="0" w:noVBand="1"/>
      </w:tblPr>
      <w:tblGrid>
        <w:gridCol w:w="3285"/>
        <w:gridCol w:w="2014"/>
        <w:gridCol w:w="1788"/>
        <w:gridCol w:w="1975"/>
      </w:tblGrid>
      <w:tr w:rsidR="004438FD" w:rsidRPr="002C5745" w14:paraId="54D2E6C8" w14:textId="77777777" w:rsidTr="00F67628">
        <w:tc>
          <w:tcPr>
            <w:tcW w:w="3452" w:type="dxa"/>
          </w:tcPr>
          <w:p w14:paraId="413EBD6A" w14:textId="77777777" w:rsidR="004438FD" w:rsidRPr="00880EC7" w:rsidRDefault="004438FD" w:rsidP="00F67628">
            <w:pPr>
              <w:jc w:val="center"/>
              <w:rPr>
                <w:rFonts w:ascii="Times New Roman" w:hAnsi="Times New Roman" w:cs="Times New Roman"/>
                <w:lang w:val="lv-LV"/>
              </w:rPr>
            </w:pPr>
            <w:r w:rsidRPr="00880EC7">
              <w:rPr>
                <w:rFonts w:ascii="Times New Roman" w:hAnsi="Times New Roman" w:cs="Times New Roman"/>
                <w:lang w:val="lv-LV"/>
              </w:rPr>
              <w:t>Nodokļa veids</w:t>
            </w:r>
          </w:p>
        </w:tc>
        <w:tc>
          <w:tcPr>
            <w:tcW w:w="2072" w:type="dxa"/>
          </w:tcPr>
          <w:p w14:paraId="1EF550D2" w14:textId="77777777" w:rsidR="004438FD" w:rsidRPr="00880EC7" w:rsidRDefault="004438FD" w:rsidP="00F67628">
            <w:pPr>
              <w:jc w:val="center"/>
              <w:rPr>
                <w:rFonts w:ascii="Times New Roman" w:hAnsi="Times New Roman" w:cs="Times New Roman"/>
                <w:lang w:val="lv-LV"/>
              </w:rPr>
            </w:pPr>
            <w:r w:rsidRPr="00880EC7">
              <w:rPr>
                <w:rFonts w:ascii="Times New Roman" w:hAnsi="Times New Roman" w:cs="Times New Roman"/>
                <w:lang w:val="lv-LV"/>
              </w:rPr>
              <w:t xml:space="preserve">Iekasētie nodokļu maksājumi (bez nokavējuma naudas), </w:t>
            </w:r>
            <w:r w:rsidRPr="00880EC7">
              <w:rPr>
                <w:rFonts w:ascii="Times New Roman" w:hAnsi="Times New Roman" w:cs="Times New Roman"/>
                <w:i/>
                <w:lang w:val="lv-LV"/>
              </w:rPr>
              <w:t>euro</w:t>
            </w:r>
          </w:p>
        </w:tc>
        <w:tc>
          <w:tcPr>
            <w:tcW w:w="1842" w:type="dxa"/>
          </w:tcPr>
          <w:p w14:paraId="442A3C70" w14:textId="77777777" w:rsidR="004438FD" w:rsidRPr="00880EC7" w:rsidRDefault="004438FD" w:rsidP="00F67628">
            <w:pPr>
              <w:jc w:val="center"/>
              <w:rPr>
                <w:rFonts w:ascii="Times New Roman" w:hAnsi="Times New Roman" w:cs="Times New Roman"/>
                <w:lang w:val="lv-LV"/>
              </w:rPr>
            </w:pPr>
            <w:r w:rsidRPr="00880EC7">
              <w:rPr>
                <w:rFonts w:ascii="Times New Roman" w:hAnsi="Times New Roman" w:cs="Times New Roman"/>
                <w:lang w:val="lv-LV"/>
              </w:rPr>
              <w:t xml:space="preserve">Iekasētā nokavējuma nauda, </w:t>
            </w:r>
            <w:r w:rsidRPr="00880EC7">
              <w:rPr>
                <w:rFonts w:ascii="Times New Roman" w:hAnsi="Times New Roman" w:cs="Times New Roman"/>
                <w:i/>
                <w:lang w:val="lv-LV"/>
              </w:rPr>
              <w:t>euro</w:t>
            </w:r>
          </w:p>
        </w:tc>
        <w:tc>
          <w:tcPr>
            <w:tcW w:w="2029" w:type="dxa"/>
          </w:tcPr>
          <w:p w14:paraId="235D7EB7" w14:textId="77777777" w:rsidR="004438FD" w:rsidRPr="00880EC7" w:rsidRDefault="004438FD" w:rsidP="00F67628">
            <w:pPr>
              <w:jc w:val="center"/>
              <w:rPr>
                <w:rFonts w:ascii="Times New Roman" w:hAnsi="Times New Roman" w:cs="Times New Roman"/>
                <w:lang w:val="lv-LV"/>
              </w:rPr>
            </w:pPr>
            <w:r w:rsidRPr="00880EC7">
              <w:rPr>
                <w:rFonts w:ascii="Times New Roman" w:hAnsi="Times New Roman" w:cs="Times New Roman"/>
                <w:lang w:val="lv-LV"/>
              </w:rPr>
              <w:t xml:space="preserve">Iekasētie ieņēmumi kopā, </w:t>
            </w:r>
            <w:r w:rsidRPr="00880EC7">
              <w:rPr>
                <w:rFonts w:ascii="Times New Roman" w:hAnsi="Times New Roman" w:cs="Times New Roman"/>
                <w:i/>
                <w:lang w:val="lv-LV"/>
              </w:rPr>
              <w:t>euro</w:t>
            </w:r>
          </w:p>
        </w:tc>
      </w:tr>
      <w:tr w:rsidR="004438FD" w:rsidRPr="002C5745" w14:paraId="6365A4F1" w14:textId="77777777" w:rsidTr="00F67628">
        <w:tc>
          <w:tcPr>
            <w:tcW w:w="3452" w:type="dxa"/>
          </w:tcPr>
          <w:p w14:paraId="39EC5841" w14:textId="77777777" w:rsidR="004438FD" w:rsidRPr="00880EC7" w:rsidRDefault="004438FD" w:rsidP="00F67628">
            <w:pPr>
              <w:jc w:val="both"/>
              <w:rPr>
                <w:rFonts w:ascii="Times New Roman" w:hAnsi="Times New Roman" w:cs="Times New Roman"/>
                <w:lang w:val="lv-LV"/>
              </w:rPr>
            </w:pPr>
            <w:r w:rsidRPr="00880EC7">
              <w:rPr>
                <w:rFonts w:ascii="Times New Roman" w:hAnsi="Times New Roman" w:cs="Times New Roman"/>
                <w:lang w:val="lv-LV"/>
              </w:rPr>
              <w:t>Iedzīvotāju ienākuma nodoklis</w:t>
            </w:r>
          </w:p>
        </w:tc>
        <w:tc>
          <w:tcPr>
            <w:tcW w:w="2072" w:type="dxa"/>
          </w:tcPr>
          <w:p w14:paraId="3B028809" w14:textId="77777777" w:rsidR="004438FD" w:rsidRPr="00880EC7" w:rsidRDefault="004438FD" w:rsidP="00F67628">
            <w:pPr>
              <w:rPr>
                <w:rFonts w:ascii="Times New Roman" w:hAnsi="Times New Roman" w:cs="Times New Roman"/>
                <w:lang w:val="lv-LV"/>
              </w:rPr>
            </w:pPr>
            <w:r w:rsidRPr="00880EC7">
              <w:rPr>
                <w:rFonts w:ascii="Times New Roman" w:hAnsi="Times New Roman" w:cs="Times New Roman"/>
                <w:lang w:val="lv-LV"/>
              </w:rPr>
              <w:t>1 520 143 035</w:t>
            </w:r>
          </w:p>
        </w:tc>
        <w:tc>
          <w:tcPr>
            <w:tcW w:w="1842" w:type="dxa"/>
          </w:tcPr>
          <w:p w14:paraId="6B29939D" w14:textId="5FE3D129" w:rsidR="004438FD" w:rsidRPr="00880EC7" w:rsidRDefault="004438FD" w:rsidP="00F67628">
            <w:pPr>
              <w:rPr>
                <w:rFonts w:ascii="Times New Roman" w:hAnsi="Times New Roman" w:cs="Times New Roman"/>
                <w:lang w:val="lv-LV"/>
              </w:rPr>
            </w:pPr>
            <w:r w:rsidRPr="00DF19EF">
              <w:rPr>
                <w:rFonts w:ascii="Times New Roman" w:hAnsi="Times New Roman" w:cs="Times New Roman"/>
                <w:lang w:val="lv-LV"/>
              </w:rPr>
              <w:t>6</w:t>
            </w:r>
            <w:r w:rsidR="009506FA" w:rsidRPr="00DF19EF">
              <w:rPr>
                <w:rFonts w:ascii="Times New Roman" w:hAnsi="Times New Roman" w:cs="Times New Roman"/>
                <w:lang w:val="lv-LV"/>
              </w:rPr>
              <w:t xml:space="preserve"> </w:t>
            </w:r>
            <w:r w:rsidRPr="00DF19EF">
              <w:rPr>
                <w:rFonts w:ascii="Times New Roman" w:hAnsi="Times New Roman" w:cs="Times New Roman"/>
                <w:lang w:val="lv-LV"/>
              </w:rPr>
              <w:t>836</w:t>
            </w:r>
            <w:r w:rsidR="009506FA" w:rsidRPr="00DF19EF">
              <w:rPr>
                <w:rFonts w:ascii="Times New Roman" w:hAnsi="Times New Roman" w:cs="Times New Roman"/>
                <w:lang w:val="lv-LV"/>
              </w:rPr>
              <w:t xml:space="preserve"> </w:t>
            </w:r>
            <w:r w:rsidRPr="00DF19EF">
              <w:rPr>
                <w:rFonts w:ascii="Times New Roman" w:hAnsi="Times New Roman" w:cs="Times New Roman"/>
                <w:lang w:val="lv-LV"/>
              </w:rPr>
              <w:t>5</w:t>
            </w:r>
            <w:r w:rsidR="009506FA" w:rsidRPr="00DF19EF">
              <w:rPr>
                <w:rFonts w:ascii="Times New Roman" w:hAnsi="Times New Roman" w:cs="Times New Roman"/>
                <w:lang w:val="lv-LV"/>
              </w:rPr>
              <w:t>00</w:t>
            </w:r>
          </w:p>
        </w:tc>
        <w:tc>
          <w:tcPr>
            <w:tcW w:w="2029" w:type="dxa"/>
          </w:tcPr>
          <w:p w14:paraId="3510DFC7" w14:textId="77777777" w:rsidR="004438FD" w:rsidRPr="00880EC7" w:rsidRDefault="004438FD" w:rsidP="00F67628">
            <w:pPr>
              <w:rPr>
                <w:rFonts w:ascii="Times New Roman" w:hAnsi="Times New Roman" w:cs="Times New Roman"/>
                <w:lang w:val="lv-LV"/>
              </w:rPr>
            </w:pPr>
            <w:r w:rsidRPr="00880EC7">
              <w:rPr>
                <w:rFonts w:ascii="Times New Roman" w:hAnsi="Times New Roman" w:cs="Times New Roman"/>
                <w:lang w:val="lv-LV"/>
              </w:rPr>
              <w:t>1 520 211 400</w:t>
            </w:r>
          </w:p>
        </w:tc>
      </w:tr>
      <w:tr w:rsidR="004438FD" w:rsidRPr="002C5745" w14:paraId="43E48435" w14:textId="77777777" w:rsidTr="00F67628">
        <w:tc>
          <w:tcPr>
            <w:tcW w:w="3452" w:type="dxa"/>
          </w:tcPr>
          <w:p w14:paraId="4D758E9C" w14:textId="77777777" w:rsidR="004438FD" w:rsidRPr="00880EC7" w:rsidRDefault="004438FD" w:rsidP="00F67628">
            <w:pPr>
              <w:jc w:val="both"/>
              <w:rPr>
                <w:rFonts w:ascii="Times New Roman" w:hAnsi="Times New Roman" w:cs="Times New Roman"/>
                <w:lang w:val="lv-LV"/>
              </w:rPr>
            </w:pPr>
            <w:r w:rsidRPr="00880EC7">
              <w:rPr>
                <w:rFonts w:ascii="Times New Roman" w:hAnsi="Times New Roman" w:cs="Times New Roman"/>
                <w:lang w:val="lv-LV"/>
              </w:rPr>
              <w:t>Uzņēmumu ienākuma nodoklis</w:t>
            </w:r>
          </w:p>
        </w:tc>
        <w:tc>
          <w:tcPr>
            <w:tcW w:w="2072" w:type="dxa"/>
          </w:tcPr>
          <w:p w14:paraId="31ECE771" w14:textId="77777777" w:rsidR="004438FD" w:rsidRPr="00880EC7" w:rsidRDefault="004438FD" w:rsidP="00F67628">
            <w:pPr>
              <w:rPr>
                <w:rFonts w:ascii="Times New Roman" w:hAnsi="Times New Roman" w:cs="Times New Roman"/>
                <w:lang w:val="lv-LV"/>
              </w:rPr>
            </w:pPr>
            <w:r w:rsidRPr="00880EC7">
              <w:rPr>
                <w:rFonts w:ascii="Times New Roman" w:hAnsi="Times New Roman" w:cs="Times New Roman"/>
                <w:lang w:val="lv-LV"/>
              </w:rPr>
              <w:t>418 082 000</w:t>
            </w:r>
          </w:p>
        </w:tc>
        <w:tc>
          <w:tcPr>
            <w:tcW w:w="1842" w:type="dxa"/>
          </w:tcPr>
          <w:p w14:paraId="68779BB0" w14:textId="77777777" w:rsidR="004438FD" w:rsidRPr="00880EC7" w:rsidRDefault="004438FD" w:rsidP="00F67628">
            <w:pPr>
              <w:rPr>
                <w:rFonts w:ascii="Times New Roman" w:hAnsi="Times New Roman" w:cs="Times New Roman"/>
                <w:lang w:val="lv-LV"/>
              </w:rPr>
            </w:pPr>
            <w:r w:rsidRPr="00880EC7">
              <w:rPr>
                <w:rFonts w:ascii="Times New Roman" w:hAnsi="Times New Roman" w:cs="Times New Roman"/>
                <w:color w:val="000000"/>
                <w:lang w:eastAsia="lv-LV"/>
              </w:rPr>
              <w:t>1 630 400</w:t>
            </w:r>
          </w:p>
        </w:tc>
        <w:tc>
          <w:tcPr>
            <w:tcW w:w="2029" w:type="dxa"/>
          </w:tcPr>
          <w:p w14:paraId="4F9C8D46" w14:textId="77777777" w:rsidR="004438FD" w:rsidRPr="00880EC7" w:rsidRDefault="004438FD" w:rsidP="00F67628">
            <w:pPr>
              <w:rPr>
                <w:rFonts w:ascii="Times New Roman" w:hAnsi="Times New Roman" w:cs="Times New Roman"/>
                <w:lang w:val="lv-LV"/>
              </w:rPr>
            </w:pPr>
            <w:r w:rsidRPr="00880EC7">
              <w:rPr>
                <w:rFonts w:ascii="Times New Roman" w:hAnsi="Times New Roman" w:cs="Times New Roman"/>
                <w:lang w:val="lv-LV"/>
              </w:rPr>
              <w:t>419 712 400</w:t>
            </w:r>
          </w:p>
        </w:tc>
      </w:tr>
      <w:tr w:rsidR="004438FD" w:rsidRPr="002C5745" w14:paraId="1D7E1CF3" w14:textId="77777777" w:rsidTr="00F67628">
        <w:tc>
          <w:tcPr>
            <w:tcW w:w="3452" w:type="dxa"/>
          </w:tcPr>
          <w:p w14:paraId="30B0AD90" w14:textId="77777777" w:rsidR="004438FD" w:rsidRPr="00880EC7" w:rsidRDefault="004438FD" w:rsidP="00F67628">
            <w:pPr>
              <w:jc w:val="both"/>
              <w:rPr>
                <w:rFonts w:ascii="Times New Roman" w:hAnsi="Times New Roman" w:cs="Times New Roman"/>
                <w:lang w:val="lv-LV"/>
              </w:rPr>
            </w:pPr>
            <w:r w:rsidRPr="00880EC7">
              <w:rPr>
                <w:rFonts w:ascii="Times New Roman" w:hAnsi="Times New Roman" w:cs="Times New Roman"/>
                <w:lang w:val="lv-LV"/>
              </w:rPr>
              <w:t>Sociālās apdrošināšanas iemaksas</w:t>
            </w:r>
          </w:p>
        </w:tc>
        <w:tc>
          <w:tcPr>
            <w:tcW w:w="2072" w:type="dxa"/>
          </w:tcPr>
          <w:p w14:paraId="04FF2BA8" w14:textId="77777777" w:rsidR="004438FD" w:rsidRPr="00880EC7" w:rsidRDefault="004438FD" w:rsidP="00F67628">
            <w:pPr>
              <w:rPr>
                <w:rFonts w:ascii="Times New Roman" w:hAnsi="Times New Roman" w:cs="Times New Roman"/>
                <w:lang w:val="lv-LV"/>
              </w:rPr>
            </w:pPr>
            <w:r w:rsidRPr="00880EC7">
              <w:rPr>
                <w:rFonts w:ascii="Times New Roman" w:hAnsi="Times New Roman" w:cs="Times New Roman"/>
                <w:lang w:val="lv-LV"/>
              </w:rPr>
              <w:t>2 540 433 200</w:t>
            </w:r>
          </w:p>
        </w:tc>
        <w:tc>
          <w:tcPr>
            <w:tcW w:w="1842" w:type="dxa"/>
          </w:tcPr>
          <w:p w14:paraId="4C3A844D" w14:textId="77777777" w:rsidR="004438FD" w:rsidRPr="00880EC7" w:rsidRDefault="004438FD" w:rsidP="00F67628">
            <w:pPr>
              <w:rPr>
                <w:rFonts w:ascii="Times New Roman" w:hAnsi="Times New Roman" w:cs="Times New Roman"/>
                <w:lang w:val="lv-LV"/>
              </w:rPr>
            </w:pPr>
            <w:r w:rsidRPr="00880EC7">
              <w:rPr>
                <w:rFonts w:ascii="Times New Roman" w:hAnsi="Times New Roman" w:cs="Times New Roman"/>
                <w:color w:val="000000"/>
                <w:lang w:eastAsia="lv-LV"/>
              </w:rPr>
              <w:t>3 896 700</w:t>
            </w:r>
          </w:p>
        </w:tc>
        <w:tc>
          <w:tcPr>
            <w:tcW w:w="2029" w:type="dxa"/>
          </w:tcPr>
          <w:p w14:paraId="7BF2679E" w14:textId="77777777" w:rsidR="004438FD" w:rsidRPr="00880EC7" w:rsidRDefault="004438FD" w:rsidP="00F67628">
            <w:pPr>
              <w:rPr>
                <w:rFonts w:ascii="Times New Roman" w:hAnsi="Times New Roman" w:cs="Times New Roman"/>
                <w:lang w:val="lv-LV"/>
              </w:rPr>
            </w:pPr>
            <w:r w:rsidRPr="00880EC7">
              <w:rPr>
                <w:rFonts w:ascii="Times New Roman" w:hAnsi="Times New Roman" w:cs="Times New Roman"/>
                <w:color w:val="000000"/>
                <w:lang w:eastAsia="lv-LV"/>
              </w:rPr>
              <w:t>2 544 329 900</w:t>
            </w:r>
          </w:p>
        </w:tc>
      </w:tr>
      <w:tr w:rsidR="004438FD" w:rsidRPr="002C5745" w14:paraId="05A4B364" w14:textId="77777777" w:rsidTr="00F67628">
        <w:tc>
          <w:tcPr>
            <w:tcW w:w="3452" w:type="dxa"/>
          </w:tcPr>
          <w:p w14:paraId="0A295632" w14:textId="77777777" w:rsidR="004438FD" w:rsidRPr="00880EC7" w:rsidRDefault="004438FD" w:rsidP="00F67628">
            <w:pPr>
              <w:jc w:val="both"/>
              <w:rPr>
                <w:rFonts w:ascii="Times New Roman" w:hAnsi="Times New Roman" w:cs="Times New Roman"/>
                <w:lang w:val="lv-LV"/>
              </w:rPr>
            </w:pPr>
            <w:r w:rsidRPr="00880EC7">
              <w:rPr>
                <w:rFonts w:ascii="Times New Roman" w:hAnsi="Times New Roman" w:cs="Times New Roman"/>
                <w:lang w:val="lv-LV"/>
              </w:rPr>
              <w:t>Pievienotās vērtības nodoklis</w:t>
            </w:r>
          </w:p>
        </w:tc>
        <w:tc>
          <w:tcPr>
            <w:tcW w:w="2072" w:type="dxa"/>
          </w:tcPr>
          <w:p w14:paraId="6EDC6D51" w14:textId="77777777" w:rsidR="004438FD" w:rsidRPr="00880EC7" w:rsidRDefault="004438FD" w:rsidP="00F67628">
            <w:pPr>
              <w:rPr>
                <w:rFonts w:ascii="Times New Roman" w:hAnsi="Times New Roman" w:cs="Times New Roman"/>
                <w:lang w:val="lv-LV"/>
              </w:rPr>
            </w:pPr>
            <w:r w:rsidRPr="00880EC7">
              <w:rPr>
                <w:rFonts w:ascii="Times New Roman" w:hAnsi="Times New Roman" w:cs="Times New Roman"/>
                <w:lang w:val="lv-LV"/>
              </w:rPr>
              <w:t>2 011 347 800</w:t>
            </w:r>
          </w:p>
        </w:tc>
        <w:tc>
          <w:tcPr>
            <w:tcW w:w="1842" w:type="dxa"/>
          </w:tcPr>
          <w:p w14:paraId="195A9C43" w14:textId="77777777" w:rsidR="004438FD" w:rsidRPr="00880EC7" w:rsidRDefault="004438FD" w:rsidP="00F67628">
            <w:pPr>
              <w:rPr>
                <w:rFonts w:ascii="Times New Roman" w:hAnsi="Times New Roman" w:cs="Times New Roman"/>
                <w:lang w:val="lv-LV"/>
              </w:rPr>
            </w:pPr>
            <w:r w:rsidRPr="00880EC7">
              <w:rPr>
                <w:rFonts w:ascii="Times New Roman" w:hAnsi="Times New Roman" w:cs="Times New Roman"/>
                <w:color w:val="000000"/>
                <w:lang w:eastAsia="lv-LV"/>
              </w:rPr>
              <w:t>7 547 600</w:t>
            </w:r>
          </w:p>
        </w:tc>
        <w:tc>
          <w:tcPr>
            <w:tcW w:w="2029" w:type="dxa"/>
          </w:tcPr>
          <w:p w14:paraId="4429761B" w14:textId="77777777" w:rsidR="004438FD" w:rsidRPr="00880EC7" w:rsidRDefault="004438FD" w:rsidP="00F67628">
            <w:pPr>
              <w:rPr>
                <w:rFonts w:ascii="Times New Roman" w:hAnsi="Times New Roman" w:cs="Times New Roman"/>
                <w:lang w:val="lv-LV"/>
              </w:rPr>
            </w:pPr>
            <w:r w:rsidRPr="00880EC7">
              <w:rPr>
                <w:rFonts w:ascii="Times New Roman" w:hAnsi="Times New Roman" w:cs="Times New Roman"/>
                <w:color w:val="000000"/>
                <w:lang w:eastAsia="lv-LV"/>
              </w:rPr>
              <w:t>2 018 895 400</w:t>
            </w:r>
          </w:p>
        </w:tc>
      </w:tr>
      <w:tr w:rsidR="004438FD" w:rsidRPr="002C5745" w14:paraId="58B846FC" w14:textId="77777777" w:rsidTr="00F67628">
        <w:tc>
          <w:tcPr>
            <w:tcW w:w="3452" w:type="dxa"/>
          </w:tcPr>
          <w:p w14:paraId="1A82C50B" w14:textId="77777777" w:rsidR="004438FD" w:rsidRPr="00880EC7" w:rsidRDefault="004438FD" w:rsidP="00F67628">
            <w:pPr>
              <w:jc w:val="both"/>
              <w:rPr>
                <w:rFonts w:ascii="Times New Roman" w:hAnsi="Times New Roman" w:cs="Times New Roman"/>
                <w:lang w:val="lv-LV"/>
              </w:rPr>
            </w:pPr>
            <w:r w:rsidRPr="00880EC7">
              <w:rPr>
                <w:rFonts w:ascii="Times New Roman" w:hAnsi="Times New Roman" w:cs="Times New Roman"/>
                <w:lang w:val="lv-LV"/>
              </w:rPr>
              <w:t>Akcīzes nodoklis</w:t>
            </w:r>
          </w:p>
        </w:tc>
        <w:tc>
          <w:tcPr>
            <w:tcW w:w="2072" w:type="dxa"/>
          </w:tcPr>
          <w:p w14:paraId="25CDF5F0" w14:textId="77777777" w:rsidR="004438FD" w:rsidRPr="00880EC7" w:rsidRDefault="004438FD" w:rsidP="00F67628">
            <w:pPr>
              <w:rPr>
                <w:rFonts w:ascii="Times New Roman" w:hAnsi="Times New Roman" w:cs="Times New Roman"/>
                <w:lang w:val="lv-LV"/>
              </w:rPr>
            </w:pPr>
            <w:r w:rsidRPr="00880EC7">
              <w:rPr>
                <w:rFonts w:ascii="Times New Roman" w:hAnsi="Times New Roman" w:cs="Times New Roman"/>
                <w:lang w:val="lv-LV"/>
              </w:rPr>
              <w:t>860 244 300</w:t>
            </w:r>
          </w:p>
        </w:tc>
        <w:tc>
          <w:tcPr>
            <w:tcW w:w="1842" w:type="dxa"/>
          </w:tcPr>
          <w:p w14:paraId="6960C1D7" w14:textId="77777777" w:rsidR="004438FD" w:rsidRPr="00880EC7" w:rsidRDefault="004438FD" w:rsidP="00F67628">
            <w:pPr>
              <w:rPr>
                <w:rFonts w:ascii="Times New Roman" w:hAnsi="Times New Roman" w:cs="Times New Roman"/>
                <w:lang w:val="lv-LV"/>
              </w:rPr>
            </w:pPr>
            <w:r w:rsidRPr="00880EC7">
              <w:rPr>
                <w:rFonts w:ascii="Times New Roman" w:hAnsi="Times New Roman" w:cs="Times New Roman"/>
                <w:color w:val="000000"/>
                <w:lang w:eastAsia="lv-LV"/>
              </w:rPr>
              <w:t>765 500</w:t>
            </w:r>
          </w:p>
        </w:tc>
        <w:tc>
          <w:tcPr>
            <w:tcW w:w="2029" w:type="dxa"/>
          </w:tcPr>
          <w:p w14:paraId="3FF94426" w14:textId="77777777" w:rsidR="004438FD" w:rsidRPr="00880EC7" w:rsidRDefault="004438FD" w:rsidP="00F67628">
            <w:pPr>
              <w:rPr>
                <w:rFonts w:ascii="Times New Roman" w:hAnsi="Times New Roman" w:cs="Times New Roman"/>
                <w:lang w:val="lv-LV"/>
              </w:rPr>
            </w:pPr>
            <w:r w:rsidRPr="00880EC7">
              <w:rPr>
                <w:rFonts w:ascii="Times New Roman" w:hAnsi="Times New Roman" w:cs="Times New Roman"/>
                <w:color w:val="000000"/>
                <w:lang w:eastAsia="lv-LV"/>
              </w:rPr>
              <w:t>861 009 800</w:t>
            </w:r>
          </w:p>
        </w:tc>
      </w:tr>
      <w:tr w:rsidR="004438FD" w:rsidRPr="002C5745" w14:paraId="2CFD6968" w14:textId="77777777" w:rsidTr="00F67628">
        <w:tc>
          <w:tcPr>
            <w:tcW w:w="3452" w:type="dxa"/>
          </w:tcPr>
          <w:p w14:paraId="308821F1" w14:textId="77777777" w:rsidR="004438FD" w:rsidRPr="00880EC7" w:rsidRDefault="004438FD" w:rsidP="00F67628">
            <w:pPr>
              <w:jc w:val="both"/>
              <w:rPr>
                <w:rFonts w:ascii="Times New Roman" w:hAnsi="Times New Roman" w:cs="Times New Roman"/>
                <w:lang w:val="lv-LV"/>
              </w:rPr>
            </w:pPr>
            <w:r w:rsidRPr="00880EC7">
              <w:rPr>
                <w:rFonts w:ascii="Times New Roman" w:hAnsi="Times New Roman" w:cs="Times New Roman"/>
                <w:lang w:val="lv-LV"/>
              </w:rPr>
              <w:t>Dabas resursu nodoklis</w:t>
            </w:r>
          </w:p>
        </w:tc>
        <w:tc>
          <w:tcPr>
            <w:tcW w:w="2072" w:type="dxa"/>
          </w:tcPr>
          <w:p w14:paraId="718ADFB5" w14:textId="77777777" w:rsidR="004438FD" w:rsidRPr="00880EC7" w:rsidRDefault="004438FD" w:rsidP="00F67628">
            <w:pPr>
              <w:rPr>
                <w:rFonts w:ascii="Times New Roman" w:hAnsi="Times New Roman" w:cs="Times New Roman"/>
                <w:lang w:val="lv-LV"/>
              </w:rPr>
            </w:pPr>
            <w:r w:rsidRPr="00880EC7">
              <w:rPr>
                <w:rFonts w:ascii="Times New Roman" w:hAnsi="Times New Roman" w:cs="Times New Roman"/>
                <w:lang w:val="lv-LV"/>
              </w:rPr>
              <w:t>17 814 600</w:t>
            </w:r>
          </w:p>
        </w:tc>
        <w:tc>
          <w:tcPr>
            <w:tcW w:w="1842" w:type="dxa"/>
          </w:tcPr>
          <w:p w14:paraId="77B515B1" w14:textId="77777777" w:rsidR="004438FD" w:rsidRPr="00880EC7" w:rsidRDefault="004438FD" w:rsidP="00F67628">
            <w:pPr>
              <w:rPr>
                <w:rFonts w:ascii="Times New Roman" w:hAnsi="Times New Roman" w:cs="Times New Roman"/>
                <w:lang w:val="lv-LV"/>
              </w:rPr>
            </w:pPr>
            <w:r w:rsidRPr="00880EC7">
              <w:rPr>
                <w:rFonts w:ascii="Times New Roman" w:hAnsi="Times New Roman" w:cs="Times New Roman"/>
                <w:color w:val="000000"/>
                <w:lang w:eastAsia="lv-LV"/>
              </w:rPr>
              <w:t>46 900</w:t>
            </w:r>
          </w:p>
        </w:tc>
        <w:tc>
          <w:tcPr>
            <w:tcW w:w="2029" w:type="dxa"/>
          </w:tcPr>
          <w:p w14:paraId="790E19B7" w14:textId="77777777" w:rsidR="004438FD" w:rsidRPr="00880EC7" w:rsidRDefault="004438FD" w:rsidP="00F67628">
            <w:pPr>
              <w:rPr>
                <w:rFonts w:ascii="Times New Roman" w:hAnsi="Times New Roman" w:cs="Times New Roman"/>
                <w:lang w:val="lv-LV"/>
              </w:rPr>
            </w:pPr>
            <w:r w:rsidRPr="00880EC7">
              <w:rPr>
                <w:rFonts w:ascii="Times New Roman" w:hAnsi="Times New Roman" w:cs="Times New Roman"/>
                <w:color w:val="000000"/>
                <w:lang w:eastAsia="lv-LV"/>
              </w:rPr>
              <w:t>17 861 500</w:t>
            </w:r>
          </w:p>
        </w:tc>
      </w:tr>
      <w:tr w:rsidR="004438FD" w:rsidRPr="002C5745" w14:paraId="28729192" w14:textId="77777777" w:rsidTr="00F67628">
        <w:tc>
          <w:tcPr>
            <w:tcW w:w="3452" w:type="dxa"/>
          </w:tcPr>
          <w:p w14:paraId="10C1923A" w14:textId="77777777" w:rsidR="004438FD" w:rsidRPr="00880EC7" w:rsidRDefault="004438FD" w:rsidP="00F67628">
            <w:pPr>
              <w:jc w:val="both"/>
              <w:rPr>
                <w:rFonts w:ascii="Times New Roman" w:hAnsi="Times New Roman" w:cs="Times New Roman"/>
                <w:lang w:val="lv-LV"/>
              </w:rPr>
            </w:pPr>
            <w:r w:rsidRPr="00880EC7">
              <w:rPr>
                <w:rFonts w:ascii="Times New Roman" w:hAnsi="Times New Roman" w:cs="Times New Roman"/>
                <w:lang w:val="lv-LV"/>
              </w:rPr>
              <w:t>Mikrouzņēmumu nodoklis</w:t>
            </w:r>
          </w:p>
        </w:tc>
        <w:tc>
          <w:tcPr>
            <w:tcW w:w="2072" w:type="dxa"/>
          </w:tcPr>
          <w:p w14:paraId="6D136D92" w14:textId="77777777" w:rsidR="004438FD" w:rsidRPr="00880EC7" w:rsidRDefault="004438FD" w:rsidP="00F67628">
            <w:pPr>
              <w:rPr>
                <w:rFonts w:ascii="Times New Roman" w:hAnsi="Times New Roman" w:cs="Times New Roman"/>
                <w:lang w:val="lv-LV"/>
              </w:rPr>
            </w:pPr>
            <w:r w:rsidRPr="00880EC7">
              <w:rPr>
                <w:rFonts w:ascii="Times New Roman" w:hAnsi="Times New Roman" w:cs="Times New Roman"/>
                <w:lang w:val="lv-LV"/>
              </w:rPr>
              <w:t>62 937 800</w:t>
            </w:r>
          </w:p>
        </w:tc>
        <w:tc>
          <w:tcPr>
            <w:tcW w:w="1842" w:type="dxa"/>
          </w:tcPr>
          <w:p w14:paraId="1D5F6437" w14:textId="77777777" w:rsidR="004438FD" w:rsidRPr="00880EC7" w:rsidRDefault="004438FD" w:rsidP="00F67628">
            <w:pPr>
              <w:rPr>
                <w:rFonts w:ascii="Times New Roman" w:hAnsi="Times New Roman" w:cs="Times New Roman"/>
                <w:lang w:val="lv-LV"/>
              </w:rPr>
            </w:pPr>
            <w:r w:rsidRPr="00880EC7">
              <w:rPr>
                <w:rFonts w:ascii="Times New Roman" w:hAnsi="Times New Roman" w:cs="Times New Roman"/>
                <w:color w:val="000000"/>
                <w:lang w:eastAsia="lv-LV"/>
              </w:rPr>
              <w:t>556 800</w:t>
            </w:r>
          </w:p>
        </w:tc>
        <w:tc>
          <w:tcPr>
            <w:tcW w:w="2029" w:type="dxa"/>
          </w:tcPr>
          <w:p w14:paraId="6F94544A" w14:textId="77777777" w:rsidR="004438FD" w:rsidRPr="00880EC7" w:rsidRDefault="004438FD" w:rsidP="00F67628">
            <w:pPr>
              <w:rPr>
                <w:rFonts w:ascii="Times New Roman" w:hAnsi="Times New Roman" w:cs="Times New Roman"/>
                <w:lang w:val="lv-LV"/>
              </w:rPr>
            </w:pPr>
            <w:r w:rsidRPr="00880EC7">
              <w:rPr>
                <w:rFonts w:ascii="Times New Roman" w:hAnsi="Times New Roman" w:cs="Times New Roman"/>
                <w:color w:val="000000"/>
                <w:lang w:eastAsia="lv-LV"/>
              </w:rPr>
              <w:t>63 494 600</w:t>
            </w:r>
          </w:p>
        </w:tc>
      </w:tr>
      <w:tr w:rsidR="004438FD" w:rsidRPr="002C5745" w14:paraId="0D927F42" w14:textId="77777777" w:rsidTr="00F67628">
        <w:tc>
          <w:tcPr>
            <w:tcW w:w="3452" w:type="dxa"/>
          </w:tcPr>
          <w:p w14:paraId="4E475D16" w14:textId="77777777" w:rsidR="004438FD" w:rsidRPr="00880EC7" w:rsidRDefault="004438FD" w:rsidP="00F67628">
            <w:pPr>
              <w:jc w:val="right"/>
              <w:rPr>
                <w:rFonts w:ascii="Times New Roman" w:hAnsi="Times New Roman" w:cs="Times New Roman"/>
                <w:lang w:val="lv-LV"/>
              </w:rPr>
            </w:pPr>
            <w:r w:rsidRPr="00880EC7">
              <w:rPr>
                <w:rFonts w:ascii="Times New Roman" w:hAnsi="Times New Roman" w:cs="Times New Roman"/>
                <w:lang w:val="lv-LV"/>
              </w:rPr>
              <w:t>Kopā</w:t>
            </w:r>
          </w:p>
        </w:tc>
        <w:tc>
          <w:tcPr>
            <w:tcW w:w="2072" w:type="dxa"/>
          </w:tcPr>
          <w:p w14:paraId="22CB0709" w14:textId="239D78F2" w:rsidR="004438FD" w:rsidRPr="00DF19EF" w:rsidRDefault="00981F59" w:rsidP="009506FA">
            <w:pPr>
              <w:rPr>
                <w:rFonts w:ascii="Times New Roman" w:hAnsi="Times New Roman" w:cs="Times New Roman"/>
                <w:lang w:val="lv-LV"/>
              </w:rPr>
            </w:pPr>
            <w:r w:rsidRPr="00DF19EF">
              <w:rPr>
                <w:rFonts w:ascii="Times New Roman" w:hAnsi="Times New Roman" w:cs="Times New Roman"/>
                <w:lang w:val="lv-LV"/>
              </w:rPr>
              <w:t>7</w:t>
            </w:r>
            <w:r w:rsidR="009506FA" w:rsidRPr="00DF19EF">
              <w:rPr>
                <w:rFonts w:ascii="Times New Roman" w:hAnsi="Times New Roman" w:cs="Times New Roman"/>
                <w:lang w:val="lv-LV"/>
              </w:rPr>
              <w:t> </w:t>
            </w:r>
            <w:r w:rsidRPr="00DF19EF">
              <w:rPr>
                <w:rFonts w:ascii="Times New Roman" w:hAnsi="Times New Roman" w:cs="Times New Roman"/>
                <w:lang w:val="lv-LV"/>
              </w:rPr>
              <w:t>4</w:t>
            </w:r>
            <w:r w:rsidR="009506FA" w:rsidRPr="00DF19EF">
              <w:rPr>
                <w:rFonts w:ascii="Times New Roman" w:hAnsi="Times New Roman" w:cs="Times New Roman"/>
                <w:lang w:val="lv-LV"/>
              </w:rPr>
              <w:t>24 234 600</w:t>
            </w:r>
          </w:p>
        </w:tc>
        <w:tc>
          <w:tcPr>
            <w:tcW w:w="1842" w:type="dxa"/>
          </w:tcPr>
          <w:p w14:paraId="61D9A947" w14:textId="41DBFF5D" w:rsidR="004438FD" w:rsidRPr="00DF19EF" w:rsidRDefault="009506FA" w:rsidP="00F67628">
            <w:pPr>
              <w:rPr>
                <w:rFonts w:ascii="Times New Roman" w:hAnsi="Times New Roman" w:cs="Times New Roman"/>
                <w:lang w:val="lv-LV"/>
              </w:rPr>
            </w:pPr>
            <w:r w:rsidRPr="00DF19EF">
              <w:rPr>
                <w:rFonts w:ascii="Times New Roman" w:hAnsi="Times New Roman" w:cs="Times New Roman"/>
                <w:b/>
                <w:bCs/>
                <w:lang w:eastAsia="lv-LV"/>
              </w:rPr>
              <w:t>21 280 400</w:t>
            </w:r>
          </w:p>
        </w:tc>
        <w:tc>
          <w:tcPr>
            <w:tcW w:w="2029" w:type="dxa"/>
          </w:tcPr>
          <w:p w14:paraId="763FEDCB" w14:textId="77777777" w:rsidR="004438FD" w:rsidRPr="00880EC7" w:rsidRDefault="004438FD" w:rsidP="00F67628">
            <w:pPr>
              <w:rPr>
                <w:rFonts w:ascii="Times New Roman" w:hAnsi="Times New Roman" w:cs="Times New Roman"/>
                <w:lang w:val="lv-LV"/>
              </w:rPr>
            </w:pPr>
            <w:r w:rsidRPr="00880EC7">
              <w:rPr>
                <w:rFonts w:ascii="Times New Roman" w:hAnsi="Times New Roman" w:cs="Times New Roman"/>
                <w:b/>
                <w:bCs/>
                <w:color w:val="000000"/>
                <w:lang w:eastAsia="lv-LV"/>
              </w:rPr>
              <w:t>7 445 515 000</w:t>
            </w:r>
          </w:p>
        </w:tc>
      </w:tr>
    </w:tbl>
    <w:p w14:paraId="62DF3916" w14:textId="77777777" w:rsidR="00E2450C" w:rsidRPr="001004F8" w:rsidRDefault="00E2450C" w:rsidP="004D6B01">
      <w:pPr>
        <w:ind w:firstLine="720"/>
        <w:jc w:val="both"/>
        <w:rPr>
          <w:rFonts w:ascii="Times New Roman" w:hAnsi="Times New Roman" w:cs="Times New Roman"/>
          <w:sz w:val="12"/>
          <w:szCs w:val="12"/>
          <w:lang w:val="lv-LV"/>
        </w:rPr>
      </w:pPr>
    </w:p>
    <w:p w14:paraId="5D6EC6D8" w14:textId="4A8C5E6B" w:rsidR="00AD674A" w:rsidRPr="002C5745" w:rsidRDefault="004E48E1" w:rsidP="004D6B01">
      <w:pPr>
        <w:ind w:firstLine="720"/>
        <w:jc w:val="both"/>
        <w:rPr>
          <w:rFonts w:ascii="Times New Roman" w:hAnsi="Times New Roman" w:cs="Times New Roman"/>
          <w:sz w:val="26"/>
          <w:szCs w:val="26"/>
          <w:lang w:val="lv-LV"/>
        </w:rPr>
      </w:pPr>
      <w:r w:rsidRPr="002C5745">
        <w:rPr>
          <w:rFonts w:ascii="Times New Roman" w:hAnsi="Times New Roman" w:cs="Times New Roman"/>
          <w:sz w:val="26"/>
          <w:szCs w:val="26"/>
          <w:lang w:val="lv-LV"/>
        </w:rPr>
        <w:t>Nodokļu, kā valsts obligāto maksājumu pamatfunkcija, ir fiskālā funkcija nodrošināt valsti ar naudas līdzekļiem, nodrošināt valsts finan</w:t>
      </w:r>
      <w:r w:rsidR="004158F1">
        <w:rPr>
          <w:rFonts w:ascii="Times New Roman" w:hAnsi="Times New Roman" w:cs="Times New Roman"/>
          <w:sz w:val="26"/>
          <w:szCs w:val="26"/>
          <w:lang w:val="lv-LV"/>
        </w:rPr>
        <w:t>š</w:t>
      </w:r>
      <w:r w:rsidRPr="002C5745">
        <w:rPr>
          <w:rFonts w:ascii="Times New Roman" w:hAnsi="Times New Roman" w:cs="Times New Roman"/>
          <w:sz w:val="26"/>
          <w:szCs w:val="26"/>
          <w:lang w:val="lv-LV"/>
        </w:rPr>
        <w:t xml:space="preserve">u resursu </w:t>
      </w:r>
      <w:r w:rsidR="00AD674A" w:rsidRPr="002C5745">
        <w:rPr>
          <w:rFonts w:ascii="Times New Roman" w:hAnsi="Times New Roman" w:cs="Times New Roman"/>
          <w:sz w:val="26"/>
          <w:szCs w:val="26"/>
          <w:lang w:val="lv-LV"/>
        </w:rPr>
        <w:t>avotus, kas tiek akumulēti budžetā un izlietoti valsts vispārējo funkciju izpildes nodrošināšanai (aizsardzība, sabiedriskās kārtības uzturēšana, izglītība u tml.)</w:t>
      </w:r>
      <w:r w:rsidR="00AD674A" w:rsidRPr="002C5745">
        <w:rPr>
          <w:rStyle w:val="FootnoteReference"/>
          <w:rFonts w:ascii="Times New Roman" w:hAnsi="Times New Roman" w:cs="Times New Roman"/>
          <w:sz w:val="26"/>
          <w:szCs w:val="26"/>
          <w:lang w:val="lv-LV"/>
        </w:rPr>
        <w:footnoteReference w:id="4"/>
      </w:r>
      <w:r w:rsidR="00AD674A" w:rsidRPr="002C5745">
        <w:rPr>
          <w:rFonts w:ascii="Times New Roman" w:hAnsi="Times New Roman" w:cs="Times New Roman"/>
          <w:sz w:val="26"/>
          <w:szCs w:val="26"/>
          <w:lang w:val="lv-LV"/>
        </w:rPr>
        <w:t>.</w:t>
      </w:r>
    </w:p>
    <w:p w14:paraId="7DCF46D3" w14:textId="77777777" w:rsidR="008E03B3" w:rsidRPr="002C5745" w:rsidRDefault="00055BA6" w:rsidP="004D6B01">
      <w:pPr>
        <w:ind w:firstLine="720"/>
        <w:jc w:val="both"/>
        <w:rPr>
          <w:rFonts w:ascii="Times New Roman" w:hAnsi="Times New Roman" w:cs="Times New Roman"/>
          <w:sz w:val="26"/>
          <w:szCs w:val="26"/>
          <w:lang w:val="lv-LV"/>
        </w:rPr>
      </w:pPr>
      <w:r w:rsidRPr="002C5745">
        <w:rPr>
          <w:rFonts w:ascii="Times New Roman" w:hAnsi="Times New Roman" w:cs="Times New Roman"/>
          <w:sz w:val="26"/>
          <w:szCs w:val="26"/>
          <w:lang w:val="lv-LV"/>
        </w:rPr>
        <w:t>Tādējādi</w:t>
      </w:r>
      <w:r w:rsidR="00751940" w:rsidRPr="002C5745">
        <w:rPr>
          <w:rFonts w:ascii="Times New Roman" w:hAnsi="Times New Roman" w:cs="Times New Roman"/>
          <w:sz w:val="26"/>
          <w:szCs w:val="26"/>
          <w:lang w:val="lv-LV"/>
        </w:rPr>
        <w:t>, ņemot vērā, ka</w:t>
      </w:r>
      <w:r w:rsidRPr="002C5745">
        <w:rPr>
          <w:rFonts w:ascii="Times New Roman" w:hAnsi="Times New Roman" w:cs="Times New Roman"/>
          <w:sz w:val="26"/>
          <w:szCs w:val="26"/>
          <w:lang w:val="lv-LV"/>
        </w:rPr>
        <w:t xml:space="preserve"> visas </w:t>
      </w:r>
      <w:r w:rsidR="00E510B4" w:rsidRPr="002C5745">
        <w:rPr>
          <w:rFonts w:ascii="Times New Roman" w:hAnsi="Times New Roman" w:cs="Times New Roman"/>
          <w:sz w:val="26"/>
          <w:szCs w:val="26"/>
          <w:lang w:val="lv-LV"/>
        </w:rPr>
        <w:t xml:space="preserve">sabiedrības interesēs </w:t>
      </w:r>
      <w:r w:rsidR="004D6B01" w:rsidRPr="002C5745">
        <w:rPr>
          <w:rFonts w:ascii="Times New Roman" w:hAnsi="Times New Roman" w:cs="Times New Roman"/>
          <w:sz w:val="26"/>
          <w:szCs w:val="26"/>
          <w:lang w:val="lv-LV"/>
        </w:rPr>
        <w:t xml:space="preserve">ir </w:t>
      </w:r>
      <w:r w:rsidR="008A4D18" w:rsidRPr="002C5745">
        <w:rPr>
          <w:rFonts w:ascii="Times New Roman" w:hAnsi="Times New Roman" w:cs="Times New Roman"/>
          <w:sz w:val="26"/>
          <w:szCs w:val="26"/>
          <w:lang w:val="lv-LV"/>
        </w:rPr>
        <w:t>sagaidīt</w:t>
      </w:r>
      <w:r w:rsidR="00E510B4" w:rsidRPr="002C5745">
        <w:rPr>
          <w:rFonts w:ascii="Times New Roman" w:hAnsi="Times New Roman" w:cs="Times New Roman"/>
          <w:sz w:val="26"/>
          <w:szCs w:val="26"/>
          <w:lang w:val="lv-LV"/>
        </w:rPr>
        <w:t xml:space="preserve">, ka </w:t>
      </w:r>
      <w:r w:rsidR="004D6B01" w:rsidRPr="002C5745">
        <w:rPr>
          <w:rFonts w:ascii="Times New Roman" w:hAnsi="Times New Roman" w:cs="Times New Roman"/>
          <w:sz w:val="26"/>
          <w:szCs w:val="26"/>
          <w:lang w:val="lv-LV"/>
        </w:rPr>
        <w:t>nodokļu maksātāji savu likumā noteikto pienākumu izpildi attiecībā uz aprēķināto nodokļu un nodevu maksājumu samaksu</w:t>
      </w:r>
      <w:r w:rsidR="00E510B4" w:rsidRPr="002C5745">
        <w:rPr>
          <w:rFonts w:ascii="Times New Roman" w:hAnsi="Times New Roman" w:cs="Times New Roman"/>
          <w:sz w:val="26"/>
          <w:szCs w:val="26"/>
          <w:lang w:val="lv-LV"/>
        </w:rPr>
        <w:t xml:space="preserve"> veiks normatīv</w:t>
      </w:r>
      <w:r w:rsidR="00751940" w:rsidRPr="002C5745">
        <w:rPr>
          <w:rFonts w:ascii="Times New Roman" w:hAnsi="Times New Roman" w:cs="Times New Roman"/>
          <w:sz w:val="26"/>
          <w:szCs w:val="26"/>
          <w:lang w:val="lv-LV"/>
        </w:rPr>
        <w:t xml:space="preserve">ajos aktos noteiktajos termiņos, </w:t>
      </w:r>
      <w:r w:rsidR="00EC3815" w:rsidRPr="002C5745">
        <w:rPr>
          <w:rFonts w:ascii="Times New Roman" w:hAnsi="Times New Roman" w:cs="Times New Roman"/>
          <w:sz w:val="26"/>
          <w:szCs w:val="26"/>
          <w:lang w:val="lv-LV"/>
        </w:rPr>
        <w:t xml:space="preserve">likumā “Par nodokļiem un nodevām” ir </w:t>
      </w:r>
      <w:r w:rsidR="0061157A" w:rsidRPr="002C5745">
        <w:rPr>
          <w:rFonts w:ascii="Times New Roman" w:hAnsi="Times New Roman" w:cs="Times New Roman"/>
          <w:sz w:val="26"/>
          <w:szCs w:val="26"/>
          <w:lang w:val="lv-LV"/>
        </w:rPr>
        <w:t>nostiprināts nodokļu maksātāja</w:t>
      </w:r>
      <w:r w:rsidR="004E48E1" w:rsidRPr="002C5745">
        <w:rPr>
          <w:rFonts w:ascii="Times New Roman" w:hAnsi="Times New Roman" w:cs="Times New Roman"/>
          <w:sz w:val="26"/>
          <w:szCs w:val="26"/>
          <w:lang w:val="lv-LV"/>
        </w:rPr>
        <w:t xml:space="preserve"> vispārīgais</w:t>
      </w:r>
      <w:r w:rsidR="0061157A" w:rsidRPr="002C5745">
        <w:rPr>
          <w:rFonts w:ascii="Times New Roman" w:hAnsi="Times New Roman" w:cs="Times New Roman"/>
          <w:sz w:val="26"/>
          <w:szCs w:val="26"/>
          <w:lang w:val="lv-LV"/>
        </w:rPr>
        <w:t xml:space="preserve"> </w:t>
      </w:r>
      <w:r w:rsidR="008E03B3" w:rsidRPr="002C5745">
        <w:rPr>
          <w:rFonts w:ascii="Times New Roman" w:hAnsi="Times New Roman" w:cs="Times New Roman"/>
          <w:sz w:val="26"/>
          <w:szCs w:val="26"/>
          <w:lang w:val="lv-LV"/>
        </w:rPr>
        <w:t xml:space="preserve">pienākums aprēķināt maksājamo (iemaksājamo) nodokļu summas, </w:t>
      </w:r>
      <w:r w:rsidR="00751940" w:rsidRPr="002C5745">
        <w:rPr>
          <w:rFonts w:ascii="Times New Roman" w:hAnsi="Times New Roman" w:cs="Times New Roman"/>
          <w:sz w:val="26"/>
          <w:szCs w:val="26"/>
          <w:lang w:val="lv-LV"/>
        </w:rPr>
        <w:t>kā arī</w:t>
      </w:r>
      <w:r w:rsidR="008E03B3" w:rsidRPr="002C5745">
        <w:rPr>
          <w:rFonts w:ascii="Times New Roman" w:hAnsi="Times New Roman" w:cs="Times New Roman"/>
          <w:sz w:val="26"/>
          <w:szCs w:val="26"/>
          <w:lang w:val="lv-LV"/>
        </w:rPr>
        <w:t xml:space="preserve"> noteiktajā termiņā un pilnā apmērā</w:t>
      </w:r>
      <w:r w:rsidR="00751940" w:rsidRPr="002C5745">
        <w:rPr>
          <w:rFonts w:ascii="Times New Roman" w:hAnsi="Times New Roman" w:cs="Times New Roman"/>
          <w:sz w:val="26"/>
          <w:szCs w:val="26"/>
          <w:lang w:val="lv-LV"/>
        </w:rPr>
        <w:t xml:space="preserve"> nomaksāt</w:t>
      </w:r>
      <w:r w:rsidR="008E03B3" w:rsidRPr="002C5745">
        <w:rPr>
          <w:rFonts w:ascii="Times New Roman" w:hAnsi="Times New Roman" w:cs="Times New Roman"/>
          <w:sz w:val="26"/>
          <w:szCs w:val="26"/>
          <w:lang w:val="lv-LV"/>
        </w:rPr>
        <w:t xml:space="preserve"> </w:t>
      </w:r>
      <w:r w:rsidR="004716D3" w:rsidRPr="002C5745">
        <w:rPr>
          <w:rFonts w:ascii="Times New Roman" w:hAnsi="Times New Roman" w:cs="Times New Roman"/>
          <w:sz w:val="26"/>
          <w:szCs w:val="26"/>
          <w:lang w:val="lv-LV"/>
        </w:rPr>
        <w:t>nodokļus un nodevas</w:t>
      </w:r>
      <w:r w:rsidR="008E03B3" w:rsidRPr="002C5745">
        <w:rPr>
          <w:rStyle w:val="FootnoteReference"/>
          <w:rFonts w:ascii="Times New Roman" w:hAnsi="Times New Roman" w:cs="Times New Roman"/>
          <w:sz w:val="26"/>
          <w:szCs w:val="26"/>
          <w:lang w:val="lv-LV"/>
        </w:rPr>
        <w:footnoteReference w:id="5"/>
      </w:r>
      <w:r w:rsidR="00EC3815" w:rsidRPr="002C5745">
        <w:rPr>
          <w:rFonts w:ascii="Times New Roman" w:hAnsi="Times New Roman" w:cs="Times New Roman"/>
          <w:sz w:val="26"/>
          <w:szCs w:val="26"/>
          <w:lang w:val="lv-LV"/>
        </w:rPr>
        <w:t>.</w:t>
      </w:r>
    </w:p>
    <w:p w14:paraId="13DCFE3F" w14:textId="5285D6D6" w:rsidR="005661CB" w:rsidRPr="002C5745" w:rsidRDefault="00751940" w:rsidP="008E03B3">
      <w:pPr>
        <w:ind w:firstLine="720"/>
        <w:jc w:val="both"/>
        <w:rPr>
          <w:rFonts w:ascii="Times New Roman" w:hAnsi="Times New Roman" w:cs="Times New Roman"/>
          <w:sz w:val="26"/>
          <w:szCs w:val="26"/>
          <w:lang w:val="lv-LV"/>
        </w:rPr>
      </w:pPr>
      <w:r w:rsidRPr="002C5745">
        <w:rPr>
          <w:rFonts w:ascii="Times New Roman" w:hAnsi="Times New Roman" w:cs="Times New Roman"/>
          <w:sz w:val="26"/>
          <w:szCs w:val="26"/>
          <w:lang w:val="lv-LV"/>
        </w:rPr>
        <w:t>Ja nodokļu maksātājs pārkāpj vai neievēro nodokļu likumos noteiktos pienākumus par maksājamā nodokļa summas aprēķināšanu un iemaksāšanu budžetā, t</w:t>
      </w:r>
      <w:r w:rsidR="000A0227">
        <w:rPr>
          <w:rFonts w:ascii="Times New Roman" w:hAnsi="Times New Roman" w:cs="Times New Roman"/>
          <w:sz w:val="26"/>
          <w:szCs w:val="26"/>
          <w:lang w:val="lv-LV"/>
        </w:rPr>
        <w:t>as</w:t>
      </w:r>
      <w:r w:rsidRPr="002C5745">
        <w:rPr>
          <w:rFonts w:ascii="Times New Roman" w:hAnsi="Times New Roman" w:cs="Times New Roman"/>
          <w:sz w:val="26"/>
          <w:szCs w:val="26"/>
          <w:lang w:val="lv-LV"/>
        </w:rPr>
        <w:t xml:space="preserve"> </w:t>
      </w:r>
      <w:r w:rsidRPr="002C5745">
        <w:rPr>
          <w:rFonts w:ascii="Times New Roman" w:hAnsi="Times New Roman" w:cs="Times New Roman"/>
          <w:sz w:val="26"/>
          <w:szCs w:val="26"/>
          <w:lang w:val="lv-LV"/>
        </w:rPr>
        <w:lastRenderedPageBreak/>
        <w:t>ar savu rīcību nodara zaudējumus valsts interes</w:t>
      </w:r>
      <w:r w:rsidR="00F0078B" w:rsidRPr="002C5745">
        <w:rPr>
          <w:rFonts w:ascii="Times New Roman" w:hAnsi="Times New Roman" w:cs="Times New Roman"/>
          <w:sz w:val="26"/>
          <w:szCs w:val="26"/>
          <w:lang w:val="lv-LV"/>
        </w:rPr>
        <w:t>ēm budže</w:t>
      </w:r>
      <w:r w:rsidRPr="002C5745">
        <w:rPr>
          <w:rFonts w:ascii="Times New Roman" w:hAnsi="Times New Roman" w:cs="Times New Roman"/>
          <w:sz w:val="26"/>
          <w:szCs w:val="26"/>
          <w:lang w:val="lv-LV"/>
        </w:rPr>
        <w:t>ta ieņēmumu nodrošinā</w:t>
      </w:r>
      <w:r w:rsidR="00F0078B" w:rsidRPr="002C5745">
        <w:rPr>
          <w:rFonts w:ascii="Times New Roman" w:hAnsi="Times New Roman" w:cs="Times New Roman"/>
          <w:sz w:val="26"/>
          <w:szCs w:val="26"/>
          <w:lang w:val="lv-LV"/>
        </w:rPr>
        <w:t>šanas jomā</w:t>
      </w:r>
      <w:r w:rsidR="004F2424" w:rsidRPr="002C5745">
        <w:rPr>
          <w:rStyle w:val="FootnoteReference"/>
          <w:rFonts w:ascii="Times New Roman" w:hAnsi="Times New Roman" w:cs="Times New Roman"/>
          <w:sz w:val="26"/>
          <w:szCs w:val="26"/>
          <w:lang w:val="lv-LV"/>
        </w:rPr>
        <w:footnoteReference w:id="6"/>
      </w:r>
      <w:r w:rsidR="00F0078B" w:rsidRPr="002C5745">
        <w:rPr>
          <w:rFonts w:ascii="Times New Roman" w:hAnsi="Times New Roman" w:cs="Times New Roman"/>
          <w:sz w:val="26"/>
          <w:szCs w:val="26"/>
          <w:lang w:val="lv-LV"/>
        </w:rPr>
        <w:t>.</w:t>
      </w:r>
    </w:p>
    <w:p w14:paraId="20127874" w14:textId="77777777" w:rsidR="004F2424" w:rsidRDefault="004F2424" w:rsidP="004F2424">
      <w:pPr>
        <w:ind w:firstLine="720"/>
        <w:jc w:val="both"/>
        <w:rPr>
          <w:rFonts w:ascii="Times New Roman" w:hAnsi="Times New Roman" w:cs="Times New Roman"/>
          <w:sz w:val="26"/>
          <w:szCs w:val="26"/>
          <w:lang w:val="lv-LV"/>
        </w:rPr>
      </w:pPr>
      <w:r w:rsidRPr="002C5745">
        <w:rPr>
          <w:rFonts w:ascii="Times New Roman" w:hAnsi="Times New Roman" w:cs="Times New Roman"/>
          <w:sz w:val="26"/>
          <w:szCs w:val="26"/>
          <w:lang w:val="lv-LV"/>
        </w:rPr>
        <w:t>Tādējādi, lai tiktu kompensēti savlaicīgi budžetā negūtie ieņēmumi, nodokļu maksātājam ir atbilstošs pienākums veikt arī nokavējuma naudas samaksu</w:t>
      </w:r>
      <w:r w:rsidR="005962D2" w:rsidRPr="002C5745">
        <w:rPr>
          <w:rFonts w:ascii="Times New Roman" w:hAnsi="Times New Roman" w:cs="Times New Roman"/>
          <w:sz w:val="26"/>
          <w:szCs w:val="26"/>
          <w:lang w:val="lv-LV"/>
        </w:rPr>
        <w:t xml:space="preserve"> nodokļu samaksas termiņa kavējuma gadījumā</w:t>
      </w:r>
      <w:r w:rsidRPr="002C5745">
        <w:rPr>
          <w:rFonts w:ascii="Times New Roman" w:hAnsi="Times New Roman" w:cs="Times New Roman"/>
          <w:sz w:val="26"/>
          <w:szCs w:val="26"/>
          <w:lang w:val="lv-LV"/>
        </w:rPr>
        <w:t>, kas tiek aprēķināta no laikā nenomaksātā pamatparāda noteiktu procentu apmērā par katru nokavēto dienu.</w:t>
      </w:r>
    </w:p>
    <w:p w14:paraId="7FA3AB24" w14:textId="138BF6B2" w:rsidR="00C223E0" w:rsidRPr="00C223E0" w:rsidRDefault="001004F8" w:rsidP="00C223E0">
      <w:pPr>
        <w:ind w:firstLine="720"/>
        <w:jc w:val="both"/>
        <w:rPr>
          <w:rFonts w:ascii="Times New Roman" w:hAnsi="Times New Roman" w:cs="Times New Roman"/>
          <w:sz w:val="26"/>
          <w:szCs w:val="26"/>
          <w:lang w:val="lv-LV"/>
        </w:rPr>
      </w:pPr>
      <w:r>
        <w:rPr>
          <w:rFonts w:ascii="Times New Roman" w:hAnsi="Times New Roman" w:cs="Times New Roman"/>
          <w:sz w:val="26"/>
          <w:szCs w:val="26"/>
          <w:lang w:val="lv-LV"/>
        </w:rPr>
        <w:t>Nokavējuma naudas funkcijas ir:</w:t>
      </w:r>
    </w:p>
    <w:p w14:paraId="44E97C57" w14:textId="62DBA463" w:rsidR="00C223E0" w:rsidRPr="00C223E0" w:rsidRDefault="00C223E0" w:rsidP="00C223E0">
      <w:pPr>
        <w:ind w:firstLine="720"/>
        <w:jc w:val="both"/>
        <w:rPr>
          <w:rFonts w:ascii="Times New Roman" w:hAnsi="Times New Roman" w:cs="Times New Roman"/>
          <w:sz w:val="26"/>
          <w:szCs w:val="26"/>
          <w:lang w:val="lv-LV"/>
        </w:rPr>
      </w:pPr>
      <w:r w:rsidRPr="00C223E0">
        <w:rPr>
          <w:rFonts w:ascii="Times New Roman" w:hAnsi="Times New Roman" w:cs="Times New Roman"/>
          <w:sz w:val="26"/>
          <w:szCs w:val="26"/>
          <w:lang w:val="lv-LV"/>
        </w:rPr>
        <w:t>1)</w:t>
      </w:r>
      <w:r w:rsidR="001004F8">
        <w:rPr>
          <w:rFonts w:ascii="Times New Roman" w:hAnsi="Times New Roman" w:cs="Times New Roman"/>
          <w:sz w:val="26"/>
          <w:szCs w:val="26"/>
          <w:lang w:val="lv-LV"/>
        </w:rPr>
        <w:t>  </w:t>
      </w:r>
      <w:r w:rsidRPr="00C223E0">
        <w:rPr>
          <w:rFonts w:ascii="Times New Roman" w:hAnsi="Times New Roman" w:cs="Times New Roman"/>
          <w:sz w:val="26"/>
          <w:szCs w:val="26"/>
          <w:lang w:val="lv-LV"/>
        </w:rPr>
        <w:t>motivēt nodokļu maksātāju godprātīgi pildīt likumā noteikto pienākumu un likumā noteiktajā termiņā un pilnā apmērā nomaksāt nodokļus un nodevas;</w:t>
      </w:r>
    </w:p>
    <w:p w14:paraId="4C53DD9C" w14:textId="46C5F43E" w:rsidR="00C223E0" w:rsidRPr="00C223E0" w:rsidRDefault="001004F8" w:rsidP="00C223E0">
      <w:pPr>
        <w:ind w:firstLine="720"/>
        <w:jc w:val="both"/>
        <w:rPr>
          <w:rFonts w:ascii="Times New Roman" w:hAnsi="Times New Roman" w:cs="Times New Roman"/>
          <w:sz w:val="26"/>
          <w:szCs w:val="26"/>
          <w:lang w:val="lv-LV"/>
        </w:rPr>
      </w:pPr>
      <w:r>
        <w:rPr>
          <w:rFonts w:ascii="Times New Roman" w:hAnsi="Times New Roman" w:cs="Times New Roman"/>
          <w:sz w:val="26"/>
          <w:szCs w:val="26"/>
          <w:lang w:val="lv-LV"/>
        </w:rPr>
        <w:t>2)  </w:t>
      </w:r>
      <w:r w:rsidR="00C223E0" w:rsidRPr="00C223E0">
        <w:rPr>
          <w:rFonts w:ascii="Times New Roman" w:hAnsi="Times New Roman" w:cs="Times New Roman"/>
          <w:sz w:val="26"/>
          <w:szCs w:val="26"/>
          <w:lang w:val="lv-LV"/>
        </w:rPr>
        <w:t>gadījumā, ja nodokļu maksātājs nav noteiktajā termiņā un pilnā apmērā nomaksājis nodokļus un nodevas, nokavējuma nauda ir kā pamudinājums nodokļu maksātājam pēc iespējas savlaicīgi un brīvprātīgi nokārtot savas nodokļu parāda saistības pret valsti;</w:t>
      </w:r>
    </w:p>
    <w:p w14:paraId="486998DE" w14:textId="1A6AAFEA" w:rsidR="00C223E0" w:rsidRPr="00C223E0" w:rsidRDefault="001004F8" w:rsidP="00C223E0">
      <w:pPr>
        <w:ind w:firstLine="720"/>
        <w:jc w:val="both"/>
        <w:rPr>
          <w:rFonts w:ascii="Times New Roman" w:hAnsi="Times New Roman" w:cs="Times New Roman"/>
          <w:sz w:val="26"/>
          <w:szCs w:val="26"/>
          <w:lang w:val="lv-LV"/>
        </w:rPr>
      </w:pPr>
      <w:r>
        <w:rPr>
          <w:rFonts w:ascii="Times New Roman" w:hAnsi="Times New Roman" w:cs="Times New Roman"/>
          <w:sz w:val="26"/>
          <w:szCs w:val="26"/>
          <w:lang w:val="lv-LV"/>
        </w:rPr>
        <w:t>3)  </w:t>
      </w:r>
      <w:r w:rsidR="00C223E0" w:rsidRPr="00C223E0">
        <w:rPr>
          <w:rFonts w:ascii="Times New Roman" w:hAnsi="Times New Roman" w:cs="Times New Roman"/>
          <w:sz w:val="26"/>
          <w:szCs w:val="26"/>
          <w:lang w:val="lv-LV"/>
        </w:rPr>
        <w:t>ja nodokļu maksātājs neveic savlaicīgu nodokļu nomaksu, nesamaksātajai summai tiek aprēķināti procentu maksājumi par valstij pienākošos naudas summas lietošanu citām vajadzībām nevis nodokļu maksājumu veikšanai.</w:t>
      </w:r>
    </w:p>
    <w:p w14:paraId="161A4568" w14:textId="77777777" w:rsidR="00C223E0" w:rsidRPr="002C5745" w:rsidRDefault="00C223E0" w:rsidP="00C223E0">
      <w:pPr>
        <w:ind w:firstLine="720"/>
        <w:jc w:val="both"/>
        <w:rPr>
          <w:rFonts w:ascii="Times New Roman" w:hAnsi="Times New Roman" w:cs="Times New Roman"/>
          <w:sz w:val="26"/>
          <w:szCs w:val="26"/>
          <w:lang w:val="lv-LV"/>
        </w:rPr>
      </w:pPr>
      <w:r w:rsidRPr="00C223E0">
        <w:rPr>
          <w:rFonts w:ascii="Times New Roman" w:hAnsi="Times New Roman" w:cs="Times New Roman"/>
          <w:sz w:val="26"/>
          <w:szCs w:val="26"/>
          <w:lang w:val="lv-LV"/>
        </w:rPr>
        <w:t>Būtībā nokavējuma naudas mērķis ir disciplinēt nodokļu maksātāju. Nokavējuma naudai nav sodošs, bet budžetā savlaicīgi negūtos ieņēmumus kompensējošs raksturs. Nokavējuma nauda ir kā stimuls savlaicīgai aprēķināto nodokļu samaksai un tiek noteikta kā maksa par nodokļa summas lietojumu pēc tam, kad iestājies nodokļa samaksas pienākums.</w:t>
      </w:r>
    </w:p>
    <w:p w14:paraId="08E56892" w14:textId="69162E8D" w:rsidR="00415673" w:rsidRPr="002C5745" w:rsidRDefault="00415673" w:rsidP="008E03B3">
      <w:pPr>
        <w:ind w:firstLine="720"/>
        <w:jc w:val="both"/>
        <w:rPr>
          <w:rFonts w:ascii="Times New Roman" w:hAnsi="Times New Roman" w:cs="Times New Roman"/>
          <w:sz w:val="26"/>
          <w:szCs w:val="26"/>
          <w:lang w:val="lv-LV"/>
        </w:rPr>
      </w:pPr>
      <w:r w:rsidRPr="002C5745">
        <w:rPr>
          <w:rFonts w:ascii="Times New Roman" w:hAnsi="Times New Roman" w:cs="Times New Roman"/>
          <w:sz w:val="26"/>
          <w:szCs w:val="26"/>
          <w:lang w:val="lv-LV"/>
        </w:rPr>
        <w:t>Nodokļu maksātājam ir jāapzinās tiesiskās sekas, kas iestājas, neveicot savlaicīgu un pilnīgu nodokļu nomaksu. Tādēļ nodokļu maksātājam ir atbildīgi jāizturas pret nodokļu savlaicīgu nomaksu. Proti, rodoties grūtībām savlaicīgi veikt nodokļu maksājumus, nodokļu maksātājam būtu jāizmanto visas nodokļu likumos paredzētās iespējas nodokļu samaksas termiņa pagarināšanai, atlikšanai vai vienošanās līguma noslēgšanai.</w:t>
      </w:r>
    </w:p>
    <w:p w14:paraId="795771E2" w14:textId="77777777" w:rsidR="004438FD" w:rsidRPr="002C5745" w:rsidRDefault="004438FD" w:rsidP="008E03B3">
      <w:pPr>
        <w:ind w:firstLine="720"/>
        <w:jc w:val="both"/>
        <w:rPr>
          <w:rFonts w:ascii="Times New Roman" w:hAnsi="Times New Roman" w:cs="Times New Roman"/>
          <w:sz w:val="26"/>
          <w:szCs w:val="26"/>
          <w:lang w:val="lv-LV"/>
        </w:rPr>
      </w:pPr>
    </w:p>
    <w:p w14:paraId="2AB8F3FF" w14:textId="5ED4083E" w:rsidR="00D60524" w:rsidRPr="002C5745" w:rsidRDefault="00C177AD" w:rsidP="009A1D53">
      <w:pPr>
        <w:pStyle w:val="Heading2"/>
        <w:jc w:val="center"/>
        <w:rPr>
          <w:rFonts w:ascii="Times New Roman" w:hAnsi="Times New Roman" w:cs="Times New Roman"/>
          <w:b/>
          <w:color w:val="auto"/>
          <w:lang w:val="lv-LV"/>
        </w:rPr>
      </w:pPr>
      <w:r w:rsidRPr="002C5745">
        <w:rPr>
          <w:rFonts w:ascii="Times New Roman" w:hAnsi="Times New Roman" w:cs="Times New Roman"/>
          <w:b/>
          <w:color w:val="auto"/>
          <w:lang w:val="lv-LV"/>
        </w:rPr>
        <w:t>2.2</w:t>
      </w:r>
      <w:r w:rsidR="006375F3" w:rsidRPr="002C5745">
        <w:rPr>
          <w:rFonts w:ascii="Times New Roman" w:hAnsi="Times New Roman" w:cs="Times New Roman"/>
          <w:b/>
          <w:color w:val="auto"/>
          <w:lang w:val="lv-LV"/>
        </w:rPr>
        <w:t>.</w:t>
      </w:r>
      <w:r w:rsidR="00463C7B">
        <w:rPr>
          <w:rFonts w:ascii="Times New Roman" w:hAnsi="Times New Roman" w:cs="Times New Roman"/>
          <w:b/>
          <w:color w:val="auto"/>
          <w:lang w:val="lv-LV"/>
        </w:rPr>
        <w:t> </w:t>
      </w:r>
      <w:r w:rsidR="000413C7" w:rsidRPr="002C5745">
        <w:rPr>
          <w:rFonts w:ascii="Times New Roman" w:hAnsi="Times New Roman" w:cs="Times New Roman"/>
          <w:b/>
          <w:color w:val="auto"/>
          <w:lang w:val="lv-LV"/>
        </w:rPr>
        <w:t> </w:t>
      </w:r>
      <w:r w:rsidR="006375F3" w:rsidRPr="002C5745">
        <w:rPr>
          <w:rFonts w:ascii="Times New Roman" w:hAnsi="Times New Roman" w:cs="Times New Roman"/>
          <w:b/>
          <w:color w:val="auto"/>
          <w:lang w:val="lv-LV"/>
        </w:rPr>
        <w:t xml:space="preserve">Nokavējuma naudas </w:t>
      </w:r>
      <w:r w:rsidR="00AB704A" w:rsidRPr="002C5745">
        <w:rPr>
          <w:rFonts w:ascii="Times New Roman" w:hAnsi="Times New Roman" w:cs="Times New Roman"/>
          <w:b/>
          <w:color w:val="auto"/>
          <w:lang w:val="lv-LV"/>
        </w:rPr>
        <w:t>likmes</w:t>
      </w:r>
      <w:r w:rsidR="00981F59">
        <w:rPr>
          <w:rFonts w:ascii="Times New Roman" w:hAnsi="Times New Roman" w:cs="Times New Roman"/>
          <w:b/>
          <w:color w:val="auto"/>
          <w:lang w:val="lv-LV"/>
        </w:rPr>
        <w:t xml:space="preserve"> Latvijā</w:t>
      </w:r>
    </w:p>
    <w:p w14:paraId="14755215" w14:textId="77777777" w:rsidR="007749E4" w:rsidRPr="002C5745" w:rsidRDefault="007749E4" w:rsidP="007749E4">
      <w:pPr>
        <w:ind w:firstLine="720"/>
        <w:jc w:val="both"/>
        <w:rPr>
          <w:rFonts w:ascii="Times New Roman" w:hAnsi="Times New Roman" w:cs="Times New Roman"/>
          <w:sz w:val="26"/>
          <w:szCs w:val="26"/>
          <w:lang w:val="lv-LV"/>
        </w:rPr>
      </w:pPr>
      <w:r w:rsidRPr="002C5745">
        <w:rPr>
          <w:rFonts w:ascii="Times New Roman" w:hAnsi="Times New Roman" w:cs="Times New Roman"/>
          <w:sz w:val="26"/>
          <w:szCs w:val="26"/>
          <w:lang w:val="lv-LV"/>
        </w:rPr>
        <w:t xml:space="preserve">Šobrīd </w:t>
      </w:r>
      <w:r w:rsidR="0079353B" w:rsidRPr="002C5745">
        <w:rPr>
          <w:rFonts w:ascii="Times New Roman" w:hAnsi="Times New Roman" w:cs="Times New Roman"/>
          <w:sz w:val="26"/>
          <w:szCs w:val="26"/>
          <w:lang w:val="lv-LV"/>
        </w:rPr>
        <w:t>nokavējuma naudas likmes apmēri ir noteikti</w:t>
      </w:r>
      <w:r w:rsidRPr="002C5745">
        <w:rPr>
          <w:rFonts w:ascii="Times New Roman" w:hAnsi="Times New Roman" w:cs="Times New Roman"/>
          <w:sz w:val="26"/>
          <w:szCs w:val="26"/>
          <w:lang w:val="lv-LV"/>
        </w:rPr>
        <w:t>, ievērojot nodokļu maksātāja sadarbības savlaicīgumu ar nodokļu administrāciju, kā arī tā normatīvo aktu ievērošanas kultūru.</w:t>
      </w:r>
      <w:r w:rsidR="00060382" w:rsidRPr="002C5745">
        <w:rPr>
          <w:rFonts w:ascii="Times New Roman" w:hAnsi="Times New Roman" w:cs="Times New Roman"/>
          <w:sz w:val="26"/>
          <w:szCs w:val="26"/>
          <w:lang w:val="lv-LV"/>
        </w:rPr>
        <w:t xml:space="preserve"> </w:t>
      </w:r>
      <w:r w:rsidRPr="002C5745">
        <w:rPr>
          <w:rFonts w:ascii="Times New Roman" w:hAnsi="Times New Roman" w:cs="Times New Roman"/>
          <w:sz w:val="26"/>
          <w:szCs w:val="26"/>
          <w:lang w:val="lv-LV"/>
        </w:rPr>
        <w:t>Proti, valsts lielāku pretimnākšanu izrāda tieši tiem nodokļu maksātājiem, kas ir gatavi savlaicīgi risināt savas finansiālās problēmas un aktīvi sadarboties ar nodokļu administrāciju. Tādējādi, ievērojot nokavējuma naudas likmes apmēru, nodokļu maksātājus nosacīti var iedalīt trīs grupās:</w:t>
      </w:r>
    </w:p>
    <w:p w14:paraId="73DABE4D" w14:textId="6159336C" w:rsidR="007749E4" w:rsidRPr="002C5745" w:rsidRDefault="00C177AD" w:rsidP="007749E4">
      <w:pPr>
        <w:ind w:firstLine="720"/>
        <w:jc w:val="both"/>
        <w:rPr>
          <w:rFonts w:ascii="Times New Roman" w:hAnsi="Times New Roman" w:cs="Times New Roman"/>
          <w:sz w:val="26"/>
          <w:szCs w:val="26"/>
          <w:u w:val="single"/>
          <w:lang w:val="lv-LV"/>
        </w:rPr>
      </w:pPr>
      <w:r w:rsidRPr="002C5745">
        <w:rPr>
          <w:rFonts w:ascii="Times New Roman" w:hAnsi="Times New Roman" w:cs="Times New Roman"/>
          <w:b/>
          <w:sz w:val="26"/>
          <w:szCs w:val="26"/>
          <w:lang w:val="lv-LV"/>
        </w:rPr>
        <w:t>1)</w:t>
      </w:r>
      <w:r w:rsidR="00AB60A7" w:rsidRPr="002C5745">
        <w:rPr>
          <w:rFonts w:ascii="Times New Roman" w:hAnsi="Times New Roman" w:cs="Times New Roman"/>
          <w:sz w:val="26"/>
          <w:szCs w:val="26"/>
          <w:lang w:val="lv-LV"/>
        </w:rPr>
        <w:t>  </w:t>
      </w:r>
      <w:r w:rsidR="00AB60A7" w:rsidRPr="002C5745">
        <w:rPr>
          <w:rFonts w:ascii="Times New Roman" w:hAnsi="Times New Roman" w:cs="Times New Roman"/>
          <w:b/>
          <w:sz w:val="26"/>
          <w:szCs w:val="26"/>
          <w:lang w:val="lv-LV"/>
        </w:rPr>
        <w:t>n</w:t>
      </w:r>
      <w:r w:rsidR="0061157A" w:rsidRPr="002C5745">
        <w:rPr>
          <w:rFonts w:ascii="Times New Roman" w:hAnsi="Times New Roman" w:cs="Times New Roman"/>
          <w:b/>
          <w:sz w:val="26"/>
          <w:szCs w:val="26"/>
          <w:lang w:val="lv-LV"/>
        </w:rPr>
        <w:t>odokļu maksātāji, kas savlaicīgi risina</w:t>
      </w:r>
      <w:r w:rsidR="007749E4" w:rsidRPr="002C5745">
        <w:rPr>
          <w:rFonts w:ascii="Times New Roman" w:hAnsi="Times New Roman" w:cs="Times New Roman"/>
          <w:b/>
          <w:sz w:val="26"/>
          <w:szCs w:val="26"/>
          <w:lang w:val="lv-LV"/>
        </w:rPr>
        <w:t xml:space="preserve"> </w:t>
      </w:r>
      <w:r w:rsidR="003D3E2C" w:rsidRPr="002C5745">
        <w:rPr>
          <w:rFonts w:ascii="Times New Roman" w:hAnsi="Times New Roman" w:cs="Times New Roman"/>
          <w:b/>
          <w:sz w:val="26"/>
          <w:szCs w:val="26"/>
          <w:lang w:val="lv-LV"/>
        </w:rPr>
        <w:t>savas nodokļu saistības</w:t>
      </w:r>
      <w:r w:rsidR="0061157A" w:rsidRPr="002C5745">
        <w:rPr>
          <w:rFonts w:ascii="Times New Roman" w:hAnsi="Times New Roman" w:cs="Times New Roman"/>
          <w:b/>
          <w:sz w:val="26"/>
          <w:szCs w:val="26"/>
          <w:lang w:val="lv-LV"/>
        </w:rPr>
        <w:t xml:space="preserve"> un </w:t>
      </w:r>
      <w:r w:rsidR="007749E4" w:rsidRPr="002C5745">
        <w:rPr>
          <w:rFonts w:ascii="Times New Roman" w:hAnsi="Times New Roman" w:cs="Times New Roman"/>
          <w:b/>
          <w:sz w:val="26"/>
          <w:szCs w:val="26"/>
          <w:lang w:val="lv-LV"/>
        </w:rPr>
        <w:t>kvalificē</w:t>
      </w:r>
      <w:r w:rsidR="00C223E0">
        <w:rPr>
          <w:rFonts w:ascii="Times New Roman" w:hAnsi="Times New Roman" w:cs="Times New Roman"/>
          <w:b/>
          <w:sz w:val="26"/>
          <w:szCs w:val="26"/>
          <w:lang w:val="lv-LV"/>
        </w:rPr>
        <w:t>ja</w:t>
      </w:r>
      <w:r w:rsidR="007749E4" w:rsidRPr="002C5745">
        <w:rPr>
          <w:rFonts w:ascii="Times New Roman" w:hAnsi="Times New Roman" w:cs="Times New Roman"/>
          <w:b/>
          <w:sz w:val="26"/>
          <w:szCs w:val="26"/>
          <w:lang w:val="lv-LV"/>
        </w:rPr>
        <w:t xml:space="preserve">s </w:t>
      </w:r>
      <w:r w:rsidR="0061157A" w:rsidRPr="002C5745">
        <w:rPr>
          <w:rFonts w:ascii="Times New Roman" w:hAnsi="Times New Roman" w:cs="Times New Roman"/>
          <w:b/>
          <w:sz w:val="26"/>
          <w:szCs w:val="26"/>
          <w:lang w:val="lv-LV"/>
        </w:rPr>
        <w:t>nodokļu samaksas termiņa</w:t>
      </w:r>
      <w:r w:rsidR="007749E4" w:rsidRPr="002C5745">
        <w:rPr>
          <w:rFonts w:ascii="Times New Roman" w:hAnsi="Times New Roman" w:cs="Times New Roman"/>
          <w:b/>
          <w:sz w:val="26"/>
          <w:szCs w:val="26"/>
          <w:lang w:val="lv-LV"/>
        </w:rPr>
        <w:t xml:space="preserve"> pagarinājumam </w:t>
      </w:r>
      <w:r w:rsidR="0061157A" w:rsidRPr="002C5745">
        <w:rPr>
          <w:rFonts w:ascii="Times New Roman" w:hAnsi="Times New Roman" w:cs="Times New Roman"/>
          <w:b/>
          <w:sz w:val="26"/>
          <w:szCs w:val="26"/>
          <w:lang w:val="lv-LV"/>
        </w:rPr>
        <w:t xml:space="preserve">atbilstoši </w:t>
      </w:r>
      <w:r w:rsidR="007749E4" w:rsidRPr="002C5745">
        <w:rPr>
          <w:rFonts w:ascii="Times New Roman" w:hAnsi="Times New Roman" w:cs="Times New Roman"/>
          <w:b/>
          <w:sz w:val="26"/>
          <w:szCs w:val="26"/>
          <w:lang w:val="lv-LV"/>
        </w:rPr>
        <w:t xml:space="preserve">likuma </w:t>
      </w:r>
      <w:r w:rsidR="003D3E2C" w:rsidRPr="002C5745">
        <w:rPr>
          <w:rFonts w:ascii="Times New Roman" w:hAnsi="Times New Roman" w:cs="Times New Roman"/>
          <w:b/>
          <w:sz w:val="26"/>
          <w:szCs w:val="26"/>
          <w:lang w:val="lv-LV"/>
        </w:rPr>
        <w:t>“</w:t>
      </w:r>
      <w:r w:rsidR="007749E4" w:rsidRPr="002C5745">
        <w:rPr>
          <w:rFonts w:ascii="Times New Roman" w:hAnsi="Times New Roman" w:cs="Times New Roman"/>
          <w:b/>
          <w:sz w:val="26"/>
          <w:szCs w:val="26"/>
          <w:lang w:val="lv-LV"/>
        </w:rPr>
        <w:t xml:space="preserve">Par nodokļiem </w:t>
      </w:r>
      <w:r w:rsidR="0061157A" w:rsidRPr="002C5745">
        <w:rPr>
          <w:rFonts w:ascii="Times New Roman" w:hAnsi="Times New Roman" w:cs="Times New Roman"/>
          <w:b/>
          <w:sz w:val="26"/>
          <w:szCs w:val="26"/>
          <w:lang w:val="lv-LV"/>
        </w:rPr>
        <w:t>un nodevām” 24.</w:t>
      </w:r>
      <w:r w:rsidR="001004F8">
        <w:rPr>
          <w:rFonts w:ascii="Times New Roman" w:hAnsi="Times New Roman" w:cs="Times New Roman"/>
          <w:b/>
          <w:sz w:val="26"/>
          <w:szCs w:val="26"/>
          <w:lang w:val="lv-LV"/>
        </w:rPr>
        <w:t> </w:t>
      </w:r>
      <w:r w:rsidR="0061157A" w:rsidRPr="002C5745">
        <w:rPr>
          <w:rFonts w:ascii="Times New Roman" w:hAnsi="Times New Roman" w:cs="Times New Roman"/>
          <w:b/>
          <w:sz w:val="26"/>
          <w:szCs w:val="26"/>
          <w:lang w:val="lv-LV"/>
        </w:rPr>
        <w:t>pantā noteiktajam</w:t>
      </w:r>
    </w:p>
    <w:p w14:paraId="29C38589" w14:textId="77777777" w:rsidR="007749E4" w:rsidRPr="002C5745" w:rsidRDefault="007749E4" w:rsidP="007749E4">
      <w:pPr>
        <w:ind w:firstLine="720"/>
        <w:jc w:val="both"/>
        <w:rPr>
          <w:rFonts w:ascii="Times New Roman" w:hAnsi="Times New Roman" w:cs="Times New Roman"/>
          <w:sz w:val="26"/>
          <w:szCs w:val="26"/>
          <w:lang w:val="lv-LV"/>
        </w:rPr>
      </w:pPr>
      <w:r w:rsidRPr="002C5745">
        <w:rPr>
          <w:rFonts w:ascii="Times New Roman" w:hAnsi="Times New Roman" w:cs="Times New Roman"/>
          <w:sz w:val="26"/>
          <w:szCs w:val="26"/>
          <w:lang w:val="lv-LV"/>
        </w:rPr>
        <w:t>Šajā gadījumā nokavējuma nauda tiek aprēķināta ar samazinātu procenta likmi vai netiek aprēķināta vispār.</w:t>
      </w:r>
    </w:p>
    <w:p w14:paraId="4CE6B275" w14:textId="464D75AA" w:rsidR="007749E4" w:rsidRPr="002C5745" w:rsidRDefault="00981F59" w:rsidP="007749E4">
      <w:pPr>
        <w:ind w:firstLine="720"/>
        <w:jc w:val="both"/>
        <w:rPr>
          <w:rFonts w:ascii="Times New Roman" w:hAnsi="Times New Roman" w:cs="Times New Roman"/>
          <w:sz w:val="26"/>
          <w:szCs w:val="26"/>
          <w:lang w:val="lv-LV"/>
        </w:rPr>
      </w:pPr>
      <w:r>
        <w:rPr>
          <w:rFonts w:ascii="Times New Roman" w:hAnsi="Times New Roman" w:cs="Times New Roman"/>
          <w:sz w:val="26"/>
          <w:szCs w:val="26"/>
          <w:lang w:val="lv-LV"/>
        </w:rPr>
        <w:t>N</w:t>
      </w:r>
      <w:r w:rsidR="007749E4" w:rsidRPr="002C5745">
        <w:rPr>
          <w:rFonts w:ascii="Times New Roman" w:hAnsi="Times New Roman" w:cs="Times New Roman"/>
          <w:sz w:val="26"/>
          <w:szCs w:val="26"/>
          <w:lang w:val="lv-LV"/>
        </w:rPr>
        <w:t xml:space="preserve">okavējuma nauda </w:t>
      </w:r>
      <w:r w:rsidR="007749E4" w:rsidRPr="002C5745">
        <w:rPr>
          <w:rFonts w:ascii="Times New Roman" w:hAnsi="Times New Roman" w:cs="Times New Roman"/>
          <w:sz w:val="26"/>
          <w:szCs w:val="26"/>
          <w:u w:val="single"/>
          <w:lang w:val="lv-LV"/>
        </w:rPr>
        <w:t>netiek aprēķināta</w:t>
      </w:r>
      <w:r w:rsidR="007749E4" w:rsidRPr="002C5745">
        <w:rPr>
          <w:rFonts w:ascii="Times New Roman" w:hAnsi="Times New Roman" w:cs="Times New Roman"/>
          <w:sz w:val="26"/>
          <w:szCs w:val="26"/>
          <w:lang w:val="lv-LV"/>
        </w:rPr>
        <w:t xml:space="preserve"> šādos nodokļu samaksas termiņ</w:t>
      </w:r>
      <w:r w:rsidR="00C223E0">
        <w:rPr>
          <w:rFonts w:ascii="Times New Roman" w:hAnsi="Times New Roman" w:cs="Times New Roman"/>
          <w:sz w:val="26"/>
          <w:szCs w:val="26"/>
          <w:lang w:val="lv-LV"/>
        </w:rPr>
        <w:t>a</w:t>
      </w:r>
      <w:r w:rsidR="007749E4" w:rsidRPr="002C5745">
        <w:rPr>
          <w:rFonts w:ascii="Times New Roman" w:hAnsi="Times New Roman" w:cs="Times New Roman"/>
          <w:sz w:val="26"/>
          <w:szCs w:val="26"/>
          <w:lang w:val="lv-LV"/>
        </w:rPr>
        <w:t xml:space="preserve"> pagarināšanas gadījumos</w:t>
      </w:r>
      <w:r w:rsidR="007749E4" w:rsidRPr="002C5745">
        <w:rPr>
          <w:rStyle w:val="FootnoteReference"/>
          <w:rFonts w:ascii="Times New Roman" w:hAnsi="Times New Roman" w:cs="Times New Roman"/>
          <w:sz w:val="26"/>
          <w:szCs w:val="26"/>
          <w:lang w:val="lv-LV"/>
        </w:rPr>
        <w:footnoteReference w:id="7"/>
      </w:r>
      <w:r w:rsidR="007749E4" w:rsidRPr="002C5745">
        <w:rPr>
          <w:rFonts w:ascii="Times New Roman" w:hAnsi="Times New Roman" w:cs="Times New Roman"/>
          <w:sz w:val="26"/>
          <w:szCs w:val="26"/>
          <w:lang w:val="lv-LV"/>
        </w:rPr>
        <w:t>:</w:t>
      </w:r>
    </w:p>
    <w:p w14:paraId="49591C9A" w14:textId="77777777" w:rsidR="007749E4" w:rsidRPr="002C5745" w:rsidRDefault="007749E4" w:rsidP="004841C0">
      <w:pPr>
        <w:ind w:left="1134" w:hanging="283"/>
        <w:jc w:val="both"/>
        <w:rPr>
          <w:rFonts w:ascii="Times New Roman" w:hAnsi="Times New Roman" w:cs="Times New Roman"/>
          <w:sz w:val="26"/>
          <w:szCs w:val="26"/>
          <w:lang w:val="lv-LV"/>
        </w:rPr>
      </w:pPr>
      <w:r w:rsidRPr="002C5745">
        <w:rPr>
          <w:rFonts w:ascii="Times New Roman" w:hAnsi="Times New Roman" w:cs="Times New Roman"/>
          <w:b/>
          <w:sz w:val="26"/>
          <w:szCs w:val="26"/>
          <w:lang w:val="lv-LV"/>
        </w:rPr>
        <w:t>●</w:t>
      </w:r>
      <w:r w:rsidRPr="002C5745">
        <w:rPr>
          <w:rFonts w:ascii="Times New Roman" w:hAnsi="Times New Roman" w:cs="Times New Roman"/>
          <w:sz w:val="26"/>
          <w:szCs w:val="26"/>
          <w:lang w:val="lv-LV"/>
        </w:rPr>
        <w:t>  ja termiņa nokavējums radies nepārvaramas varas rezultātā. Šajā gadījumā nodokļu maksājumu samaksa var tikt sadalīta termiņos vai atlik</w:t>
      </w:r>
      <w:r w:rsidR="00AB60A7" w:rsidRPr="002C5745">
        <w:rPr>
          <w:rFonts w:ascii="Times New Roman" w:hAnsi="Times New Roman" w:cs="Times New Roman"/>
          <w:sz w:val="26"/>
          <w:szCs w:val="26"/>
          <w:lang w:val="lv-LV"/>
        </w:rPr>
        <w:t xml:space="preserve">ta uz laiku līdz </w:t>
      </w:r>
      <w:r w:rsidR="003B7766" w:rsidRPr="002C5745">
        <w:rPr>
          <w:rFonts w:ascii="Times New Roman" w:hAnsi="Times New Roman" w:cs="Times New Roman"/>
          <w:sz w:val="26"/>
          <w:szCs w:val="26"/>
          <w:lang w:val="lv-LV"/>
        </w:rPr>
        <w:t>vienam gada</w:t>
      </w:r>
      <w:r w:rsidR="00AB60A7" w:rsidRPr="002C5745">
        <w:rPr>
          <w:rFonts w:ascii="Times New Roman" w:hAnsi="Times New Roman" w:cs="Times New Roman"/>
          <w:sz w:val="26"/>
          <w:szCs w:val="26"/>
          <w:lang w:val="lv-LV"/>
        </w:rPr>
        <w:t>m;</w:t>
      </w:r>
    </w:p>
    <w:p w14:paraId="7AAB2193" w14:textId="09BD17C3" w:rsidR="000F5DAB" w:rsidRDefault="000F5DAB" w:rsidP="007749E4">
      <w:pPr>
        <w:ind w:firstLine="720"/>
        <w:jc w:val="both"/>
        <w:rPr>
          <w:rFonts w:ascii="Times New Roman" w:hAnsi="Times New Roman" w:cs="Times New Roman"/>
          <w:sz w:val="26"/>
          <w:szCs w:val="26"/>
          <w:lang w:val="lv-LV"/>
        </w:rPr>
      </w:pPr>
      <w:r w:rsidRPr="002C5745">
        <w:rPr>
          <w:rFonts w:ascii="Times New Roman" w:hAnsi="Times New Roman" w:cs="Times New Roman"/>
          <w:sz w:val="26"/>
          <w:szCs w:val="26"/>
          <w:lang w:val="lv-LV"/>
        </w:rPr>
        <w:lastRenderedPageBreak/>
        <w:t xml:space="preserve">Saskaņā ar </w:t>
      </w:r>
      <w:r w:rsidR="002437E6">
        <w:rPr>
          <w:rFonts w:ascii="Times New Roman" w:hAnsi="Times New Roman" w:cs="Times New Roman"/>
          <w:sz w:val="26"/>
          <w:szCs w:val="26"/>
          <w:lang w:val="lv-LV"/>
        </w:rPr>
        <w:t>VID</w:t>
      </w:r>
      <w:r w:rsidRPr="002C5745">
        <w:rPr>
          <w:rFonts w:ascii="Times New Roman" w:hAnsi="Times New Roman" w:cs="Times New Roman"/>
          <w:sz w:val="26"/>
          <w:szCs w:val="26"/>
          <w:lang w:val="lv-LV"/>
        </w:rPr>
        <w:t xml:space="preserve"> sniegto informāciju 2016. gadā, pamatojoties uz minēto apstākli, ir </w:t>
      </w:r>
      <w:r w:rsidR="006D3EB8" w:rsidRPr="002C5745">
        <w:rPr>
          <w:rFonts w:ascii="Times New Roman" w:hAnsi="Times New Roman" w:cs="Times New Roman"/>
          <w:sz w:val="26"/>
          <w:szCs w:val="26"/>
          <w:lang w:val="lv-LV"/>
        </w:rPr>
        <w:t>iesniegti 111</w:t>
      </w:r>
      <w:r w:rsidR="001004F8">
        <w:rPr>
          <w:rFonts w:ascii="Times New Roman" w:hAnsi="Times New Roman" w:cs="Times New Roman"/>
          <w:sz w:val="26"/>
          <w:szCs w:val="26"/>
          <w:lang w:val="lv-LV"/>
        </w:rPr>
        <w:t xml:space="preserve"> </w:t>
      </w:r>
      <w:r w:rsidRPr="002C5745">
        <w:rPr>
          <w:rFonts w:ascii="Times New Roman" w:hAnsi="Times New Roman" w:cs="Times New Roman"/>
          <w:sz w:val="26"/>
          <w:szCs w:val="26"/>
          <w:lang w:val="lv-LV"/>
        </w:rPr>
        <w:t>iesniegumi nodokļu samaksas termiņa pagarinājuma piešķiršanai. Tā rezultātā ir pieņemti 1</w:t>
      </w:r>
      <w:r w:rsidR="006D3EB8" w:rsidRPr="002C5745">
        <w:rPr>
          <w:rFonts w:ascii="Times New Roman" w:hAnsi="Times New Roman" w:cs="Times New Roman"/>
          <w:sz w:val="26"/>
          <w:szCs w:val="26"/>
          <w:lang w:val="lv-LV"/>
        </w:rPr>
        <w:t>7</w:t>
      </w:r>
      <w:r w:rsidR="001004F8">
        <w:rPr>
          <w:rFonts w:ascii="Times New Roman" w:hAnsi="Times New Roman" w:cs="Times New Roman"/>
          <w:sz w:val="26"/>
          <w:szCs w:val="26"/>
          <w:lang w:val="lv-LV"/>
        </w:rPr>
        <w:t>  </w:t>
      </w:r>
      <w:r w:rsidRPr="002C5745">
        <w:rPr>
          <w:rFonts w:ascii="Times New Roman" w:hAnsi="Times New Roman" w:cs="Times New Roman"/>
          <w:sz w:val="26"/>
          <w:szCs w:val="26"/>
          <w:lang w:val="lv-LV"/>
        </w:rPr>
        <w:t xml:space="preserve">lēmumi par samaksas termiņa pagarinājuma piešķiršanu, ar kuru sadalīts termiņos nokavēto nodokļu maksājumu samaksa </w:t>
      </w:r>
      <w:r w:rsidR="006D3EB8" w:rsidRPr="002C5745">
        <w:rPr>
          <w:rFonts w:ascii="Times New Roman" w:hAnsi="Times New Roman" w:cs="Times New Roman"/>
          <w:sz w:val="26"/>
          <w:szCs w:val="26"/>
          <w:lang w:val="lv-LV"/>
        </w:rPr>
        <w:t>42</w:t>
      </w:r>
      <w:r w:rsidR="001004F8">
        <w:rPr>
          <w:rFonts w:ascii="Times New Roman" w:hAnsi="Times New Roman" w:cs="Times New Roman"/>
          <w:sz w:val="26"/>
          <w:szCs w:val="26"/>
          <w:lang w:val="lv-LV"/>
        </w:rPr>
        <w:t> </w:t>
      </w:r>
      <w:r w:rsidR="006D3EB8" w:rsidRPr="002C5745">
        <w:rPr>
          <w:rFonts w:ascii="Times New Roman" w:hAnsi="Times New Roman" w:cs="Times New Roman"/>
          <w:sz w:val="26"/>
          <w:szCs w:val="26"/>
          <w:lang w:val="lv-LV"/>
        </w:rPr>
        <w:t>84</w:t>
      </w:r>
      <w:r w:rsidR="003F2389">
        <w:rPr>
          <w:rFonts w:ascii="Times New Roman" w:hAnsi="Times New Roman" w:cs="Times New Roman"/>
          <w:sz w:val="26"/>
          <w:szCs w:val="26"/>
          <w:lang w:val="lv-LV"/>
        </w:rPr>
        <w:t>0</w:t>
      </w:r>
      <w:r w:rsidR="001004F8">
        <w:rPr>
          <w:rFonts w:ascii="Times New Roman" w:hAnsi="Times New Roman" w:cs="Times New Roman"/>
          <w:sz w:val="26"/>
          <w:szCs w:val="26"/>
          <w:lang w:val="lv-LV"/>
        </w:rPr>
        <w:t> </w:t>
      </w:r>
      <w:r w:rsidRPr="002C5745">
        <w:rPr>
          <w:rFonts w:ascii="Times New Roman" w:hAnsi="Times New Roman" w:cs="Times New Roman"/>
          <w:i/>
          <w:sz w:val="26"/>
          <w:szCs w:val="26"/>
          <w:lang w:val="lv-LV"/>
        </w:rPr>
        <w:t xml:space="preserve">euro </w:t>
      </w:r>
      <w:r w:rsidRPr="002C5745">
        <w:rPr>
          <w:rFonts w:ascii="Times New Roman" w:hAnsi="Times New Roman" w:cs="Times New Roman"/>
          <w:sz w:val="26"/>
          <w:szCs w:val="26"/>
          <w:lang w:val="lv-LV"/>
        </w:rPr>
        <w:t>apmērā.</w:t>
      </w:r>
    </w:p>
    <w:p w14:paraId="4C22C8FD" w14:textId="47F8EF03" w:rsidR="00EF74EF" w:rsidRPr="002C5745" w:rsidRDefault="00EF74EF" w:rsidP="00EF74EF">
      <w:pPr>
        <w:ind w:firstLine="720"/>
        <w:jc w:val="both"/>
        <w:rPr>
          <w:rFonts w:ascii="Times New Roman" w:hAnsi="Times New Roman" w:cs="Times New Roman"/>
          <w:sz w:val="26"/>
          <w:szCs w:val="26"/>
          <w:lang w:val="lv-LV"/>
        </w:rPr>
      </w:pPr>
      <w:r>
        <w:rPr>
          <w:rFonts w:ascii="Times New Roman" w:hAnsi="Times New Roman" w:cs="Times New Roman"/>
          <w:sz w:val="26"/>
          <w:szCs w:val="26"/>
          <w:lang w:val="lv-LV"/>
        </w:rPr>
        <w:t>Savukārt 2017.</w:t>
      </w:r>
      <w:r w:rsidR="001004F8">
        <w:rPr>
          <w:rFonts w:ascii="Times New Roman" w:hAnsi="Times New Roman" w:cs="Times New Roman"/>
          <w:sz w:val="26"/>
          <w:szCs w:val="26"/>
          <w:lang w:val="lv-LV"/>
        </w:rPr>
        <w:t xml:space="preserve"> gadā pieņemti 11 </w:t>
      </w:r>
      <w:r>
        <w:rPr>
          <w:rFonts w:ascii="Times New Roman" w:hAnsi="Times New Roman" w:cs="Times New Roman"/>
          <w:sz w:val="26"/>
          <w:szCs w:val="26"/>
          <w:lang w:val="lv-LV"/>
        </w:rPr>
        <w:t>lēmumi</w:t>
      </w:r>
      <w:r w:rsidRPr="00EF74EF">
        <w:rPr>
          <w:rFonts w:ascii="Times New Roman" w:hAnsi="Times New Roman" w:cs="Times New Roman"/>
          <w:sz w:val="26"/>
          <w:szCs w:val="26"/>
          <w:lang w:val="lv-LV"/>
        </w:rPr>
        <w:t xml:space="preserve">, </w:t>
      </w:r>
      <w:r>
        <w:rPr>
          <w:rFonts w:ascii="Times New Roman" w:hAnsi="Times New Roman" w:cs="Times New Roman"/>
          <w:sz w:val="26"/>
          <w:szCs w:val="26"/>
          <w:lang w:val="lv-LV"/>
        </w:rPr>
        <w:t>rezultātā sadalot</w:t>
      </w:r>
      <w:r w:rsidRPr="00EF74EF">
        <w:rPr>
          <w:rFonts w:ascii="Times New Roman" w:hAnsi="Times New Roman" w:cs="Times New Roman"/>
          <w:sz w:val="26"/>
          <w:szCs w:val="26"/>
          <w:lang w:val="lv-LV"/>
        </w:rPr>
        <w:t xml:space="preserve"> termiņos nokavēto nodokļu maksājumu samak</w:t>
      </w:r>
      <w:r w:rsidR="003F2389">
        <w:rPr>
          <w:rFonts w:ascii="Times New Roman" w:hAnsi="Times New Roman" w:cs="Times New Roman"/>
          <w:sz w:val="26"/>
          <w:szCs w:val="26"/>
          <w:lang w:val="lv-LV"/>
        </w:rPr>
        <w:t>su 41</w:t>
      </w:r>
      <w:r w:rsidR="001004F8">
        <w:rPr>
          <w:rFonts w:ascii="Times New Roman" w:hAnsi="Times New Roman" w:cs="Times New Roman"/>
          <w:sz w:val="26"/>
          <w:szCs w:val="26"/>
          <w:lang w:val="lv-LV"/>
        </w:rPr>
        <w:t> </w:t>
      </w:r>
      <w:r w:rsidR="003F2389">
        <w:rPr>
          <w:rFonts w:ascii="Times New Roman" w:hAnsi="Times New Roman" w:cs="Times New Roman"/>
          <w:sz w:val="26"/>
          <w:szCs w:val="26"/>
          <w:lang w:val="lv-LV"/>
        </w:rPr>
        <w:t>390</w:t>
      </w:r>
      <w:r w:rsidRPr="00EF74EF">
        <w:rPr>
          <w:rFonts w:ascii="Times New Roman" w:hAnsi="Times New Roman" w:cs="Times New Roman"/>
          <w:sz w:val="26"/>
          <w:szCs w:val="26"/>
          <w:lang w:val="lv-LV"/>
        </w:rPr>
        <w:t xml:space="preserve"> </w:t>
      </w:r>
      <w:r w:rsidRPr="001004F8">
        <w:rPr>
          <w:rFonts w:ascii="Times New Roman" w:hAnsi="Times New Roman" w:cs="Times New Roman"/>
          <w:i/>
          <w:sz w:val="26"/>
          <w:szCs w:val="26"/>
          <w:lang w:val="lv-LV"/>
        </w:rPr>
        <w:t>euro</w:t>
      </w:r>
      <w:r w:rsidRPr="00EF74EF">
        <w:rPr>
          <w:rFonts w:ascii="Times New Roman" w:hAnsi="Times New Roman" w:cs="Times New Roman"/>
          <w:sz w:val="26"/>
          <w:szCs w:val="26"/>
          <w:lang w:val="lv-LV"/>
        </w:rPr>
        <w:t xml:space="preserve"> apmērā</w:t>
      </w:r>
      <w:r w:rsidR="003F2389">
        <w:rPr>
          <w:rFonts w:ascii="Times New Roman" w:hAnsi="Times New Roman" w:cs="Times New Roman"/>
          <w:sz w:val="26"/>
          <w:szCs w:val="26"/>
          <w:lang w:val="lv-LV"/>
        </w:rPr>
        <w:t>.</w:t>
      </w:r>
    </w:p>
    <w:p w14:paraId="1233F83F" w14:textId="77777777" w:rsidR="007749E4" w:rsidRPr="002C5745" w:rsidRDefault="007749E4" w:rsidP="004841C0">
      <w:pPr>
        <w:ind w:left="1134" w:hanging="283"/>
        <w:jc w:val="both"/>
        <w:rPr>
          <w:rFonts w:ascii="Times New Roman" w:hAnsi="Times New Roman" w:cs="Times New Roman"/>
          <w:sz w:val="26"/>
          <w:szCs w:val="26"/>
          <w:lang w:val="lv-LV"/>
        </w:rPr>
      </w:pPr>
      <w:r w:rsidRPr="002C5745">
        <w:rPr>
          <w:rFonts w:ascii="Times New Roman" w:hAnsi="Times New Roman" w:cs="Times New Roman"/>
          <w:b/>
          <w:sz w:val="26"/>
          <w:szCs w:val="26"/>
          <w:lang w:val="lv-LV"/>
        </w:rPr>
        <w:t>●</w:t>
      </w:r>
      <w:r w:rsidRPr="002C5745">
        <w:rPr>
          <w:rFonts w:ascii="Times New Roman" w:hAnsi="Times New Roman" w:cs="Times New Roman"/>
          <w:sz w:val="26"/>
          <w:szCs w:val="26"/>
          <w:lang w:val="lv-LV"/>
        </w:rPr>
        <w:t>  ienākumam, kas gūts aizdevuma (kredīta) saistību samazināšanas vai dzēšanas rezultātā. Šajā gadījumā iedzīvotāju ienākuma nodokļa samaksa var tikt sadalīta termiņos vai atlikta uz laiku līdz pieciem gadiem;</w:t>
      </w:r>
    </w:p>
    <w:p w14:paraId="6EC73577" w14:textId="2EF0DE8E" w:rsidR="006D3EB8" w:rsidRPr="002C5745" w:rsidRDefault="006D3EB8" w:rsidP="006D3EB8">
      <w:pPr>
        <w:ind w:firstLine="720"/>
        <w:jc w:val="both"/>
        <w:rPr>
          <w:rFonts w:ascii="Times New Roman" w:hAnsi="Times New Roman" w:cs="Times New Roman"/>
          <w:sz w:val="26"/>
          <w:szCs w:val="26"/>
          <w:lang w:val="lv-LV"/>
        </w:rPr>
      </w:pPr>
      <w:r w:rsidRPr="002C5745">
        <w:rPr>
          <w:rFonts w:ascii="Times New Roman" w:hAnsi="Times New Roman" w:cs="Times New Roman"/>
          <w:sz w:val="26"/>
          <w:szCs w:val="26"/>
          <w:lang w:val="lv-LV"/>
        </w:rPr>
        <w:t xml:space="preserve">Saskaņā ar </w:t>
      </w:r>
      <w:r w:rsidR="002437E6">
        <w:rPr>
          <w:rFonts w:ascii="Times New Roman" w:hAnsi="Times New Roman" w:cs="Times New Roman"/>
          <w:sz w:val="26"/>
          <w:szCs w:val="26"/>
          <w:lang w:val="lv-LV"/>
        </w:rPr>
        <w:t>VID</w:t>
      </w:r>
      <w:r w:rsidRPr="002C5745">
        <w:rPr>
          <w:rFonts w:ascii="Times New Roman" w:hAnsi="Times New Roman" w:cs="Times New Roman"/>
          <w:sz w:val="26"/>
          <w:szCs w:val="26"/>
          <w:lang w:val="lv-LV"/>
        </w:rPr>
        <w:t xml:space="preserve"> sniegto informāciju 2016. gadā, pamatojoties uz minēto apstākli, ir iesniegti 30 iesniegumi nodokļu samaksas termiņa pagarinājuma piešķiršanai, tomēr lēmumi par samaksas termiņa pagarinājuma piešķiršanu</w:t>
      </w:r>
      <w:r w:rsidR="003B7766" w:rsidRPr="002C5745">
        <w:rPr>
          <w:rFonts w:ascii="Times New Roman" w:hAnsi="Times New Roman" w:cs="Times New Roman"/>
          <w:sz w:val="26"/>
          <w:szCs w:val="26"/>
          <w:lang w:val="lv-LV"/>
        </w:rPr>
        <w:t>, pamatojoties uz minēto gadījumu,</w:t>
      </w:r>
      <w:r w:rsidRPr="002C5745">
        <w:rPr>
          <w:rFonts w:ascii="Times New Roman" w:hAnsi="Times New Roman" w:cs="Times New Roman"/>
          <w:sz w:val="26"/>
          <w:szCs w:val="26"/>
          <w:lang w:val="lv-LV"/>
        </w:rPr>
        <w:t xml:space="preserve">  nav pieņemti.</w:t>
      </w:r>
      <w:r w:rsidR="003F2389">
        <w:rPr>
          <w:rFonts w:ascii="Times New Roman" w:hAnsi="Times New Roman" w:cs="Times New Roman"/>
          <w:sz w:val="26"/>
          <w:szCs w:val="26"/>
          <w:lang w:val="lv-LV"/>
        </w:rPr>
        <w:t xml:space="preserve"> Arī 2017.</w:t>
      </w:r>
      <w:r w:rsidR="001004F8">
        <w:rPr>
          <w:rFonts w:ascii="Times New Roman" w:hAnsi="Times New Roman" w:cs="Times New Roman"/>
          <w:sz w:val="26"/>
          <w:szCs w:val="26"/>
          <w:lang w:val="lv-LV"/>
        </w:rPr>
        <w:t> </w:t>
      </w:r>
      <w:r w:rsidR="003F2389">
        <w:rPr>
          <w:rFonts w:ascii="Times New Roman" w:hAnsi="Times New Roman" w:cs="Times New Roman"/>
          <w:sz w:val="26"/>
          <w:szCs w:val="26"/>
          <w:lang w:val="lv-LV"/>
        </w:rPr>
        <w:t>gadā nav pieņemts neviens lēmums.</w:t>
      </w:r>
    </w:p>
    <w:p w14:paraId="6B5B195A" w14:textId="77777777" w:rsidR="007749E4" w:rsidRPr="002C5745" w:rsidRDefault="007749E4" w:rsidP="004841C0">
      <w:pPr>
        <w:ind w:left="1134" w:hanging="283"/>
        <w:jc w:val="both"/>
        <w:rPr>
          <w:rFonts w:ascii="Times New Roman" w:hAnsi="Times New Roman" w:cs="Times New Roman"/>
          <w:sz w:val="26"/>
          <w:szCs w:val="26"/>
          <w:lang w:val="lv-LV"/>
        </w:rPr>
      </w:pPr>
      <w:r w:rsidRPr="002C5745">
        <w:rPr>
          <w:rFonts w:ascii="Times New Roman" w:hAnsi="Times New Roman" w:cs="Times New Roman"/>
          <w:b/>
          <w:sz w:val="26"/>
          <w:szCs w:val="26"/>
          <w:lang w:val="lv-LV"/>
        </w:rPr>
        <w:t>●</w:t>
      </w:r>
      <w:r w:rsidRPr="002C5745">
        <w:rPr>
          <w:rFonts w:ascii="Times New Roman" w:hAnsi="Times New Roman" w:cs="Times New Roman"/>
          <w:sz w:val="26"/>
          <w:szCs w:val="26"/>
          <w:lang w:val="lv-LV"/>
        </w:rPr>
        <w:t>  ja termiņa nokavējums radies saistībā ar Krievijas Federācijas noteiktajiem ierobežojumiem un Ministru kabinets ir atbalstījis Zemkopības ministrijas sagatavoto atzinumu par nepieciešamību atbalstīt konkrēto zivsaimniecības nozares nodokļu maksātāju finansiālo grūtību pārvarēšanai saistībā ar Krievijas Federācijas noteiktajiem ierobežojumiem. Šajā gadījumā nokavēto nodokļu maksājumu samaksa var tikt sadalīta termiņos vai atlikta uz laiku līdz pieciem gadiem.</w:t>
      </w:r>
    </w:p>
    <w:p w14:paraId="20E88D1B" w14:textId="192DBDC5" w:rsidR="006D3EB8" w:rsidRPr="002C5745" w:rsidRDefault="006D3EB8" w:rsidP="006D3EB8">
      <w:pPr>
        <w:ind w:firstLine="720"/>
        <w:jc w:val="both"/>
        <w:rPr>
          <w:rFonts w:ascii="Times New Roman" w:hAnsi="Times New Roman" w:cs="Times New Roman"/>
          <w:sz w:val="26"/>
          <w:szCs w:val="26"/>
          <w:lang w:val="lv-LV"/>
        </w:rPr>
      </w:pPr>
      <w:r w:rsidRPr="002C5745">
        <w:rPr>
          <w:rFonts w:ascii="Times New Roman" w:hAnsi="Times New Roman" w:cs="Times New Roman"/>
          <w:sz w:val="26"/>
          <w:szCs w:val="26"/>
          <w:lang w:val="lv-LV"/>
        </w:rPr>
        <w:t xml:space="preserve">Saskaņā ar </w:t>
      </w:r>
      <w:r w:rsidR="002437E6">
        <w:rPr>
          <w:rFonts w:ascii="Times New Roman" w:hAnsi="Times New Roman" w:cs="Times New Roman"/>
          <w:sz w:val="26"/>
          <w:szCs w:val="26"/>
          <w:lang w:val="lv-LV"/>
        </w:rPr>
        <w:t>VID</w:t>
      </w:r>
      <w:r w:rsidRPr="002C5745">
        <w:rPr>
          <w:rFonts w:ascii="Times New Roman" w:hAnsi="Times New Roman" w:cs="Times New Roman"/>
          <w:sz w:val="26"/>
          <w:szCs w:val="26"/>
          <w:lang w:val="lv-LV"/>
        </w:rPr>
        <w:t xml:space="preserve"> sniegto informāciju 2016. gadā, pamatojoties uz minēto apstākli, ir iesniegti 44 iesniegumi nodokļu samaksas termiņa pagarinājuma piešķiršanai. Tā rezultātā ir pieņemti 84</w:t>
      </w:r>
      <w:r w:rsidRPr="002C5745">
        <w:rPr>
          <w:rStyle w:val="FootnoteReference"/>
          <w:rFonts w:ascii="Times New Roman" w:hAnsi="Times New Roman" w:cs="Times New Roman"/>
          <w:sz w:val="26"/>
          <w:szCs w:val="26"/>
          <w:lang w:val="lv-LV"/>
        </w:rPr>
        <w:footnoteReference w:id="8"/>
      </w:r>
      <w:r w:rsidRPr="002C5745">
        <w:rPr>
          <w:rFonts w:ascii="Times New Roman" w:hAnsi="Times New Roman" w:cs="Times New Roman"/>
          <w:sz w:val="26"/>
          <w:szCs w:val="26"/>
          <w:lang w:val="lv-LV"/>
        </w:rPr>
        <w:t xml:space="preserve"> lēmumi par samaksas termiņa pagarinājuma piešķiršanu, ar kuru sadal</w:t>
      </w:r>
      <w:r w:rsidR="00EA5A12" w:rsidRPr="002C5745">
        <w:rPr>
          <w:rFonts w:ascii="Times New Roman" w:hAnsi="Times New Roman" w:cs="Times New Roman"/>
          <w:sz w:val="26"/>
          <w:szCs w:val="26"/>
          <w:lang w:val="lv-LV"/>
        </w:rPr>
        <w:t>īta</w:t>
      </w:r>
      <w:r w:rsidRPr="002C5745">
        <w:rPr>
          <w:rFonts w:ascii="Times New Roman" w:hAnsi="Times New Roman" w:cs="Times New Roman"/>
          <w:sz w:val="26"/>
          <w:szCs w:val="26"/>
          <w:lang w:val="lv-LV"/>
        </w:rPr>
        <w:t xml:space="preserve"> termiņos </w:t>
      </w:r>
      <w:r w:rsidR="003F2389">
        <w:rPr>
          <w:rFonts w:ascii="Times New Roman" w:hAnsi="Times New Roman" w:cs="Times New Roman"/>
          <w:sz w:val="26"/>
          <w:szCs w:val="26"/>
          <w:lang w:val="lv-LV"/>
        </w:rPr>
        <w:t xml:space="preserve">(atlikta) </w:t>
      </w:r>
      <w:r w:rsidRPr="002C5745">
        <w:rPr>
          <w:rFonts w:ascii="Times New Roman" w:hAnsi="Times New Roman" w:cs="Times New Roman"/>
          <w:sz w:val="26"/>
          <w:szCs w:val="26"/>
          <w:lang w:val="lv-LV"/>
        </w:rPr>
        <w:t xml:space="preserve">nodokļu maksājumu samaksa </w:t>
      </w:r>
      <w:r w:rsidR="00EA5A12" w:rsidRPr="002C5745">
        <w:rPr>
          <w:rFonts w:ascii="Times New Roman" w:hAnsi="Times New Roman" w:cs="Times New Roman"/>
          <w:sz w:val="26"/>
          <w:szCs w:val="26"/>
          <w:lang w:val="lv-LV"/>
        </w:rPr>
        <w:t>1 307 94</w:t>
      </w:r>
      <w:r w:rsidR="003F2389">
        <w:rPr>
          <w:rFonts w:ascii="Times New Roman" w:hAnsi="Times New Roman" w:cs="Times New Roman"/>
          <w:sz w:val="26"/>
          <w:szCs w:val="26"/>
          <w:lang w:val="lv-LV"/>
        </w:rPr>
        <w:t xml:space="preserve">0 </w:t>
      </w:r>
      <w:r w:rsidRPr="002C5745">
        <w:rPr>
          <w:rFonts w:ascii="Times New Roman" w:hAnsi="Times New Roman" w:cs="Times New Roman"/>
          <w:i/>
          <w:sz w:val="26"/>
          <w:szCs w:val="26"/>
          <w:lang w:val="lv-LV"/>
        </w:rPr>
        <w:t xml:space="preserve">euro </w:t>
      </w:r>
      <w:r w:rsidRPr="002C5745">
        <w:rPr>
          <w:rFonts w:ascii="Times New Roman" w:hAnsi="Times New Roman" w:cs="Times New Roman"/>
          <w:sz w:val="26"/>
          <w:szCs w:val="26"/>
          <w:lang w:val="lv-LV"/>
        </w:rPr>
        <w:t>apmērā.</w:t>
      </w:r>
    </w:p>
    <w:p w14:paraId="1479FE95" w14:textId="70C7A582" w:rsidR="006D3EB8" w:rsidRPr="002C5745" w:rsidRDefault="003F2389" w:rsidP="007749E4">
      <w:pPr>
        <w:ind w:firstLine="720"/>
        <w:jc w:val="both"/>
        <w:rPr>
          <w:rFonts w:ascii="Times New Roman" w:hAnsi="Times New Roman" w:cs="Times New Roman"/>
          <w:sz w:val="26"/>
          <w:szCs w:val="26"/>
          <w:lang w:val="lv-LV"/>
        </w:rPr>
      </w:pPr>
      <w:r w:rsidRPr="003F2389">
        <w:rPr>
          <w:rFonts w:ascii="Times New Roman" w:hAnsi="Times New Roman" w:cs="Times New Roman"/>
          <w:sz w:val="26"/>
          <w:szCs w:val="26"/>
          <w:lang w:val="lv-LV"/>
        </w:rPr>
        <w:t>2017.</w:t>
      </w:r>
      <w:r w:rsidR="001004F8">
        <w:rPr>
          <w:rFonts w:ascii="Times New Roman" w:hAnsi="Times New Roman" w:cs="Times New Roman"/>
          <w:sz w:val="26"/>
          <w:szCs w:val="26"/>
          <w:lang w:val="lv-LV"/>
        </w:rPr>
        <w:t> </w:t>
      </w:r>
      <w:r w:rsidRPr="003F2389">
        <w:rPr>
          <w:rFonts w:ascii="Times New Roman" w:hAnsi="Times New Roman" w:cs="Times New Roman"/>
          <w:sz w:val="26"/>
          <w:szCs w:val="26"/>
          <w:lang w:val="lv-LV"/>
        </w:rPr>
        <w:t xml:space="preserve">gadā pieņemti </w:t>
      </w:r>
      <w:r>
        <w:rPr>
          <w:rFonts w:ascii="Times New Roman" w:hAnsi="Times New Roman" w:cs="Times New Roman"/>
          <w:sz w:val="26"/>
          <w:szCs w:val="26"/>
          <w:lang w:val="lv-LV"/>
        </w:rPr>
        <w:t>82</w:t>
      </w:r>
      <w:r w:rsidRPr="003F2389">
        <w:rPr>
          <w:rFonts w:ascii="Times New Roman" w:hAnsi="Times New Roman" w:cs="Times New Roman"/>
          <w:sz w:val="26"/>
          <w:szCs w:val="26"/>
          <w:lang w:val="lv-LV"/>
        </w:rPr>
        <w:t xml:space="preserve"> lēmumi, rezultātā sadalot termiņos </w:t>
      </w:r>
      <w:r>
        <w:rPr>
          <w:rFonts w:ascii="Times New Roman" w:hAnsi="Times New Roman" w:cs="Times New Roman"/>
          <w:sz w:val="26"/>
          <w:szCs w:val="26"/>
          <w:lang w:val="lv-LV"/>
        </w:rPr>
        <w:t xml:space="preserve">(atliekot) </w:t>
      </w:r>
      <w:r w:rsidRPr="003F2389">
        <w:rPr>
          <w:rFonts w:ascii="Times New Roman" w:hAnsi="Times New Roman" w:cs="Times New Roman"/>
          <w:sz w:val="26"/>
          <w:szCs w:val="26"/>
          <w:lang w:val="lv-LV"/>
        </w:rPr>
        <w:t>no</w:t>
      </w:r>
      <w:r>
        <w:rPr>
          <w:rFonts w:ascii="Times New Roman" w:hAnsi="Times New Roman" w:cs="Times New Roman"/>
          <w:sz w:val="26"/>
          <w:szCs w:val="26"/>
          <w:lang w:val="lv-LV"/>
        </w:rPr>
        <w:t>kavēto nodokļu maksājumu samaksu</w:t>
      </w:r>
      <w:r w:rsidR="001004F8">
        <w:rPr>
          <w:rFonts w:ascii="Times New Roman" w:hAnsi="Times New Roman" w:cs="Times New Roman"/>
          <w:sz w:val="26"/>
          <w:szCs w:val="26"/>
          <w:lang w:val="lv-LV"/>
        </w:rPr>
        <w:t xml:space="preserve"> 1 274 430 </w:t>
      </w:r>
      <w:r w:rsidRPr="001004F8">
        <w:rPr>
          <w:rFonts w:ascii="Times New Roman" w:hAnsi="Times New Roman" w:cs="Times New Roman"/>
          <w:i/>
          <w:sz w:val="26"/>
          <w:szCs w:val="26"/>
          <w:lang w:val="lv-LV"/>
        </w:rPr>
        <w:t>euro</w:t>
      </w:r>
      <w:r w:rsidRPr="003F2389">
        <w:rPr>
          <w:rFonts w:ascii="Times New Roman" w:hAnsi="Times New Roman" w:cs="Times New Roman"/>
          <w:sz w:val="26"/>
          <w:szCs w:val="26"/>
          <w:lang w:val="lv-LV"/>
        </w:rPr>
        <w:t xml:space="preserve"> apmērā.</w:t>
      </w:r>
    </w:p>
    <w:p w14:paraId="27284F54" w14:textId="200E25D2" w:rsidR="007749E4" w:rsidRPr="002C5745" w:rsidRDefault="00981F59" w:rsidP="001C6467">
      <w:pPr>
        <w:ind w:firstLine="720"/>
        <w:jc w:val="both"/>
        <w:rPr>
          <w:rFonts w:ascii="Times New Roman" w:hAnsi="Times New Roman" w:cs="Times New Roman"/>
          <w:sz w:val="26"/>
          <w:szCs w:val="26"/>
          <w:lang w:val="lv-LV"/>
        </w:rPr>
      </w:pPr>
      <w:r>
        <w:rPr>
          <w:rFonts w:ascii="Times New Roman" w:hAnsi="Times New Roman" w:cs="Times New Roman"/>
          <w:sz w:val="26"/>
          <w:szCs w:val="26"/>
          <w:lang w:val="lv-LV"/>
        </w:rPr>
        <w:t>N</w:t>
      </w:r>
      <w:r w:rsidR="007749E4" w:rsidRPr="002C5745">
        <w:rPr>
          <w:rFonts w:ascii="Times New Roman" w:hAnsi="Times New Roman" w:cs="Times New Roman"/>
          <w:sz w:val="26"/>
          <w:szCs w:val="26"/>
          <w:lang w:val="lv-LV"/>
        </w:rPr>
        <w:t xml:space="preserve">okavējuma nauda </w:t>
      </w:r>
      <w:r w:rsidR="001C6467" w:rsidRPr="002C5745">
        <w:rPr>
          <w:rFonts w:ascii="Times New Roman" w:hAnsi="Times New Roman" w:cs="Times New Roman"/>
          <w:sz w:val="26"/>
          <w:szCs w:val="26"/>
          <w:u w:val="single"/>
          <w:lang w:val="lv-LV"/>
        </w:rPr>
        <w:t xml:space="preserve">ar samazinātu procentu likmi jeb </w:t>
      </w:r>
      <w:r w:rsidR="007749E4" w:rsidRPr="002C5745">
        <w:rPr>
          <w:rFonts w:ascii="Times New Roman" w:hAnsi="Times New Roman" w:cs="Times New Roman"/>
          <w:sz w:val="26"/>
          <w:szCs w:val="26"/>
          <w:lang w:val="lv-LV"/>
        </w:rPr>
        <w:t>viena ceturtā daļa no likuma “Par nodokļiem un nodevām” 29.</w:t>
      </w:r>
      <w:r w:rsidR="00AB60A7" w:rsidRPr="002C5745">
        <w:rPr>
          <w:rFonts w:ascii="Times New Roman" w:hAnsi="Times New Roman" w:cs="Times New Roman"/>
          <w:sz w:val="26"/>
          <w:szCs w:val="26"/>
          <w:lang w:val="lv-LV"/>
        </w:rPr>
        <w:t> </w:t>
      </w:r>
      <w:r w:rsidR="007749E4" w:rsidRPr="002C5745">
        <w:rPr>
          <w:rFonts w:ascii="Times New Roman" w:hAnsi="Times New Roman" w:cs="Times New Roman"/>
          <w:sz w:val="26"/>
          <w:szCs w:val="26"/>
          <w:lang w:val="lv-LV"/>
        </w:rPr>
        <w:t xml:space="preserve">panta otrajā daļā noteiktās nokavējuma naudas par katru dienu visā kavējuma periodā </w:t>
      </w:r>
      <w:r w:rsidR="001C6467" w:rsidRPr="002C5745">
        <w:rPr>
          <w:rFonts w:ascii="Times New Roman" w:hAnsi="Times New Roman" w:cs="Times New Roman"/>
          <w:sz w:val="26"/>
          <w:szCs w:val="26"/>
          <w:lang w:val="lv-LV"/>
        </w:rPr>
        <w:t>(</w:t>
      </w:r>
      <w:r w:rsidR="001C6467" w:rsidRPr="002C5745">
        <w:rPr>
          <w:rFonts w:ascii="Times New Roman" w:hAnsi="Times New Roman" w:cs="Times New Roman"/>
          <w:b/>
          <w:sz w:val="26"/>
          <w:szCs w:val="26"/>
          <w:lang w:val="lv-LV"/>
        </w:rPr>
        <w:t xml:space="preserve">0,0125  procenti) </w:t>
      </w:r>
      <w:r w:rsidR="001C6467" w:rsidRPr="002C5745">
        <w:rPr>
          <w:rFonts w:ascii="Times New Roman" w:hAnsi="Times New Roman" w:cs="Times New Roman"/>
          <w:sz w:val="26"/>
          <w:szCs w:val="26"/>
          <w:lang w:val="lv-LV"/>
        </w:rPr>
        <w:t xml:space="preserve">tiek aprēķināta </w:t>
      </w:r>
      <w:r w:rsidR="007749E4" w:rsidRPr="002C5745">
        <w:rPr>
          <w:rFonts w:ascii="Times New Roman" w:hAnsi="Times New Roman" w:cs="Times New Roman"/>
          <w:sz w:val="26"/>
          <w:szCs w:val="26"/>
          <w:lang w:val="lv-LV"/>
        </w:rPr>
        <w:t>šādos nodokļu samaksas termiņu pagarināšanas gadījumos</w:t>
      </w:r>
      <w:r w:rsidR="007749E4" w:rsidRPr="002C5745">
        <w:rPr>
          <w:rStyle w:val="FootnoteReference"/>
          <w:rFonts w:ascii="Times New Roman" w:hAnsi="Times New Roman" w:cs="Times New Roman"/>
          <w:sz w:val="26"/>
          <w:szCs w:val="26"/>
          <w:lang w:val="lv-LV"/>
        </w:rPr>
        <w:footnoteReference w:id="9"/>
      </w:r>
      <w:r w:rsidR="007749E4" w:rsidRPr="002C5745">
        <w:rPr>
          <w:rFonts w:ascii="Times New Roman" w:hAnsi="Times New Roman" w:cs="Times New Roman"/>
          <w:sz w:val="26"/>
          <w:szCs w:val="26"/>
          <w:lang w:val="lv-LV"/>
        </w:rPr>
        <w:t>:</w:t>
      </w:r>
    </w:p>
    <w:p w14:paraId="50782201" w14:textId="77777777" w:rsidR="009E355F" w:rsidRPr="002C5745" w:rsidRDefault="001C6467" w:rsidP="004841C0">
      <w:pPr>
        <w:pStyle w:val="ListParagraph"/>
        <w:ind w:left="1134" w:hanging="283"/>
        <w:jc w:val="both"/>
        <w:rPr>
          <w:rFonts w:ascii="Times New Roman" w:hAnsi="Times New Roman" w:cs="Times New Roman"/>
          <w:sz w:val="26"/>
          <w:szCs w:val="26"/>
          <w:lang w:val="lv-LV"/>
        </w:rPr>
      </w:pPr>
      <w:r w:rsidRPr="002C5745">
        <w:rPr>
          <w:rFonts w:ascii="Times New Roman" w:hAnsi="Times New Roman" w:cs="Times New Roman"/>
          <w:b/>
          <w:sz w:val="26"/>
          <w:szCs w:val="26"/>
          <w:lang w:val="lv-LV"/>
        </w:rPr>
        <w:t>●</w:t>
      </w:r>
      <w:r w:rsidRPr="002C5745">
        <w:rPr>
          <w:rFonts w:ascii="Times New Roman" w:hAnsi="Times New Roman" w:cs="Times New Roman"/>
          <w:sz w:val="26"/>
          <w:szCs w:val="26"/>
          <w:lang w:val="lv-LV"/>
        </w:rPr>
        <w:t>  </w:t>
      </w:r>
      <w:r w:rsidR="007749E4" w:rsidRPr="002C5745">
        <w:rPr>
          <w:rFonts w:ascii="Times New Roman" w:hAnsi="Times New Roman" w:cs="Times New Roman"/>
          <w:sz w:val="26"/>
          <w:szCs w:val="26"/>
          <w:lang w:val="lv-LV"/>
        </w:rPr>
        <w:t>nodokļu maksājumiem, ko aprēķinājis nodokļu maksātājs ar iesniegto deklarāciju. Šajā gadījumā nodokļu maksājumu samaksa var tikt sadalīta termiņos uz laiku līdz vienam gadam ar nosacījumu, ja nodokļu maksātājs iesniegumu iesniedzis ne vēlāk kā 15 dienas pēc maksājuma termiņa iestāšanās</w:t>
      </w:r>
      <w:r w:rsidR="00AB60A7" w:rsidRPr="002C5745">
        <w:rPr>
          <w:rFonts w:ascii="Times New Roman" w:hAnsi="Times New Roman" w:cs="Times New Roman"/>
          <w:sz w:val="26"/>
          <w:szCs w:val="26"/>
          <w:lang w:val="lv-LV"/>
        </w:rPr>
        <w:t>. Jānorāda, ka n</w:t>
      </w:r>
      <w:r w:rsidR="009E355F" w:rsidRPr="002C5745">
        <w:rPr>
          <w:rFonts w:ascii="Times New Roman" w:hAnsi="Times New Roman" w:cs="Times New Roman"/>
          <w:sz w:val="26"/>
          <w:szCs w:val="26"/>
          <w:lang w:val="lv-LV"/>
        </w:rPr>
        <w:t>odokļu administrācija ir tiesīga nodokļu maksātājam vienā kalendārā gada ietvaros piešķir ne vairāk kā četras reizes termiņa pagarinājumu attiecībā uz vienu nodokļu vai citu budžetā ieskaitāmo maksājumu veidu</w:t>
      </w:r>
      <w:r w:rsidR="009E355F" w:rsidRPr="002C5745">
        <w:rPr>
          <w:rStyle w:val="FootnoteReference"/>
          <w:rFonts w:ascii="Times New Roman" w:hAnsi="Times New Roman" w:cs="Times New Roman"/>
          <w:sz w:val="26"/>
          <w:szCs w:val="26"/>
          <w:lang w:val="lv-LV"/>
        </w:rPr>
        <w:footnoteReference w:id="10"/>
      </w:r>
      <w:r w:rsidR="009E355F" w:rsidRPr="002C5745">
        <w:rPr>
          <w:rFonts w:ascii="Times New Roman" w:hAnsi="Times New Roman" w:cs="Times New Roman"/>
          <w:sz w:val="26"/>
          <w:szCs w:val="26"/>
          <w:lang w:val="lv-LV"/>
        </w:rPr>
        <w:t>.</w:t>
      </w:r>
    </w:p>
    <w:p w14:paraId="2BBD6E0F" w14:textId="59CDA83A" w:rsidR="00935CB5" w:rsidRPr="002C5745" w:rsidRDefault="00935CB5" w:rsidP="00935CB5">
      <w:pPr>
        <w:ind w:firstLine="720"/>
        <w:jc w:val="both"/>
        <w:rPr>
          <w:rFonts w:ascii="Times New Roman" w:hAnsi="Times New Roman" w:cs="Times New Roman"/>
          <w:sz w:val="26"/>
          <w:szCs w:val="26"/>
          <w:lang w:val="lv-LV"/>
        </w:rPr>
      </w:pPr>
      <w:r w:rsidRPr="002C5745">
        <w:rPr>
          <w:rFonts w:ascii="Times New Roman" w:hAnsi="Times New Roman" w:cs="Times New Roman"/>
          <w:sz w:val="26"/>
          <w:szCs w:val="26"/>
          <w:lang w:val="lv-LV"/>
        </w:rPr>
        <w:t xml:space="preserve">Saskaņā ar </w:t>
      </w:r>
      <w:r w:rsidR="002437E6">
        <w:rPr>
          <w:rFonts w:ascii="Times New Roman" w:hAnsi="Times New Roman" w:cs="Times New Roman"/>
          <w:sz w:val="26"/>
          <w:szCs w:val="26"/>
          <w:lang w:val="lv-LV"/>
        </w:rPr>
        <w:t>VID</w:t>
      </w:r>
      <w:r w:rsidRPr="002C5745">
        <w:rPr>
          <w:rFonts w:ascii="Times New Roman" w:hAnsi="Times New Roman" w:cs="Times New Roman"/>
          <w:sz w:val="26"/>
          <w:szCs w:val="26"/>
          <w:lang w:val="lv-LV"/>
        </w:rPr>
        <w:t xml:space="preserve"> sniegto informāciju 2016. gadā, pamatojoties uz minēto apstākli, ir iesniegti 9449 iesniegumi nodokļu samaksas termiņa pagarinājuma piešķiršanai. Tā rezultātā 4907 nodokļu maksātājiem ir piešķirts nodokļu samaksas termiņa pagarinājums</w:t>
      </w:r>
      <w:r w:rsidRPr="002C5745">
        <w:rPr>
          <w:rStyle w:val="FootnoteReference"/>
          <w:rFonts w:ascii="Times New Roman" w:hAnsi="Times New Roman" w:cs="Times New Roman"/>
          <w:sz w:val="26"/>
          <w:szCs w:val="26"/>
          <w:lang w:val="lv-LV"/>
        </w:rPr>
        <w:footnoteReference w:id="11"/>
      </w:r>
      <w:r w:rsidRPr="002C5745">
        <w:rPr>
          <w:rFonts w:ascii="Times New Roman" w:hAnsi="Times New Roman" w:cs="Times New Roman"/>
          <w:sz w:val="26"/>
          <w:szCs w:val="26"/>
          <w:lang w:val="lv-LV"/>
        </w:rPr>
        <w:t>.</w:t>
      </w:r>
    </w:p>
    <w:p w14:paraId="1D340C4B" w14:textId="41BBA917" w:rsidR="007749E4" w:rsidRPr="002C5745" w:rsidRDefault="001C6467" w:rsidP="004841C0">
      <w:pPr>
        <w:pStyle w:val="ListParagraph"/>
        <w:ind w:left="1134" w:hanging="283"/>
        <w:jc w:val="both"/>
        <w:rPr>
          <w:rFonts w:ascii="Times New Roman" w:hAnsi="Times New Roman" w:cs="Times New Roman"/>
          <w:sz w:val="26"/>
          <w:szCs w:val="26"/>
          <w:lang w:val="lv-LV"/>
        </w:rPr>
      </w:pPr>
      <w:r w:rsidRPr="002C5745">
        <w:rPr>
          <w:rFonts w:ascii="Times New Roman" w:hAnsi="Times New Roman" w:cs="Times New Roman"/>
          <w:b/>
          <w:sz w:val="26"/>
          <w:szCs w:val="26"/>
          <w:lang w:val="lv-LV"/>
        </w:rPr>
        <w:lastRenderedPageBreak/>
        <w:t>●</w:t>
      </w:r>
      <w:r w:rsidRPr="002C5745">
        <w:rPr>
          <w:rFonts w:ascii="Times New Roman" w:hAnsi="Times New Roman" w:cs="Times New Roman"/>
          <w:sz w:val="26"/>
          <w:szCs w:val="26"/>
          <w:lang w:val="lv-LV"/>
        </w:rPr>
        <w:t>  </w:t>
      </w:r>
      <w:r w:rsidR="00AB60A7" w:rsidRPr="002C5745">
        <w:rPr>
          <w:rFonts w:ascii="Times New Roman" w:hAnsi="Times New Roman" w:cs="Times New Roman"/>
          <w:sz w:val="26"/>
          <w:szCs w:val="26"/>
          <w:lang w:val="lv-LV"/>
        </w:rPr>
        <w:t>nodokļu maksājumiem</w:t>
      </w:r>
      <w:r w:rsidR="007749E4" w:rsidRPr="002C5745">
        <w:rPr>
          <w:rFonts w:ascii="Times New Roman" w:hAnsi="Times New Roman" w:cs="Times New Roman"/>
          <w:sz w:val="26"/>
          <w:szCs w:val="26"/>
          <w:lang w:val="lv-LV"/>
        </w:rPr>
        <w:t>, kuri aprēķināti nodokļu administrācijas veiktās kontroles (pārbaudes, revīzijas) vai datu atbilstības pārbaudes rezultātā. Šajā gadījumā nodokļu maksājumi var tikt sadalīti termiņos uz laiku līdz pieciem gadiem ar nosacījumu, ja nodokļu maksātājs iesniegum</w:t>
      </w:r>
      <w:r w:rsidR="00981F59">
        <w:rPr>
          <w:rFonts w:ascii="Times New Roman" w:hAnsi="Times New Roman" w:cs="Times New Roman"/>
          <w:sz w:val="26"/>
          <w:szCs w:val="26"/>
          <w:lang w:val="lv-LV"/>
        </w:rPr>
        <w:t>u</w:t>
      </w:r>
      <w:r w:rsidR="007749E4" w:rsidRPr="002C5745">
        <w:rPr>
          <w:rFonts w:ascii="Times New Roman" w:hAnsi="Times New Roman" w:cs="Times New Roman"/>
          <w:sz w:val="26"/>
          <w:szCs w:val="26"/>
          <w:lang w:val="lv-LV"/>
        </w:rPr>
        <w:t xml:space="preserve"> iesniedzis trīs dienas pirms maksājumu samaksas termiņa iestāšanās;</w:t>
      </w:r>
    </w:p>
    <w:p w14:paraId="5EE85745" w14:textId="7E4F7934" w:rsidR="003F2389" w:rsidRDefault="00170C2E" w:rsidP="00170C2E">
      <w:pPr>
        <w:ind w:firstLine="720"/>
        <w:jc w:val="both"/>
        <w:rPr>
          <w:rFonts w:ascii="Times New Roman" w:hAnsi="Times New Roman" w:cs="Times New Roman"/>
          <w:sz w:val="26"/>
          <w:szCs w:val="26"/>
          <w:lang w:val="lv-LV"/>
        </w:rPr>
      </w:pPr>
      <w:r w:rsidRPr="002C5745">
        <w:rPr>
          <w:rFonts w:ascii="Times New Roman" w:hAnsi="Times New Roman" w:cs="Times New Roman"/>
          <w:sz w:val="26"/>
          <w:szCs w:val="26"/>
          <w:lang w:val="lv-LV"/>
        </w:rPr>
        <w:t xml:space="preserve">Saskaņā ar </w:t>
      </w:r>
      <w:r w:rsidR="002437E6">
        <w:rPr>
          <w:rFonts w:ascii="Times New Roman" w:hAnsi="Times New Roman" w:cs="Times New Roman"/>
          <w:sz w:val="26"/>
          <w:szCs w:val="26"/>
          <w:lang w:val="lv-LV"/>
        </w:rPr>
        <w:t>VID</w:t>
      </w:r>
      <w:r w:rsidRPr="002C5745">
        <w:rPr>
          <w:rFonts w:ascii="Times New Roman" w:hAnsi="Times New Roman" w:cs="Times New Roman"/>
          <w:sz w:val="26"/>
          <w:szCs w:val="26"/>
          <w:lang w:val="lv-LV"/>
        </w:rPr>
        <w:t xml:space="preserve"> sniegto informāciju 2016. gadā, pamatojoties uz minēto apstākli, ir iesniegti 649 iesniegumi nodokļu samaksas termiņa pagarinājuma piešķiršanai. Tā rezultātā attiecībā uz 328 nodokļu maksātajiem ir pieņemti 509 lēmumi par samaksas te</w:t>
      </w:r>
      <w:r w:rsidR="00AB704A" w:rsidRPr="002C5745">
        <w:rPr>
          <w:rFonts w:ascii="Times New Roman" w:hAnsi="Times New Roman" w:cs="Times New Roman"/>
          <w:sz w:val="26"/>
          <w:szCs w:val="26"/>
          <w:lang w:val="lv-LV"/>
        </w:rPr>
        <w:t>rmiņa pagarinājuma piešķiršanu</w:t>
      </w:r>
      <w:r w:rsidR="003F2389">
        <w:rPr>
          <w:rFonts w:ascii="Times New Roman" w:hAnsi="Times New Roman" w:cs="Times New Roman"/>
          <w:sz w:val="26"/>
          <w:szCs w:val="26"/>
          <w:lang w:val="lv-LV"/>
        </w:rPr>
        <w:t>,</w:t>
      </w:r>
      <w:r w:rsidR="003F2389" w:rsidRPr="003F2389">
        <w:t xml:space="preserve"> </w:t>
      </w:r>
      <w:r w:rsidR="003F2389" w:rsidRPr="003F2389">
        <w:rPr>
          <w:rFonts w:ascii="Times New Roman" w:hAnsi="Times New Roman" w:cs="Times New Roman"/>
          <w:sz w:val="26"/>
          <w:szCs w:val="26"/>
          <w:lang w:val="lv-LV"/>
        </w:rPr>
        <w:t xml:space="preserve">rezultātā sadalot termiņos nokavēto nodokļu maksājumu samaksu </w:t>
      </w:r>
      <w:r w:rsidR="001004F8">
        <w:rPr>
          <w:rFonts w:ascii="Times New Roman" w:hAnsi="Times New Roman" w:cs="Times New Roman"/>
          <w:sz w:val="26"/>
          <w:szCs w:val="26"/>
          <w:lang w:val="lv-LV"/>
        </w:rPr>
        <w:t xml:space="preserve">12 336 910 </w:t>
      </w:r>
      <w:r w:rsidR="003F2389" w:rsidRPr="001004F8">
        <w:rPr>
          <w:rFonts w:ascii="Times New Roman" w:hAnsi="Times New Roman" w:cs="Times New Roman"/>
          <w:i/>
          <w:sz w:val="26"/>
          <w:szCs w:val="26"/>
          <w:lang w:val="lv-LV"/>
        </w:rPr>
        <w:t>euro</w:t>
      </w:r>
      <w:r w:rsidR="003F2389" w:rsidRPr="003F2389">
        <w:rPr>
          <w:rFonts w:ascii="Times New Roman" w:hAnsi="Times New Roman" w:cs="Times New Roman"/>
          <w:sz w:val="26"/>
          <w:szCs w:val="26"/>
          <w:lang w:val="lv-LV"/>
        </w:rPr>
        <w:t xml:space="preserve"> apmērā.</w:t>
      </w:r>
    </w:p>
    <w:p w14:paraId="70C860BA" w14:textId="1C036568" w:rsidR="00170C2E" w:rsidRPr="002C5745" w:rsidRDefault="003F2389" w:rsidP="00170C2E">
      <w:pPr>
        <w:ind w:firstLine="720"/>
        <w:jc w:val="both"/>
        <w:rPr>
          <w:rFonts w:ascii="Times New Roman" w:hAnsi="Times New Roman" w:cs="Times New Roman"/>
          <w:sz w:val="26"/>
          <w:szCs w:val="26"/>
          <w:lang w:val="lv-LV"/>
        </w:rPr>
      </w:pPr>
      <w:r w:rsidRPr="003F2389">
        <w:rPr>
          <w:rFonts w:ascii="Times New Roman" w:hAnsi="Times New Roman" w:cs="Times New Roman"/>
          <w:sz w:val="26"/>
          <w:szCs w:val="26"/>
          <w:lang w:val="lv-LV"/>
        </w:rPr>
        <w:t>2017.</w:t>
      </w:r>
      <w:r w:rsidR="0002708D">
        <w:rPr>
          <w:rFonts w:ascii="Times New Roman" w:hAnsi="Times New Roman" w:cs="Times New Roman"/>
          <w:sz w:val="26"/>
          <w:szCs w:val="26"/>
          <w:lang w:val="lv-LV"/>
        </w:rPr>
        <w:t> </w:t>
      </w:r>
      <w:r w:rsidRPr="003F2389">
        <w:rPr>
          <w:rFonts w:ascii="Times New Roman" w:hAnsi="Times New Roman" w:cs="Times New Roman"/>
          <w:sz w:val="26"/>
          <w:szCs w:val="26"/>
          <w:lang w:val="lv-LV"/>
        </w:rPr>
        <w:t xml:space="preserve">gadā pieņemti </w:t>
      </w:r>
      <w:r>
        <w:rPr>
          <w:rFonts w:ascii="Times New Roman" w:hAnsi="Times New Roman" w:cs="Times New Roman"/>
          <w:sz w:val="26"/>
          <w:szCs w:val="26"/>
          <w:lang w:val="lv-LV"/>
        </w:rPr>
        <w:t>280</w:t>
      </w:r>
      <w:r w:rsidRPr="003F2389">
        <w:rPr>
          <w:rFonts w:ascii="Times New Roman" w:hAnsi="Times New Roman" w:cs="Times New Roman"/>
          <w:sz w:val="26"/>
          <w:szCs w:val="26"/>
          <w:lang w:val="lv-LV"/>
        </w:rPr>
        <w:t xml:space="preserve"> lēmumi, rezultātā sadalot termiņos (atliekot) nok</w:t>
      </w:r>
      <w:r>
        <w:rPr>
          <w:rFonts w:ascii="Times New Roman" w:hAnsi="Times New Roman" w:cs="Times New Roman"/>
          <w:sz w:val="26"/>
          <w:szCs w:val="26"/>
          <w:lang w:val="lv-LV"/>
        </w:rPr>
        <w:t>av</w:t>
      </w:r>
      <w:r w:rsidR="001004F8">
        <w:rPr>
          <w:rFonts w:ascii="Times New Roman" w:hAnsi="Times New Roman" w:cs="Times New Roman"/>
          <w:sz w:val="26"/>
          <w:szCs w:val="26"/>
          <w:lang w:val="lv-LV"/>
        </w:rPr>
        <w:t>ēto nodokļu maksājumu samaksu 8 </w:t>
      </w:r>
      <w:r>
        <w:rPr>
          <w:rFonts w:ascii="Times New Roman" w:hAnsi="Times New Roman" w:cs="Times New Roman"/>
          <w:sz w:val="26"/>
          <w:szCs w:val="26"/>
          <w:lang w:val="lv-LV"/>
        </w:rPr>
        <w:t xml:space="preserve">462 870 </w:t>
      </w:r>
      <w:r w:rsidRPr="001004F8">
        <w:rPr>
          <w:rFonts w:ascii="Times New Roman" w:hAnsi="Times New Roman" w:cs="Times New Roman"/>
          <w:i/>
          <w:sz w:val="26"/>
          <w:szCs w:val="26"/>
          <w:lang w:val="lv-LV"/>
        </w:rPr>
        <w:t>euro</w:t>
      </w:r>
      <w:r w:rsidRPr="003F2389">
        <w:rPr>
          <w:rFonts w:ascii="Times New Roman" w:hAnsi="Times New Roman" w:cs="Times New Roman"/>
          <w:sz w:val="26"/>
          <w:szCs w:val="26"/>
          <w:lang w:val="lv-LV"/>
        </w:rPr>
        <w:t xml:space="preserve"> apmērā.</w:t>
      </w:r>
    </w:p>
    <w:p w14:paraId="5233A459" w14:textId="162C0325" w:rsidR="007749E4" w:rsidRPr="002C5745" w:rsidRDefault="001C6467" w:rsidP="004841C0">
      <w:pPr>
        <w:pStyle w:val="ListParagraph"/>
        <w:ind w:left="1134" w:hanging="283"/>
        <w:jc w:val="both"/>
        <w:rPr>
          <w:rFonts w:ascii="Times New Roman" w:hAnsi="Times New Roman" w:cs="Times New Roman"/>
          <w:sz w:val="26"/>
          <w:szCs w:val="26"/>
          <w:lang w:val="lv-LV"/>
        </w:rPr>
      </w:pPr>
      <w:r w:rsidRPr="002C5745">
        <w:rPr>
          <w:rFonts w:ascii="Times New Roman" w:hAnsi="Times New Roman" w:cs="Times New Roman"/>
          <w:b/>
          <w:sz w:val="26"/>
          <w:szCs w:val="26"/>
          <w:lang w:val="lv-LV"/>
        </w:rPr>
        <w:t>●</w:t>
      </w:r>
      <w:r w:rsidRPr="002C5745">
        <w:rPr>
          <w:rFonts w:ascii="Times New Roman" w:hAnsi="Times New Roman" w:cs="Times New Roman"/>
          <w:sz w:val="26"/>
          <w:szCs w:val="26"/>
          <w:lang w:val="lv-LV"/>
        </w:rPr>
        <w:t>  </w:t>
      </w:r>
      <w:r w:rsidR="002437E6">
        <w:rPr>
          <w:rFonts w:ascii="Times New Roman" w:hAnsi="Times New Roman" w:cs="Times New Roman"/>
          <w:sz w:val="26"/>
          <w:szCs w:val="26"/>
          <w:lang w:val="lv-LV"/>
        </w:rPr>
        <w:t>ES</w:t>
      </w:r>
      <w:r w:rsidR="007749E4" w:rsidRPr="002C5745">
        <w:rPr>
          <w:rFonts w:ascii="Times New Roman" w:hAnsi="Times New Roman" w:cs="Times New Roman"/>
          <w:sz w:val="26"/>
          <w:szCs w:val="26"/>
          <w:lang w:val="lv-LV"/>
        </w:rPr>
        <w:t xml:space="preserve"> dalībvalsts nodokļu prasījuma summām. Šajā gadījumā nodokļu prasījumu summu samaksa var tikt sadalīta termiņos uz laiku līdz vienam gadam no dienas, kad </w:t>
      </w:r>
      <w:r w:rsidR="002437E6">
        <w:rPr>
          <w:rFonts w:ascii="Times New Roman" w:hAnsi="Times New Roman" w:cs="Times New Roman"/>
          <w:sz w:val="26"/>
          <w:szCs w:val="26"/>
          <w:lang w:val="lv-LV"/>
        </w:rPr>
        <w:t>VID</w:t>
      </w:r>
      <w:r w:rsidR="007749E4" w:rsidRPr="002C5745">
        <w:rPr>
          <w:rFonts w:ascii="Times New Roman" w:hAnsi="Times New Roman" w:cs="Times New Roman"/>
          <w:sz w:val="26"/>
          <w:szCs w:val="26"/>
          <w:lang w:val="lv-LV"/>
        </w:rPr>
        <w:t xml:space="preserve"> saņēmis </w:t>
      </w:r>
      <w:r w:rsidR="002437E6">
        <w:rPr>
          <w:rFonts w:ascii="Times New Roman" w:hAnsi="Times New Roman" w:cs="Times New Roman"/>
          <w:sz w:val="26"/>
          <w:szCs w:val="26"/>
          <w:lang w:val="lv-LV"/>
        </w:rPr>
        <w:t>ES</w:t>
      </w:r>
      <w:r w:rsidR="007749E4" w:rsidRPr="002C5745">
        <w:rPr>
          <w:rFonts w:ascii="Times New Roman" w:hAnsi="Times New Roman" w:cs="Times New Roman"/>
          <w:sz w:val="26"/>
          <w:szCs w:val="26"/>
          <w:lang w:val="lv-LV"/>
        </w:rPr>
        <w:t xml:space="preserve"> dalībvalsts pieprasījuma iesniedzējas iestādes pieprasījumu par piedziņu;</w:t>
      </w:r>
    </w:p>
    <w:p w14:paraId="2234D003" w14:textId="31816F18" w:rsidR="00AB704A" w:rsidRPr="002C5745" w:rsidRDefault="00AB704A" w:rsidP="007749E4">
      <w:pPr>
        <w:pStyle w:val="ListParagraph"/>
        <w:ind w:left="0" w:firstLine="720"/>
        <w:jc w:val="both"/>
        <w:rPr>
          <w:rFonts w:ascii="Times New Roman" w:hAnsi="Times New Roman" w:cs="Times New Roman"/>
          <w:sz w:val="26"/>
          <w:szCs w:val="26"/>
          <w:lang w:val="lv-LV"/>
        </w:rPr>
      </w:pPr>
      <w:r w:rsidRPr="002C5745">
        <w:rPr>
          <w:rFonts w:ascii="Times New Roman" w:hAnsi="Times New Roman" w:cs="Times New Roman"/>
          <w:sz w:val="26"/>
          <w:szCs w:val="26"/>
          <w:lang w:val="lv-LV"/>
        </w:rPr>
        <w:t xml:space="preserve">Saskaņā ar </w:t>
      </w:r>
      <w:r w:rsidR="002437E6">
        <w:rPr>
          <w:rFonts w:ascii="Times New Roman" w:hAnsi="Times New Roman" w:cs="Times New Roman"/>
          <w:sz w:val="26"/>
          <w:szCs w:val="26"/>
          <w:lang w:val="lv-LV"/>
        </w:rPr>
        <w:t>VID</w:t>
      </w:r>
      <w:r w:rsidRPr="002C5745">
        <w:rPr>
          <w:rFonts w:ascii="Times New Roman" w:hAnsi="Times New Roman" w:cs="Times New Roman"/>
          <w:sz w:val="26"/>
          <w:szCs w:val="26"/>
          <w:lang w:val="lv-LV"/>
        </w:rPr>
        <w:t xml:space="preserve"> sniegto informāciju 2016. gadā, pamatojoties uz minēto apstākli, piešķirti </w:t>
      </w:r>
      <w:r w:rsidR="00033B29" w:rsidRPr="002C5745">
        <w:rPr>
          <w:rFonts w:ascii="Times New Roman" w:hAnsi="Times New Roman" w:cs="Times New Roman"/>
          <w:sz w:val="26"/>
          <w:szCs w:val="26"/>
          <w:lang w:val="lv-LV"/>
        </w:rPr>
        <w:t xml:space="preserve">divi </w:t>
      </w:r>
      <w:r w:rsidRPr="002C5745">
        <w:rPr>
          <w:rFonts w:ascii="Times New Roman" w:hAnsi="Times New Roman" w:cs="Times New Roman"/>
          <w:sz w:val="26"/>
          <w:szCs w:val="26"/>
          <w:lang w:val="lv-LV"/>
        </w:rPr>
        <w:t>nodokļu samaksas termiņa pagarinājumi</w:t>
      </w:r>
      <w:r w:rsidR="00033B29" w:rsidRPr="002C5745">
        <w:rPr>
          <w:rFonts w:ascii="Times New Roman" w:hAnsi="Times New Roman" w:cs="Times New Roman"/>
          <w:iCs/>
          <w:sz w:val="26"/>
          <w:szCs w:val="26"/>
          <w:lang w:val="lv-LV"/>
        </w:rPr>
        <w:t xml:space="preserve"> palīdzības pieprasījumos iekļautajām nodokļu prasījuma summām</w:t>
      </w:r>
      <w:r w:rsidR="00393735" w:rsidRPr="002C5745">
        <w:rPr>
          <w:rFonts w:ascii="Times New Roman" w:hAnsi="Times New Roman" w:cs="Times New Roman"/>
          <w:iCs/>
          <w:sz w:val="26"/>
          <w:szCs w:val="26"/>
          <w:lang w:val="lv-LV"/>
        </w:rPr>
        <w:t xml:space="preserve"> 257 100</w:t>
      </w:r>
      <w:r w:rsidR="00393735" w:rsidRPr="002C5745">
        <w:rPr>
          <w:rFonts w:ascii="Times New Roman" w:hAnsi="Times New Roman" w:cs="Times New Roman"/>
          <w:sz w:val="26"/>
          <w:szCs w:val="26"/>
          <w:lang w:val="lv-LV"/>
        </w:rPr>
        <w:t xml:space="preserve"> </w:t>
      </w:r>
      <w:r w:rsidR="00393735" w:rsidRPr="002C5745">
        <w:rPr>
          <w:rFonts w:ascii="Times New Roman" w:hAnsi="Times New Roman" w:cs="Times New Roman"/>
          <w:i/>
          <w:sz w:val="26"/>
          <w:szCs w:val="26"/>
          <w:lang w:val="lv-LV"/>
        </w:rPr>
        <w:t>euro</w:t>
      </w:r>
      <w:r w:rsidR="00393735" w:rsidRPr="002C5745">
        <w:rPr>
          <w:rFonts w:ascii="Times New Roman" w:hAnsi="Times New Roman" w:cs="Times New Roman"/>
          <w:sz w:val="26"/>
          <w:szCs w:val="26"/>
          <w:lang w:val="lv-LV"/>
        </w:rPr>
        <w:t xml:space="preserve"> apmērā.</w:t>
      </w:r>
    </w:p>
    <w:p w14:paraId="5F1CC939" w14:textId="1E8F7CA7" w:rsidR="007749E4" w:rsidRPr="002C5745" w:rsidRDefault="001C6467" w:rsidP="004841C0">
      <w:pPr>
        <w:pStyle w:val="ListParagraph"/>
        <w:ind w:left="1134" w:hanging="283"/>
        <w:jc w:val="both"/>
        <w:rPr>
          <w:rFonts w:ascii="Times New Roman" w:hAnsi="Times New Roman" w:cs="Times New Roman"/>
          <w:sz w:val="26"/>
          <w:szCs w:val="26"/>
          <w:lang w:val="lv-LV"/>
        </w:rPr>
      </w:pPr>
      <w:r w:rsidRPr="002C5745">
        <w:rPr>
          <w:rFonts w:ascii="Times New Roman" w:hAnsi="Times New Roman" w:cs="Times New Roman"/>
          <w:b/>
          <w:sz w:val="26"/>
          <w:szCs w:val="26"/>
          <w:lang w:val="lv-LV"/>
        </w:rPr>
        <w:t>●</w:t>
      </w:r>
      <w:r w:rsidRPr="002C5745">
        <w:rPr>
          <w:rFonts w:ascii="Times New Roman" w:hAnsi="Times New Roman" w:cs="Times New Roman"/>
          <w:sz w:val="26"/>
          <w:szCs w:val="26"/>
          <w:lang w:val="lv-LV"/>
        </w:rPr>
        <w:t>  </w:t>
      </w:r>
      <w:r w:rsidR="007749E4" w:rsidRPr="002C5745">
        <w:rPr>
          <w:rFonts w:ascii="Times New Roman" w:hAnsi="Times New Roman" w:cs="Times New Roman"/>
          <w:sz w:val="26"/>
          <w:szCs w:val="26"/>
          <w:lang w:val="lv-LV"/>
        </w:rPr>
        <w:t xml:space="preserve">ārvalsts nodokļu prasījuma summām, kas piedzenamas ar </w:t>
      </w:r>
      <w:r w:rsidR="002437E6">
        <w:rPr>
          <w:rFonts w:ascii="Times New Roman" w:hAnsi="Times New Roman" w:cs="Times New Roman"/>
          <w:sz w:val="26"/>
          <w:szCs w:val="26"/>
          <w:lang w:val="lv-LV"/>
        </w:rPr>
        <w:t>VID</w:t>
      </w:r>
      <w:r w:rsidR="007749E4" w:rsidRPr="002C5745">
        <w:rPr>
          <w:rFonts w:ascii="Times New Roman" w:hAnsi="Times New Roman" w:cs="Times New Roman"/>
          <w:sz w:val="26"/>
          <w:szCs w:val="26"/>
          <w:lang w:val="lv-LV"/>
        </w:rPr>
        <w:t xml:space="preserve"> pieņemtu lēmumu par nokavēto nodokļu maksājumu piedziņu. Šajā gadījumā ārvalsts nodokļu prasījumu summas var tikt sadalītas termiņos uz laiku līdz vienam gadam no dienas, kad </w:t>
      </w:r>
      <w:r w:rsidR="002437E6">
        <w:rPr>
          <w:rFonts w:ascii="Times New Roman" w:hAnsi="Times New Roman" w:cs="Times New Roman"/>
          <w:sz w:val="26"/>
          <w:szCs w:val="26"/>
          <w:lang w:val="lv-LV"/>
        </w:rPr>
        <w:t>VID</w:t>
      </w:r>
      <w:r w:rsidR="007749E4" w:rsidRPr="002C5745">
        <w:rPr>
          <w:rFonts w:ascii="Times New Roman" w:hAnsi="Times New Roman" w:cs="Times New Roman"/>
          <w:sz w:val="26"/>
          <w:szCs w:val="26"/>
          <w:lang w:val="lv-LV"/>
        </w:rPr>
        <w:t xml:space="preserve"> pieņēmis lēmumu par nokavēto nodokļu maksājumu piedziņu;</w:t>
      </w:r>
    </w:p>
    <w:p w14:paraId="6E606A25" w14:textId="3FF643E2" w:rsidR="0089324A" w:rsidRPr="002C5745" w:rsidRDefault="0089324A" w:rsidP="0089324A">
      <w:pPr>
        <w:pStyle w:val="ListParagraph"/>
        <w:ind w:left="0" w:firstLine="720"/>
        <w:jc w:val="both"/>
        <w:rPr>
          <w:rFonts w:ascii="Times New Roman" w:hAnsi="Times New Roman" w:cs="Times New Roman"/>
          <w:sz w:val="26"/>
          <w:szCs w:val="26"/>
          <w:lang w:val="lv-LV"/>
        </w:rPr>
      </w:pPr>
      <w:r w:rsidRPr="002C5745">
        <w:rPr>
          <w:rFonts w:ascii="Times New Roman" w:hAnsi="Times New Roman" w:cs="Times New Roman"/>
          <w:sz w:val="26"/>
          <w:szCs w:val="26"/>
          <w:lang w:val="lv-LV"/>
        </w:rPr>
        <w:t xml:space="preserve">Saskaņā ar </w:t>
      </w:r>
      <w:r w:rsidR="002437E6">
        <w:rPr>
          <w:rFonts w:ascii="Times New Roman" w:hAnsi="Times New Roman" w:cs="Times New Roman"/>
          <w:sz w:val="26"/>
          <w:szCs w:val="26"/>
          <w:lang w:val="lv-LV"/>
        </w:rPr>
        <w:t>VID</w:t>
      </w:r>
      <w:r w:rsidRPr="002C5745">
        <w:rPr>
          <w:rFonts w:ascii="Times New Roman" w:hAnsi="Times New Roman" w:cs="Times New Roman"/>
          <w:sz w:val="26"/>
          <w:szCs w:val="26"/>
          <w:lang w:val="lv-LV"/>
        </w:rPr>
        <w:t xml:space="preserve"> sniegto informāciju 2016. gadā, pamatojoties uz minēto apstākli, nav piešķirti nodokļu samaksas termiņa pagarinājumi. </w:t>
      </w:r>
      <w:r w:rsidR="00393735" w:rsidRPr="002C5745">
        <w:rPr>
          <w:rFonts w:ascii="Times New Roman" w:hAnsi="Times New Roman" w:cs="Times New Roman"/>
          <w:sz w:val="26"/>
          <w:szCs w:val="26"/>
          <w:lang w:val="lv-LV"/>
        </w:rPr>
        <w:t xml:space="preserve">Savukārt </w:t>
      </w:r>
      <w:r w:rsidR="00393735" w:rsidRPr="002C5745">
        <w:rPr>
          <w:rFonts w:ascii="Times New Roman" w:hAnsi="Times New Roman" w:cs="Times New Roman"/>
          <w:iCs/>
          <w:sz w:val="26"/>
          <w:szCs w:val="26"/>
          <w:lang w:val="lv-LV"/>
        </w:rPr>
        <w:t>2017.</w:t>
      </w:r>
      <w:r w:rsidR="001004F8">
        <w:rPr>
          <w:rFonts w:ascii="Times New Roman" w:hAnsi="Times New Roman" w:cs="Times New Roman"/>
          <w:iCs/>
          <w:sz w:val="26"/>
          <w:szCs w:val="26"/>
          <w:lang w:val="lv-LV"/>
        </w:rPr>
        <w:t> </w:t>
      </w:r>
      <w:r w:rsidR="00393735" w:rsidRPr="002C5745">
        <w:rPr>
          <w:rFonts w:ascii="Times New Roman" w:hAnsi="Times New Roman" w:cs="Times New Roman"/>
          <w:iCs/>
          <w:sz w:val="26"/>
          <w:szCs w:val="26"/>
          <w:lang w:val="lv-LV"/>
        </w:rPr>
        <w:t>gadā ir</w:t>
      </w:r>
      <w:r w:rsidR="00393735" w:rsidRPr="002C5745">
        <w:rPr>
          <w:rFonts w:ascii="Times New Roman" w:hAnsi="Times New Roman" w:cs="Times New Roman"/>
          <w:i/>
          <w:iCs/>
          <w:sz w:val="26"/>
          <w:szCs w:val="26"/>
          <w:lang w:val="lv-LV"/>
        </w:rPr>
        <w:t xml:space="preserve"> </w:t>
      </w:r>
      <w:r w:rsidR="00393735" w:rsidRPr="002C5745">
        <w:rPr>
          <w:rFonts w:ascii="Times New Roman" w:hAnsi="Times New Roman" w:cs="Times New Roman"/>
          <w:sz w:val="26"/>
          <w:szCs w:val="26"/>
          <w:lang w:val="lv-LV"/>
        </w:rPr>
        <w:t>piešķirts viens nodokļu samaksas termiņa pagarinājums</w:t>
      </w:r>
      <w:r w:rsidR="00393735" w:rsidRPr="002C5745">
        <w:rPr>
          <w:rFonts w:ascii="Times New Roman" w:hAnsi="Times New Roman" w:cs="Times New Roman"/>
          <w:i/>
          <w:iCs/>
          <w:sz w:val="26"/>
          <w:szCs w:val="26"/>
          <w:lang w:val="lv-LV"/>
        </w:rPr>
        <w:t xml:space="preserve"> 1930</w:t>
      </w:r>
      <w:r w:rsidR="001004F8">
        <w:rPr>
          <w:rFonts w:ascii="Times New Roman" w:hAnsi="Times New Roman" w:cs="Times New Roman"/>
          <w:i/>
          <w:iCs/>
          <w:sz w:val="26"/>
          <w:szCs w:val="26"/>
          <w:lang w:val="lv-LV"/>
        </w:rPr>
        <w:t> </w:t>
      </w:r>
      <w:r w:rsidR="00393735" w:rsidRPr="002C5745">
        <w:rPr>
          <w:rFonts w:ascii="Times New Roman" w:hAnsi="Times New Roman" w:cs="Times New Roman"/>
          <w:i/>
          <w:iCs/>
          <w:sz w:val="26"/>
          <w:szCs w:val="26"/>
          <w:lang w:val="lv-LV"/>
        </w:rPr>
        <w:t xml:space="preserve">euro </w:t>
      </w:r>
      <w:r w:rsidR="00393735" w:rsidRPr="002C5745">
        <w:rPr>
          <w:rFonts w:ascii="Times New Roman" w:hAnsi="Times New Roman" w:cs="Times New Roman"/>
          <w:iCs/>
          <w:sz w:val="26"/>
          <w:szCs w:val="26"/>
          <w:lang w:val="lv-LV"/>
        </w:rPr>
        <w:t>apmērā</w:t>
      </w:r>
      <w:r w:rsidR="00393735" w:rsidRPr="002C5745">
        <w:rPr>
          <w:rFonts w:ascii="Times New Roman" w:hAnsi="Times New Roman" w:cs="Times New Roman"/>
          <w:i/>
          <w:iCs/>
          <w:sz w:val="26"/>
          <w:szCs w:val="26"/>
          <w:lang w:val="lv-LV"/>
        </w:rPr>
        <w:t>.</w:t>
      </w:r>
    </w:p>
    <w:p w14:paraId="03D4F080" w14:textId="0FCF238B" w:rsidR="002D7B58" w:rsidRPr="002C5745" w:rsidRDefault="001C6467" w:rsidP="004841C0">
      <w:pPr>
        <w:pStyle w:val="ListParagraph"/>
        <w:ind w:left="1134" w:hanging="283"/>
        <w:jc w:val="both"/>
        <w:rPr>
          <w:rFonts w:ascii="Times New Roman" w:hAnsi="Times New Roman" w:cs="Times New Roman"/>
          <w:sz w:val="26"/>
          <w:szCs w:val="26"/>
          <w:lang w:val="lv-LV"/>
        </w:rPr>
      </w:pPr>
      <w:r w:rsidRPr="002C5745">
        <w:rPr>
          <w:rFonts w:ascii="Times New Roman" w:hAnsi="Times New Roman" w:cs="Times New Roman"/>
          <w:b/>
          <w:sz w:val="26"/>
          <w:szCs w:val="26"/>
          <w:lang w:val="lv-LV"/>
        </w:rPr>
        <w:t>●</w:t>
      </w:r>
      <w:r w:rsidRPr="002C5745">
        <w:rPr>
          <w:rFonts w:ascii="Times New Roman" w:hAnsi="Times New Roman" w:cs="Times New Roman"/>
          <w:sz w:val="26"/>
          <w:szCs w:val="26"/>
          <w:lang w:val="lv-LV"/>
        </w:rPr>
        <w:t>  </w:t>
      </w:r>
      <w:r w:rsidR="004841C0" w:rsidRPr="002C5745">
        <w:rPr>
          <w:rFonts w:ascii="Times New Roman" w:hAnsi="Times New Roman" w:cs="Times New Roman"/>
          <w:sz w:val="26"/>
          <w:szCs w:val="26"/>
          <w:lang w:val="lv-LV"/>
        </w:rPr>
        <w:t xml:space="preserve">(regulējums ar 2017. gada 1. jūliju) </w:t>
      </w:r>
      <w:r w:rsidR="007749E4" w:rsidRPr="002C5745">
        <w:rPr>
          <w:rFonts w:ascii="Times New Roman" w:hAnsi="Times New Roman" w:cs="Times New Roman"/>
          <w:sz w:val="26"/>
          <w:szCs w:val="26"/>
          <w:lang w:val="lv-LV"/>
        </w:rPr>
        <w:t>nodokļu maksājumiem, kuri izveidojušies deklarācijas precizēšanas rezultātā</w:t>
      </w:r>
      <w:r w:rsidR="004841C0" w:rsidRPr="002C5745">
        <w:rPr>
          <w:rFonts w:ascii="Times New Roman" w:hAnsi="Times New Roman" w:cs="Times New Roman"/>
          <w:sz w:val="26"/>
          <w:szCs w:val="26"/>
          <w:lang w:val="lv-LV"/>
        </w:rPr>
        <w:t xml:space="preserve">. </w:t>
      </w:r>
      <w:r w:rsidR="007749E4" w:rsidRPr="002C5745">
        <w:rPr>
          <w:rFonts w:ascii="Times New Roman" w:hAnsi="Times New Roman" w:cs="Times New Roman"/>
          <w:sz w:val="26"/>
          <w:szCs w:val="26"/>
          <w:lang w:val="lv-LV"/>
        </w:rPr>
        <w:t>Šajā gadījumā nodokļu maksājumu samaksa var tikt sadalīta termiņos uz laiku līdz vienam gadam, skaitot no precizētās deklarācijas iesniegšanas dienas, ar nosacījumu, ja nodokļu maksātājs iesniegumu iesniedzis kopā ar precizēto deklarāciju</w:t>
      </w:r>
      <w:r w:rsidR="00AB60A7" w:rsidRPr="002C5745">
        <w:rPr>
          <w:rFonts w:ascii="Times New Roman" w:hAnsi="Times New Roman" w:cs="Times New Roman"/>
          <w:sz w:val="26"/>
          <w:szCs w:val="26"/>
          <w:lang w:val="lv-LV"/>
        </w:rPr>
        <w:t>;</w:t>
      </w:r>
    </w:p>
    <w:p w14:paraId="1B1B1713" w14:textId="77777777" w:rsidR="00AB60A7" w:rsidRPr="002C5745" w:rsidRDefault="001C6467" w:rsidP="004841C0">
      <w:pPr>
        <w:pStyle w:val="ListParagraph"/>
        <w:ind w:left="1134" w:hanging="283"/>
        <w:jc w:val="both"/>
        <w:rPr>
          <w:rFonts w:ascii="Times New Roman" w:hAnsi="Times New Roman" w:cs="Times New Roman"/>
          <w:sz w:val="26"/>
          <w:szCs w:val="26"/>
          <w:lang w:val="lv-LV"/>
        </w:rPr>
      </w:pPr>
      <w:r w:rsidRPr="002C5745">
        <w:rPr>
          <w:rFonts w:ascii="Times New Roman" w:hAnsi="Times New Roman" w:cs="Times New Roman"/>
          <w:b/>
          <w:sz w:val="26"/>
          <w:szCs w:val="26"/>
          <w:lang w:val="lv-LV"/>
        </w:rPr>
        <w:t>●</w:t>
      </w:r>
      <w:r w:rsidRPr="002C5745">
        <w:rPr>
          <w:rFonts w:ascii="Times New Roman" w:hAnsi="Times New Roman" w:cs="Times New Roman"/>
          <w:sz w:val="26"/>
          <w:szCs w:val="26"/>
          <w:lang w:val="lv-LV"/>
        </w:rPr>
        <w:t>  </w:t>
      </w:r>
      <w:r w:rsidR="00AB60A7" w:rsidRPr="002C5745">
        <w:rPr>
          <w:rFonts w:ascii="Times New Roman" w:hAnsi="Times New Roman" w:cs="Times New Roman"/>
          <w:sz w:val="26"/>
          <w:szCs w:val="26"/>
          <w:lang w:val="lv-LV"/>
        </w:rPr>
        <w:t>nodokļu maksājumiem, ko aprēķinājis nodokļu maksātājs ar iesniegto deklarāciju un attiecībā uz kuriem nodokļu administrācija jau ir piešķīrusi samaksas termiņa pagarin</w:t>
      </w:r>
      <w:r w:rsidR="006E4CDC" w:rsidRPr="002C5745">
        <w:rPr>
          <w:rFonts w:ascii="Times New Roman" w:hAnsi="Times New Roman" w:cs="Times New Roman"/>
          <w:sz w:val="26"/>
          <w:szCs w:val="26"/>
          <w:lang w:val="lv-LV"/>
        </w:rPr>
        <w:t>ājumu, ja iepriekšējā pagarinājuma laikā ir samaksāti ne mazāk kā 80 </w:t>
      </w:r>
      <w:r w:rsidR="00C02396" w:rsidRPr="002C5745">
        <w:rPr>
          <w:rFonts w:ascii="Times New Roman" w:hAnsi="Times New Roman" w:cs="Times New Roman"/>
          <w:sz w:val="26"/>
          <w:szCs w:val="26"/>
          <w:lang w:val="lv-LV"/>
        </w:rPr>
        <w:t>procenti no nodokļu maksājumiem;</w:t>
      </w:r>
    </w:p>
    <w:p w14:paraId="7950ECB2" w14:textId="1CE7A789" w:rsidR="00BB723D" w:rsidRPr="002C5745" w:rsidRDefault="004D2D21" w:rsidP="00BB723D">
      <w:pPr>
        <w:pStyle w:val="ListParagraph"/>
        <w:ind w:left="0" w:firstLine="720"/>
        <w:jc w:val="both"/>
        <w:rPr>
          <w:rFonts w:ascii="Times New Roman" w:hAnsi="Times New Roman" w:cs="Times New Roman"/>
          <w:sz w:val="26"/>
          <w:szCs w:val="26"/>
          <w:lang w:val="lv-LV"/>
        </w:rPr>
      </w:pPr>
      <w:r w:rsidRPr="002C5745">
        <w:rPr>
          <w:rFonts w:ascii="Times New Roman" w:hAnsi="Times New Roman" w:cs="Times New Roman"/>
          <w:sz w:val="26"/>
          <w:szCs w:val="26"/>
          <w:lang w:val="lv-LV"/>
        </w:rPr>
        <w:t xml:space="preserve">Saskaņā ar </w:t>
      </w:r>
      <w:r w:rsidR="002437E6">
        <w:rPr>
          <w:rFonts w:ascii="Times New Roman" w:hAnsi="Times New Roman" w:cs="Times New Roman"/>
          <w:sz w:val="26"/>
          <w:szCs w:val="26"/>
          <w:lang w:val="lv-LV"/>
        </w:rPr>
        <w:t>VID</w:t>
      </w:r>
      <w:r w:rsidRPr="002C5745">
        <w:rPr>
          <w:rFonts w:ascii="Times New Roman" w:hAnsi="Times New Roman" w:cs="Times New Roman"/>
          <w:sz w:val="26"/>
          <w:szCs w:val="26"/>
          <w:lang w:val="lv-LV"/>
        </w:rPr>
        <w:t xml:space="preserve"> sniegto informāciju 2016.</w:t>
      </w:r>
      <w:r w:rsidR="001004F8">
        <w:rPr>
          <w:rFonts w:ascii="Times New Roman" w:hAnsi="Times New Roman" w:cs="Times New Roman"/>
          <w:sz w:val="26"/>
          <w:szCs w:val="26"/>
          <w:lang w:val="lv-LV"/>
        </w:rPr>
        <w:t> </w:t>
      </w:r>
      <w:r w:rsidRPr="002C5745">
        <w:rPr>
          <w:rFonts w:ascii="Times New Roman" w:hAnsi="Times New Roman" w:cs="Times New Roman"/>
          <w:sz w:val="26"/>
          <w:szCs w:val="26"/>
          <w:lang w:val="lv-LV"/>
        </w:rPr>
        <w:t xml:space="preserve">gadā, pamatojoties uz minēto apstākli, </w:t>
      </w:r>
      <w:r w:rsidRPr="002C5745">
        <w:rPr>
          <w:rFonts w:ascii="Times New Roman" w:hAnsi="Times New Roman" w:cs="Times New Roman"/>
          <w:iCs/>
          <w:sz w:val="26"/>
          <w:szCs w:val="26"/>
          <w:lang w:val="lv-LV"/>
        </w:rPr>
        <w:t>ir saņemti 76 iesniegumi un pieņemti 22 lēmumi piešķirt nodokļu samaksas termiņa pagarinājumu</w:t>
      </w:r>
      <w:r w:rsidR="00C76062">
        <w:rPr>
          <w:rFonts w:ascii="Times New Roman" w:hAnsi="Times New Roman" w:cs="Times New Roman"/>
          <w:iCs/>
          <w:sz w:val="26"/>
          <w:szCs w:val="26"/>
          <w:lang w:val="lv-LV"/>
        </w:rPr>
        <w:t>, savukārt 2017.</w:t>
      </w:r>
      <w:r w:rsidR="001004F8">
        <w:rPr>
          <w:rFonts w:ascii="Times New Roman" w:hAnsi="Times New Roman" w:cs="Times New Roman"/>
          <w:iCs/>
          <w:sz w:val="26"/>
          <w:szCs w:val="26"/>
          <w:lang w:val="lv-LV"/>
        </w:rPr>
        <w:t> </w:t>
      </w:r>
      <w:r w:rsidR="00C76062">
        <w:rPr>
          <w:rFonts w:ascii="Times New Roman" w:hAnsi="Times New Roman" w:cs="Times New Roman"/>
          <w:iCs/>
          <w:sz w:val="26"/>
          <w:szCs w:val="26"/>
          <w:lang w:val="lv-LV"/>
        </w:rPr>
        <w:t>gadā pieņemti 8 lēmumi</w:t>
      </w:r>
      <w:r w:rsidR="00EF14B0" w:rsidRPr="002C5745">
        <w:rPr>
          <w:rStyle w:val="FootnoteReference"/>
          <w:rFonts w:ascii="Times New Roman" w:hAnsi="Times New Roman" w:cs="Times New Roman"/>
          <w:iCs/>
          <w:sz w:val="26"/>
          <w:szCs w:val="26"/>
          <w:lang w:val="lv-LV"/>
        </w:rPr>
        <w:footnoteReference w:id="12"/>
      </w:r>
      <w:r w:rsidRPr="002C5745">
        <w:rPr>
          <w:rFonts w:ascii="Times New Roman" w:hAnsi="Times New Roman" w:cs="Times New Roman"/>
          <w:iCs/>
          <w:sz w:val="26"/>
          <w:szCs w:val="26"/>
          <w:lang w:val="lv-LV"/>
        </w:rPr>
        <w:t xml:space="preserve">. </w:t>
      </w:r>
    </w:p>
    <w:p w14:paraId="30955CBB" w14:textId="4422E421" w:rsidR="006D3EB8" w:rsidRPr="002C5745" w:rsidRDefault="001C6467" w:rsidP="004841C0">
      <w:pPr>
        <w:pStyle w:val="ListParagraph"/>
        <w:ind w:left="1134" w:hanging="283"/>
        <w:jc w:val="both"/>
        <w:rPr>
          <w:rFonts w:ascii="Times New Roman" w:hAnsi="Times New Roman" w:cs="Times New Roman"/>
          <w:sz w:val="26"/>
          <w:szCs w:val="26"/>
          <w:lang w:val="lv-LV"/>
        </w:rPr>
      </w:pPr>
      <w:r w:rsidRPr="002C5745">
        <w:rPr>
          <w:rFonts w:ascii="Times New Roman" w:hAnsi="Times New Roman" w:cs="Times New Roman"/>
          <w:b/>
          <w:sz w:val="26"/>
          <w:szCs w:val="26"/>
          <w:lang w:val="lv-LV"/>
        </w:rPr>
        <w:t>●</w:t>
      </w:r>
      <w:r w:rsidRPr="002C5745">
        <w:rPr>
          <w:rFonts w:ascii="Times New Roman" w:hAnsi="Times New Roman" w:cs="Times New Roman"/>
          <w:sz w:val="26"/>
          <w:szCs w:val="26"/>
          <w:lang w:val="lv-LV"/>
        </w:rPr>
        <w:t>  </w:t>
      </w:r>
      <w:r w:rsidR="00C02396" w:rsidRPr="002C5745">
        <w:rPr>
          <w:rFonts w:ascii="Times New Roman" w:hAnsi="Times New Roman" w:cs="Times New Roman"/>
          <w:sz w:val="26"/>
          <w:szCs w:val="26"/>
          <w:lang w:val="lv-LV"/>
        </w:rPr>
        <w:t xml:space="preserve">(regulējums līdz 2016. gada 8. augustam) nokavētajiem nodokļu maksājumiem, kuru samaksas termiņa nokavējums un zaudējumi radušies saistībā ar Krievijas Federācijas noteikto ierobežojumu </w:t>
      </w:r>
      <w:r w:rsidR="002437E6">
        <w:rPr>
          <w:rFonts w:ascii="Times New Roman" w:hAnsi="Times New Roman" w:cs="Times New Roman"/>
          <w:sz w:val="26"/>
          <w:szCs w:val="26"/>
          <w:lang w:val="lv-LV"/>
        </w:rPr>
        <w:t xml:space="preserve">ES </w:t>
      </w:r>
      <w:r w:rsidR="00C02396" w:rsidRPr="002C5745">
        <w:rPr>
          <w:rFonts w:ascii="Times New Roman" w:hAnsi="Times New Roman" w:cs="Times New Roman"/>
          <w:sz w:val="26"/>
          <w:szCs w:val="26"/>
          <w:lang w:val="lv-LV"/>
        </w:rPr>
        <w:t xml:space="preserve">produkcijas importam. </w:t>
      </w:r>
    </w:p>
    <w:p w14:paraId="6D133358" w14:textId="73F6E0BA" w:rsidR="006D3EB8" w:rsidRPr="002C5745" w:rsidRDefault="006D3EB8" w:rsidP="006D3EB8">
      <w:pPr>
        <w:ind w:firstLine="720"/>
        <w:jc w:val="both"/>
        <w:rPr>
          <w:rFonts w:ascii="Times New Roman" w:hAnsi="Times New Roman" w:cs="Times New Roman"/>
          <w:sz w:val="26"/>
          <w:szCs w:val="26"/>
          <w:lang w:val="lv-LV"/>
        </w:rPr>
      </w:pPr>
      <w:r w:rsidRPr="002C5745">
        <w:rPr>
          <w:rFonts w:ascii="Times New Roman" w:hAnsi="Times New Roman" w:cs="Times New Roman"/>
          <w:sz w:val="26"/>
          <w:szCs w:val="26"/>
          <w:lang w:val="lv-LV"/>
        </w:rPr>
        <w:t xml:space="preserve">Saskaņā ar </w:t>
      </w:r>
      <w:r w:rsidR="002437E6">
        <w:rPr>
          <w:rFonts w:ascii="Times New Roman" w:hAnsi="Times New Roman" w:cs="Times New Roman"/>
          <w:sz w:val="26"/>
          <w:szCs w:val="26"/>
          <w:lang w:val="lv-LV"/>
        </w:rPr>
        <w:t>VID</w:t>
      </w:r>
      <w:r w:rsidRPr="002C5745">
        <w:rPr>
          <w:rFonts w:ascii="Times New Roman" w:hAnsi="Times New Roman" w:cs="Times New Roman"/>
          <w:sz w:val="26"/>
          <w:szCs w:val="26"/>
          <w:lang w:val="lv-LV"/>
        </w:rPr>
        <w:t xml:space="preserve"> sniegto informāciju 2016. gadā, pamatojoties u</w:t>
      </w:r>
      <w:r w:rsidR="003B7766" w:rsidRPr="002C5745">
        <w:rPr>
          <w:rFonts w:ascii="Times New Roman" w:hAnsi="Times New Roman" w:cs="Times New Roman"/>
          <w:sz w:val="26"/>
          <w:szCs w:val="26"/>
          <w:lang w:val="lv-LV"/>
        </w:rPr>
        <w:t>z minēto apstākli, ir saņemti 11</w:t>
      </w:r>
      <w:r w:rsidRPr="002C5745">
        <w:rPr>
          <w:rFonts w:ascii="Times New Roman" w:hAnsi="Times New Roman" w:cs="Times New Roman"/>
          <w:sz w:val="26"/>
          <w:szCs w:val="26"/>
          <w:lang w:val="lv-LV"/>
        </w:rPr>
        <w:t xml:space="preserve"> iesniegumi nodokļu samaksas termiņa pagarinājuma piešķiršanai. Tā </w:t>
      </w:r>
      <w:r w:rsidRPr="002C5745">
        <w:rPr>
          <w:rFonts w:ascii="Times New Roman" w:hAnsi="Times New Roman" w:cs="Times New Roman"/>
          <w:sz w:val="26"/>
          <w:szCs w:val="26"/>
          <w:lang w:val="lv-LV"/>
        </w:rPr>
        <w:lastRenderedPageBreak/>
        <w:t>rezultātā ir pieņemti 11 lēmumi par samaksas termiņa pagarinājuma piešķiršanu, ar kuru sadalīt</w:t>
      </w:r>
      <w:r w:rsidR="00C223E0">
        <w:rPr>
          <w:rFonts w:ascii="Times New Roman" w:hAnsi="Times New Roman" w:cs="Times New Roman"/>
          <w:sz w:val="26"/>
          <w:szCs w:val="26"/>
          <w:lang w:val="lv-LV"/>
        </w:rPr>
        <w:t>a</w:t>
      </w:r>
      <w:r w:rsidRPr="002C5745">
        <w:rPr>
          <w:rFonts w:ascii="Times New Roman" w:hAnsi="Times New Roman" w:cs="Times New Roman"/>
          <w:sz w:val="26"/>
          <w:szCs w:val="26"/>
          <w:lang w:val="lv-LV"/>
        </w:rPr>
        <w:t xml:space="preserve"> termiņos nokavēto nodokļu maksājumu samaksa 176 16</w:t>
      </w:r>
      <w:r w:rsidR="00FA3B10">
        <w:rPr>
          <w:rFonts w:ascii="Times New Roman" w:hAnsi="Times New Roman" w:cs="Times New Roman"/>
          <w:sz w:val="26"/>
          <w:szCs w:val="26"/>
          <w:lang w:val="lv-LV"/>
        </w:rPr>
        <w:t>8</w:t>
      </w:r>
      <w:r w:rsidRPr="002C5745">
        <w:rPr>
          <w:rFonts w:ascii="Times New Roman" w:hAnsi="Times New Roman" w:cs="Times New Roman"/>
          <w:sz w:val="26"/>
          <w:szCs w:val="26"/>
          <w:lang w:val="lv-LV"/>
        </w:rPr>
        <w:t xml:space="preserve"> </w:t>
      </w:r>
      <w:r w:rsidRPr="002C5745">
        <w:rPr>
          <w:rFonts w:ascii="Times New Roman" w:hAnsi="Times New Roman" w:cs="Times New Roman"/>
          <w:i/>
          <w:sz w:val="26"/>
          <w:szCs w:val="26"/>
          <w:lang w:val="lv-LV"/>
        </w:rPr>
        <w:t xml:space="preserve">euro </w:t>
      </w:r>
      <w:r w:rsidRPr="002C5745">
        <w:rPr>
          <w:rFonts w:ascii="Times New Roman" w:hAnsi="Times New Roman" w:cs="Times New Roman"/>
          <w:sz w:val="26"/>
          <w:szCs w:val="26"/>
          <w:lang w:val="lv-LV"/>
        </w:rPr>
        <w:t>apmērā.</w:t>
      </w:r>
    </w:p>
    <w:p w14:paraId="14A5A6C4" w14:textId="77777777" w:rsidR="001C6467" w:rsidRPr="002C5745" w:rsidRDefault="001C6467" w:rsidP="006D3EB8">
      <w:pPr>
        <w:ind w:firstLine="720"/>
        <w:jc w:val="both"/>
        <w:rPr>
          <w:rFonts w:ascii="Times New Roman" w:hAnsi="Times New Roman" w:cs="Times New Roman"/>
          <w:sz w:val="12"/>
          <w:szCs w:val="12"/>
          <w:lang w:val="lv-LV"/>
        </w:rPr>
      </w:pPr>
    </w:p>
    <w:p w14:paraId="31FB60FB" w14:textId="77777777" w:rsidR="001C6467" w:rsidRPr="002C5745" w:rsidRDefault="001C6467" w:rsidP="001C6467">
      <w:pPr>
        <w:pStyle w:val="ListParagraph"/>
        <w:ind w:left="0" w:firstLine="720"/>
        <w:jc w:val="both"/>
        <w:rPr>
          <w:rFonts w:ascii="Times New Roman" w:hAnsi="Times New Roman" w:cs="Times New Roman"/>
          <w:sz w:val="26"/>
          <w:szCs w:val="26"/>
          <w:lang w:val="lv-LV"/>
        </w:rPr>
      </w:pPr>
      <w:r w:rsidRPr="002C5745">
        <w:rPr>
          <w:rFonts w:ascii="Times New Roman" w:hAnsi="Times New Roman" w:cs="Times New Roman"/>
          <w:sz w:val="26"/>
          <w:szCs w:val="26"/>
          <w:lang w:val="lv-LV"/>
        </w:rPr>
        <w:t>Nodokļu maksātājs viena iesnieguma ietvaros var lūgt samaksas termiņa pagarinājumu vairākiem nodokļu maksājumu veidiem. Tāpat nodokļu administrācija viena lēmuma ietvaros var piešķirt vairākus nodokļu maksājumu samaksas termiņa pagarinājumus.</w:t>
      </w:r>
    </w:p>
    <w:p w14:paraId="13C4445E" w14:textId="7394FF22" w:rsidR="001C6467" w:rsidRPr="002C5745" w:rsidRDefault="001C6467" w:rsidP="001C6467">
      <w:pPr>
        <w:pStyle w:val="ListParagraph"/>
        <w:ind w:left="0" w:firstLine="720"/>
        <w:jc w:val="both"/>
        <w:rPr>
          <w:rFonts w:ascii="Times New Roman" w:hAnsi="Times New Roman" w:cs="Times New Roman"/>
          <w:sz w:val="26"/>
          <w:szCs w:val="26"/>
          <w:lang w:val="lv-LV"/>
        </w:rPr>
      </w:pPr>
      <w:r w:rsidRPr="002C5745">
        <w:rPr>
          <w:rFonts w:ascii="Times New Roman" w:hAnsi="Times New Roman" w:cs="Times New Roman"/>
          <w:sz w:val="26"/>
          <w:szCs w:val="26"/>
          <w:lang w:val="lv-LV"/>
        </w:rPr>
        <w:t xml:space="preserve">Līdz ar to, ievērojot </w:t>
      </w:r>
      <w:r w:rsidR="002437E6">
        <w:rPr>
          <w:rFonts w:ascii="Times New Roman" w:hAnsi="Times New Roman" w:cs="Times New Roman"/>
          <w:sz w:val="26"/>
          <w:szCs w:val="26"/>
          <w:lang w:val="lv-LV"/>
        </w:rPr>
        <w:t>VID</w:t>
      </w:r>
      <w:r w:rsidRPr="002C5745">
        <w:rPr>
          <w:rFonts w:ascii="Times New Roman" w:hAnsi="Times New Roman" w:cs="Times New Roman"/>
          <w:sz w:val="26"/>
          <w:szCs w:val="26"/>
          <w:lang w:val="lv-LV"/>
        </w:rPr>
        <w:t xml:space="preserve"> sniegto statistiku par 2016. un 2017. gadu, ir izvērtēts saskaņā ar likuma “Par nodokļiem un nodevām” 24. pantu lūgto nodokļu samaksas termiņa pagarinājumu skaits pret piešķirto termiņa pagarinājumu skaitu.</w:t>
      </w:r>
    </w:p>
    <w:p w14:paraId="6B7F930D" w14:textId="63C54311" w:rsidR="001C6467" w:rsidRDefault="001C6467" w:rsidP="001C6467">
      <w:pPr>
        <w:pStyle w:val="ListParagraph"/>
        <w:ind w:left="0" w:firstLine="720"/>
        <w:jc w:val="both"/>
        <w:rPr>
          <w:rFonts w:ascii="Times New Roman" w:hAnsi="Times New Roman" w:cs="Times New Roman"/>
          <w:sz w:val="26"/>
          <w:szCs w:val="26"/>
          <w:lang w:val="lv-LV"/>
        </w:rPr>
      </w:pPr>
      <w:r w:rsidRPr="002C5745">
        <w:rPr>
          <w:rFonts w:ascii="Times New Roman" w:hAnsi="Times New Roman" w:cs="Times New Roman"/>
          <w:sz w:val="26"/>
          <w:szCs w:val="26"/>
          <w:lang w:val="lv-LV"/>
        </w:rPr>
        <w:t xml:space="preserve">Nodokļu maksātāji 2016. gadā ir lūguši piešķirt 15021 nodokļu samaksas termiņa pagarinājumus. Izskatot minētos lūgumus, </w:t>
      </w:r>
      <w:r w:rsidR="002437E6">
        <w:rPr>
          <w:rFonts w:ascii="Times New Roman" w:hAnsi="Times New Roman" w:cs="Times New Roman"/>
          <w:sz w:val="26"/>
          <w:szCs w:val="26"/>
          <w:lang w:val="lv-LV"/>
        </w:rPr>
        <w:t>VID</w:t>
      </w:r>
      <w:r w:rsidRPr="002C5745">
        <w:rPr>
          <w:rFonts w:ascii="Times New Roman" w:hAnsi="Times New Roman" w:cs="Times New Roman"/>
          <w:sz w:val="26"/>
          <w:szCs w:val="26"/>
          <w:lang w:val="lv-LV"/>
        </w:rPr>
        <w:t xml:space="preserve"> ir piešķīris 11369 (~ 76</w:t>
      </w:r>
      <w:r w:rsidR="001004F8">
        <w:rPr>
          <w:rFonts w:ascii="Times New Roman" w:hAnsi="Times New Roman" w:cs="Times New Roman"/>
          <w:sz w:val="26"/>
          <w:szCs w:val="26"/>
          <w:lang w:val="lv-LV"/>
        </w:rPr>
        <w:t> </w:t>
      </w:r>
      <w:r w:rsidRPr="002C5745">
        <w:rPr>
          <w:rFonts w:ascii="Times New Roman" w:hAnsi="Times New Roman" w:cs="Times New Roman"/>
          <w:sz w:val="26"/>
          <w:szCs w:val="26"/>
          <w:lang w:val="lv-LV"/>
        </w:rPr>
        <w:t>%) nodokļu samaksas termiņa pagarinājumus, 2255 gadījumos (~ 15</w:t>
      </w:r>
      <w:r w:rsidR="001004F8">
        <w:rPr>
          <w:rFonts w:ascii="Times New Roman" w:hAnsi="Times New Roman" w:cs="Times New Roman"/>
          <w:sz w:val="26"/>
          <w:szCs w:val="26"/>
          <w:lang w:val="lv-LV"/>
        </w:rPr>
        <w:t> </w:t>
      </w:r>
      <w:r w:rsidRPr="002C5745">
        <w:rPr>
          <w:rFonts w:ascii="Times New Roman" w:hAnsi="Times New Roman" w:cs="Times New Roman"/>
          <w:sz w:val="26"/>
          <w:szCs w:val="26"/>
          <w:lang w:val="lv-LV"/>
        </w:rPr>
        <w:t>%) atteikts piešķirt nodokļu samaksas termiņa pagarinājumu un 1397 gadījumos (~ 9</w:t>
      </w:r>
      <w:r w:rsidR="001004F8">
        <w:rPr>
          <w:rFonts w:ascii="Times New Roman" w:hAnsi="Times New Roman" w:cs="Times New Roman"/>
          <w:sz w:val="26"/>
          <w:szCs w:val="26"/>
          <w:lang w:val="lv-LV"/>
        </w:rPr>
        <w:t> </w:t>
      </w:r>
      <w:r w:rsidRPr="002C5745">
        <w:rPr>
          <w:rFonts w:ascii="Times New Roman" w:hAnsi="Times New Roman" w:cs="Times New Roman"/>
          <w:sz w:val="26"/>
          <w:szCs w:val="26"/>
          <w:lang w:val="lv-LV"/>
        </w:rPr>
        <w:t xml:space="preserve">%) nodokļu samaksas termiņa pagarinājuma lūgums atstāts bez izskatīšanas. Savukārt 2017. gadā nodokļu maksātāji ir lūguši piešķirt 14946 nodokļu samaksas termiņa pagarinājumus, kurus </w:t>
      </w:r>
      <w:r w:rsidR="002437E6">
        <w:rPr>
          <w:rFonts w:ascii="Times New Roman" w:hAnsi="Times New Roman" w:cs="Times New Roman"/>
          <w:sz w:val="26"/>
          <w:szCs w:val="26"/>
          <w:lang w:val="lv-LV"/>
        </w:rPr>
        <w:t>VID</w:t>
      </w:r>
      <w:r w:rsidRPr="002C5745">
        <w:rPr>
          <w:rFonts w:ascii="Times New Roman" w:hAnsi="Times New Roman" w:cs="Times New Roman"/>
          <w:sz w:val="26"/>
          <w:szCs w:val="26"/>
          <w:lang w:val="lv-LV"/>
        </w:rPr>
        <w:t xml:space="preserve"> izskatot, 10853</w:t>
      </w:r>
      <w:r w:rsidR="001004F8">
        <w:rPr>
          <w:rFonts w:ascii="Times New Roman" w:hAnsi="Times New Roman" w:cs="Times New Roman"/>
          <w:sz w:val="26"/>
          <w:szCs w:val="26"/>
          <w:lang w:val="lv-LV"/>
        </w:rPr>
        <w:t> </w:t>
      </w:r>
      <w:r w:rsidRPr="002C5745">
        <w:rPr>
          <w:rFonts w:ascii="Times New Roman" w:hAnsi="Times New Roman" w:cs="Times New Roman"/>
          <w:sz w:val="26"/>
          <w:szCs w:val="26"/>
          <w:lang w:val="lv-LV"/>
        </w:rPr>
        <w:t xml:space="preserve">gadījumos </w:t>
      </w:r>
      <w:r w:rsidR="001004F8">
        <w:rPr>
          <w:rFonts w:ascii="Times New Roman" w:hAnsi="Times New Roman" w:cs="Times New Roman"/>
          <w:sz w:val="26"/>
          <w:szCs w:val="26"/>
          <w:lang w:val="lv-LV"/>
        </w:rPr>
        <w:t>(</w:t>
      </w:r>
      <w:r w:rsidR="001004F8" w:rsidRPr="002C5745">
        <w:rPr>
          <w:rFonts w:ascii="Times New Roman" w:hAnsi="Times New Roman" w:cs="Times New Roman"/>
          <w:sz w:val="26"/>
          <w:szCs w:val="26"/>
          <w:lang w:val="lv-LV"/>
        </w:rPr>
        <w:t>~</w:t>
      </w:r>
      <w:r w:rsidR="001004F8">
        <w:rPr>
          <w:rFonts w:ascii="Times New Roman" w:hAnsi="Times New Roman" w:cs="Times New Roman"/>
          <w:sz w:val="26"/>
          <w:szCs w:val="26"/>
          <w:lang w:val="lv-LV"/>
        </w:rPr>
        <w:t xml:space="preserve"> 73 </w:t>
      </w:r>
      <w:r w:rsidR="001004F8" w:rsidRPr="002C5745">
        <w:rPr>
          <w:rFonts w:ascii="Times New Roman" w:hAnsi="Times New Roman" w:cs="Times New Roman"/>
          <w:sz w:val="26"/>
          <w:szCs w:val="26"/>
          <w:lang w:val="lv-LV"/>
        </w:rPr>
        <w:t>%</w:t>
      </w:r>
      <w:r w:rsidR="001004F8">
        <w:rPr>
          <w:rFonts w:ascii="Times New Roman" w:hAnsi="Times New Roman" w:cs="Times New Roman"/>
          <w:sz w:val="26"/>
          <w:szCs w:val="26"/>
          <w:lang w:val="lv-LV"/>
        </w:rPr>
        <w:t xml:space="preserve">) </w:t>
      </w:r>
      <w:r w:rsidRPr="002C5745">
        <w:rPr>
          <w:rFonts w:ascii="Times New Roman" w:hAnsi="Times New Roman" w:cs="Times New Roman"/>
          <w:sz w:val="26"/>
          <w:szCs w:val="26"/>
          <w:lang w:val="lv-LV"/>
        </w:rPr>
        <w:t>ir piešķīris nodokļu samaksas termiņa pagarinājumus, 1999</w:t>
      </w:r>
      <w:r w:rsidR="00A36741">
        <w:rPr>
          <w:rFonts w:ascii="Times New Roman" w:hAnsi="Times New Roman" w:cs="Times New Roman"/>
          <w:sz w:val="26"/>
          <w:szCs w:val="26"/>
          <w:lang w:val="lv-LV"/>
        </w:rPr>
        <w:t> </w:t>
      </w:r>
      <w:r w:rsidRPr="002C5745">
        <w:rPr>
          <w:rFonts w:ascii="Times New Roman" w:hAnsi="Times New Roman" w:cs="Times New Roman"/>
          <w:sz w:val="26"/>
          <w:szCs w:val="26"/>
          <w:lang w:val="lv-LV"/>
        </w:rPr>
        <w:t xml:space="preserve">gadījumos </w:t>
      </w:r>
      <w:r w:rsidR="00A36741">
        <w:rPr>
          <w:rFonts w:ascii="Times New Roman" w:hAnsi="Times New Roman" w:cs="Times New Roman"/>
          <w:sz w:val="26"/>
          <w:szCs w:val="26"/>
          <w:lang w:val="lv-LV"/>
        </w:rPr>
        <w:t>(</w:t>
      </w:r>
      <w:r w:rsidR="00A36741" w:rsidRPr="002C5745">
        <w:rPr>
          <w:rFonts w:ascii="Times New Roman" w:hAnsi="Times New Roman" w:cs="Times New Roman"/>
          <w:sz w:val="26"/>
          <w:szCs w:val="26"/>
          <w:lang w:val="lv-LV"/>
        </w:rPr>
        <w:t>~</w:t>
      </w:r>
      <w:r w:rsidR="00A36741">
        <w:rPr>
          <w:rFonts w:ascii="Times New Roman" w:hAnsi="Times New Roman" w:cs="Times New Roman"/>
          <w:sz w:val="26"/>
          <w:szCs w:val="26"/>
          <w:lang w:val="lv-LV"/>
        </w:rPr>
        <w:t xml:space="preserve"> 13 </w:t>
      </w:r>
      <w:r w:rsidR="00A36741" w:rsidRPr="002C5745">
        <w:rPr>
          <w:rFonts w:ascii="Times New Roman" w:hAnsi="Times New Roman" w:cs="Times New Roman"/>
          <w:sz w:val="26"/>
          <w:szCs w:val="26"/>
          <w:lang w:val="lv-LV"/>
        </w:rPr>
        <w:t>%</w:t>
      </w:r>
      <w:r w:rsidR="00A36741">
        <w:rPr>
          <w:rFonts w:ascii="Times New Roman" w:hAnsi="Times New Roman" w:cs="Times New Roman"/>
          <w:sz w:val="26"/>
          <w:szCs w:val="26"/>
          <w:lang w:val="lv-LV"/>
        </w:rPr>
        <w:t xml:space="preserve">) </w:t>
      </w:r>
      <w:r w:rsidRPr="002C5745">
        <w:rPr>
          <w:rFonts w:ascii="Times New Roman" w:hAnsi="Times New Roman" w:cs="Times New Roman"/>
          <w:sz w:val="26"/>
          <w:szCs w:val="26"/>
          <w:lang w:val="lv-LV"/>
        </w:rPr>
        <w:t xml:space="preserve">atteicis minēto pagarinājumu piešķirt, bet 2094 gadījumos </w:t>
      </w:r>
      <w:r w:rsidR="00A36741">
        <w:rPr>
          <w:rFonts w:ascii="Times New Roman" w:hAnsi="Times New Roman" w:cs="Times New Roman"/>
          <w:sz w:val="26"/>
          <w:szCs w:val="26"/>
          <w:lang w:val="lv-LV"/>
        </w:rPr>
        <w:t>(</w:t>
      </w:r>
      <w:r w:rsidR="00A36741" w:rsidRPr="002C5745">
        <w:rPr>
          <w:rFonts w:ascii="Times New Roman" w:hAnsi="Times New Roman" w:cs="Times New Roman"/>
          <w:sz w:val="26"/>
          <w:szCs w:val="26"/>
          <w:lang w:val="lv-LV"/>
        </w:rPr>
        <w:t>~</w:t>
      </w:r>
      <w:r w:rsidR="00A36741">
        <w:rPr>
          <w:rFonts w:ascii="Times New Roman" w:hAnsi="Times New Roman" w:cs="Times New Roman"/>
          <w:sz w:val="26"/>
          <w:szCs w:val="26"/>
          <w:lang w:val="lv-LV"/>
        </w:rPr>
        <w:t> 14 </w:t>
      </w:r>
      <w:r w:rsidR="00A36741" w:rsidRPr="002C5745">
        <w:rPr>
          <w:rFonts w:ascii="Times New Roman" w:hAnsi="Times New Roman" w:cs="Times New Roman"/>
          <w:sz w:val="26"/>
          <w:szCs w:val="26"/>
          <w:lang w:val="lv-LV"/>
        </w:rPr>
        <w:t>%</w:t>
      </w:r>
      <w:r w:rsidR="00A36741">
        <w:rPr>
          <w:rFonts w:ascii="Times New Roman" w:hAnsi="Times New Roman" w:cs="Times New Roman"/>
          <w:sz w:val="26"/>
          <w:szCs w:val="26"/>
          <w:lang w:val="lv-LV"/>
        </w:rPr>
        <w:t xml:space="preserve">) </w:t>
      </w:r>
      <w:r w:rsidRPr="002C5745">
        <w:rPr>
          <w:rFonts w:ascii="Times New Roman" w:hAnsi="Times New Roman" w:cs="Times New Roman"/>
          <w:sz w:val="26"/>
          <w:szCs w:val="26"/>
          <w:lang w:val="lv-LV"/>
        </w:rPr>
        <w:t>nodokļu samaksas termiņa pagarinājuma lūgumi atstāti bez izskatīšanas.</w:t>
      </w:r>
    </w:p>
    <w:p w14:paraId="635FF20C" w14:textId="77777777" w:rsidR="001D1FD7" w:rsidRPr="00A36741" w:rsidRDefault="001D1FD7" w:rsidP="001C6467">
      <w:pPr>
        <w:pStyle w:val="ListParagraph"/>
        <w:ind w:left="0" w:firstLine="720"/>
        <w:jc w:val="both"/>
        <w:rPr>
          <w:rFonts w:ascii="Times New Roman" w:hAnsi="Times New Roman" w:cs="Times New Roman"/>
          <w:sz w:val="12"/>
          <w:szCs w:val="12"/>
          <w:lang w:val="lv-LV"/>
        </w:rPr>
      </w:pPr>
    </w:p>
    <w:tbl>
      <w:tblPr>
        <w:tblStyle w:val="TableGrid"/>
        <w:tblW w:w="0" w:type="auto"/>
        <w:tblLook w:val="04A0" w:firstRow="1" w:lastRow="0" w:firstColumn="1" w:lastColumn="0" w:noHBand="0" w:noVBand="1"/>
      </w:tblPr>
      <w:tblGrid>
        <w:gridCol w:w="541"/>
        <w:gridCol w:w="4079"/>
        <w:gridCol w:w="2200"/>
        <w:gridCol w:w="2242"/>
      </w:tblGrid>
      <w:tr w:rsidR="001C6467" w:rsidRPr="00880EC7" w14:paraId="1AA5D9DC" w14:textId="77777777" w:rsidTr="00802B12">
        <w:tc>
          <w:tcPr>
            <w:tcW w:w="4815" w:type="dxa"/>
            <w:gridSpan w:val="2"/>
          </w:tcPr>
          <w:p w14:paraId="18394FD0" w14:textId="77777777" w:rsidR="001C6467" w:rsidRPr="00880EC7" w:rsidRDefault="001C6467" w:rsidP="00802B12">
            <w:pPr>
              <w:pStyle w:val="ListParagraph"/>
              <w:ind w:left="0"/>
              <w:jc w:val="both"/>
              <w:rPr>
                <w:rFonts w:ascii="Times New Roman" w:hAnsi="Times New Roman" w:cs="Times New Roman"/>
                <w:lang w:val="lv-LV"/>
              </w:rPr>
            </w:pPr>
          </w:p>
        </w:tc>
        <w:tc>
          <w:tcPr>
            <w:tcW w:w="2268" w:type="dxa"/>
          </w:tcPr>
          <w:p w14:paraId="69B79C3A" w14:textId="77777777" w:rsidR="001C6467" w:rsidRPr="00880EC7" w:rsidRDefault="001C6467" w:rsidP="00802B12">
            <w:pPr>
              <w:pStyle w:val="ListParagraph"/>
              <w:ind w:left="0"/>
              <w:jc w:val="center"/>
              <w:rPr>
                <w:rFonts w:ascii="Times New Roman" w:hAnsi="Times New Roman" w:cs="Times New Roman"/>
                <w:lang w:val="lv-LV"/>
              </w:rPr>
            </w:pPr>
            <w:r w:rsidRPr="00880EC7">
              <w:rPr>
                <w:rFonts w:ascii="Times New Roman" w:hAnsi="Times New Roman" w:cs="Times New Roman"/>
                <w:lang w:val="lv-LV"/>
              </w:rPr>
              <w:t>2016. gads</w:t>
            </w:r>
          </w:p>
        </w:tc>
        <w:tc>
          <w:tcPr>
            <w:tcW w:w="2312" w:type="dxa"/>
          </w:tcPr>
          <w:p w14:paraId="43F149B7" w14:textId="77777777" w:rsidR="001C6467" w:rsidRPr="00880EC7" w:rsidRDefault="001C6467" w:rsidP="00802B12">
            <w:pPr>
              <w:pStyle w:val="ListParagraph"/>
              <w:ind w:left="0"/>
              <w:jc w:val="center"/>
              <w:rPr>
                <w:rFonts w:ascii="Times New Roman" w:hAnsi="Times New Roman" w:cs="Times New Roman"/>
                <w:lang w:val="lv-LV"/>
              </w:rPr>
            </w:pPr>
            <w:r w:rsidRPr="00880EC7">
              <w:rPr>
                <w:rFonts w:ascii="Times New Roman" w:hAnsi="Times New Roman" w:cs="Times New Roman"/>
                <w:lang w:val="lv-LV"/>
              </w:rPr>
              <w:t>2017. gads</w:t>
            </w:r>
          </w:p>
        </w:tc>
      </w:tr>
      <w:tr w:rsidR="001C6467" w:rsidRPr="00880EC7" w14:paraId="5FA0803A" w14:textId="77777777" w:rsidTr="00802B12">
        <w:tc>
          <w:tcPr>
            <w:tcW w:w="4815" w:type="dxa"/>
            <w:gridSpan w:val="2"/>
          </w:tcPr>
          <w:p w14:paraId="67A3815F" w14:textId="77777777" w:rsidR="001C6467" w:rsidRPr="00880EC7" w:rsidRDefault="001C6467" w:rsidP="00802B12">
            <w:pPr>
              <w:pStyle w:val="ListParagraph"/>
              <w:ind w:left="0"/>
              <w:jc w:val="both"/>
              <w:rPr>
                <w:rFonts w:ascii="Times New Roman" w:hAnsi="Times New Roman" w:cs="Times New Roman"/>
                <w:lang w:val="lv-LV"/>
              </w:rPr>
            </w:pPr>
            <w:r w:rsidRPr="00880EC7">
              <w:rPr>
                <w:rFonts w:ascii="Times New Roman" w:hAnsi="Times New Roman" w:cs="Times New Roman"/>
                <w:lang w:val="lv-LV"/>
              </w:rPr>
              <w:t>Nodokļu maksātāju iesniegto iesniegumu skaits nodokļu samaksas termiņa pagarinājuma piešķiršanai</w:t>
            </w:r>
          </w:p>
        </w:tc>
        <w:tc>
          <w:tcPr>
            <w:tcW w:w="2268" w:type="dxa"/>
          </w:tcPr>
          <w:p w14:paraId="06A6F90D" w14:textId="77777777" w:rsidR="001C6467" w:rsidRPr="00880EC7" w:rsidRDefault="001C6467" w:rsidP="00802B12">
            <w:pPr>
              <w:pStyle w:val="ListParagraph"/>
              <w:ind w:left="0"/>
              <w:jc w:val="center"/>
              <w:rPr>
                <w:rFonts w:ascii="Times New Roman" w:hAnsi="Times New Roman" w:cs="Times New Roman"/>
                <w:lang w:val="lv-LV"/>
              </w:rPr>
            </w:pPr>
            <w:r w:rsidRPr="00880EC7">
              <w:rPr>
                <w:rFonts w:ascii="Times New Roman" w:hAnsi="Times New Roman" w:cs="Times New Roman"/>
                <w:lang w:val="lv-LV"/>
              </w:rPr>
              <w:t>11253</w:t>
            </w:r>
          </w:p>
        </w:tc>
        <w:tc>
          <w:tcPr>
            <w:tcW w:w="2312" w:type="dxa"/>
          </w:tcPr>
          <w:p w14:paraId="4EAD0B8A" w14:textId="77777777" w:rsidR="001C6467" w:rsidRPr="00880EC7" w:rsidRDefault="001C6467" w:rsidP="00802B12">
            <w:pPr>
              <w:pStyle w:val="ListParagraph"/>
              <w:ind w:left="0"/>
              <w:jc w:val="center"/>
              <w:rPr>
                <w:rFonts w:ascii="Times New Roman" w:hAnsi="Times New Roman" w:cs="Times New Roman"/>
                <w:lang w:val="lv-LV"/>
              </w:rPr>
            </w:pPr>
            <w:r w:rsidRPr="00880EC7">
              <w:rPr>
                <w:rFonts w:ascii="Times New Roman" w:hAnsi="Times New Roman" w:cs="Times New Roman"/>
                <w:lang w:val="lv-LV"/>
              </w:rPr>
              <w:t>11240</w:t>
            </w:r>
          </w:p>
        </w:tc>
      </w:tr>
      <w:tr w:rsidR="001C6467" w:rsidRPr="00880EC7" w14:paraId="27C4F7C6" w14:textId="77777777" w:rsidTr="00802B12">
        <w:tc>
          <w:tcPr>
            <w:tcW w:w="4815" w:type="dxa"/>
            <w:gridSpan w:val="2"/>
            <w:tcBorders>
              <w:bottom w:val="single" w:sz="4" w:space="0" w:color="auto"/>
            </w:tcBorders>
          </w:tcPr>
          <w:p w14:paraId="2B641BC5" w14:textId="77777777" w:rsidR="001C6467" w:rsidRPr="00880EC7" w:rsidRDefault="001C6467" w:rsidP="00802B12">
            <w:pPr>
              <w:pStyle w:val="ListParagraph"/>
              <w:ind w:left="0"/>
              <w:jc w:val="both"/>
              <w:rPr>
                <w:rFonts w:ascii="Times New Roman" w:hAnsi="Times New Roman" w:cs="Times New Roman"/>
                <w:lang w:val="lv-LV"/>
              </w:rPr>
            </w:pPr>
            <w:r w:rsidRPr="00880EC7">
              <w:rPr>
                <w:rFonts w:ascii="Times New Roman" w:hAnsi="Times New Roman" w:cs="Times New Roman"/>
                <w:lang w:val="lv-LV"/>
              </w:rPr>
              <w:t>Ar iesniegto iesniegumu lūgto nodokļu samaksas termiņa pagarinājumu skaits</w:t>
            </w:r>
          </w:p>
        </w:tc>
        <w:tc>
          <w:tcPr>
            <w:tcW w:w="2268" w:type="dxa"/>
          </w:tcPr>
          <w:p w14:paraId="3A8A2138" w14:textId="77777777" w:rsidR="001C6467" w:rsidRPr="00880EC7" w:rsidRDefault="001C6467" w:rsidP="00802B12">
            <w:pPr>
              <w:pStyle w:val="ListParagraph"/>
              <w:ind w:left="0"/>
              <w:jc w:val="center"/>
              <w:rPr>
                <w:rFonts w:ascii="Times New Roman" w:hAnsi="Times New Roman" w:cs="Times New Roman"/>
                <w:lang w:val="lv-LV"/>
              </w:rPr>
            </w:pPr>
            <w:r w:rsidRPr="00880EC7">
              <w:rPr>
                <w:rFonts w:ascii="Times New Roman" w:hAnsi="Times New Roman" w:cs="Times New Roman"/>
                <w:lang w:val="lv-LV"/>
              </w:rPr>
              <w:t>15021</w:t>
            </w:r>
          </w:p>
        </w:tc>
        <w:tc>
          <w:tcPr>
            <w:tcW w:w="2312" w:type="dxa"/>
          </w:tcPr>
          <w:p w14:paraId="60293436" w14:textId="77777777" w:rsidR="001C6467" w:rsidRPr="00880EC7" w:rsidRDefault="001C6467" w:rsidP="00802B12">
            <w:pPr>
              <w:pStyle w:val="ListParagraph"/>
              <w:ind w:left="0"/>
              <w:jc w:val="center"/>
              <w:rPr>
                <w:rFonts w:ascii="Times New Roman" w:hAnsi="Times New Roman" w:cs="Times New Roman"/>
                <w:lang w:val="lv-LV"/>
              </w:rPr>
            </w:pPr>
            <w:r w:rsidRPr="00880EC7">
              <w:rPr>
                <w:rFonts w:ascii="Times New Roman" w:hAnsi="Times New Roman" w:cs="Times New Roman"/>
                <w:lang w:val="lv-LV"/>
              </w:rPr>
              <w:t>14946</w:t>
            </w:r>
          </w:p>
        </w:tc>
      </w:tr>
      <w:tr w:rsidR="001C6467" w:rsidRPr="00880EC7" w14:paraId="0CD13179" w14:textId="77777777" w:rsidTr="00802B12">
        <w:tc>
          <w:tcPr>
            <w:tcW w:w="562" w:type="dxa"/>
            <w:tcBorders>
              <w:bottom w:val="single" w:sz="4" w:space="0" w:color="auto"/>
              <w:right w:val="nil"/>
            </w:tcBorders>
          </w:tcPr>
          <w:p w14:paraId="4A623FF2" w14:textId="77777777" w:rsidR="001C6467" w:rsidRPr="00880EC7" w:rsidRDefault="001C6467" w:rsidP="00802B12">
            <w:pPr>
              <w:pStyle w:val="ListParagraph"/>
              <w:ind w:left="0"/>
              <w:jc w:val="both"/>
              <w:rPr>
                <w:rFonts w:ascii="Times New Roman" w:hAnsi="Times New Roman" w:cs="Times New Roman"/>
                <w:lang w:val="lv-LV"/>
              </w:rPr>
            </w:pPr>
          </w:p>
        </w:tc>
        <w:tc>
          <w:tcPr>
            <w:tcW w:w="4253" w:type="dxa"/>
            <w:tcBorders>
              <w:left w:val="nil"/>
              <w:bottom w:val="single" w:sz="4" w:space="0" w:color="auto"/>
            </w:tcBorders>
          </w:tcPr>
          <w:p w14:paraId="363BF8A9" w14:textId="77777777" w:rsidR="001C6467" w:rsidRPr="00880EC7" w:rsidRDefault="001C6467" w:rsidP="00802B12">
            <w:pPr>
              <w:pStyle w:val="ListParagraph"/>
              <w:ind w:left="0"/>
              <w:jc w:val="both"/>
              <w:rPr>
                <w:rFonts w:ascii="Times New Roman" w:hAnsi="Times New Roman" w:cs="Times New Roman"/>
                <w:lang w:val="lv-LV"/>
              </w:rPr>
            </w:pPr>
            <w:r w:rsidRPr="00880EC7">
              <w:rPr>
                <w:rFonts w:ascii="Times New Roman" w:hAnsi="Times New Roman" w:cs="Times New Roman"/>
                <w:lang w:val="lv-LV"/>
              </w:rPr>
              <w:t>Piešķirto nodokļu samaksas termiņa pagarinājumu skaits</w:t>
            </w:r>
          </w:p>
        </w:tc>
        <w:tc>
          <w:tcPr>
            <w:tcW w:w="2268" w:type="dxa"/>
          </w:tcPr>
          <w:p w14:paraId="35BF4BC1" w14:textId="77777777" w:rsidR="001C6467" w:rsidRPr="00880EC7" w:rsidRDefault="001C6467" w:rsidP="00802B12">
            <w:pPr>
              <w:pStyle w:val="ListParagraph"/>
              <w:ind w:left="0"/>
              <w:jc w:val="center"/>
              <w:rPr>
                <w:rFonts w:ascii="Times New Roman" w:hAnsi="Times New Roman" w:cs="Times New Roman"/>
                <w:lang w:val="lv-LV"/>
              </w:rPr>
            </w:pPr>
            <w:r w:rsidRPr="00880EC7">
              <w:rPr>
                <w:rFonts w:ascii="Times New Roman" w:hAnsi="Times New Roman" w:cs="Times New Roman"/>
                <w:lang w:val="lv-LV"/>
              </w:rPr>
              <w:t>11369</w:t>
            </w:r>
          </w:p>
        </w:tc>
        <w:tc>
          <w:tcPr>
            <w:tcW w:w="2312" w:type="dxa"/>
          </w:tcPr>
          <w:p w14:paraId="06C9F539" w14:textId="77777777" w:rsidR="001C6467" w:rsidRPr="00880EC7" w:rsidRDefault="001C6467" w:rsidP="00802B12">
            <w:pPr>
              <w:pStyle w:val="ListParagraph"/>
              <w:ind w:left="0"/>
              <w:jc w:val="center"/>
              <w:rPr>
                <w:rFonts w:ascii="Times New Roman" w:hAnsi="Times New Roman" w:cs="Times New Roman"/>
                <w:lang w:val="lv-LV"/>
              </w:rPr>
            </w:pPr>
            <w:r w:rsidRPr="00880EC7">
              <w:rPr>
                <w:rFonts w:ascii="Times New Roman" w:hAnsi="Times New Roman" w:cs="Times New Roman"/>
                <w:lang w:val="lv-LV"/>
              </w:rPr>
              <w:t>10853</w:t>
            </w:r>
          </w:p>
        </w:tc>
      </w:tr>
      <w:tr w:rsidR="001C6467" w:rsidRPr="00880EC7" w14:paraId="055223A4" w14:textId="77777777" w:rsidTr="00802B12">
        <w:tc>
          <w:tcPr>
            <w:tcW w:w="562" w:type="dxa"/>
            <w:tcBorders>
              <w:bottom w:val="single" w:sz="4" w:space="0" w:color="auto"/>
              <w:right w:val="nil"/>
            </w:tcBorders>
          </w:tcPr>
          <w:p w14:paraId="5063B769" w14:textId="77777777" w:rsidR="001C6467" w:rsidRPr="00880EC7" w:rsidRDefault="001C6467" w:rsidP="00802B12">
            <w:pPr>
              <w:pStyle w:val="ListParagraph"/>
              <w:ind w:left="0"/>
              <w:jc w:val="both"/>
              <w:rPr>
                <w:rFonts w:ascii="Times New Roman" w:hAnsi="Times New Roman" w:cs="Times New Roman"/>
                <w:lang w:val="lv-LV"/>
              </w:rPr>
            </w:pPr>
          </w:p>
        </w:tc>
        <w:tc>
          <w:tcPr>
            <w:tcW w:w="4253" w:type="dxa"/>
            <w:tcBorders>
              <w:left w:val="nil"/>
              <w:bottom w:val="single" w:sz="4" w:space="0" w:color="auto"/>
            </w:tcBorders>
          </w:tcPr>
          <w:p w14:paraId="1C8029CA" w14:textId="77777777" w:rsidR="001C6467" w:rsidRPr="00880EC7" w:rsidRDefault="001C6467" w:rsidP="00802B12">
            <w:pPr>
              <w:pStyle w:val="ListParagraph"/>
              <w:ind w:left="0"/>
              <w:jc w:val="both"/>
              <w:rPr>
                <w:rFonts w:ascii="Times New Roman" w:hAnsi="Times New Roman" w:cs="Times New Roman"/>
                <w:lang w:val="lv-LV"/>
              </w:rPr>
            </w:pPr>
            <w:r w:rsidRPr="00880EC7">
              <w:rPr>
                <w:rFonts w:ascii="Times New Roman" w:hAnsi="Times New Roman" w:cs="Times New Roman"/>
                <w:lang w:val="lv-LV"/>
              </w:rPr>
              <w:t>Atteikumu skaits piešķirt nodokļu maksājumu samaksas termiņa pagarinājumu</w:t>
            </w:r>
          </w:p>
        </w:tc>
        <w:tc>
          <w:tcPr>
            <w:tcW w:w="2268" w:type="dxa"/>
          </w:tcPr>
          <w:p w14:paraId="7BCFDA69" w14:textId="77777777" w:rsidR="001C6467" w:rsidRPr="00880EC7" w:rsidRDefault="001C6467" w:rsidP="00802B12">
            <w:pPr>
              <w:pStyle w:val="ListParagraph"/>
              <w:ind w:left="0"/>
              <w:jc w:val="center"/>
              <w:rPr>
                <w:rFonts w:ascii="Times New Roman" w:hAnsi="Times New Roman" w:cs="Times New Roman"/>
                <w:lang w:val="lv-LV"/>
              </w:rPr>
            </w:pPr>
            <w:r w:rsidRPr="00880EC7">
              <w:rPr>
                <w:rFonts w:ascii="Times New Roman" w:hAnsi="Times New Roman" w:cs="Times New Roman"/>
                <w:lang w:val="lv-LV"/>
              </w:rPr>
              <w:t>2255</w:t>
            </w:r>
          </w:p>
        </w:tc>
        <w:tc>
          <w:tcPr>
            <w:tcW w:w="2312" w:type="dxa"/>
          </w:tcPr>
          <w:p w14:paraId="6FFAD88A" w14:textId="77777777" w:rsidR="001C6467" w:rsidRPr="00880EC7" w:rsidRDefault="001C6467" w:rsidP="00802B12">
            <w:pPr>
              <w:pStyle w:val="ListParagraph"/>
              <w:ind w:left="0"/>
              <w:jc w:val="center"/>
              <w:rPr>
                <w:rFonts w:ascii="Times New Roman" w:hAnsi="Times New Roman" w:cs="Times New Roman"/>
                <w:lang w:val="lv-LV"/>
              </w:rPr>
            </w:pPr>
            <w:r w:rsidRPr="00880EC7">
              <w:rPr>
                <w:rFonts w:ascii="Times New Roman" w:hAnsi="Times New Roman" w:cs="Times New Roman"/>
                <w:lang w:val="lv-LV"/>
              </w:rPr>
              <w:t>1999</w:t>
            </w:r>
          </w:p>
        </w:tc>
      </w:tr>
      <w:tr w:rsidR="001C6467" w:rsidRPr="00880EC7" w14:paraId="5B46E93A" w14:textId="77777777" w:rsidTr="00802B12">
        <w:tc>
          <w:tcPr>
            <w:tcW w:w="562" w:type="dxa"/>
            <w:tcBorders>
              <w:right w:val="nil"/>
            </w:tcBorders>
          </w:tcPr>
          <w:p w14:paraId="3B2E07A5" w14:textId="77777777" w:rsidR="001C6467" w:rsidRPr="00880EC7" w:rsidRDefault="001C6467" w:rsidP="00802B12">
            <w:pPr>
              <w:pStyle w:val="ListParagraph"/>
              <w:ind w:left="0"/>
              <w:jc w:val="both"/>
              <w:rPr>
                <w:rFonts w:ascii="Times New Roman" w:hAnsi="Times New Roman" w:cs="Times New Roman"/>
                <w:lang w:val="lv-LV"/>
              </w:rPr>
            </w:pPr>
          </w:p>
        </w:tc>
        <w:tc>
          <w:tcPr>
            <w:tcW w:w="4253" w:type="dxa"/>
            <w:tcBorders>
              <w:left w:val="nil"/>
            </w:tcBorders>
          </w:tcPr>
          <w:p w14:paraId="6FE82034" w14:textId="77777777" w:rsidR="001C6467" w:rsidRPr="00880EC7" w:rsidRDefault="001C6467" w:rsidP="00802B12">
            <w:pPr>
              <w:pStyle w:val="ListParagraph"/>
              <w:ind w:left="0"/>
              <w:jc w:val="both"/>
              <w:rPr>
                <w:rFonts w:ascii="Times New Roman" w:hAnsi="Times New Roman" w:cs="Times New Roman"/>
                <w:lang w:val="lv-LV"/>
              </w:rPr>
            </w:pPr>
            <w:r w:rsidRPr="00880EC7">
              <w:rPr>
                <w:rFonts w:ascii="Times New Roman" w:hAnsi="Times New Roman" w:cs="Times New Roman"/>
                <w:lang w:val="lv-LV"/>
              </w:rPr>
              <w:t>Nodokļu samaksas termiņa pagarinājumu lūgumu skaits, kas atstāts bez izskatīšanas</w:t>
            </w:r>
          </w:p>
        </w:tc>
        <w:tc>
          <w:tcPr>
            <w:tcW w:w="2268" w:type="dxa"/>
          </w:tcPr>
          <w:p w14:paraId="37284DDF" w14:textId="77777777" w:rsidR="001C6467" w:rsidRPr="00880EC7" w:rsidRDefault="001C6467" w:rsidP="00802B12">
            <w:pPr>
              <w:pStyle w:val="ListParagraph"/>
              <w:ind w:left="0"/>
              <w:jc w:val="center"/>
              <w:rPr>
                <w:rFonts w:ascii="Times New Roman" w:hAnsi="Times New Roman" w:cs="Times New Roman"/>
                <w:lang w:val="lv-LV"/>
              </w:rPr>
            </w:pPr>
            <w:r w:rsidRPr="00880EC7">
              <w:rPr>
                <w:rFonts w:ascii="Times New Roman" w:hAnsi="Times New Roman" w:cs="Times New Roman"/>
                <w:lang w:val="lv-LV"/>
              </w:rPr>
              <w:t>1397</w:t>
            </w:r>
          </w:p>
        </w:tc>
        <w:tc>
          <w:tcPr>
            <w:tcW w:w="2312" w:type="dxa"/>
          </w:tcPr>
          <w:p w14:paraId="20403BE8" w14:textId="77777777" w:rsidR="001C6467" w:rsidRPr="00880EC7" w:rsidRDefault="001C6467" w:rsidP="00802B12">
            <w:pPr>
              <w:pStyle w:val="ListParagraph"/>
              <w:ind w:left="0"/>
              <w:jc w:val="center"/>
              <w:rPr>
                <w:rFonts w:ascii="Times New Roman" w:hAnsi="Times New Roman" w:cs="Times New Roman"/>
                <w:lang w:val="lv-LV"/>
              </w:rPr>
            </w:pPr>
            <w:r w:rsidRPr="00880EC7">
              <w:rPr>
                <w:rFonts w:ascii="Times New Roman" w:hAnsi="Times New Roman" w:cs="Times New Roman"/>
                <w:lang w:val="lv-LV"/>
              </w:rPr>
              <w:t>2094</w:t>
            </w:r>
          </w:p>
        </w:tc>
      </w:tr>
    </w:tbl>
    <w:p w14:paraId="7BDE3385" w14:textId="77777777" w:rsidR="001D1FD7" w:rsidRPr="00A36741" w:rsidRDefault="001D1FD7" w:rsidP="001C6467">
      <w:pPr>
        <w:pStyle w:val="ListParagraph"/>
        <w:ind w:left="0" w:firstLine="720"/>
        <w:jc w:val="both"/>
        <w:rPr>
          <w:rFonts w:ascii="Times New Roman" w:hAnsi="Times New Roman" w:cs="Times New Roman"/>
          <w:sz w:val="12"/>
          <w:szCs w:val="12"/>
          <w:lang w:val="lv-LV"/>
        </w:rPr>
      </w:pPr>
    </w:p>
    <w:p w14:paraId="4A6E4DE1" w14:textId="11338652" w:rsidR="001C6467" w:rsidRPr="00DF19EF" w:rsidRDefault="001C6467" w:rsidP="001C6467">
      <w:pPr>
        <w:pStyle w:val="ListParagraph"/>
        <w:ind w:left="0" w:firstLine="720"/>
        <w:jc w:val="both"/>
        <w:rPr>
          <w:rFonts w:ascii="Times New Roman" w:hAnsi="Times New Roman" w:cs="Times New Roman"/>
          <w:sz w:val="26"/>
          <w:szCs w:val="26"/>
          <w:lang w:val="lv-LV"/>
        </w:rPr>
      </w:pPr>
      <w:r w:rsidRPr="00DF19EF">
        <w:rPr>
          <w:rFonts w:ascii="Times New Roman" w:hAnsi="Times New Roman" w:cs="Times New Roman"/>
          <w:sz w:val="26"/>
          <w:szCs w:val="26"/>
          <w:lang w:val="lv-LV"/>
        </w:rPr>
        <w:t>Izvērtējot 2016. gadā un 2017. gadā piešķirtos nodokļu samaksas termiņa pagarinājumus, konstatējams, ka no tiem 98 % gadījumos ir piešķirti nodokļu pamatparāda samaksai.</w:t>
      </w:r>
    </w:p>
    <w:p w14:paraId="6E5B1431" w14:textId="77777777" w:rsidR="001D1FD7" w:rsidRPr="00880EC7" w:rsidRDefault="001D1FD7" w:rsidP="001C6467">
      <w:pPr>
        <w:pStyle w:val="ListParagraph"/>
        <w:ind w:left="0" w:firstLine="720"/>
        <w:jc w:val="both"/>
        <w:rPr>
          <w:rFonts w:ascii="Times New Roman" w:hAnsi="Times New Roman" w:cs="Times New Roman"/>
          <w:lang w:val="lv-LV"/>
        </w:rPr>
      </w:pPr>
    </w:p>
    <w:tbl>
      <w:tblPr>
        <w:tblStyle w:val="TableGrid"/>
        <w:tblW w:w="0" w:type="auto"/>
        <w:tblLook w:val="04A0" w:firstRow="1" w:lastRow="0" w:firstColumn="1" w:lastColumn="0" w:noHBand="0" w:noVBand="1"/>
      </w:tblPr>
      <w:tblGrid>
        <w:gridCol w:w="538"/>
        <w:gridCol w:w="3518"/>
        <w:gridCol w:w="2482"/>
        <w:gridCol w:w="2524"/>
      </w:tblGrid>
      <w:tr w:rsidR="001C6467" w:rsidRPr="00880EC7" w14:paraId="5E80AE84" w14:textId="77777777" w:rsidTr="00802B12">
        <w:tc>
          <w:tcPr>
            <w:tcW w:w="4248" w:type="dxa"/>
            <w:gridSpan w:val="2"/>
          </w:tcPr>
          <w:p w14:paraId="04AE9B97" w14:textId="77777777" w:rsidR="001C6467" w:rsidRPr="00880EC7" w:rsidRDefault="001C6467" w:rsidP="00802B12">
            <w:pPr>
              <w:pStyle w:val="ListParagraph"/>
              <w:ind w:left="0"/>
              <w:jc w:val="both"/>
              <w:rPr>
                <w:rFonts w:ascii="Times New Roman" w:hAnsi="Times New Roman" w:cs="Times New Roman"/>
                <w:lang w:val="lv-LV"/>
              </w:rPr>
            </w:pPr>
          </w:p>
        </w:tc>
        <w:tc>
          <w:tcPr>
            <w:tcW w:w="2551" w:type="dxa"/>
          </w:tcPr>
          <w:p w14:paraId="3993A415" w14:textId="77777777" w:rsidR="001C6467" w:rsidRPr="00880EC7" w:rsidRDefault="001C6467" w:rsidP="00802B12">
            <w:pPr>
              <w:pStyle w:val="ListParagraph"/>
              <w:ind w:left="0"/>
              <w:jc w:val="center"/>
              <w:rPr>
                <w:rFonts w:ascii="Times New Roman" w:hAnsi="Times New Roman" w:cs="Times New Roman"/>
                <w:lang w:val="lv-LV"/>
              </w:rPr>
            </w:pPr>
            <w:r w:rsidRPr="00880EC7">
              <w:rPr>
                <w:rFonts w:ascii="Times New Roman" w:hAnsi="Times New Roman" w:cs="Times New Roman"/>
                <w:lang w:val="lv-LV"/>
              </w:rPr>
              <w:t>2016. gads</w:t>
            </w:r>
          </w:p>
        </w:tc>
        <w:tc>
          <w:tcPr>
            <w:tcW w:w="2596" w:type="dxa"/>
          </w:tcPr>
          <w:p w14:paraId="700A8441" w14:textId="77777777" w:rsidR="001C6467" w:rsidRPr="00880EC7" w:rsidRDefault="001C6467" w:rsidP="00802B12">
            <w:pPr>
              <w:pStyle w:val="ListParagraph"/>
              <w:ind w:left="0"/>
              <w:jc w:val="center"/>
              <w:rPr>
                <w:rFonts w:ascii="Times New Roman" w:hAnsi="Times New Roman" w:cs="Times New Roman"/>
                <w:lang w:val="lv-LV"/>
              </w:rPr>
            </w:pPr>
            <w:r w:rsidRPr="00880EC7">
              <w:rPr>
                <w:rFonts w:ascii="Times New Roman" w:hAnsi="Times New Roman" w:cs="Times New Roman"/>
                <w:lang w:val="lv-LV"/>
              </w:rPr>
              <w:t>2017. gads</w:t>
            </w:r>
          </w:p>
        </w:tc>
      </w:tr>
      <w:tr w:rsidR="001C6467" w:rsidRPr="00880EC7" w14:paraId="2937DD4C" w14:textId="77777777" w:rsidTr="00802B12">
        <w:tc>
          <w:tcPr>
            <w:tcW w:w="4248" w:type="dxa"/>
            <w:gridSpan w:val="2"/>
            <w:tcBorders>
              <w:bottom w:val="single" w:sz="4" w:space="0" w:color="auto"/>
            </w:tcBorders>
          </w:tcPr>
          <w:p w14:paraId="09B3F65E" w14:textId="77777777" w:rsidR="001C6467" w:rsidRPr="00880EC7" w:rsidRDefault="001C6467" w:rsidP="00802B12">
            <w:pPr>
              <w:pStyle w:val="ListParagraph"/>
              <w:ind w:left="0"/>
              <w:jc w:val="both"/>
              <w:rPr>
                <w:rFonts w:ascii="Times New Roman" w:hAnsi="Times New Roman" w:cs="Times New Roman"/>
                <w:lang w:val="lv-LV"/>
              </w:rPr>
            </w:pPr>
            <w:r w:rsidRPr="00880EC7">
              <w:rPr>
                <w:rFonts w:ascii="Times New Roman" w:hAnsi="Times New Roman" w:cs="Times New Roman"/>
                <w:lang w:val="lv-LV"/>
              </w:rPr>
              <w:t xml:space="preserve">Kopējā summa, kurai piešķirts nodokļu samaksas termiņa pagarinājums, </w:t>
            </w:r>
            <w:r w:rsidRPr="00880EC7">
              <w:rPr>
                <w:rFonts w:ascii="Times New Roman" w:hAnsi="Times New Roman" w:cs="Times New Roman"/>
                <w:i/>
                <w:lang w:val="lv-LV"/>
              </w:rPr>
              <w:t>euro</w:t>
            </w:r>
            <w:r w:rsidRPr="00880EC7">
              <w:rPr>
                <w:rStyle w:val="FootnoteReference"/>
                <w:rFonts w:ascii="Times New Roman" w:hAnsi="Times New Roman" w:cs="Times New Roman"/>
                <w:i/>
                <w:lang w:val="lv-LV"/>
              </w:rPr>
              <w:footnoteReference w:id="13"/>
            </w:r>
          </w:p>
        </w:tc>
        <w:tc>
          <w:tcPr>
            <w:tcW w:w="2551" w:type="dxa"/>
          </w:tcPr>
          <w:p w14:paraId="57FF23A7" w14:textId="77777777" w:rsidR="001C6467" w:rsidRPr="00880EC7" w:rsidRDefault="001C6467" w:rsidP="00802B12">
            <w:pPr>
              <w:pStyle w:val="ListParagraph"/>
              <w:ind w:left="0"/>
              <w:jc w:val="center"/>
              <w:rPr>
                <w:rFonts w:ascii="Times New Roman" w:hAnsi="Times New Roman" w:cs="Times New Roman"/>
                <w:lang w:val="lv-LV"/>
              </w:rPr>
            </w:pPr>
            <w:r w:rsidRPr="00880EC7">
              <w:rPr>
                <w:rFonts w:ascii="Times New Roman" w:hAnsi="Times New Roman" w:cs="Times New Roman"/>
                <w:lang w:val="lv-LV"/>
              </w:rPr>
              <w:t>120 529 690,71</w:t>
            </w:r>
          </w:p>
        </w:tc>
        <w:tc>
          <w:tcPr>
            <w:tcW w:w="2596" w:type="dxa"/>
          </w:tcPr>
          <w:p w14:paraId="72079DA6" w14:textId="77777777" w:rsidR="001C6467" w:rsidRPr="00880EC7" w:rsidRDefault="001C6467" w:rsidP="00802B12">
            <w:pPr>
              <w:pStyle w:val="ListParagraph"/>
              <w:ind w:left="0"/>
              <w:jc w:val="center"/>
              <w:rPr>
                <w:rFonts w:ascii="Times New Roman" w:hAnsi="Times New Roman" w:cs="Times New Roman"/>
                <w:lang w:val="lv-LV"/>
              </w:rPr>
            </w:pPr>
            <w:r w:rsidRPr="00880EC7">
              <w:rPr>
                <w:rFonts w:ascii="Times New Roman" w:hAnsi="Times New Roman" w:cs="Times New Roman"/>
                <w:lang w:val="lv-LV"/>
              </w:rPr>
              <w:t>115 905 889,33</w:t>
            </w:r>
          </w:p>
        </w:tc>
      </w:tr>
      <w:tr w:rsidR="001C6467" w:rsidRPr="00880EC7" w14:paraId="34DA009B" w14:textId="77777777" w:rsidTr="00802B12">
        <w:tc>
          <w:tcPr>
            <w:tcW w:w="562" w:type="dxa"/>
            <w:tcBorders>
              <w:bottom w:val="single" w:sz="4" w:space="0" w:color="auto"/>
              <w:right w:val="nil"/>
            </w:tcBorders>
          </w:tcPr>
          <w:p w14:paraId="5F3166FA" w14:textId="77777777" w:rsidR="001C6467" w:rsidRPr="00880EC7" w:rsidRDefault="001C6467" w:rsidP="00802B12">
            <w:pPr>
              <w:pStyle w:val="ListParagraph"/>
              <w:ind w:left="0"/>
              <w:jc w:val="both"/>
              <w:rPr>
                <w:rFonts w:ascii="Times New Roman" w:hAnsi="Times New Roman" w:cs="Times New Roman"/>
                <w:lang w:val="lv-LV"/>
              </w:rPr>
            </w:pPr>
          </w:p>
        </w:tc>
        <w:tc>
          <w:tcPr>
            <w:tcW w:w="3686" w:type="dxa"/>
            <w:tcBorders>
              <w:left w:val="nil"/>
              <w:bottom w:val="single" w:sz="4" w:space="0" w:color="auto"/>
            </w:tcBorders>
          </w:tcPr>
          <w:p w14:paraId="054871C5" w14:textId="77777777" w:rsidR="001C6467" w:rsidRPr="00880EC7" w:rsidRDefault="001C6467" w:rsidP="00802B12">
            <w:pPr>
              <w:pStyle w:val="ListParagraph"/>
              <w:ind w:left="0"/>
              <w:jc w:val="both"/>
              <w:rPr>
                <w:rFonts w:ascii="Times New Roman" w:hAnsi="Times New Roman" w:cs="Times New Roman"/>
                <w:lang w:val="lv-LV"/>
              </w:rPr>
            </w:pPr>
            <w:r w:rsidRPr="00880EC7">
              <w:rPr>
                <w:rFonts w:ascii="Times New Roman" w:hAnsi="Times New Roman" w:cs="Times New Roman"/>
                <w:lang w:val="lv-LV"/>
              </w:rPr>
              <w:t>t.sk. pamatparāda kopsumma</w:t>
            </w:r>
          </w:p>
        </w:tc>
        <w:tc>
          <w:tcPr>
            <w:tcW w:w="2551" w:type="dxa"/>
          </w:tcPr>
          <w:p w14:paraId="47414A17" w14:textId="77777777" w:rsidR="001C6467" w:rsidRPr="00880EC7" w:rsidRDefault="001C6467" w:rsidP="00802B12">
            <w:pPr>
              <w:pStyle w:val="ListParagraph"/>
              <w:ind w:left="0"/>
              <w:jc w:val="center"/>
              <w:rPr>
                <w:rFonts w:ascii="Times New Roman" w:hAnsi="Times New Roman" w:cs="Times New Roman"/>
                <w:lang w:val="lv-LV"/>
              </w:rPr>
            </w:pPr>
            <w:r w:rsidRPr="00880EC7">
              <w:rPr>
                <w:rFonts w:ascii="Times New Roman" w:hAnsi="Times New Roman" w:cs="Times New Roman"/>
                <w:lang w:val="lv-LV"/>
              </w:rPr>
              <w:t>118 629 302,22</w:t>
            </w:r>
          </w:p>
        </w:tc>
        <w:tc>
          <w:tcPr>
            <w:tcW w:w="2596" w:type="dxa"/>
          </w:tcPr>
          <w:p w14:paraId="2EC41EB0" w14:textId="77777777" w:rsidR="001C6467" w:rsidRPr="00880EC7" w:rsidRDefault="001C6467" w:rsidP="00802B12">
            <w:pPr>
              <w:pStyle w:val="ListParagraph"/>
              <w:ind w:left="0"/>
              <w:jc w:val="center"/>
              <w:rPr>
                <w:rFonts w:ascii="Times New Roman" w:hAnsi="Times New Roman" w:cs="Times New Roman"/>
                <w:lang w:val="lv-LV"/>
              </w:rPr>
            </w:pPr>
            <w:r w:rsidRPr="00880EC7">
              <w:rPr>
                <w:rFonts w:ascii="Times New Roman" w:hAnsi="Times New Roman" w:cs="Times New Roman"/>
                <w:lang w:val="lv-LV"/>
              </w:rPr>
              <w:t>114 352 582,10</w:t>
            </w:r>
          </w:p>
        </w:tc>
      </w:tr>
      <w:tr w:rsidR="001C6467" w:rsidRPr="00880EC7" w14:paraId="74B6CB3A" w14:textId="77777777" w:rsidTr="00802B12">
        <w:tc>
          <w:tcPr>
            <w:tcW w:w="562" w:type="dxa"/>
            <w:tcBorders>
              <w:right w:val="nil"/>
            </w:tcBorders>
          </w:tcPr>
          <w:p w14:paraId="2A561CC4" w14:textId="77777777" w:rsidR="001C6467" w:rsidRPr="00880EC7" w:rsidRDefault="001C6467" w:rsidP="00802B12">
            <w:pPr>
              <w:pStyle w:val="ListParagraph"/>
              <w:ind w:left="0"/>
              <w:jc w:val="both"/>
              <w:rPr>
                <w:rFonts w:ascii="Times New Roman" w:hAnsi="Times New Roman" w:cs="Times New Roman"/>
                <w:lang w:val="lv-LV"/>
              </w:rPr>
            </w:pPr>
          </w:p>
        </w:tc>
        <w:tc>
          <w:tcPr>
            <w:tcW w:w="3686" w:type="dxa"/>
            <w:tcBorders>
              <w:left w:val="nil"/>
            </w:tcBorders>
          </w:tcPr>
          <w:p w14:paraId="449A589B" w14:textId="77777777" w:rsidR="001C6467" w:rsidRPr="00880EC7" w:rsidRDefault="001C6467" w:rsidP="00802B12">
            <w:pPr>
              <w:pStyle w:val="ListParagraph"/>
              <w:ind w:left="0"/>
              <w:jc w:val="both"/>
              <w:rPr>
                <w:rFonts w:ascii="Times New Roman" w:hAnsi="Times New Roman" w:cs="Times New Roman"/>
                <w:i/>
                <w:lang w:val="lv-LV"/>
              </w:rPr>
            </w:pPr>
            <w:r w:rsidRPr="00880EC7">
              <w:rPr>
                <w:rFonts w:ascii="Times New Roman" w:hAnsi="Times New Roman" w:cs="Times New Roman"/>
                <w:lang w:val="lv-LV"/>
              </w:rPr>
              <w:t>t.sk. nokavējuma naudas kopsumma</w:t>
            </w:r>
          </w:p>
        </w:tc>
        <w:tc>
          <w:tcPr>
            <w:tcW w:w="2551" w:type="dxa"/>
          </w:tcPr>
          <w:p w14:paraId="7045FE22" w14:textId="77777777" w:rsidR="001C6467" w:rsidRPr="00880EC7" w:rsidRDefault="001C6467" w:rsidP="00802B12">
            <w:pPr>
              <w:pStyle w:val="ListParagraph"/>
              <w:ind w:left="0"/>
              <w:jc w:val="center"/>
              <w:rPr>
                <w:rFonts w:ascii="Times New Roman" w:hAnsi="Times New Roman" w:cs="Times New Roman"/>
                <w:lang w:val="lv-LV"/>
              </w:rPr>
            </w:pPr>
            <w:r w:rsidRPr="00880EC7">
              <w:rPr>
                <w:rFonts w:ascii="Times New Roman" w:hAnsi="Times New Roman" w:cs="Times New Roman"/>
                <w:lang w:val="lv-LV"/>
              </w:rPr>
              <w:t>1 620 895,57</w:t>
            </w:r>
          </w:p>
        </w:tc>
        <w:tc>
          <w:tcPr>
            <w:tcW w:w="2596" w:type="dxa"/>
          </w:tcPr>
          <w:p w14:paraId="483357A9" w14:textId="77777777" w:rsidR="001C6467" w:rsidRPr="00880EC7" w:rsidRDefault="001C6467" w:rsidP="00802B12">
            <w:pPr>
              <w:pStyle w:val="ListParagraph"/>
              <w:ind w:left="0"/>
              <w:jc w:val="center"/>
              <w:rPr>
                <w:rFonts w:ascii="Times New Roman" w:hAnsi="Times New Roman" w:cs="Times New Roman"/>
                <w:lang w:val="lv-LV"/>
              </w:rPr>
            </w:pPr>
            <w:r w:rsidRPr="00880EC7">
              <w:rPr>
                <w:rFonts w:ascii="Times New Roman" w:hAnsi="Times New Roman" w:cs="Times New Roman"/>
                <w:lang w:val="lv-LV"/>
              </w:rPr>
              <w:t>1 127 639,23</w:t>
            </w:r>
          </w:p>
        </w:tc>
      </w:tr>
      <w:tr w:rsidR="001C6467" w:rsidRPr="00880EC7" w14:paraId="50FA7937" w14:textId="77777777" w:rsidTr="00802B12">
        <w:tc>
          <w:tcPr>
            <w:tcW w:w="562" w:type="dxa"/>
            <w:tcBorders>
              <w:right w:val="nil"/>
            </w:tcBorders>
          </w:tcPr>
          <w:p w14:paraId="239F724C" w14:textId="77777777" w:rsidR="001C6467" w:rsidRPr="00880EC7" w:rsidRDefault="001C6467" w:rsidP="00802B12">
            <w:pPr>
              <w:pStyle w:val="ListParagraph"/>
              <w:ind w:left="0"/>
              <w:jc w:val="both"/>
              <w:rPr>
                <w:rFonts w:ascii="Times New Roman" w:hAnsi="Times New Roman" w:cs="Times New Roman"/>
                <w:lang w:val="lv-LV"/>
              </w:rPr>
            </w:pPr>
          </w:p>
        </w:tc>
        <w:tc>
          <w:tcPr>
            <w:tcW w:w="3686" w:type="dxa"/>
            <w:tcBorders>
              <w:left w:val="nil"/>
            </w:tcBorders>
          </w:tcPr>
          <w:p w14:paraId="36F09BC3" w14:textId="77777777" w:rsidR="001C6467" w:rsidRPr="00880EC7" w:rsidRDefault="001C6467" w:rsidP="00802B12">
            <w:pPr>
              <w:pStyle w:val="ListParagraph"/>
              <w:ind w:left="0"/>
              <w:jc w:val="both"/>
              <w:rPr>
                <w:rFonts w:ascii="Times New Roman" w:hAnsi="Times New Roman" w:cs="Times New Roman"/>
                <w:i/>
                <w:lang w:val="lv-LV"/>
              </w:rPr>
            </w:pPr>
            <w:r w:rsidRPr="00880EC7">
              <w:rPr>
                <w:rFonts w:ascii="Times New Roman" w:hAnsi="Times New Roman" w:cs="Times New Roman"/>
                <w:lang w:val="lv-LV"/>
              </w:rPr>
              <w:t>t.sk. soda naudas kopsumma</w:t>
            </w:r>
          </w:p>
        </w:tc>
        <w:tc>
          <w:tcPr>
            <w:tcW w:w="2551" w:type="dxa"/>
          </w:tcPr>
          <w:p w14:paraId="47944CA0" w14:textId="77777777" w:rsidR="001C6467" w:rsidRPr="00880EC7" w:rsidRDefault="001C6467" w:rsidP="00802B12">
            <w:pPr>
              <w:pStyle w:val="ListParagraph"/>
              <w:ind w:left="0"/>
              <w:jc w:val="center"/>
              <w:rPr>
                <w:rFonts w:ascii="Times New Roman" w:hAnsi="Times New Roman" w:cs="Times New Roman"/>
                <w:lang w:val="lv-LV"/>
              </w:rPr>
            </w:pPr>
            <w:r w:rsidRPr="00880EC7">
              <w:rPr>
                <w:rFonts w:ascii="Times New Roman" w:hAnsi="Times New Roman" w:cs="Times New Roman"/>
                <w:lang w:val="lv-LV"/>
              </w:rPr>
              <w:t>279 492,92</w:t>
            </w:r>
          </w:p>
        </w:tc>
        <w:tc>
          <w:tcPr>
            <w:tcW w:w="2596" w:type="dxa"/>
          </w:tcPr>
          <w:p w14:paraId="1F4C663A" w14:textId="77777777" w:rsidR="001C6467" w:rsidRPr="00880EC7" w:rsidRDefault="001C6467" w:rsidP="00802B12">
            <w:pPr>
              <w:pStyle w:val="ListParagraph"/>
              <w:ind w:left="0"/>
              <w:jc w:val="center"/>
              <w:rPr>
                <w:rFonts w:ascii="Times New Roman" w:hAnsi="Times New Roman" w:cs="Times New Roman"/>
                <w:lang w:val="lv-LV"/>
              </w:rPr>
            </w:pPr>
            <w:r w:rsidRPr="00880EC7">
              <w:rPr>
                <w:rFonts w:ascii="Times New Roman" w:hAnsi="Times New Roman" w:cs="Times New Roman"/>
                <w:lang w:val="lv-LV"/>
              </w:rPr>
              <w:t>425 668,00</w:t>
            </w:r>
          </w:p>
        </w:tc>
      </w:tr>
    </w:tbl>
    <w:p w14:paraId="39B1371F" w14:textId="77777777" w:rsidR="001D1FD7" w:rsidRPr="00A36741" w:rsidRDefault="001D1FD7" w:rsidP="007749E4">
      <w:pPr>
        <w:ind w:firstLine="720"/>
        <w:jc w:val="both"/>
        <w:rPr>
          <w:rFonts w:ascii="Times New Roman" w:hAnsi="Times New Roman" w:cs="Times New Roman"/>
          <w:sz w:val="12"/>
          <w:szCs w:val="12"/>
          <w:lang w:val="lv-LV"/>
        </w:rPr>
      </w:pPr>
    </w:p>
    <w:p w14:paraId="34090B06" w14:textId="611841CB" w:rsidR="005962D2" w:rsidRPr="002C5745" w:rsidRDefault="001D1FD7" w:rsidP="007749E4">
      <w:pPr>
        <w:ind w:firstLine="720"/>
        <w:jc w:val="both"/>
        <w:rPr>
          <w:rFonts w:ascii="Times New Roman" w:hAnsi="Times New Roman" w:cs="Times New Roman"/>
          <w:sz w:val="26"/>
          <w:szCs w:val="26"/>
          <w:lang w:val="lv-LV"/>
        </w:rPr>
      </w:pPr>
      <w:r>
        <w:rPr>
          <w:rFonts w:ascii="Times New Roman" w:hAnsi="Times New Roman" w:cs="Times New Roman"/>
          <w:sz w:val="26"/>
          <w:szCs w:val="26"/>
          <w:lang w:val="lv-LV"/>
        </w:rPr>
        <w:t>R</w:t>
      </w:r>
      <w:r w:rsidR="007749E4" w:rsidRPr="002C5745">
        <w:rPr>
          <w:rFonts w:ascii="Times New Roman" w:hAnsi="Times New Roman" w:cs="Times New Roman"/>
          <w:sz w:val="26"/>
          <w:szCs w:val="26"/>
          <w:lang w:val="lv-LV"/>
        </w:rPr>
        <w:t>egulējums</w:t>
      </w:r>
      <w:r w:rsidR="006E4CDC" w:rsidRPr="002C5745">
        <w:rPr>
          <w:rFonts w:ascii="Times New Roman" w:hAnsi="Times New Roman" w:cs="Times New Roman"/>
          <w:sz w:val="26"/>
          <w:szCs w:val="26"/>
          <w:lang w:val="lv-LV"/>
        </w:rPr>
        <w:t>, kas paredz samazinātu</w:t>
      </w:r>
      <w:r w:rsidR="007749E4" w:rsidRPr="002C5745">
        <w:rPr>
          <w:rFonts w:ascii="Times New Roman" w:hAnsi="Times New Roman" w:cs="Times New Roman"/>
          <w:sz w:val="26"/>
          <w:szCs w:val="26"/>
          <w:lang w:val="lv-LV"/>
        </w:rPr>
        <w:t xml:space="preserve"> nokavējuma naudas likme</w:t>
      </w:r>
      <w:r w:rsidR="006E4CDC" w:rsidRPr="002C5745">
        <w:rPr>
          <w:rFonts w:ascii="Times New Roman" w:hAnsi="Times New Roman" w:cs="Times New Roman"/>
          <w:sz w:val="26"/>
          <w:szCs w:val="26"/>
          <w:lang w:val="lv-LV"/>
        </w:rPr>
        <w:t>s piemērošanu</w:t>
      </w:r>
      <w:r w:rsidR="007749E4" w:rsidRPr="002C5745">
        <w:rPr>
          <w:rFonts w:ascii="Times New Roman" w:hAnsi="Times New Roman" w:cs="Times New Roman"/>
          <w:sz w:val="26"/>
          <w:szCs w:val="26"/>
          <w:lang w:val="lv-LV"/>
        </w:rPr>
        <w:t xml:space="preserve"> </w:t>
      </w:r>
      <w:r w:rsidR="000A0227">
        <w:rPr>
          <w:rFonts w:ascii="Times New Roman" w:hAnsi="Times New Roman" w:cs="Times New Roman"/>
          <w:sz w:val="26"/>
          <w:szCs w:val="26"/>
          <w:lang w:val="lv-LV"/>
        </w:rPr>
        <w:t xml:space="preserve">vai </w:t>
      </w:r>
      <w:r w:rsidR="007749E4" w:rsidRPr="002C5745">
        <w:rPr>
          <w:rFonts w:ascii="Times New Roman" w:hAnsi="Times New Roman" w:cs="Times New Roman"/>
          <w:sz w:val="26"/>
          <w:szCs w:val="26"/>
          <w:lang w:val="lv-LV"/>
        </w:rPr>
        <w:t>atbrīvojum</w:t>
      </w:r>
      <w:r w:rsidR="006E4CDC" w:rsidRPr="002C5745">
        <w:rPr>
          <w:rFonts w:ascii="Times New Roman" w:hAnsi="Times New Roman" w:cs="Times New Roman"/>
          <w:sz w:val="26"/>
          <w:szCs w:val="26"/>
          <w:lang w:val="lv-LV"/>
        </w:rPr>
        <w:t>u</w:t>
      </w:r>
      <w:r w:rsidR="007749E4" w:rsidRPr="002C5745">
        <w:rPr>
          <w:rFonts w:ascii="Times New Roman" w:hAnsi="Times New Roman" w:cs="Times New Roman"/>
          <w:sz w:val="26"/>
          <w:szCs w:val="26"/>
          <w:lang w:val="lv-LV"/>
        </w:rPr>
        <w:t xml:space="preserve"> no nokavējuma naudas </w:t>
      </w:r>
      <w:r w:rsidR="006E4CDC" w:rsidRPr="002C5745">
        <w:rPr>
          <w:rFonts w:ascii="Times New Roman" w:hAnsi="Times New Roman" w:cs="Times New Roman"/>
          <w:sz w:val="26"/>
          <w:szCs w:val="26"/>
          <w:lang w:val="lv-LV"/>
        </w:rPr>
        <w:t>aprēķināšanas,</w:t>
      </w:r>
      <w:r w:rsidR="007749E4" w:rsidRPr="002C5745">
        <w:rPr>
          <w:rFonts w:ascii="Times New Roman" w:hAnsi="Times New Roman" w:cs="Times New Roman"/>
          <w:sz w:val="26"/>
          <w:szCs w:val="26"/>
          <w:lang w:val="lv-LV"/>
        </w:rPr>
        <w:t xml:space="preserve"> ir izstrādāts ar mērķi motivēt </w:t>
      </w:r>
      <w:r w:rsidR="006C1FA7" w:rsidRPr="002C5745">
        <w:rPr>
          <w:rFonts w:ascii="Times New Roman" w:hAnsi="Times New Roman" w:cs="Times New Roman"/>
          <w:sz w:val="26"/>
          <w:szCs w:val="26"/>
          <w:lang w:val="lv-LV"/>
        </w:rPr>
        <w:t xml:space="preserve">godprātīgus </w:t>
      </w:r>
      <w:r w:rsidR="007749E4" w:rsidRPr="002C5745">
        <w:rPr>
          <w:rFonts w:ascii="Times New Roman" w:hAnsi="Times New Roman" w:cs="Times New Roman"/>
          <w:sz w:val="26"/>
          <w:szCs w:val="26"/>
          <w:lang w:val="lv-LV"/>
        </w:rPr>
        <w:t xml:space="preserve">nodokļu maksātājus veikt aktīvu sadarbību ar nodokļu administrāciju savu nodokļu saistību pildīšanā. </w:t>
      </w:r>
    </w:p>
    <w:p w14:paraId="59F8A910" w14:textId="63BBD9F6" w:rsidR="005962D2" w:rsidRPr="002C5745" w:rsidRDefault="005962D2" w:rsidP="005962D2">
      <w:pPr>
        <w:ind w:firstLine="720"/>
        <w:jc w:val="both"/>
        <w:rPr>
          <w:rFonts w:ascii="Times New Roman" w:hAnsi="Times New Roman" w:cs="Times New Roman"/>
          <w:sz w:val="26"/>
          <w:szCs w:val="26"/>
          <w:lang w:val="lv-LV"/>
        </w:rPr>
      </w:pPr>
      <w:r w:rsidRPr="002C5745">
        <w:rPr>
          <w:rFonts w:ascii="Times New Roman" w:hAnsi="Times New Roman" w:cs="Times New Roman"/>
          <w:sz w:val="26"/>
          <w:szCs w:val="26"/>
          <w:lang w:val="lv-LV"/>
        </w:rPr>
        <w:t>Kā atzīts tiesību literatūrā, pozitīvās (rakstītās) tiesības ir jārespektē, lai tiktu garantēta tiesiskā drošība un tiesību sistēmas funkcionēšana</w:t>
      </w:r>
      <w:r w:rsidR="000A0227">
        <w:rPr>
          <w:rStyle w:val="FootnoteReference"/>
          <w:rFonts w:ascii="Times New Roman" w:hAnsi="Times New Roman" w:cs="Times New Roman"/>
          <w:sz w:val="26"/>
          <w:szCs w:val="26"/>
          <w:lang w:val="lv-LV"/>
        </w:rPr>
        <w:footnoteReference w:id="14"/>
      </w:r>
      <w:r w:rsidRPr="002C5745">
        <w:rPr>
          <w:rFonts w:ascii="Times New Roman" w:hAnsi="Times New Roman" w:cs="Times New Roman"/>
          <w:sz w:val="26"/>
          <w:szCs w:val="26"/>
          <w:lang w:val="lv-LV"/>
        </w:rPr>
        <w:t>.</w:t>
      </w:r>
    </w:p>
    <w:p w14:paraId="337ABA62" w14:textId="38A58F6E" w:rsidR="007749E4" w:rsidRPr="002C5745" w:rsidRDefault="007749E4" w:rsidP="007749E4">
      <w:pPr>
        <w:ind w:firstLine="720"/>
        <w:jc w:val="both"/>
        <w:rPr>
          <w:rFonts w:ascii="Times New Roman" w:hAnsi="Times New Roman" w:cs="Times New Roman"/>
          <w:sz w:val="26"/>
          <w:szCs w:val="26"/>
          <w:lang w:val="lv-LV"/>
        </w:rPr>
      </w:pPr>
      <w:r w:rsidRPr="002C5745">
        <w:rPr>
          <w:rFonts w:ascii="Times New Roman" w:hAnsi="Times New Roman" w:cs="Times New Roman"/>
          <w:sz w:val="26"/>
          <w:szCs w:val="26"/>
          <w:lang w:val="lv-LV"/>
        </w:rPr>
        <w:lastRenderedPageBreak/>
        <w:t>Sniedzot atbalstu nodokļu maksātājiem,</w:t>
      </w:r>
      <w:r w:rsidR="006E4CDC" w:rsidRPr="002C5745">
        <w:rPr>
          <w:rFonts w:ascii="Times New Roman" w:hAnsi="Times New Roman" w:cs="Times New Roman"/>
          <w:sz w:val="26"/>
          <w:szCs w:val="26"/>
          <w:lang w:val="lv-LV"/>
        </w:rPr>
        <w:t xml:space="preserve"> </w:t>
      </w:r>
      <w:r w:rsidRPr="002C5745">
        <w:rPr>
          <w:rFonts w:ascii="Times New Roman" w:hAnsi="Times New Roman" w:cs="Times New Roman"/>
          <w:sz w:val="26"/>
          <w:szCs w:val="26"/>
          <w:lang w:val="lv-LV"/>
        </w:rPr>
        <w:t>tiek veicināta pozitīva sadarbība ar nodokļu administrāciju, veidojot uzticību valstij un radot pārliecību, ka valsts ir gatava atbalstīt nodokļu maksātājus un sekmēt uzņēmējdarbības vides izaugsmes iespējas.</w:t>
      </w:r>
    </w:p>
    <w:p w14:paraId="064D06D7" w14:textId="77777777" w:rsidR="00E56D83" w:rsidRPr="002C5745" w:rsidRDefault="003D3E2C" w:rsidP="00E56D83">
      <w:pPr>
        <w:ind w:firstLine="720"/>
        <w:jc w:val="both"/>
        <w:rPr>
          <w:rFonts w:ascii="Times New Roman" w:hAnsi="Times New Roman" w:cs="Times New Roman"/>
          <w:sz w:val="26"/>
          <w:szCs w:val="26"/>
          <w:lang w:val="lv-LV"/>
        </w:rPr>
      </w:pPr>
      <w:r w:rsidRPr="002C5745">
        <w:rPr>
          <w:rFonts w:ascii="Times New Roman" w:hAnsi="Times New Roman" w:cs="Times New Roman"/>
          <w:sz w:val="26"/>
          <w:szCs w:val="26"/>
          <w:lang w:val="lv-LV"/>
        </w:rPr>
        <w:t>Tomēr a</w:t>
      </w:r>
      <w:r w:rsidR="006C1FA7" w:rsidRPr="002C5745">
        <w:rPr>
          <w:rFonts w:ascii="Times New Roman" w:hAnsi="Times New Roman" w:cs="Times New Roman"/>
          <w:sz w:val="26"/>
          <w:szCs w:val="26"/>
          <w:lang w:val="lv-LV"/>
        </w:rPr>
        <w:t xml:space="preserve">pstāklim, ka nodokļu maksātājs aktīvi vēlas veikt sadarbību ar nodokļu administrāciju </w:t>
      </w:r>
      <w:r w:rsidR="00A74718" w:rsidRPr="002C5745">
        <w:rPr>
          <w:rFonts w:ascii="Times New Roman" w:hAnsi="Times New Roman" w:cs="Times New Roman"/>
          <w:sz w:val="26"/>
          <w:szCs w:val="26"/>
          <w:lang w:val="lv-LV"/>
        </w:rPr>
        <w:t xml:space="preserve">nodokļu samaksas termiņa pagarinājuma piešķiršanā, </w:t>
      </w:r>
      <w:r w:rsidR="006C1FA7" w:rsidRPr="002C5745">
        <w:rPr>
          <w:rFonts w:ascii="Times New Roman" w:hAnsi="Times New Roman" w:cs="Times New Roman"/>
          <w:sz w:val="26"/>
          <w:szCs w:val="26"/>
          <w:lang w:val="lv-LV"/>
        </w:rPr>
        <w:t>nav izšķiro</w:t>
      </w:r>
      <w:r w:rsidR="00A74718" w:rsidRPr="002C5745">
        <w:rPr>
          <w:rFonts w:ascii="Times New Roman" w:hAnsi="Times New Roman" w:cs="Times New Roman"/>
          <w:sz w:val="26"/>
          <w:szCs w:val="26"/>
          <w:lang w:val="lv-LV"/>
        </w:rPr>
        <w:t>šas nozīmes</w:t>
      </w:r>
      <w:r w:rsidRPr="002C5745">
        <w:rPr>
          <w:rFonts w:ascii="Times New Roman" w:hAnsi="Times New Roman" w:cs="Times New Roman"/>
          <w:sz w:val="26"/>
          <w:szCs w:val="26"/>
          <w:lang w:val="lv-LV"/>
        </w:rPr>
        <w:t xml:space="preserve"> samaksas termiņa pagarinājuma piešķiršanā</w:t>
      </w:r>
      <w:r w:rsidR="00A74718" w:rsidRPr="002C5745">
        <w:rPr>
          <w:rFonts w:ascii="Times New Roman" w:hAnsi="Times New Roman" w:cs="Times New Roman"/>
          <w:sz w:val="26"/>
          <w:szCs w:val="26"/>
          <w:lang w:val="lv-LV"/>
        </w:rPr>
        <w:t>,</w:t>
      </w:r>
      <w:r w:rsidR="006C1FA7" w:rsidRPr="002C5745">
        <w:rPr>
          <w:rFonts w:ascii="Times New Roman" w:hAnsi="Times New Roman" w:cs="Times New Roman"/>
          <w:sz w:val="26"/>
          <w:szCs w:val="26"/>
          <w:lang w:val="lv-LV"/>
        </w:rPr>
        <w:t xml:space="preserve"> ņemot vērā, ka nodokļu administrācijai, izskatot nodokļu maksātāja </w:t>
      </w:r>
      <w:r w:rsidRPr="002C5745">
        <w:rPr>
          <w:rFonts w:ascii="Times New Roman" w:hAnsi="Times New Roman" w:cs="Times New Roman"/>
          <w:sz w:val="26"/>
          <w:szCs w:val="26"/>
          <w:lang w:val="lv-LV"/>
        </w:rPr>
        <w:t xml:space="preserve">motivēto </w:t>
      </w:r>
      <w:r w:rsidR="006C1FA7" w:rsidRPr="002C5745">
        <w:rPr>
          <w:rFonts w:ascii="Times New Roman" w:hAnsi="Times New Roman" w:cs="Times New Roman"/>
          <w:sz w:val="26"/>
          <w:szCs w:val="26"/>
          <w:lang w:val="lv-LV"/>
        </w:rPr>
        <w:t>iesniegumu, ir</w:t>
      </w:r>
      <w:r w:rsidRPr="002C5745">
        <w:rPr>
          <w:rFonts w:ascii="Times New Roman" w:hAnsi="Times New Roman" w:cs="Times New Roman"/>
          <w:sz w:val="26"/>
          <w:szCs w:val="26"/>
          <w:lang w:val="lv-LV"/>
        </w:rPr>
        <w:t>, pirmkārt,</w:t>
      </w:r>
      <w:r w:rsidR="006C1FA7" w:rsidRPr="002C5745">
        <w:rPr>
          <w:rFonts w:ascii="Times New Roman" w:hAnsi="Times New Roman" w:cs="Times New Roman"/>
          <w:sz w:val="26"/>
          <w:szCs w:val="26"/>
          <w:lang w:val="lv-LV"/>
        </w:rPr>
        <w:t xml:space="preserve"> </w:t>
      </w:r>
      <w:r w:rsidR="00E56D83" w:rsidRPr="002C5745">
        <w:rPr>
          <w:rFonts w:ascii="Times New Roman" w:hAnsi="Times New Roman" w:cs="Times New Roman"/>
          <w:sz w:val="26"/>
          <w:szCs w:val="26"/>
          <w:lang w:val="lv-LV"/>
        </w:rPr>
        <w:t>jāvērtē nodokļu maksātāja faktiskais finansiālais stāvoklis un</w:t>
      </w:r>
      <w:r w:rsidRPr="002C5745">
        <w:rPr>
          <w:rFonts w:ascii="Times New Roman" w:hAnsi="Times New Roman" w:cs="Times New Roman"/>
          <w:sz w:val="26"/>
          <w:szCs w:val="26"/>
          <w:lang w:val="lv-LV"/>
        </w:rPr>
        <w:t>, otrkārt,</w:t>
      </w:r>
      <w:r w:rsidR="00E56D83" w:rsidRPr="002C5745">
        <w:rPr>
          <w:rFonts w:ascii="Times New Roman" w:hAnsi="Times New Roman" w:cs="Times New Roman"/>
          <w:sz w:val="26"/>
          <w:szCs w:val="26"/>
          <w:lang w:val="lv-LV"/>
        </w:rPr>
        <w:t xml:space="preserve"> </w:t>
      </w:r>
      <w:r w:rsidR="006C1FA7" w:rsidRPr="002C5745">
        <w:rPr>
          <w:rFonts w:ascii="Times New Roman" w:hAnsi="Times New Roman" w:cs="Times New Roman"/>
          <w:sz w:val="26"/>
          <w:szCs w:val="26"/>
          <w:lang w:val="lv-LV"/>
        </w:rPr>
        <w:t>likuma “Par nodokļiem un nodevām” 24. panta 1.</w:t>
      </w:r>
      <w:r w:rsidR="006C1FA7" w:rsidRPr="002C5745">
        <w:rPr>
          <w:rFonts w:ascii="Times New Roman" w:hAnsi="Times New Roman" w:cs="Times New Roman"/>
          <w:sz w:val="26"/>
          <w:szCs w:val="26"/>
          <w:vertAlign w:val="superscript"/>
          <w:lang w:val="lv-LV"/>
        </w:rPr>
        <w:t>1</w:t>
      </w:r>
      <w:r w:rsidR="006C1FA7" w:rsidRPr="002C5745">
        <w:rPr>
          <w:rFonts w:ascii="Times New Roman" w:hAnsi="Times New Roman" w:cs="Times New Roman"/>
          <w:sz w:val="26"/>
          <w:szCs w:val="26"/>
          <w:lang w:val="lv-LV"/>
        </w:rPr>
        <w:t> , 1.</w:t>
      </w:r>
      <w:r w:rsidR="006C1FA7" w:rsidRPr="002C5745">
        <w:rPr>
          <w:rFonts w:ascii="Times New Roman" w:hAnsi="Times New Roman" w:cs="Times New Roman"/>
          <w:sz w:val="26"/>
          <w:szCs w:val="26"/>
          <w:vertAlign w:val="superscript"/>
          <w:lang w:val="lv-LV"/>
        </w:rPr>
        <w:t>3</w:t>
      </w:r>
      <w:r w:rsidR="006C1FA7" w:rsidRPr="002C5745">
        <w:rPr>
          <w:rFonts w:ascii="Times New Roman" w:hAnsi="Times New Roman" w:cs="Times New Roman"/>
          <w:sz w:val="26"/>
          <w:szCs w:val="26"/>
          <w:lang w:val="lv-LV"/>
        </w:rPr>
        <w:t>, 1.</w:t>
      </w:r>
      <w:r w:rsidR="006C1FA7" w:rsidRPr="002C5745">
        <w:rPr>
          <w:rFonts w:ascii="Times New Roman" w:hAnsi="Times New Roman" w:cs="Times New Roman"/>
          <w:sz w:val="26"/>
          <w:szCs w:val="26"/>
          <w:vertAlign w:val="superscript"/>
          <w:lang w:val="lv-LV"/>
        </w:rPr>
        <w:t>6</w:t>
      </w:r>
      <w:r w:rsidR="006C1FA7" w:rsidRPr="002C5745">
        <w:rPr>
          <w:rFonts w:ascii="Times New Roman" w:hAnsi="Times New Roman" w:cs="Times New Roman"/>
          <w:sz w:val="26"/>
          <w:szCs w:val="26"/>
          <w:lang w:val="lv-LV"/>
        </w:rPr>
        <w:t> </w:t>
      </w:r>
      <w:r w:rsidR="00E56D83" w:rsidRPr="002C5745">
        <w:rPr>
          <w:rFonts w:ascii="Times New Roman" w:hAnsi="Times New Roman" w:cs="Times New Roman"/>
          <w:sz w:val="26"/>
          <w:szCs w:val="26"/>
          <w:lang w:val="lv-LV"/>
        </w:rPr>
        <w:t>daļā minētie</w:t>
      </w:r>
      <w:r w:rsidR="006C1FA7" w:rsidRPr="002C5745">
        <w:rPr>
          <w:rFonts w:ascii="Times New Roman" w:hAnsi="Times New Roman" w:cs="Times New Roman"/>
          <w:sz w:val="26"/>
          <w:szCs w:val="26"/>
          <w:lang w:val="lv-LV"/>
        </w:rPr>
        <w:t xml:space="preserve"> </w:t>
      </w:r>
      <w:r w:rsidR="0090702E" w:rsidRPr="002C5745">
        <w:rPr>
          <w:rFonts w:ascii="Times New Roman" w:hAnsi="Times New Roman" w:cs="Times New Roman"/>
          <w:sz w:val="26"/>
          <w:szCs w:val="26"/>
          <w:lang w:val="lv-LV"/>
        </w:rPr>
        <w:t>nosacījumi</w:t>
      </w:r>
      <w:r w:rsidR="00E56D83" w:rsidRPr="002C5745">
        <w:rPr>
          <w:rFonts w:ascii="Times New Roman" w:hAnsi="Times New Roman" w:cs="Times New Roman"/>
          <w:sz w:val="26"/>
          <w:szCs w:val="26"/>
          <w:lang w:val="lv-LV"/>
        </w:rPr>
        <w:t>, kā piemēram</w:t>
      </w:r>
      <w:r w:rsidR="00E56D83" w:rsidRPr="002C5745">
        <w:rPr>
          <w:rStyle w:val="FootnoteReference"/>
          <w:rFonts w:ascii="Times New Roman" w:hAnsi="Times New Roman" w:cs="Times New Roman"/>
          <w:sz w:val="26"/>
          <w:szCs w:val="26"/>
          <w:lang w:val="lv-LV"/>
        </w:rPr>
        <w:footnoteReference w:id="15"/>
      </w:r>
      <w:r w:rsidR="00E56D83" w:rsidRPr="002C5745">
        <w:rPr>
          <w:rFonts w:ascii="Times New Roman" w:hAnsi="Times New Roman" w:cs="Times New Roman"/>
          <w:sz w:val="26"/>
          <w:szCs w:val="26"/>
          <w:lang w:val="lv-LV"/>
        </w:rPr>
        <w:t>:</w:t>
      </w:r>
    </w:p>
    <w:p w14:paraId="540C1349" w14:textId="77777777" w:rsidR="007749E4" w:rsidRPr="002C5745" w:rsidRDefault="007749E4" w:rsidP="00E56D83">
      <w:pPr>
        <w:ind w:firstLine="720"/>
        <w:jc w:val="both"/>
        <w:rPr>
          <w:rFonts w:ascii="Times New Roman" w:hAnsi="Times New Roman" w:cs="Times New Roman"/>
          <w:sz w:val="26"/>
          <w:szCs w:val="26"/>
          <w:lang w:val="lv-LV"/>
        </w:rPr>
      </w:pPr>
      <w:r w:rsidRPr="002C5745">
        <w:rPr>
          <w:rFonts w:ascii="Times New Roman" w:hAnsi="Times New Roman" w:cs="Times New Roman"/>
          <w:sz w:val="26"/>
          <w:szCs w:val="26"/>
          <w:lang w:val="lv-LV"/>
        </w:rPr>
        <w:t>1) vai nodokļu maksātājs ievēro konkrēto nodokli regulējošajos normatīvajos aktos noteiktos nodokļu kārtējo maksājumu samaksas termiņus;</w:t>
      </w:r>
    </w:p>
    <w:p w14:paraId="6E4CC5A9" w14:textId="77777777" w:rsidR="007749E4" w:rsidRPr="002C5745" w:rsidRDefault="007749E4" w:rsidP="007749E4">
      <w:pPr>
        <w:pStyle w:val="tv2132"/>
        <w:spacing w:line="240" w:lineRule="auto"/>
        <w:ind w:firstLine="720"/>
        <w:jc w:val="both"/>
        <w:rPr>
          <w:color w:val="auto"/>
          <w:sz w:val="26"/>
          <w:szCs w:val="26"/>
        </w:rPr>
      </w:pPr>
      <w:r w:rsidRPr="002C5745">
        <w:rPr>
          <w:color w:val="auto"/>
          <w:sz w:val="26"/>
          <w:szCs w:val="26"/>
        </w:rPr>
        <w:t>2) vai nodokļu maksātājam ar nodokļu administrācijas lēmumu agrāk ir piešķirti nodokļu maksājumu samaksas termiņu pagarinājumi un vai nodokļu maksātājs ir ievērojis tajos noteikto nodokļu maksājumu samaksas kārtību;</w:t>
      </w:r>
    </w:p>
    <w:p w14:paraId="1247E50D" w14:textId="77777777" w:rsidR="007749E4" w:rsidRPr="002C5745" w:rsidRDefault="007749E4" w:rsidP="007749E4">
      <w:pPr>
        <w:pStyle w:val="tv2132"/>
        <w:spacing w:line="240" w:lineRule="auto"/>
        <w:ind w:firstLine="720"/>
        <w:jc w:val="both"/>
        <w:rPr>
          <w:color w:val="auto"/>
          <w:sz w:val="26"/>
          <w:szCs w:val="26"/>
        </w:rPr>
      </w:pPr>
      <w:r w:rsidRPr="002C5745">
        <w:rPr>
          <w:color w:val="auto"/>
          <w:sz w:val="26"/>
          <w:szCs w:val="26"/>
        </w:rPr>
        <w:t>3) vai nodokļu maksātājs ievēro nodokļu jomu regulējošajos normatīvajos aktos noteiktos nodokļu un informatīvo deklarāciju iesniegšanas termiņus;</w:t>
      </w:r>
    </w:p>
    <w:p w14:paraId="6B2AD28D" w14:textId="77777777" w:rsidR="007749E4" w:rsidRPr="002C5745" w:rsidRDefault="007749E4" w:rsidP="007749E4">
      <w:pPr>
        <w:pStyle w:val="tv2132"/>
        <w:spacing w:line="240" w:lineRule="auto"/>
        <w:ind w:firstLine="720"/>
        <w:jc w:val="both"/>
        <w:rPr>
          <w:color w:val="auto"/>
          <w:sz w:val="26"/>
          <w:szCs w:val="26"/>
        </w:rPr>
      </w:pPr>
      <w:r w:rsidRPr="002C5745">
        <w:rPr>
          <w:color w:val="auto"/>
          <w:sz w:val="26"/>
          <w:szCs w:val="26"/>
        </w:rPr>
        <w:t>4) vai nodokļu maksātājs sadarbojas ar nodokļu administrāciju;</w:t>
      </w:r>
    </w:p>
    <w:p w14:paraId="64DC5937" w14:textId="77777777" w:rsidR="007749E4" w:rsidRPr="002C5745" w:rsidRDefault="007749E4" w:rsidP="007749E4">
      <w:pPr>
        <w:pStyle w:val="ListParagraph"/>
        <w:ind w:left="0" w:firstLine="720"/>
        <w:jc w:val="both"/>
        <w:rPr>
          <w:rFonts w:ascii="Times New Roman" w:hAnsi="Times New Roman" w:cs="Times New Roman"/>
          <w:sz w:val="26"/>
          <w:szCs w:val="26"/>
          <w:lang w:val="lv-LV"/>
        </w:rPr>
      </w:pPr>
      <w:r w:rsidRPr="002C5745">
        <w:rPr>
          <w:rFonts w:ascii="Times New Roman" w:hAnsi="Times New Roman" w:cs="Times New Roman"/>
          <w:sz w:val="26"/>
          <w:szCs w:val="26"/>
          <w:lang w:val="lv-LV"/>
        </w:rPr>
        <w:t>5) vai pēdējās nodokļu revīzijas (audita) laikā nodokļu maksātājam nav konstatēti pārkāpumi.</w:t>
      </w:r>
    </w:p>
    <w:p w14:paraId="745785B1" w14:textId="77777777" w:rsidR="007749E4" w:rsidRPr="002C5745" w:rsidRDefault="007749E4" w:rsidP="007749E4">
      <w:pPr>
        <w:ind w:firstLine="720"/>
        <w:jc w:val="both"/>
        <w:rPr>
          <w:rFonts w:ascii="Times New Roman" w:eastAsia="Times New Roman" w:hAnsi="Times New Roman" w:cs="Times New Roman"/>
          <w:sz w:val="26"/>
          <w:szCs w:val="26"/>
          <w:lang w:val="lv-LV" w:eastAsia="lv-LV"/>
        </w:rPr>
      </w:pPr>
      <w:r w:rsidRPr="002C5745">
        <w:rPr>
          <w:rFonts w:ascii="Times New Roman" w:eastAsia="Times New Roman" w:hAnsi="Times New Roman" w:cs="Times New Roman"/>
          <w:sz w:val="26"/>
          <w:szCs w:val="26"/>
          <w:lang w:val="lv-LV" w:eastAsia="lv-LV"/>
        </w:rPr>
        <w:t>Saskaņā ar Komerclikuma 169.</w:t>
      </w:r>
      <w:r w:rsidR="00E56D83" w:rsidRPr="002C5745">
        <w:rPr>
          <w:rFonts w:ascii="Times New Roman" w:eastAsia="Times New Roman" w:hAnsi="Times New Roman" w:cs="Times New Roman"/>
          <w:sz w:val="26"/>
          <w:szCs w:val="26"/>
          <w:lang w:val="lv-LV" w:eastAsia="lv-LV"/>
        </w:rPr>
        <w:t> </w:t>
      </w:r>
      <w:r w:rsidRPr="002C5745">
        <w:rPr>
          <w:rFonts w:ascii="Times New Roman" w:eastAsia="Times New Roman" w:hAnsi="Times New Roman" w:cs="Times New Roman"/>
          <w:sz w:val="26"/>
          <w:szCs w:val="26"/>
          <w:lang w:val="lv-LV" w:eastAsia="lv-LV"/>
        </w:rPr>
        <w:t>panta pirmo daļu valdes loceklim savi pienākumi jāpilda kā krietnam u</w:t>
      </w:r>
      <w:r w:rsidR="004841C0" w:rsidRPr="002C5745">
        <w:rPr>
          <w:rFonts w:ascii="Times New Roman" w:eastAsia="Times New Roman" w:hAnsi="Times New Roman" w:cs="Times New Roman"/>
          <w:sz w:val="26"/>
          <w:szCs w:val="26"/>
          <w:lang w:val="lv-LV" w:eastAsia="lv-LV"/>
        </w:rPr>
        <w:t>n rūpīgam saimniekam. Jēdziens “</w:t>
      </w:r>
      <w:r w:rsidRPr="002C5745">
        <w:rPr>
          <w:rFonts w:ascii="Times New Roman" w:eastAsia="Times New Roman" w:hAnsi="Times New Roman" w:cs="Times New Roman"/>
          <w:sz w:val="26"/>
          <w:szCs w:val="26"/>
          <w:lang w:val="lv-LV" w:eastAsia="lv-LV"/>
        </w:rPr>
        <w:t xml:space="preserve">krietns un rūpīgs saimnieks” cita starp ietver sevī prasību ievērot normatīvos aktus, lēmumu pieņemšanas rūpību un savlaicīgu pienākumu pildīšanu. Lēmuma pieņemšanas rūpība nozīmē, ka lietā, darījumā vai darbībā valdes loceklim ir jārīkojas maksimāli efektīvi, precīzi, tiesiski, prognozējot iespējamā lēmuma sekas </w:t>
      </w:r>
      <w:r w:rsidRPr="002C5745">
        <w:rPr>
          <w:rFonts w:ascii="Times New Roman" w:eastAsia="Times New Roman" w:hAnsi="Times New Roman" w:cs="Times New Roman"/>
          <w:i/>
          <w:sz w:val="26"/>
          <w:szCs w:val="26"/>
          <w:lang w:val="lv-LV" w:eastAsia="lv-LV"/>
        </w:rPr>
        <w:t>(</w:t>
      </w:r>
      <w:r w:rsidRPr="002C5745">
        <w:rPr>
          <w:rFonts w:ascii="Times New Roman" w:eastAsia="Times New Roman" w:hAnsi="Times New Roman" w:cs="Times New Roman"/>
          <w:i/>
          <w:iCs/>
          <w:sz w:val="26"/>
          <w:szCs w:val="26"/>
          <w:lang w:val="lv-LV" w:eastAsia="lv-LV"/>
        </w:rPr>
        <w:t>skat. L.Abramoviča Krietna saimnieka rūpības nozīme Komerclikumā./Jurista Vārds, Nr.</w:t>
      </w:r>
      <w:r w:rsidR="003D3E2C" w:rsidRPr="002C5745">
        <w:rPr>
          <w:rFonts w:ascii="Times New Roman" w:eastAsia="Times New Roman" w:hAnsi="Times New Roman" w:cs="Times New Roman"/>
          <w:i/>
          <w:iCs/>
          <w:sz w:val="26"/>
          <w:szCs w:val="26"/>
          <w:lang w:val="lv-LV" w:eastAsia="lv-LV"/>
        </w:rPr>
        <w:t> </w:t>
      </w:r>
      <w:r w:rsidRPr="002C5745">
        <w:rPr>
          <w:rFonts w:ascii="Times New Roman" w:eastAsia="Times New Roman" w:hAnsi="Times New Roman" w:cs="Times New Roman"/>
          <w:i/>
          <w:iCs/>
          <w:sz w:val="26"/>
          <w:szCs w:val="26"/>
          <w:lang w:val="lv-LV" w:eastAsia="lv-LV"/>
        </w:rPr>
        <w:t>44 (447) 2006.</w:t>
      </w:r>
      <w:r w:rsidR="003D3E2C" w:rsidRPr="002C5745">
        <w:rPr>
          <w:rFonts w:ascii="Times New Roman" w:eastAsia="Times New Roman" w:hAnsi="Times New Roman" w:cs="Times New Roman"/>
          <w:i/>
          <w:iCs/>
          <w:sz w:val="26"/>
          <w:szCs w:val="26"/>
          <w:lang w:val="lv-LV" w:eastAsia="lv-LV"/>
        </w:rPr>
        <w:t> </w:t>
      </w:r>
      <w:r w:rsidRPr="002C5745">
        <w:rPr>
          <w:rFonts w:ascii="Times New Roman" w:eastAsia="Times New Roman" w:hAnsi="Times New Roman" w:cs="Times New Roman"/>
          <w:i/>
          <w:iCs/>
          <w:sz w:val="26"/>
          <w:szCs w:val="26"/>
          <w:lang w:val="lv-LV" w:eastAsia="lv-LV"/>
        </w:rPr>
        <w:t>gada 7.</w:t>
      </w:r>
      <w:r w:rsidR="003D3E2C" w:rsidRPr="002C5745">
        <w:rPr>
          <w:rFonts w:ascii="Times New Roman" w:eastAsia="Times New Roman" w:hAnsi="Times New Roman" w:cs="Times New Roman"/>
          <w:i/>
          <w:iCs/>
          <w:sz w:val="26"/>
          <w:szCs w:val="26"/>
          <w:lang w:val="lv-LV" w:eastAsia="lv-LV"/>
        </w:rPr>
        <w:t> </w:t>
      </w:r>
      <w:r w:rsidRPr="002C5745">
        <w:rPr>
          <w:rFonts w:ascii="Times New Roman" w:eastAsia="Times New Roman" w:hAnsi="Times New Roman" w:cs="Times New Roman"/>
          <w:i/>
          <w:iCs/>
          <w:sz w:val="26"/>
          <w:szCs w:val="26"/>
          <w:lang w:val="lv-LV" w:eastAsia="lv-LV"/>
        </w:rPr>
        <w:t>novembris</w:t>
      </w:r>
      <w:r w:rsidRPr="002C5745">
        <w:rPr>
          <w:rFonts w:ascii="Times New Roman" w:eastAsia="Times New Roman" w:hAnsi="Times New Roman" w:cs="Times New Roman"/>
          <w:i/>
          <w:sz w:val="26"/>
          <w:szCs w:val="26"/>
          <w:lang w:val="lv-LV" w:eastAsia="lv-LV"/>
        </w:rPr>
        <w:t>)</w:t>
      </w:r>
      <w:r w:rsidRPr="002C5745">
        <w:rPr>
          <w:rFonts w:ascii="Times New Roman" w:eastAsia="Times New Roman" w:hAnsi="Times New Roman" w:cs="Times New Roman"/>
          <w:sz w:val="26"/>
          <w:szCs w:val="26"/>
          <w:lang w:val="lv-LV" w:eastAsia="lv-LV"/>
        </w:rPr>
        <w:t>.</w:t>
      </w:r>
    </w:p>
    <w:p w14:paraId="5CB0DB06" w14:textId="77777777" w:rsidR="007749E4" w:rsidRPr="002C5745" w:rsidRDefault="007749E4" w:rsidP="007749E4">
      <w:pPr>
        <w:ind w:firstLine="720"/>
        <w:jc w:val="both"/>
        <w:rPr>
          <w:rFonts w:ascii="Times New Roman" w:hAnsi="Times New Roman" w:cs="Times New Roman"/>
          <w:sz w:val="26"/>
          <w:szCs w:val="26"/>
          <w:lang w:val="lv-LV"/>
        </w:rPr>
      </w:pPr>
      <w:r w:rsidRPr="002C5745">
        <w:rPr>
          <w:rFonts w:ascii="Times New Roman" w:hAnsi="Times New Roman" w:cs="Times New Roman"/>
          <w:sz w:val="26"/>
          <w:szCs w:val="26"/>
          <w:lang w:val="lv-LV"/>
        </w:rPr>
        <w:t>Minētais ir attiecināms arī uz nodokļu maksātāju, kuram, zinot, ka objektīvu iemeslu dēļ nebūs iespējas savlaicīgi un pilnā apmērā samaksāt aprēķinātos nodokļu maksājumus, ir jārīkojas maksimāli efektīvi, proti, lūdzot nodokļu administrāciju sadalīt termiņos uz laiku līdz vienam gadam paša aprēķi</w:t>
      </w:r>
      <w:r w:rsidR="001B7374" w:rsidRPr="002C5745">
        <w:rPr>
          <w:rFonts w:ascii="Times New Roman" w:hAnsi="Times New Roman" w:cs="Times New Roman"/>
          <w:sz w:val="26"/>
          <w:szCs w:val="26"/>
          <w:lang w:val="lv-LV"/>
        </w:rPr>
        <w:t>nāto nodokļu maksājumu samaksu.</w:t>
      </w:r>
    </w:p>
    <w:p w14:paraId="07CF5B9C" w14:textId="427C395D" w:rsidR="007749E4" w:rsidRPr="002C5745" w:rsidRDefault="007749E4" w:rsidP="007749E4">
      <w:pPr>
        <w:ind w:firstLine="720"/>
        <w:jc w:val="both"/>
        <w:rPr>
          <w:rFonts w:ascii="Times New Roman" w:hAnsi="Times New Roman" w:cs="Times New Roman"/>
          <w:b/>
          <w:sz w:val="26"/>
          <w:szCs w:val="26"/>
          <w:lang w:val="lv-LV"/>
        </w:rPr>
      </w:pPr>
      <w:r w:rsidRPr="002C5745">
        <w:rPr>
          <w:rFonts w:ascii="Times New Roman" w:hAnsi="Times New Roman" w:cs="Times New Roman"/>
          <w:b/>
          <w:sz w:val="26"/>
          <w:szCs w:val="26"/>
          <w:lang w:val="lv-LV"/>
        </w:rPr>
        <w:t>Tādējādi, ja ikviens nodokļu maksātājs rīkotos kā “krietns un rūpīgs” saimnieks, kas šajā gadījumā ietver</w:t>
      </w:r>
      <w:r w:rsidR="001B7374" w:rsidRPr="002C5745">
        <w:rPr>
          <w:rFonts w:ascii="Times New Roman" w:hAnsi="Times New Roman" w:cs="Times New Roman"/>
          <w:b/>
          <w:sz w:val="26"/>
          <w:szCs w:val="26"/>
          <w:lang w:val="lv-LV"/>
        </w:rPr>
        <w:t xml:space="preserve"> ne tikai</w:t>
      </w:r>
      <w:r w:rsidRPr="002C5745">
        <w:rPr>
          <w:rFonts w:ascii="Times New Roman" w:hAnsi="Times New Roman" w:cs="Times New Roman"/>
          <w:b/>
          <w:sz w:val="26"/>
          <w:szCs w:val="26"/>
          <w:lang w:val="lv-LV"/>
        </w:rPr>
        <w:t xml:space="preserve"> likuma “Par nodokļiem un nodevām” 24.</w:t>
      </w:r>
      <w:r w:rsidR="0018304E" w:rsidRPr="002C5745">
        <w:rPr>
          <w:rFonts w:ascii="Times New Roman" w:hAnsi="Times New Roman" w:cs="Times New Roman"/>
          <w:b/>
          <w:sz w:val="26"/>
          <w:szCs w:val="26"/>
          <w:lang w:val="lv-LV"/>
        </w:rPr>
        <w:t> </w:t>
      </w:r>
      <w:r w:rsidRPr="002C5745">
        <w:rPr>
          <w:rFonts w:ascii="Times New Roman" w:hAnsi="Times New Roman" w:cs="Times New Roman"/>
          <w:b/>
          <w:sz w:val="26"/>
          <w:szCs w:val="26"/>
          <w:lang w:val="lv-LV"/>
        </w:rPr>
        <w:t>panta pirmās daļas 1.</w:t>
      </w:r>
      <w:r w:rsidR="0018304E" w:rsidRPr="002C5745">
        <w:rPr>
          <w:rFonts w:ascii="Times New Roman" w:hAnsi="Times New Roman" w:cs="Times New Roman"/>
          <w:b/>
          <w:sz w:val="26"/>
          <w:szCs w:val="26"/>
          <w:lang w:val="lv-LV"/>
        </w:rPr>
        <w:t> </w:t>
      </w:r>
      <w:r w:rsidRPr="002C5745">
        <w:rPr>
          <w:rFonts w:ascii="Times New Roman" w:hAnsi="Times New Roman" w:cs="Times New Roman"/>
          <w:b/>
          <w:sz w:val="26"/>
          <w:szCs w:val="26"/>
          <w:lang w:val="lv-LV"/>
        </w:rPr>
        <w:t>punktā minētā samaksas termiņa pagarinājuma pi</w:t>
      </w:r>
      <w:r w:rsidR="001B7374" w:rsidRPr="002C5745">
        <w:rPr>
          <w:rFonts w:ascii="Times New Roman" w:hAnsi="Times New Roman" w:cs="Times New Roman"/>
          <w:b/>
          <w:sz w:val="26"/>
          <w:szCs w:val="26"/>
          <w:lang w:val="lv-LV"/>
        </w:rPr>
        <w:t xml:space="preserve">ešķiršanas iespējas izmantošanu, bet arī </w:t>
      </w:r>
      <w:r w:rsidRPr="002C5745">
        <w:rPr>
          <w:rFonts w:ascii="Times New Roman" w:hAnsi="Times New Roman" w:cs="Times New Roman"/>
          <w:b/>
          <w:sz w:val="26"/>
          <w:szCs w:val="26"/>
          <w:lang w:val="lv-LV"/>
        </w:rPr>
        <w:t>atbilstību minētā likuma 24.</w:t>
      </w:r>
      <w:r w:rsidR="0018304E" w:rsidRPr="002C5745">
        <w:rPr>
          <w:rFonts w:ascii="Times New Roman" w:hAnsi="Times New Roman" w:cs="Times New Roman"/>
          <w:b/>
          <w:sz w:val="26"/>
          <w:szCs w:val="26"/>
          <w:lang w:val="lv-LV"/>
        </w:rPr>
        <w:t> </w:t>
      </w:r>
      <w:r w:rsidRPr="002C5745">
        <w:rPr>
          <w:rFonts w:ascii="Times New Roman" w:hAnsi="Times New Roman" w:cs="Times New Roman"/>
          <w:b/>
          <w:sz w:val="26"/>
          <w:szCs w:val="26"/>
          <w:lang w:val="lv-LV"/>
        </w:rPr>
        <w:t>panta 1.</w:t>
      </w:r>
      <w:r w:rsidRPr="002C5745">
        <w:rPr>
          <w:rFonts w:ascii="Times New Roman" w:hAnsi="Times New Roman" w:cs="Times New Roman"/>
          <w:b/>
          <w:sz w:val="26"/>
          <w:szCs w:val="26"/>
          <w:vertAlign w:val="superscript"/>
          <w:lang w:val="lv-LV"/>
        </w:rPr>
        <w:t>1</w:t>
      </w:r>
      <w:r w:rsidR="0018304E" w:rsidRPr="002C5745">
        <w:rPr>
          <w:rFonts w:ascii="Times New Roman" w:hAnsi="Times New Roman" w:cs="Times New Roman"/>
          <w:b/>
          <w:sz w:val="26"/>
          <w:szCs w:val="26"/>
          <w:lang w:val="lv-LV"/>
        </w:rPr>
        <w:t xml:space="preserve"> </w:t>
      </w:r>
      <w:r w:rsidR="00E56D83" w:rsidRPr="002C5745">
        <w:rPr>
          <w:rFonts w:ascii="Times New Roman" w:hAnsi="Times New Roman" w:cs="Times New Roman"/>
          <w:b/>
          <w:sz w:val="26"/>
          <w:szCs w:val="26"/>
          <w:lang w:val="lv-LV"/>
        </w:rPr>
        <w:t>vai 1.</w:t>
      </w:r>
      <w:r w:rsidR="00E56D83" w:rsidRPr="002C5745">
        <w:rPr>
          <w:rFonts w:ascii="Times New Roman" w:hAnsi="Times New Roman" w:cs="Times New Roman"/>
          <w:b/>
          <w:sz w:val="26"/>
          <w:szCs w:val="26"/>
          <w:vertAlign w:val="superscript"/>
          <w:lang w:val="lv-LV"/>
        </w:rPr>
        <w:t>3 </w:t>
      </w:r>
      <w:r w:rsidRPr="002C5745">
        <w:rPr>
          <w:rFonts w:ascii="Times New Roman" w:hAnsi="Times New Roman" w:cs="Times New Roman"/>
          <w:b/>
          <w:sz w:val="26"/>
          <w:szCs w:val="26"/>
          <w:lang w:val="lv-LV"/>
        </w:rPr>
        <w:t>daļas nosacījumiem, tad secināms, ka ikviena nodokļu maksātāja aprēķinātajiem nodokļu maksājumiem varētu tikt piemērota nokavējuma naudas likme 0,0125 procenti no laikā nenomaksātā pamatparāda par katru nokavēto dienu visā kavējuma periodā.</w:t>
      </w:r>
    </w:p>
    <w:p w14:paraId="38FA2EC3" w14:textId="77777777" w:rsidR="007749E4" w:rsidRPr="002C5745" w:rsidRDefault="007749E4" w:rsidP="007749E4">
      <w:pPr>
        <w:ind w:firstLine="720"/>
        <w:jc w:val="both"/>
        <w:rPr>
          <w:rFonts w:ascii="Times New Roman" w:hAnsi="Times New Roman" w:cs="Times New Roman"/>
          <w:sz w:val="26"/>
          <w:szCs w:val="26"/>
          <w:lang w:val="lv-LV"/>
        </w:rPr>
      </w:pPr>
      <w:r w:rsidRPr="002C5745">
        <w:rPr>
          <w:rFonts w:ascii="Times New Roman" w:hAnsi="Times New Roman" w:cs="Times New Roman"/>
          <w:sz w:val="26"/>
          <w:szCs w:val="26"/>
          <w:lang w:val="lv-LV"/>
        </w:rPr>
        <w:t xml:space="preserve">Savādāka situācija ir attiecībā uz juridiskām personām, kuru nodokļu maksājumi (tajā skaitā nokavējuma nauda un soda nauda) ir aprēķināti nodokļu administrācijas veiktās kontroles (pārbaudes, revīzijas) vai datu atbilstības pārbaudes rezultātā. Šajā gadījumā, ņemot vērā, ka papildu budžetā maksājamie nodokļu maksājumi tiek aprēķināti, jo juridiskā persona ir pārkāpusi normatīvo aktu prasības attiecībā uz pareizu nodokļu maksājumu aprēķināšanu, maksāšanu un ieskaitīšanu budžetā, papildus iesniegumam par samaksas termiņa pagarinājuma piešķiršanai, juridiskajām personām, kas sastāda gada pārskatu, ir jāpievieno arī bilanci un peļņas vai zaudējumu aprēķinu uz iesniegšanas mēneša pirmo datumu. Vienlaikus, ja atliekamās vai sadalāmās summas </w:t>
      </w:r>
      <w:r w:rsidRPr="002C5745">
        <w:rPr>
          <w:rFonts w:ascii="Times New Roman" w:hAnsi="Times New Roman" w:cs="Times New Roman"/>
          <w:sz w:val="26"/>
          <w:szCs w:val="26"/>
          <w:lang w:val="lv-LV"/>
        </w:rPr>
        <w:lastRenderedPageBreak/>
        <w:t>apmērs vienā nodokļu veidā pārsniedz 14 300 </w:t>
      </w:r>
      <w:r w:rsidRPr="002C5745">
        <w:rPr>
          <w:rFonts w:ascii="Times New Roman" w:hAnsi="Times New Roman" w:cs="Times New Roman"/>
          <w:i/>
          <w:iCs/>
          <w:sz w:val="26"/>
          <w:szCs w:val="26"/>
          <w:lang w:val="lv-LV"/>
        </w:rPr>
        <w:t>euro</w:t>
      </w:r>
      <w:r w:rsidRPr="002C5745">
        <w:rPr>
          <w:rFonts w:ascii="Times New Roman" w:hAnsi="Times New Roman" w:cs="Times New Roman"/>
          <w:sz w:val="26"/>
          <w:szCs w:val="26"/>
          <w:lang w:val="lv-LV"/>
        </w:rPr>
        <w:t xml:space="preserve">, nodokļu maksātājam ir jārēķinās, ka nodokļu administrācijai ir tiesības attiecībā uz šo nodokli no nodokļu maksātāja pieprasīt nodrošinājumu ar nodokļu maksātājam piederošo mantu vai kredītiestādes izsniegto galvojumu. </w:t>
      </w:r>
    </w:p>
    <w:p w14:paraId="70E0C66E" w14:textId="77777777" w:rsidR="007749E4" w:rsidRPr="002C5745" w:rsidRDefault="007749E4" w:rsidP="007749E4">
      <w:pPr>
        <w:pStyle w:val="ListParagraph"/>
        <w:ind w:left="0" w:firstLine="720"/>
        <w:jc w:val="both"/>
        <w:rPr>
          <w:rFonts w:ascii="Times New Roman" w:hAnsi="Times New Roman" w:cs="Times New Roman"/>
          <w:sz w:val="26"/>
          <w:szCs w:val="26"/>
          <w:lang w:val="lv-LV"/>
        </w:rPr>
      </w:pPr>
      <w:r w:rsidRPr="002C5745">
        <w:rPr>
          <w:rFonts w:ascii="Times New Roman" w:hAnsi="Times New Roman" w:cs="Times New Roman"/>
          <w:sz w:val="26"/>
          <w:szCs w:val="26"/>
          <w:lang w:val="lv-LV"/>
        </w:rPr>
        <w:t>Šāds nosacījums (lai nodokļu maksātāja nokavētajiem nodokļu maksājumiem tiktu aprēķināta nokavējuma nauda ar samazinātu procentu likmi) nav uzskatāms par nesamērīgu, ņemot vērā, ka nodokļu administrācijas pienākums ir veikt visas nepieciešamās darbības, kas vērstas uz nodokļu maksājumu savlaicīgu un pilnīgu iekasēšanu, kas savukārt ir nepieciešama valsts, sabiedrības un privātpersonu tiesību un interešu aizsardzībai.</w:t>
      </w:r>
    </w:p>
    <w:p w14:paraId="7A2950C2" w14:textId="64A9FF34" w:rsidR="007749E4" w:rsidRPr="002C5745" w:rsidRDefault="00AE2CC7" w:rsidP="007749E4">
      <w:pPr>
        <w:pStyle w:val="ListParagraph"/>
        <w:ind w:left="0" w:firstLine="720"/>
        <w:jc w:val="both"/>
        <w:rPr>
          <w:rFonts w:ascii="Times New Roman" w:hAnsi="Times New Roman" w:cs="Times New Roman"/>
          <w:b/>
          <w:sz w:val="26"/>
          <w:szCs w:val="26"/>
          <w:lang w:val="lv-LV"/>
        </w:rPr>
      </w:pPr>
      <w:r w:rsidRPr="002C5745">
        <w:rPr>
          <w:rFonts w:ascii="Times New Roman" w:hAnsi="Times New Roman" w:cs="Times New Roman"/>
          <w:b/>
          <w:sz w:val="26"/>
          <w:szCs w:val="26"/>
          <w:lang w:val="lv-LV"/>
        </w:rPr>
        <w:t>2</w:t>
      </w:r>
      <w:r w:rsidR="00C177AD" w:rsidRPr="002C5745">
        <w:rPr>
          <w:rFonts w:ascii="Times New Roman" w:hAnsi="Times New Roman" w:cs="Times New Roman"/>
          <w:b/>
          <w:sz w:val="26"/>
          <w:szCs w:val="26"/>
          <w:lang w:val="lv-LV"/>
        </w:rPr>
        <w:t>)</w:t>
      </w:r>
      <w:r w:rsidRPr="002C5745">
        <w:rPr>
          <w:rFonts w:ascii="Times New Roman" w:hAnsi="Times New Roman" w:cs="Times New Roman"/>
          <w:b/>
          <w:sz w:val="26"/>
          <w:szCs w:val="26"/>
          <w:lang w:val="lv-LV"/>
        </w:rPr>
        <w:t>  n</w:t>
      </w:r>
      <w:r w:rsidR="007749E4" w:rsidRPr="002C5745">
        <w:rPr>
          <w:rFonts w:ascii="Times New Roman" w:hAnsi="Times New Roman" w:cs="Times New Roman"/>
          <w:b/>
          <w:sz w:val="26"/>
          <w:szCs w:val="26"/>
          <w:lang w:val="lv-LV"/>
        </w:rPr>
        <w:t>odokļu maksātāji, kas aktīvu sadarbību ar nodokļu administrāciju ir sākuši tikai pēc piespiedu izpildes uzsākšanas</w:t>
      </w:r>
    </w:p>
    <w:p w14:paraId="1E0C2AC6" w14:textId="77777777" w:rsidR="007749E4" w:rsidRPr="002C5745" w:rsidRDefault="007749E4" w:rsidP="007749E4">
      <w:pPr>
        <w:pStyle w:val="ListParagraph"/>
        <w:ind w:left="0" w:firstLine="720"/>
        <w:jc w:val="both"/>
        <w:rPr>
          <w:rFonts w:ascii="Times New Roman" w:hAnsi="Times New Roman" w:cs="Times New Roman"/>
          <w:sz w:val="26"/>
          <w:szCs w:val="26"/>
          <w:lang w:val="lv-LV"/>
        </w:rPr>
      </w:pPr>
      <w:r w:rsidRPr="002C5745">
        <w:rPr>
          <w:rFonts w:ascii="Times New Roman" w:hAnsi="Times New Roman" w:cs="Times New Roman"/>
          <w:sz w:val="26"/>
          <w:szCs w:val="26"/>
          <w:lang w:val="lv-LV"/>
        </w:rPr>
        <w:t>Lai palīdzētu finansiālajās grūtībās nonākušajiem komersantiem, ar 2014.</w:t>
      </w:r>
      <w:r w:rsidR="001A14BC" w:rsidRPr="002C5745">
        <w:rPr>
          <w:rFonts w:ascii="Times New Roman" w:hAnsi="Times New Roman" w:cs="Times New Roman"/>
          <w:sz w:val="26"/>
          <w:szCs w:val="26"/>
          <w:lang w:val="lv-LV"/>
        </w:rPr>
        <w:t> </w:t>
      </w:r>
      <w:r w:rsidRPr="002C5745">
        <w:rPr>
          <w:rFonts w:ascii="Times New Roman" w:hAnsi="Times New Roman" w:cs="Times New Roman"/>
          <w:sz w:val="26"/>
          <w:szCs w:val="26"/>
          <w:lang w:val="lv-LV"/>
        </w:rPr>
        <w:t>gada 1.</w:t>
      </w:r>
      <w:r w:rsidR="001A14BC" w:rsidRPr="002C5745">
        <w:rPr>
          <w:rFonts w:ascii="Times New Roman" w:hAnsi="Times New Roman" w:cs="Times New Roman"/>
          <w:sz w:val="26"/>
          <w:szCs w:val="26"/>
          <w:lang w:val="lv-LV"/>
        </w:rPr>
        <w:t> </w:t>
      </w:r>
      <w:r w:rsidRPr="002C5745">
        <w:rPr>
          <w:rFonts w:ascii="Times New Roman" w:hAnsi="Times New Roman" w:cs="Times New Roman"/>
          <w:sz w:val="26"/>
          <w:szCs w:val="26"/>
          <w:lang w:val="lv-LV"/>
        </w:rPr>
        <w:t>oktobri likuma “Par nodokļiem un nodevām” 26.</w:t>
      </w:r>
      <w:r w:rsidR="001A14BC" w:rsidRPr="002C5745">
        <w:rPr>
          <w:rFonts w:ascii="Times New Roman" w:hAnsi="Times New Roman" w:cs="Times New Roman"/>
          <w:sz w:val="26"/>
          <w:szCs w:val="26"/>
          <w:lang w:val="lv-LV"/>
        </w:rPr>
        <w:t> </w:t>
      </w:r>
      <w:r w:rsidRPr="002C5745">
        <w:rPr>
          <w:rFonts w:ascii="Times New Roman" w:hAnsi="Times New Roman" w:cs="Times New Roman"/>
          <w:sz w:val="26"/>
          <w:szCs w:val="26"/>
          <w:lang w:val="lv-LV"/>
        </w:rPr>
        <w:t>pants tika papildināts ar vienpadsmito daļu, kurā iekļautais regulējums paredz iespēju nodokļu maksātājiem vienoties ar nodokļu administrāciju par labprātīgu tādu nokavēto nodokļu maksājumu samaksu, kuri tiek piedzīti ar lēmumu par nokavēto nodokļu maksājumu piedziņu. Minētais regulējums līdz 2017.</w:t>
      </w:r>
      <w:r w:rsidR="001A14BC" w:rsidRPr="002C5745">
        <w:rPr>
          <w:rFonts w:ascii="Times New Roman" w:hAnsi="Times New Roman" w:cs="Times New Roman"/>
          <w:sz w:val="26"/>
          <w:szCs w:val="26"/>
          <w:lang w:val="lv-LV"/>
        </w:rPr>
        <w:t> </w:t>
      </w:r>
      <w:r w:rsidRPr="002C5745">
        <w:rPr>
          <w:rFonts w:ascii="Times New Roman" w:hAnsi="Times New Roman" w:cs="Times New Roman"/>
          <w:sz w:val="26"/>
          <w:szCs w:val="26"/>
          <w:lang w:val="lv-LV"/>
        </w:rPr>
        <w:t>gada 30.</w:t>
      </w:r>
      <w:r w:rsidR="001A14BC" w:rsidRPr="002C5745">
        <w:rPr>
          <w:rFonts w:ascii="Times New Roman" w:hAnsi="Times New Roman" w:cs="Times New Roman"/>
          <w:sz w:val="26"/>
          <w:szCs w:val="26"/>
          <w:lang w:val="lv-LV"/>
        </w:rPr>
        <w:t> </w:t>
      </w:r>
      <w:r w:rsidRPr="002C5745">
        <w:rPr>
          <w:rFonts w:ascii="Times New Roman" w:hAnsi="Times New Roman" w:cs="Times New Roman"/>
          <w:sz w:val="26"/>
          <w:szCs w:val="26"/>
          <w:lang w:val="lv-LV"/>
        </w:rPr>
        <w:t xml:space="preserve">jūnijam noteica, ka nokavējuma nauda nodokļu pamatparāda summai tiek aprēķināta likuma “Par nodokļiem un nodevām” </w:t>
      </w:r>
      <w:hyperlink r:id="rId8" w:anchor="p29" w:tgtFrame="_blank" w:history="1">
        <w:r w:rsidRPr="002C5745">
          <w:rPr>
            <w:rFonts w:ascii="Times New Roman" w:hAnsi="Times New Roman" w:cs="Times New Roman"/>
            <w:sz w:val="26"/>
            <w:szCs w:val="26"/>
            <w:lang w:val="lv-LV"/>
          </w:rPr>
          <w:t>29.</w:t>
        </w:r>
        <w:r w:rsidR="001A14BC" w:rsidRPr="002C5745">
          <w:rPr>
            <w:rFonts w:ascii="Times New Roman" w:hAnsi="Times New Roman" w:cs="Times New Roman"/>
            <w:sz w:val="26"/>
            <w:szCs w:val="26"/>
            <w:lang w:val="lv-LV"/>
          </w:rPr>
          <w:t> </w:t>
        </w:r>
        <w:r w:rsidRPr="002C5745">
          <w:rPr>
            <w:rFonts w:ascii="Times New Roman" w:hAnsi="Times New Roman" w:cs="Times New Roman"/>
            <w:sz w:val="26"/>
            <w:szCs w:val="26"/>
            <w:lang w:val="lv-LV"/>
          </w:rPr>
          <w:t>panta</w:t>
        </w:r>
      </w:hyperlink>
      <w:r w:rsidRPr="002C5745">
        <w:rPr>
          <w:rFonts w:ascii="Times New Roman" w:hAnsi="Times New Roman" w:cs="Times New Roman"/>
          <w:sz w:val="26"/>
          <w:szCs w:val="26"/>
          <w:lang w:val="lv-LV"/>
        </w:rPr>
        <w:t xml:space="preserve"> otrajā daļā noteiktajā apmērā (tas ir 0,05 procenti) par katru dienu visā kavējuma periodā. Tomēr, izvērtējot minēto regulējumu un secinot, ka samazinot nokavējuma naudas likmi, tiktu uzlabota nodokļu maksātāja maksātspēja (tādējādi, mazinot iespējamo zaudējumu rašanos gadījumos, kad nodokļu maksātājs ir nonācis īslaicīgās finansiālās grūtībās), ar 2017.</w:t>
      </w:r>
      <w:r w:rsidR="001A14BC" w:rsidRPr="002C5745">
        <w:rPr>
          <w:rFonts w:ascii="Times New Roman" w:hAnsi="Times New Roman" w:cs="Times New Roman"/>
          <w:sz w:val="26"/>
          <w:szCs w:val="26"/>
          <w:lang w:val="lv-LV"/>
        </w:rPr>
        <w:t> </w:t>
      </w:r>
      <w:r w:rsidRPr="002C5745">
        <w:rPr>
          <w:rFonts w:ascii="Times New Roman" w:hAnsi="Times New Roman" w:cs="Times New Roman"/>
          <w:sz w:val="26"/>
          <w:szCs w:val="26"/>
          <w:lang w:val="lv-LV"/>
        </w:rPr>
        <w:t>gada 1.</w:t>
      </w:r>
      <w:r w:rsidR="001A14BC" w:rsidRPr="002C5745">
        <w:rPr>
          <w:rFonts w:ascii="Times New Roman" w:hAnsi="Times New Roman" w:cs="Times New Roman"/>
          <w:sz w:val="26"/>
          <w:szCs w:val="26"/>
          <w:lang w:val="lv-LV"/>
        </w:rPr>
        <w:t> </w:t>
      </w:r>
      <w:r w:rsidRPr="002C5745">
        <w:rPr>
          <w:rFonts w:ascii="Times New Roman" w:hAnsi="Times New Roman" w:cs="Times New Roman"/>
          <w:sz w:val="26"/>
          <w:szCs w:val="26"/>
          <w:lang w:val="lv-LV"/>
        </w:rPr>
        <w:t>jūliju lēmumā par nokavēto nodokļu maksājumu labprātīgu izpildi iekļautajam nodokļu pamatparādam piemērojamā nokavējuma naudas likme ir 0,025 procenti</w:t>
      </w:r>
      <w:r w:rsidRPr="002C5745">
        <w:rPr>
          <w:rFonts w:ascii="Times New Roman" w:hAnsi="Times New Roman" w:cs="Times New Roman"/>
          <w:b/>
          <w:sz w:val="26"/>
          <w:szCs w:val="26"/>
          <w:lang w:val="lv-LV"/>
        </w:rPr>
        <w:t xml:space="preserve"> </w:t>
      </w:r>
      <w:r w:rsidRPr="002C5745">
        <w:rPr>
          <w:rFonts w:ascii="Times New Roman" w:hAnsi="Times New Roman" w:cs="Times New Roman"/>
          <w:sz w:val="26"/>
          <w:szCs w:val="26"/>
          <w:lang w:val="lv-LV"/>
        </w:rPr>
        <w:t>jeb puse</w:t>
      </w:r>
      <w:r w:rsidRPr="002C5745">
        <w:rPr>
          <w:rFonts w:ascii="Times New Roman" w:hAnsi="Times New Roman" w:cs="Times New Roman"/>
          <w:b/>
          <w:sz w:val="26"/>
          <w:szCs w:val="26"/>
          <w:lang w:val="lv-LV"/>
        </w:rPr>
        <w:t xml:space="preserve"> </w:t>
      </w:r>
      <w:r w:rsidRPr="002C5745">
        <w:rPr>
          <w:rFonts w:ascii="Times New Roman" w:hAnsi="Times New Roman" w:cs="Times New Roman"/>
          <w:sz w:val="26"/>
          <w:szCs w:val="26"/>
          <w:lang w:val="lv-LV"/>
        </w:rPr>
        <w:t>no likuma “Par nodokļiem un nodevām” 29.</w:t>
      </w:r>
      <w:r w:rsidR="00C65E54" w:rsidRPr="002C5745">
        <w:rPr>
          <w:rFonts w:ascii="Times New Roman" w:hAnsi="Times New Roman" w:cs="Times New Roman"/>
          <w:sz w:val="26"/>
          <w:szCs w:val="26"/>
          <w:lang w:val="lv-LV"/>
        </w:rPr>
        <w:t> </w:t>
      </w:r>
      <w:r w:rsidRPr="002C5745">
        <w:rPr>
          <w:rFonts w:ascii="Times New Roman" w:hAnsi="Times New Roman" w:cs="Times New Roman"/>
          <w:sz w:val="26"/>
          <w:szCs w:val="26"/>
          <w:lang w:val="lv-LV"/>
        </w:rPr>
        <w:t>panta otrajā daļā noteiktās nokavējuma naudas par katru dienu visā kavējuma periodā.</w:t>
      </w:r>
    </w:p>
    <w:p w14:paraId="2E7FC98E" w14:textId="009E3BEE" w:rsidR="00B61920" w:rsidRDefault="00022FD5" w:rsidP="00FB7912">
      <w:pPr>
        <w:ind w:firstLine="709"/>
        <w:jc w:val="both"/>
        <w:rPr>
          <w:rFonts w:ascii="Times New Roman" w:hAnsi="Times New Roman" w:cs="Times New Roman"/>
          <w:sz w:val="26"/>
          <w:szCs w:val="26"/>
          <w:lang w:val="lv-LV"/>
        </w:rPr>
      </w:pPr>
      <w:r w:rsidRPr="002C5745">
        <w:rPr>
          <w:rFonts w:ascii="Times New Roman" w:hAnsi="Times New Roman" w:cs="Times New Roman"/>
          <w:sz w:val="26"/>
          <w:szCs w:val="26"/>
          <w:lang w:val="lv-LV"/>
        </w:rPr>
        <w:t>Savukārt, s</w:t>
      </w:r>
      <w:r w:rsidR="00FB7912" w:rsidRPr="002C5745">
        <w:rPr>
          <w:rFonts w:ascii="Times New Roman" w:hAnsi="Times New Roman" w:cs="Times New Roman"/>
          <w:sz w:val="26"/>
          <w:szCs w:val="26"/>
          <w:lang w:val="lv-LV"/>
        </w:rPr>
        <w:t xml:space="preserve">alīdzinot iesniegumu par nokavēto nodokļu maksājumu labprātīgu izpildi skaitu 2017. gada 1. pusgadā (kad nokavējuma naudas likme bija 0,05 procenti par katru dienu visā kavējuma periodā) un 2017. gada 2. pusgadā (kad nokavējuma naudas likme ir 0,025 procenti par katru dienu visā kavējuma periodā), konstatējams, ka iesniegto iesniegumu skaits samazinājies par 48 procentiem. </w:t>
      </w:r>
    </w:p>
    <w:p w14:paraId="516DC5AB" w14:textId="77777777" w:rsidR="001D1FD7" w:rsidRPr="00A36741" w:rsidRDefault="001D1FD7" w:rsidP="00FB7912">
      <w:pPr>
        <w:ind w:firstLine="709"/>
        <w:jc w:val="both"/>
        <w:rPr>
          <w:rFonts w:ascii="Times New Roman" w:hAnsi="Times New Roman" w:cs="Times New Roman"/>
          <w:sz w:val="12"/>
          <w:szCs w:val="12"/>
          <w:lang w:val="lv-LV"/>
        </w:rPr>
      </w:pPr>
    </w:p>
    <w:tbl>
      <w:tblPr>
        <w:tblStyle w:val="TableGrid"/>
        <w:tblW w:w="0" w:type="auto"/>
        <w:tblLook w:val="04A0" w:firstRow="1" w:lastRow="0" w:firstColumn="1" w:lastColumn="0" w:noHBand="0" w:noVBand="1"/>
      </w:tblPr>
      <w:tblGrid>
        <w:gridCol w:w="1220"/>
        <w:gridCol w:w="1556"/>
        <w:gridCol w:w="853"/>
        <w:gridCol w:w="1332"/>
        <w:gridCol w:w="936"/>
        <w:gridCol w:w="1206"/>
        <w:gridCol w:w="718"/>
        <w:gridCol w:w="1241"/>
      </w:tblGrid>
      <w:tr w:rsidR="00B61920" w:rsidRPr="002C5745" w14:paraId="414C87C5" w14:textId="77777777" w:rsidTr="002C5745">
        <w:tc>
          <w:tcPr>
            <w:tcW w:w="1129" w:type="dxa"/>
            <w:vMerge w:val="restart"/>
          </w:tcPr>
          <w:p w14:paraId="776418C9" w14:textId="77777777" w:rsidR="00B61920" w:rsidRPr="00880EC7" w:rsidRDefault="00B61920" w:rsidP="00B61920">
            <w:pPr>
              <w:jc w:val="center"/>
              <w:rPr>
                <w:rFonts w:ascii="Times New Roman" w:hAnsi="Times New Roman" w:cs="Times New Roman"/>
                <w:lang w:val="lv-LV"/>
              </w:rPr>
            </w:pPr>
          </w:p>
          <w:p w14:paraId="5617CCCE" w14:textId="77777777" w:rsidR="00B61920" w:rsidRPr="00880EC7" w:rsidRDefault="00B61920" w:rsidP="00B61920">
            <w:pPr>
              <w:jc w:val="center"/>
              <w:rPr>
                <w:rFonts w:ascii="Times New Roman" w:hAnsi="Times New Roman" w:cs="Times New Roman"/>
                <w:lang w:val="lv-LV"/>
              </w:rPr>
            </w:pPr>
          </w:p>
          <w:p w14:paraId="6A18E95A" w14:textId="77777777" w:rsidR="00B61920" w:rsidRPr="00880EC7" w:rsidRDefault="00B61920" w:rsidP="00B61920">
            <w:pPr>
              <w:jc w:val="center"/>
              <w:rPr>
                <w:rFonts w:ascii="Times New Roman" w:hAnsi="Times New Roman" w:cs="Times New Roman"/>
                <w:lang w:val="lv-LV"/>
              </w:rPr>
            </w:pPr>
          </w:p>
          <w:p w14:paraId="58BD1ED3" w14:textId="751E4097" w:rsidR="00B61920" w:rsidRPr="00880EC7" w:rsidRDefault="00B61920" w:rsidP="00B61920">
            <w:pPr>
              <w:jc w:val="center"/>
              <w:rPr>
                <w:rFonts w:ascii="Times New Roman" w:hAnsi="Times New Roman" w:cs="Times New Roman"/>
                <w:lang w:val="lv-LV"/>
              </w:rPr>
            </w:pPr>
            <w:r w:rsidRPr="00880EC7">
              <w:rPr>
                <w:rFonts w:ascii="Times New Roman" w:hAnsi="Times New Roman" w:cs="Times New Roman"/>
                <w:lang w:val="lv-LV"/>
              </w:rPr>
              <w:t>2017.</w:t>
            </w:r>
            <w:r w:rsidR="00A36741">
              <w:rPr>
                <w:rFonts w:ascii="Times New Roman" w:hAnsi="Times New Roman" w:cs="Times New Roman"/>
                <w:lang w:val="lv-LV"/>
              </w:rPr>
              <w:t> </w:t>
            </w:r>
            <w:r w:rsidRPr="00880EC7">
              <w:rPr>
                <w:rFonts w:ascii="Times New Roman" w:hAnsi="Times New Roman" w:cs="Times New Roman"/>
                <w:lang w:val="lv-LV"/>
              </w:rPr>
              <w:t>gada mēnesis</w:t>
            </w:r>
          </w:p>
        </w:tc>
        <w:tc>
          <w:tcPr>
            <w:tcW w:w="1657" w:type="dxa"/>
            <w:vMerge w:val="restart"/>
          </w:tcPr>
          <w:p w14:paraId="6A546B87" w14:textId="77777777" w:rsidR="00B61920" w:rsidRPr="00880EC7" w:rsidRDefault="00B61920" w:rsidP="00B61920">
            <w:pPr>
              <w:jc w:val="center"/>
              <w:rPr>
                <w:rFonts w:ascii="Times New Roman" w:hAnsi="Times New Roman" w:cs="Times New Roman"/>
                <w:lang w:val="lv-LV"/>
              </w:rPr>
            </w:pPr>
            <w:r w:rsidRPr="00880EC7">
              <w:rPr>
                <w:rFonts w:ascii="Times New Roman" w:hAnsi="Times New Roman" w:cs="Times New Roman"/>
                <w:lang w:val="lv-LV"/>
              </w:rPr>
              <w:t>Saņemtie iesniegumi par nokavēto nodokļu maksājumu labprātīgu samaksu (skaits)</w:t>
            </w:r>
          </w:p>
        </w:tc>
        <w:tc>
          <w:tcPr>
            <w:tcW w:w="2301" w:type="dxa"/>
            <w:gridSpan w:val="2"/>
          </w:tcPr>
          <w:p w14:paraId="43AE02F1" w14:textId="77777777" w:rsidR="00B61920" w:rsidRPr="00880EC7" w:rsidRDefault="00B61920" w:rsidP="00B61920">
            <w:pPr>
              <w:jc w:val="center"/>
              <w:rPr>
                <w:rFonts w:ascii="Times New Roman" w:hAnsi="Times New Roman" w:cs="Times New Roman"/>
                <w:lang w:val="lv-LV"/>
              </w:rPr>
            </w:pPr>
            <w:r w:rsidRPr="00880EC7">
              <w:rPr>
                <w:rFonts w:ascii="Times New Roman" w:hAnsi="Times New Roman" w:cs="Times New Roman"/>
                <w:lang w:val="lv-LV"/>
              </w:rPr>
              <w:t>Pieņemtie lēmumi par nokavēto nodokļu maksājumu labprātīgu izpildi</w:t>
            </w:r>
          </w:p>
        </w:tc>
        <w:tc>
          <w:tcPr>
            <w:tcW w:w="2279" w:type="dxa"/>
            <w:gridSpan w:val="2"/>
          </w:tcPr>
          <w:p w14:paraId="05B3BCC8" w14:textId="77777777" w:rsidR="00B61920" w:rsidRPr="00880EC7" w:rsidRDefault="00B61920" w:rsidP="00B61920">
            <w:pPr>
              <w:jc w:val="center"/>
              <w:rPr>
                <w:rFonts w:ascii="Times New Roman" w:hAnsi="Times New Roman" w:cs="Times New Roman"/>
                <w:lang w:val="lv-LV"/>
              </w:rPr>
            </w:pPr>
            <w:r w:rsidRPr="00880EC7">
              <w:rPr>
                <w:rFonts w:ascii="Times New Roman" w:hAnsi="Times New Roman" w:cs="Times New Roman"/>
                <w:lang w:val="lv-LV"/>
              </w:rPr>
              <w:t>Pieņemtie lēmumi par atteikumu vienoties par nokavēto nodokļu maksājumu labprātīgu samaksu</w:t>
            </w:r>
          </w:p>
        </w:tc>
        <w:tc>
          <w:tcPr>
            <w:tcW w:w="2029" w:type="dxa"/>
            <w:gridSpan w:val="2"/>
          </w:tcPr>
          <w:p w14:paraId="5B5E0757" w14:textId="77777777" w:rsidR="00B61920" w:rsidRPr="00880EC7" w:rsidRDefault="00B61920" w:rsidP="00B61920">
            <w:pPr>
              <w:jc w:val="center"/>
              <w:rPr>
                <w:rFonts w:ascii="Times New Roman" w:hAnsi="Times New Roman" w:cs="Times New Roman"/>
                <w:lang w:val="lv-LV"/>
              </w:rPr>
            </w:pPr>
            <w:r w:rsidRPr="00880EC7">
              <w:rPr>
                <w:rFonts w:ascii="Times New Roman" w:hAnsi="Times New Roman" w:cs="Times New Roman"/>
                <w:lang w:val="lv-LV"/>
              </w:rPr>
              <w:t>Pieņemtie lēmumi atcelt lēmumu par nokavēto nodokļu maksājumu labprātīgu samaksu izpildi</w:t>
            </w:r>
          </w:p>
        </w:tc>
      </w:tr>
      <w:tr w:rsidR="002C5745" w:rsidRPr="002C5745" w14:paraId="409DEB07" w14:textId="77777777" w:rsidTr="002C5745">
        <w:tc>
          <w:tcPr>
            <w:tcW w:w="1129" w:type="dxa"/>
            <w:vMerge/>
          </w:tcPr>
          <w:p w14:paraId="30017160" w14:textId="77777777" w:rsidR="00B61920" w:rsidRPr="00880EC7" w:rsidRDefault="00B61920" w:rsidP="00B61920">
            <w:pPr>
              <w:jc w:val="center"/>
              <w:rPr>
                <w:rFonts w:ascii="Times New Roman" w:hAnsi="Times New Roman" w:cs="Times New Roman"/>
                <w:lang w:val="lv-LV"/>
              </w:rPr>
            </w:pPr>
          </w:p>
        </w:tc>
        <w:tc>
          <w:tcPr>
            <w:tcW w:w="1657" w:type="dxa"/>
            <w:vMerge/>
          </w:tcPr>
          <w:p w14:paraId="42673D6D" w14:textId="77777777" w:rsidR="00B61920" w:rsidRPr="00880EC7" w:rsidRDefault="00B61920" w:rsidP="00B61920">
            <w:pPr>
              <w:jc w:val="center"/>
              <w:rPr>
                <w:rFonts w:ascii="Times New Roman" w:hAnsi="Times New Roman" w:cs="Times New Roman"/>
                <w:lang w:val="lv-LV"/>
              </w:rPr>
            </w:pPr>
          </w:p>
        </w:tc>
        <w:tc>
          <w:tcPr>
            <w:tcW w:w="895" w:type="dxa"/>
          </w:tcPr>
          <w:p w14:paraId="0DAC585D" w14:textId="77777777" w:rsidR="00B61920" w:rsidRPr="00880EC7" w:rsidRDefault="00B61920" w:rsidP="00B61920">
            <w:pPr>
              <w:jc w:val="center"/>
              <w:rPr>
                <w:rFonts w:ascii="Times New Roman" w:hAnsi="Times New Roman" w:cs="Times New Roman"/>
                <w:lang w:val="lv-LV"/>
              </w:rPr>
            </w:pPr>
            <w:r w:rsidRPr="00880EC7">
              <w:rPr>
                <w:rFonts w:ascii="Times New Roman" w:hAnsi="Times New Roman" w:cs="Times New Roman"/>
                <w:lang w:val="lv-LV"/>
              </w:rPr>
              <w:t>skaits</w:t>
            </w:r>
          </w:p>
        </w:tc>
        <w:tc>
          <w:tcPr>
            <w:tcW w:w="1406" w:type="dxa"/>
          </w:tcPr>
          <w:p w14:paraId="27C6B27E" w14:textId="77777777" w:rsidR="00B61920" w:rsidRPr="00880EC7" w:rsidRDefault="00B61920" w:rsidP="00B61920">
            <w:pPr>
              <w:jc w:val="center"/>
              <w:rPr>
                <w:rFonts w:ascii="Times New Roman" w:hAnsi="Times New Roman" w:cs="Times New Roman"/>
                <w:lang w:val="lv-LV"/>
              </w:rPr>
            </w:pPr>
            <w:r w:rsidRPr="00880EC7">
              <w:rPr>
                <w:rFonts w:ascii="Times New Roman" w:hAnsi="Times New Roman" w:cs="Times New Roman"/>
                <w:lang w:val="lv-LV"/>
              </w:rPr>
              <w:t xml:space="preserve">summa </w:t>
            </w:r>
            <w:r w:rsidRPr="00880EC7">
              <w:rPr>
                <w:rFonts w:ascii="Times New Roman" w:hAnsi="Times New Roman" w:cs="Times New Roman"/>
                <w:i/>
                <w:lang w:val="lv-LV"/>
              </w:rPr>
              <w:t>euro</w:t>
            </w:r>
          </w:p>
        </w:tc>
        <w:tc>
          <w:tcPr>
            <w:tcW w:w="1004" w:type="dxa"/>
          </w:tcPr>
          <w:p w14:paraId="0CBA42ED" w14:textId="77777777" w:rsidR="00B61920" w:rsidRPr="00880EC7" w:rsidRDefault="00B61920" w:rsidP="00B61920">
            <w:pPr>
              <w:jc w:val="center"/>
              <w:rPr>
                <w:rFonts w:ascii="Times New Roman" w:hAnsi="Times New Roman" w:cs="Times New Roman"/>
                <w:lang w:val="lv-LV"/>
              </w:rPr>
            </w:pPr>
            <w:r w:rsidRPr="00880EC7">
              <w:rPr>
                <w:rFonts w:ascii="Times New Roman" w:hAnsi="Times New Roman" w:cs="Times New Roman"/>
                <w:lang w:val="lv-LV"/>
              </w:rPr>
              <w:t>skaits</w:t>
            </w:r>
          </w:p>
        </w:tc>
        <w:tc>
          <w:tcPr>
            <w:tcW w:w="1275" w:type="dxa"/>
          </w:tcPr>
          <w:p w14:paraId="60A62595" w14:textId="77777777" w:rsidR="00B61920" w:rsidRPr="00880EC7" w:rsidRDefault="00B61920" w:rsidP="00B61920">
            <w:pPr>
              <w:jc w:val="center"/>
              <w:rPr>
                <w:rFonts w:ascii="Times New Roman" w:hAnsi="Times New Roman" w:cs="Times New Roman"/>
                <w:lang w:val="lv-LV"/>
              </w:rPr>
            </w:pPr>
            <w:r w:rsidRPr="00880EC7">
              <w:rPr>
                <w:rFonts w:ascii="Times New Roman" w:hAnsi="Times New Roman" w:cs="Times New Roman"/>
                <w:lang w:val="lv-LV"/>
              </w:rPr>
              <w:t xml:space="preserve">summa </w:t>
            </w:r>
            <w:r w:rsidRPr="00880EC7">
              <w:rPr>
                <w:rFonts w:ascii="Times New Roman" w:hAnsi="Times New Roman" w:cs="Times New Roman"/>
                <w:i/>
                <w:lang w:val="lv-LV"/>
              </w:rPr>
              <w:t>euro</w:t>
            </w:r>
          </w:p>
        </w:tc>
        <w:tc>
          <w:tcPr>
            <w:tcW w:w="709" w:type="dxa"/>
          </w:tcPr>
          <w:p w14:paraId="60FCBAC4" w14:textId="77777777" w:rsidR="00B61920" w:rsidRPr="00880EC7" w:rsidRDefault="00B61920" w:rsidP="00B61920">
            <w:pPr>
              <w:jc w:val="center"/>
              <w:rPr>
                <w:rFonts w:ascii="Times New Roman" w:hAnsi="Times New Roman" w:cs="Times New Roman"/>
                <w:lang w:val="lv-LV"/>
              </w:rPr>
            </w:pPr>
            <w:r w:rsidRPr="00880EC7">
              <w:rPr>
                <w:rFonts w:ascii="Times New Roman" w:hAnsi="Times New Roman" w:cs="Times New Roman"/>
                <w:lang w:val="lv-LV"/>
              </w:rPr>
              <w:t>skaits</w:t>
            </w:r>
          </w:p>
        </w:tc>
        <w:tc>
          <w:tcPr>
            <w:tcW w:w="1320" w:type="dxa"/>
          </w:tcPr>
          <w:p w14:paraId="5A95D1C9" w14:textId="77777777" w:rsidR="00B61920" w:rsidRPr="00880EC7" w:rsidRDefault="00B61920" w:rsidP="00B61920">
            <w:pPr>
              <w:jc w:val="center"/>
              <w:rPr>
                <w:rFonts w:ascii="Times New Roman" w:hAnsi="Times New Roman" w:cs="Times New Roman"/>
                <w:lang w:val="lv-LV"/>
              </w:rPr>
            </w:pPr>
            <w:r w:rsidRPr="00880EC7">
              <w:rPr>
                <w:rFonts w:ascii="Times New Roman" w:hAnsi="Times New Roman" w:cs="Times New Roman"/>
                <w:lang w:val="lv-LV"/>
              </w:rPr>
              <w:t xml:space="preserve">summa </w:t>
            </w:r>
            <w:r w:rsidRPr="00880EC7">
              <w:rPr>
                <w:rFonts w:ascii="Times New Roman" w:hAnsi="Times New Roman" w:cs="Times New Roman"/>
                <w:i/>
                <w:lang w:val="lv-LV"/>
              </w:rPr>
              <w:t>euro</w:t>
            </w:r>
          </w:p>
        </w:tc>
      </w:tr>
      <w:tr w:rsidR="002C5745" w:rsidRPr="002C5745" w14:paraId="6AB09E1A" w14:textId="77777777" w:rsidTr="002C5745">
        <w:tc>
          <w:tcPr>
            <w:tcW w:w="1129" w:type="dxa"/>
          </w:tcPr>
          <w:p w14:paraId="054E51AD" w14:textId="77777777" w:rsidR="00B61920" w:rsidRPr="00880EC7" w:rsidRDefault="00B61920" w:rsidP="00B61920">
            <w:pPr>
              <w:jc w:val="both"/>
              <w:rPr>
                <w:rFonts w:ascii="Times New Roman" w:hAnsi="Times New Roman" w:cs="Times New Roman"/>
                <w:lang w:val="lv-LV"/>
              </w:rPr>
            </w:pPr>
            <w:r w:rsidRPr="00880EC7">
              <w:rPr>
                <w:rFonts w:ascii="Times New Roman" w:hAnsi="Times New Roman" w:cs="Times New Roman"/>
                <w:lang w:val="lv-LV"/>
              </w:rPr>
              <w:t xml:space="preserve">Janvāris </w:t>
            </w:r>
          </w:p>
        </w:tc>
        <w:tc>
          <w:tcPr>
            <w:tcW w:w="1657" w:type="dxa"/>
          </w:tcPr>
          <w:p w14:paraId="289FFD11" w14:textId="77777777" w:rsidR="00B61920" w:rsidRPr="00880EC7" w:rsidRDefault="006D1BFC" w:rsidP="00B61920">
            <w:pPr>
              <w:jc w:val="both"/>
              <w:rPr>
                <w:rFonts w:ascii="Times New Roman" w:hAnsi="Times New Roman" w:cs="Times New Roman"/>
                <w:lang w:val="lv-LV"/>
              </w:rPr>
            </w:pPr>
            <w:r w:rsidRPr="00880EC7">
              <w:rPr>
                <w:rFonts w:ascii="Times New Roman" w:hAnsi="Times New Roman" w:cs="Times New Roman"/>
                <w:lang w:val="lv-LV"/>
              </w:rPr>
              <w:t>230</w:t>
            </w:r>
          </w:p>
        </w:tc>
        <w:tc>
          <w:tcPr>
            <w:tcW w:w="895" w:type="dxa"/>
          </w:tcPr>
          <w:p w14:paraId="1CBC36E4" w14:textId="77777777" w:rsidR="00B61920" w:rsidRPr="00880EC7" w:rsidRDefault="006D1BFC" w:rsidP="00B61920">
            <w:pPr>
              <w:jc w:val="both"/>
              <w:rPr>
                <w:rFonts w:ascii="Times New Roman" w:hAnsi="Times New Roman" w:cs="Times New Roman"/>
                <w:lang w:val="lv-LV"/>
              </w:rPr>
            </w:pPr>
            <w:r w:rsidRPr="00880EC7">
              <w:rPr>
                <w:rFonts w:ascii="Times New Roman" w:hAnsi="Times New Roman" w:cs="Times New Roman"/>
                <w:lang w:val="lv-LV"/>
              </w:rPr>
              <w:t>115</w:t>
            </w:r>
          </w:p>
        </w:tc>
        <w:tc>
          <w:tcPr>
            <w:tcW w:w="1406" w:type="dxa"/>
          </w:tcPr>
          <w:p w14:paraId="7B9287C4" w14:textId="77777777" w:rsidR="00B61920" w:rsidRPr="00880EC7" w:rsidRDefault="006D1BFC" w:rsidP="00B61920">
            <w:pPr>
              <w:jc w:val="both"/>
              <w:rPr>
                <w:rFonts w:ascii="Times New Roman" w:hAnsi="Times New Roman" w:cs="Times New Roman"/>
                <w:lang w:val="lv-LV"/>
              </w:rPr>
            </w:pPr>
            <w:r w:rsidRPr="00880EC7">
              <w:rPr>
                <w:rFonts w:ascii="Times New Roman" w:hAnsi="Times New Roman" w:cs="Times New Roman"/>
                <w:lang w:val="lv-LV"/>
              </w:rPr>
              <w:t>2513890</w:t>
            </w:r>
          </w:p>
        </w:tc>
        <w:tc>
          <w:tcPr>
            <w:tcW w:w="1004" w:type="dxa"/>
          </w:tcPr>
          <w:p w14:paraId="3F6F5A39" w14:textId="77777777" w:rsidR="00B61920" w:rsidRPr="00880EC7" w:rsidRDefault="006D1BFC" w:rsidP="00B61920">
            <w:pPr>
              <w:jc w:val="both"/>
              <w:rPr>
                <w:rFonts w:ascii="Times New Roman" w:hAnsi="Times New Roman" w:cs="Times New Roman"/>
                <w:lang w:val="lv-LV"/>
              </w:rPr>
            </w:pPr>
            <w:r w:rsidRPr="00880EC7">
              <w:rPr>
                <w:rFonts w:ascii="Times New Roman" w:hAnsi="Times New Roman" w:cs="Times New Roman"/>
                <w:lang w:val="lv-LV"/>
              </w:rPr>
              <w:t>24</w:t>
            </w:r>
          </w:p>
        </w:tc>
        <w:tc>
          <w:tcPr>
            <w:tcW w:w="1275" w:type="dxa"/>
          </w:tcPr>
          <w:p w14:paraId="2DE50577" w14:textId="77777777" w:rsidR="00B61920" w:rsidRPr="00880EC7" w:rsidRDefault="006D1BFC" w:rsidP="00B61920">
            <w:pPr>
              <w:jc w:val="both"/>
              <w:rPr>
                <w:rFonts w:ascii="Times New Roman" w:hAnsi="Times New Roman" w:cs="Times New Roman"/>
                <w:lang w:val="lv-LV"/>
              </w:rPr>
            </w:pPr>
            <w:r w:rsidRPr="00880EC7">
              <w:rPr>
                <w:rFonts w:ascii="Times New Roman" w:hAnsi="Times New Roman" w:cs="Times New Roman"/>
                <w:lang w:val="lv-LV"/>
              </w:rPr>
              <w:t>302750</w:t>
            </w:r>
          </w:p>
        </w:tc>
        <w:tc>
          <w:tcPr>
            <w:tcW w:w="709" w:type="dxa"/>
          </w:tcPr>
          <w:p w14:paraId="460F6804" w14:textId="77777777" w:rsidR="00B61920" w:rsidRPr="00880EC7" w:rsidRDefault="006D1BFC" w:rsidP="00B61920">
            <w:pPr>
              <w:jc w:val="both"/>
              <w:rPr>
                <w:rFonts w:ascii="Times New Roman" w:hAnsi="Times New Roman" w:cs="Times New Roman"/>
                <w:lang w:val="lv-LV"/>
              </w:rPr>
            </w:pPr>
            <w:r w:rsidRPr="00880EC7">
              <w:rPr>
                <w:rFonts w:ascii="Times New Roman" w:hAnsi="Times New Roman" w:cs="Times New Roman"/>
                <w:lang w:val="lv-LV"/>
              </w:rPr>
              <w:t>24</w:t>
            </w:r>
          </w:p>
        </w:tc>
        <w:tc>
          <w:tcPr>
            <w:tcW w:w="1320" w:type="dxa"/>
          </w:tcPr>
          <w:p w14:paraId="58164DB9" w14:textId="77777777" w:rsidR="00B61920" w:rsidRPr="00880EC7" w:rsidRDefault="006D1BFC" w:rsidP="00B61920">
            <w:pPr>
              <w:jc w:val="both"/>
              <w:rPr>
                <w:rFonts w:ascii="Times New Roman" w:hAnsi="Times New Roman" w:cs="Times New Roman"/>
                <w:lang w:val="lv-LV"/>
              </w:rPr>
            </w:pPr>
            <w:r w:rsidRPr="00880EC7">
              <w:rPr>
                <w:rFonts w:ascii="Times New Roman" w:hAnsi="Times New Roman" w:cs="Times New Roman"/>
                <w:lang w:val="lv-LV"/>
              </w:rPr>
              <w:t>961800</w:t>
            </w:r>
          </w:p>
        </w:tc>
      </w:tr>
      <w:tr w:rsidR="002C5745" w:rsidRPr="002C5745" w14:paraId="63F06F62" w14:textId="77777777" w:rsidTr="002C5745">
        <w:tc>
          <w:tcPr>
            <w:tcW w:w="1129" w:type="dxa"/>
          </w:tcPr>
          <w:p w14:paraId="14AE3ADE" w14:textId="77777777" w:rsidR="00B61920" w:rsidRPr="00880EC7" w:rsidRDefault="00B61920" w:rsidP="00B61920">
            <w:pPr>
              <w:jc w:val="both"/>
              <w:rPr>
                <w:rFonts w:ascii="Times New Roman" w:hAnsi="Times New Roman" w:cs="Times New Roman"/>
                <w:lang w:val="lv-LV"/>
              </w:rPr>
            </w:pPr>
            <w:r w:rsidRPr="00880EC7">
              <w:rPr>
                <w:rFonts w:ascii="Times New Roman" w:hAnsi="Times New Roman" w:cs="Times New Roman"/>
                <w:lang w:val="lv-LV"/>
              </w:rPr>
              <w:t xml:space="preserve">Februāris </w:t>
            </w:r>
          </w:p>
        </w:tc>
        <w:tc>
          <w:tcPr>
            <w:tcW w:w="1657" w:type="dxa"/>
          </w:tcPr>
          <w:p w14:paraId="7B150DF1" w14:textId="77777777" w:rsidR="00B61920" w:rsidRPr="00880EC7" w:rsidRDefault="006D1BFC" w:rsidP="00B61920">
            <w:pPr>
              <w:jc w:val="both"/>
              <w:rPr>
                <w:rFonts w:ascii="Times New Roman" w:hAnsi="Times New Roman" w:cs="Times New Roman"/>
                <w:lang w:val="lv-LV"/>
              </w:rPr>
            </w:pPr>
            <w:r w:rsidRPr="00880EC7">
              <w:rPr>
                <w:rFonts w:ascii="Times New Roman" w:hAnsi="Times New Roman" w:cs="Times New Roman"/>
                <w:lang w:val="lv-LV"/>
              </w:rPr>
              <w:t>312</w:t>
            </w:r>
          </w:p>
        </w:tc>
        <w:tc>
          <w:tcPr>
            <w:tcW w:w="895" w:type="dxa"/>
          </w:tcPr>
          <w:p w14:paraId="71C4D8B3" w14:textId="77777777" w:rsidR="00B61920" w:rsidRPr="00880EC7" w:rsidRDefault="006D1BFC" w:rsidP="00B61920">
            <w:pPr>
              <w:jc w:val="both"/>
              <w:rPr>
                <w:rFonts w:ascii="Times New Roman" w:hAnsi="Times New Roman" w:cs="Times New Roman"/>
                <w:lang w:val="lv-LV"/>
              </w:rPr>
            </w:pPr>
            <w:r w:rsidRPr="00880EC7">
              <w:rPr>
                <w:rFonts w:ascii="Times New Roman" w:hAnsi="Times New Roman" w:cs="Times New Roman"/>
                <w:lang w:val="lv-LV"/>
              </w:rPr>
              <w:t>170</w:t>
            </w:r>
          </w:p>
        </w:tc>
        <w:tc>
          <w:tcPr>
            <w:tcW w:w="1406" w:type="dxa"/>
          </w:tcPr>
          <w:p w14:paraId="27BA3880" w14:textId="77777777" w:rsidR="00B61920" w:rsidRPr="00880EC7" w:rsidRDefault="006D1BFC" w:rsidP="00B61920">
            <w:pPr>
              <w:jc w:val="both"/>
              <w:rPr>
                <w:rFonts w:ascii="Times New Roman" w:hAnsi="Times New Roman" w:cs="Times New Roman"/>
                <w:lang w:val="lv-LV"/>
              </w:rPr>
            </w:pPr>
            <w:r w:rsidRPr="00880EC7">
              <w:rPr>
                <w:rFonts w:ascii="Times New Roman" w:hAnsi="Times New Roman" w:cs="Times New Roman"/>
                <w:lang w:val="lv-LV"/>
              </w:rPr>
              <w:t>1900150</w:t>
            </w:r>
          </w:p>
        </w:tc>
        <w:tc>
          <w:tcPr>
            <w:tcW w:w="1004" w:type="dxa"/>
          </w:tcPr>
          <w:p w14:paraId="2E164883" w14:textId="77777777" w:rsidR="00B61920" w:rsidRPr="00880EC7" w:rsidRDefault="006D1BFC" w:rsidP="00B61920">
            <w:pPr>
              <w:jc w:val="both"/>
              <w:rPr>
                <w:rFonts w:ascii="Times New Roman" w:hAnsi="Times New Roman" w:cs="Times New Roman"/>
                <w:lang w:val="lv-LV"/>
              </w:rPr>
            </w:pPr>
            <w:r w:rsidRPr="00880EC7">
              <w:rPr>
                <w:rFonts w:ascii="Times New Roman" w:hAnsi="Times New Roman" w:cs="Times New Roman"/>
                <w:lang w:val="lv-LV"/>
              </w:rPr>
              <w:t>39</w:t>
            </w:r>
          </w:p>
        </w:tc>
        <w:tc>
          <w:tcPr>
            <w:tcW w:w="1275" w:type="dxa"/>
          </w:tcPr>
          <w:p w14:paraId="27E8A468" w14:textId="77777777" w:rsidR="00B61920" w:rsidRPr="00880EC7" w:rsidRDefault="006D1BFC" w:rsidP="00B61920">
            <w:pPr>
              <w:jc w:val="both"/>
              <w:rPr>
                <w:rFonts w:ascii="Times New Roman" w:hAnsi="Times New Roman" w:cs="Times New Roman"/>
                <w:lang w:val="lv-LV"/>
              </w:rPr>
            </w:pPr>
            <w:r w:rsidRPr="00880EC7">
              <w:rPr>
                <w:rFonts w:ascii="Times New Roman" w:hAnsi="Times New Roman" w:cs="Times New Roman"/>
                <w:lang w:val="lv-LV"/>
              </w:rPr>
              <w:t>554420</w:t>
            </w:r>
          </w:p>
        </w:tc>
        <w:tc>
          <w:tcPr>
            <w:tcW w:w="709" w:type="dxa"/>
          </w:tcPr>
          <w:p w14:paraId="22F7E2F4" w14:textId="77777777" w:rsidR="00B61920" w:rsidRPr="00880EC7" w:rsidRDefault="006D1BFC" w:rsidP="00B61920">
            <w:pPr>
              <w:jc w:val="both"/>
              <w:rPr>
                <w:rFonts w:ascii="Times New Roman" w:hAnsi="Times New Roman" w:cs="Times New Roman"/>
                <w:lang w:val="lv-LV"/>
              </w:rPr>
            </w:pPr>
            <w:r w:rsidRPr="00880EC7">
              <w:rPr>
                <w:rFonts w:ascii="Times New Roman" w:hAnsi="Times New Roman" w:cs="Times New Roman"/>
                <w:lang w:val="lv-LV"/>
              </w:rPr>
              <w:t>61</w:t>
            </w:r>
          </w:p>
        </w:tc>
        <w:tc>
          <w:tcPr>
            <w:tcW w:w="1320" w:type="dxa"/>
          </w:tcPr>
          <w:p w14:paraId="1ACA74D2" w14:textId="77777777" w:rsidR="00B61920" w:rsidRPr="00880EC7" w:rsidRDefault="006D1BFC" w:rsidP="00B61920">
            <w:pPr>
              <w:jc w:val="both"/>
              <w:rPr>
                <w:rFonts w:ascii="Times New Roman" w:hAnsi="Times New Roman" w:cs="Times New Roman"/>
                <w:lang w:val="lv-LV"/>
              </w:rPr>
            </w:pPr>
            <w:r w:rsidRPr="00880EC7">
              <w:rPr>
                <w:rFonts w:ascii="Times New Roman" w:hAnsi="Times New Roman" w:cs="Times New Roman"/>
                <w:lang w:val="lv-LV"/>
              </w:rPr>
              <w:t>1499850</w:t>
            </w:r>
          </w:p>
        </w:tc>
      </w:tr>
      <w:tr w:rsidR="002C5745" w:rsidRPr="002C5745" w14:paraId="2A90B801" w14:textId="77777777" w:rsidTr="002C5745">
        <w:tc>
          <w:tcPr>
            <w:tcW w:w="1129" w:type="dxa"/>
          </w:tcPr>
          <w:p w14:paraId="19EDED4D" w14:textId="77777777" w:rsidR="00B61920" w:rsidRPr="00880EC7" w:rsidRDefault="00B61920" w:rsidP="00B61920">
            <w:pPr>
              <w:jc w:val="both"/>
              <w:rPr>
                <w:rFonts w:ascii="Times New Roman" w:hAnsi="Times New Roman" w:cs="Times New Roman"/>
                <w:lang w:val="lv-LV"/>
              </w:rPr>
            </w:pPr>
            <w:r w:rsidRPr="00880EC7">
              <w:rPr>
                <w:rFonts w:ascii="Times New Roman" w:hAnsi="Times New Roman" w:cs="Times New Roman"/>
                <w:lang w:val="lv-LV"/>
              </w:rPr>
              <w:t xml:space="preserve">Marts </w:t>
            </w:r>
          </w:p>
        </w:tc>
        <w:tc>
          <w:tcPr>
            <w:tcW w:w="1657" w:type="dxa"/>
          </w:tcPr>
          <w:p w14:paraId="57B56FA0" w14:textId="77777777" w:rsidR="00B61920" w:rsidRPr="00880EC7" w:rsidRDefault="006D1BFC" w:rsidP="00B61920">
            <w:pPr>
              <w:jc w:val="both"/>
              <w:rPr>
                <w:rFonts w:ascii="Times New Roman" w:hAnsi="Times New Roman" w:cs="Times New Roman"/>
                <w:lang w:val="lv-LV"/>
              </w:rPr>
            </w:pPr>
            <w:r w:rsidRPr="00880EC7">
              <w:rPr>
                <w:rFonts w:ascii="Times New Roman" w:hAnsi="Times New Roman" w:cs="Times New Roman"/>
                <w:lang w:val="lv-LV"/>
              </w:rPr>
              <w:t>275</w:t>
            </w:r>
          </w:p>
        </w:tc>
        <w:tc>
          <w:tcPr>
            <w:tcW w:w="895" w:type="dxa"/>
          </w:tcPr>
          <w:p w14:paraId="66881FFE" w14:textId="77777777" w:rsidR="00B61920" w:rsidRPr="00880EC7" w:rsidRDefault="006D1BFC" w:rsidP="00B61920">
            <w:pPr>
              <w:jc w:val="both"/>
              <w:rPr>
                <w:rFonts w:ascii="Times New Roman" w:hAnsi="Times New Roman" w:cs="Times New Roman"/>
                <w:lang w:val="lv-LV"/>
              </w:rPr>
            </w:pPr>
            <w:r w:rsidRPr="00880EC7">
              <w:rPr>
                <w:rFonts w:ascii="Times New Roman" w:hAnsi="Times New Roman" w:cs="Times New Roman"/>
                <w:lang w:val="lv-LV"/>
              </w:rPr>
              <w:t>196</w:t>
            </w:r>
          </w:p>
        </w:tc>
        <w:tc>
          <w:tcPr>
            <w:tcW w:w="1406" w:type="dxa"/>
          </w:tcPr>
          <w:p w14:paraId="0F404F6F" w14:textId="77777777" w:rsidR="00B61920" w:rsidRPr="00880EC7" w:rsidRDefault="006D1BFC" w:rsidP="00B61920">
            <w:pPr>
              <w:jc w:val="both"/>
              <w:rPr>
                <w:rFonts w:ascii="Times New Roman" w:hAnsi="Times New Roman" w:cs="Times New Roman"/>
                <w:lang w:val="lv-LV"/>
              </w:rPr>
            </w:pPr>
            <w:r w:rsidRPr="00880EC7">
              <w:rPr>
                <w:rFonts w:ascii="Times New Roman" w:hAnsi="Times New Roman" w:cs="Times New Roman"/>
                <w:lang w:val="lv-LV"/>
              </w:rPr>
              <w:t>4153640</w:t>
            </w:r>
          </w:p>
        </w:tc>
        <w:tc>
          <w:tcPr>
            <w:tcW w:w="1004" w:type="dxa"/>
          </w:tcPr>
          <w:p w14:paraId="313407FA" w14:textId="77777777" w:rsidR="00B61920" w:rsidRPr="00880EC7" w:rsidRDefault="006D1BFC" w:rsidP="00B61920">
            <w:pPr>
              <w:jc w:val="both"/>
              <w:rPr>
                <w:rFonts w:ascii="Times New Roman" w:hAnsi="Times New Roman" w:cs="Times New Roman"/>
                <w:lang w:val="lv-LV"/>
              </w:rPr>
            </w:pPr>
            <w:r w:rsidRPr="00880EC7">
              <w:rPr>
                <w:rFonts w:ascii="Times New Roman" w:hAnsi="Times New Roman" w:cs="Times New Roman"/>
                <w:lang w:val="lv-LV"/>
              </w:rPr>
              <w:t>55</w:t>
            </w:r>
          </w:p>
        </w:tc>
        <w:tc>
          <w:tcPr>
            <w:tcW w:w="1275" w:type="dxa"/>
          </w:tcPr>
          <w:p w14:paraId="3422D391" w14:textId="77777777" w:rsidR="00B61920" w:rsidRPr="00880EC7" w:rsidRDefault="006D1BFC" w:rsidP="00B61920">
            <w:pPr>
              <w:jc w:val="both"/>
              <w:rPr>
                <w:rFonts w:ascii="Times New Roman" w:hAnsi="Times New Roman" w:cs="Times New Roman"/>
                <w:lang w:val="lv-LV"/>
              </w:rPr>
            </w:pPr>
            <w:r w:rsidRPr="00880EC7">
              <w:rPr>
                <w:rFonts w:ascii="Times New Roman" w:hAnsi="Times New Roman" w:cs="Times New Roman"/>
                <w:lang w:val="lv-LV"/>
              </w:rPr>
              <w:t>3630920</w:t>
            </w:r>
          </w:p>
        </w:tc>
        <w:tc>
          <w:tcPr>
            <w:tcW w:w="709" w:type="dxa"/>
          </w:tcPr>
          <w:p w14:paraId="371B4209" w14:textId="77777777" w:rsidR="00B61920" w:rsidRPr="00880EC7" w:rsidRDefault="006D1BFC" w:rsidP="00B61920">
            <w:pPr>
              <w:jc w:val="both"/>
              <w:rPr>
                <w:rFonts w:ascii="Times New Roman" w:hAnsi="Times New Roman" w:cs="Times New Roman"/>
                <w:lang w:val="lv-LV"/>
              </w:rPr>
            </w:pPr>
            <w:r w:rsidRPr="00880EC7">
              <w:rPr>
                <w:rFonts w:ascii="Times New Roman" w:hAnsi="Times New Roman" w:cs="Times New Roman"/>
                <w:lang w:val="lv-LV"/>
              </w:rPr>
              <w:t>43</w:t>
            </w:r>
          </w:p>
        </w:tc>
        <w:tc>
          <w:tcPr>
            <w:tcW w:w="1320" w:type="dxa"/>
          </w:tcPr>
          <w:p w14:paraId="2BC11D60" w14:textId="77777777" w:rsidR="00B61920" w:rsidRPr="00880EC7" w:rsidRDefault="006D1BFC" w:rsidP="00B61920">
            <w:pPr>
              <w:jc w:val="both"/>
              <w:rPr>
                <w:rFonts w:ascii="Times New Roman" w:hAnsi="Times New Roman" w:cs="Times New Roman"/>
                <w:lang w:val="lv-LV"/>
              </w:rPr>
            </w:pPr>
            <w:r w:rsidRPr="00880EC7">
              <w:rPr>
                <w:rFonts w:ascii="Times New Roman" w:hAnsi="Times New Roman" w:cs="Times New Roman"/>
                <w:lang w:val="lv-LV"/>
              </w:rPr>
              <w:t>1987100</w:t>
            </w:r>
          </w:p>
        </w:tc>
      </w:tr>
      <w:tr w:rsidR="002C5745" w:rsidRPr="002C5745" w14:paraId="51315C08" w14:textId="77777777" w:rsidTr="002C5745">
        <w:tc>
          <w:tcPr>
            <w:tcW w:w="1129" w:type="dxa"/>
          </w:tcPr>
          <w:p w14:paraId="0CEFC6D3" w14:textId="77777777" w:rsidR="00B61920" w:rsidRPr="00880EC7" w:rsidRDefault="00B61920" w:rsidP="00B61920">
            <w:pPr>
              <w:jc w:val="both"/>
              <w:rPr>
                <w:rFonts w:ascii="Times New Roman" w:hAnsi="Times New Roman" w:cs="Times New Roman"/>
                <w:lang w:val="lv-LV"/>
              </w:rPr>
            </w:pPr>
            <w:r w:rsidRPr="00880EC7">
              <w:rPr>
                <w:rFonts w:ascii="Times New Roman" w:hAnsi="Times New Roman" w:cs="Times New Roman"/>
                <w:lang w:val="lv-LV"/>
              </w:rPr>
              <w:t xml:space="preserve">Aprīlis </w:t>
            </w:r>
          </w:p>
        </w:tc>
        <w:tc>
          <w:tcPr>
            <w:tcW w:w="1657" w:type="dxa"/>
          </w:tcPr>
          <w:p w14:paraId="65AB3290" w14:textId="77777777" w:rsidR="00B61920" w:rsidRPr="00880EC7" w:rsidRDefault="006D1BFC" w:rsidP="00B61920">
            <w:pPr>
              <w:jc w:val="both"/>
              <w:rPr>
                <w:rFonts w:ascii="Times New Roman" w:hAnsi="Times New Roman" w:cs="Times New Roman"/>
                <w:lang w:val="lv-LV"/>
              </w:rPr>
            </w:pPr>
            <w:r w:rsidRPr="00880EC7">
              <w:rPr>
                <w:rFonts w:ascii="Times New Roman" w:hAnsi="Times New Roman" w:cs="Times New Roman"/>
                <w:lang w:val="lv-LV"/>
              </w:rPr>
              <w:t>174</w:t>
            </w:r>
          </w:p>
        </w:tc>
        <w:tc>
          <w:tcPr>
            <w:tcW w:w="895" w:type="dxa"/>
          </w:tcPr>
          <w:p w14:paraId="73BFBB11" w14:textId="77777777" w:rsidR="00B61920" w:rsidRPr="00880EC7" w:rsidRDefault="006D1BFC" w:rsidP="00B61920">
            <w:pPr>
              <w:jc w:val="both"/>
              <w:rPr>
                <w:rFonts w:ascii="Times New Roman" w:hAnsi="Times New Roman" w:cs="Times New Roman"/>
                <w:lang w:val="lv-LV"/>
              </w:rPr>
            </w:pPr>
            <w:r w:rsidRPr="00880EC7">
              <w:rPr>
                <w:rFonts w:ascii="Times New Roman" w:hAnsi="Times New Roman" w:cs="Times New Roman"/>
                <w:lang w:val="lv-LV"/>
              </w:rPr>
              <w:t>180</w:t>
            </w:r>
          </w:p>
        </w:tc>
        <w:tc>
          <w:tcPr>
            <w:tcW w:w="1406" w:type="dxa"/>
          </w:tcPr>
          <w:p w14:paraId="1D786594" w14:textId="77777777" w:rsidR="00B61920" w:rsidRPr="00880EC7" w:rsidRDefault="006D1BFC" w:rsidP="00B61920">
            <w:pPr>
              <w:jc w:val="both"/>
              <w:rPr>
                <w:rFonts w:ascii="Times New Roman" w:hAnsi="Times New Roman" w:cs="Times New Roman"/>
                <w:lang w:val="lv-LV"/>
              </w:rPr>
            </w:pPr>
            <w:r w:rsidRPr="00880EC7">
              <w:rPr>
                <w:rFonts w:ascii="Times New Roman" w:hAnsi="Times New Roman" w:cs="Times New Roman"/>
                <w:lang w:val="lv-LV"/>
              </w:rPr>
              <w:t>5226280</w:t>
            </w:r>
          </w:p>
        </w:tc>
        <w:tc>
          <w:tcPr>
            <w:tcW w:w="1004" w:type="dxa"/>
          </w:tcPr>
          <w:p w14:paraId="2EDD8F8C" w14:textId="77777777" w:rsidR="00B61920" w:rsidRPr="00880EC7" w:rsidRDefault="006D1BFC" w:rsidP="00B61920">
            <w:pPr>
              <w:jc w:val="both"/>
              <w:rPr>
                <w:rFonts w:ascii="Times New Roman" w:hAnsi="Times New Roman" w:cs="Times New Roman"/>
                <w:lang w:val="lv-LV"/>
              </w:rPr>
            </w:pPr>
            <w:r w:rsidRPr="00880EC7">
              <w:rPr>
                <w:rFonts w:ascii="Times New Roman" w:hAnsi="Times New Roman" w:cs="Times New Roman"/>
                <w:lang w:val="lv-LV"/>
              </w:rPr>
              <w:t>38</w:t>
            </w:r>
          </w:p>
        </w:tc>
        <w:tc>
          <w:tcPr>
            <w:tcW w:w="1275" w:type="dxa"/>
          </w:tcPr>
          <w:p w14:paraId="04D8AADB" w14:textId="77777777" w:rsidR="00B61920" w:rsidRPr="00880EC7" w:rsidRDefault="006D1BFC" w:rsidP="00B61920">
            <w:pPr>
              <w:jc w:val="both"/>
              <w:rPr>
                <w:rFonts w:ascii="Times New Roman" w:hAnsi="Times New Roman" w:cs="Times New Roman"/>
                <w:lang w:val="lv-LV"/>
              </w:rPr>
            </w:pPr>
            <w:r w:rsidRPr="00880EC7">
              <w:rPr>
                <w:rFonts w:ascii="Times New Roman" w:hAnsi="Times New Roman" w:cs="Times New Roman"/>
                <w:lang w:val="lv-LV"/>
              </w:rPr>
              <w:t>944930</w:t>
            </w:r>
          </w:p>
        </w:tc>
        <w:tc>
          <w:tcPr>
            <w:tcW w:w="709" w:type="dxa"/>
          </w:tcPr>
          <w:p w14:paraId="071F417E" w14:textId="77777777" w:rsidR="00B61920" w:rsidRPr="00880EC7" w:rsidRDefault="006D1BFC" w:rsidP="00B61920">
            <w:pPr>
              <w:jc w:val="both"/>
              <w:rPr>
                <w:rFonts w:ascii="Times New Roman" w:hAnsi="Times New Roman" w:cs="Times New Roman"/>
                <w:lang w:val="lv-LV"/>
              </w:rPr>
            </w:pPr>
            <w:r w:rsidRPr="00880EC7">
              <w:rPr>
                <w:rFonts w:ascii="Times New Roman" w:hAnsi="Times New Roman" w:cs="Times New Roman"/>
                <w:lang w:val="lv-LV"/>
              </w:rPr>
              <w:t>42</w:t>
            </w:r>
          </w:p>
        </w:tc>
        <w:tc>
          <w:tcPr>
            <w:tcW w:w="1320" w:type="dxa"/>
          </w:tcPr>
          <w:p w14:paraId="55203F83" w14:textId="77777777" w:rsidR="00B61920" w:rsidRPr="00880EC7" w:rsidRDefault="006D1BFC" w:rsidP="00B61920">
            <w:pPr>
              <w:jc w:val="both"/>
              <w:rPr>
                <w:rFonts w:ascii="Times New Roman" w:hAnsi="Times New Roman" w:cs="Times New Roman"/>
                <w:lang w:val="lv-LV"/>
              </w:rPr>
            </w:pPr>
            <w:r w:rsidRPr="00880EC7">
              <w:rPr>
                <w:rFonts w:ascii="Times New Roman" w:hAnsi="Times New Roman" w:cs="Times New Roman"/>
                <w:lang w:val="lv-LV"/>
              </w:rPr>
              <w:t>1128290</w:t>
            </w:r>
          </w:p>
        </w:tc>
      </w:tr>
      <w:tr w:rsidR="002C5745" w:rsidRPr="002C5745" w14:paraId="021FF155" w14:textId="77777777" w:rsidTr="002C5745">
        <w:tc>
          <w:tcPr>
            <w:tcW w:w="1129" w:type="dxa"/>
          </w:tcPr>
          <w:p w14:paraId="6DA477C5" w14:textId="77777777" w:rsidR="00B61920" w:rsidRPr="00880EC7" w:rsidRDefault="00B61920" w:rsidP="00B61920">
            <w:pPr>
              <w:jc w:val="both"/>
              <w:rPr>
                <w:rFonts w:ascii="Times New Roman" w:hAnsi="Times New Roman" w:cs="Times New Roman"/>
                <w:lang w:val="lv-LV"/>
              </w:rPr>
            </w:pPr>
            <w:r w:rsidRPr="00880EC7">
              <w:rPr>
                <w:rFonts w:ascii="Times New Roman" w:hAnsi="Times New Roman" w:cs="Times New Roman"/>
                <w:lang w:val="lv-LV"/>
              </w:rPr>
              <w:t xml:space="preserve">Maijs </w:t>
            </w:r>
          </w:p>
        </w:tc>
        <w:tc>
          <w:tcPr>
            <w:tcW w:w="1657" w:type="dxa"/>
          </w:tcPr>
          <w:p w14:paraId="5993AABD" w14:textId="77777777" w:rsidR="00B61920" w:rsidRPr="00880EC7" w:rsidRDefault="006D1BFC" w:rsidP="00B61920">
            <w:pPr>
              <w:jc w:val="both"/>
              <w:rPr>
                <w:rFonts w:ascii="Times New Roman" w:hAnsi="Times New Roman" w:cs="Times New Roman"/>
                <w:lang w:val="lv-LV"/>
              </w:rPr>
            </w:pPr>
            <w:r w:rsidRPr="00880EC7">
              <w:rPr>
                <w:rFonts w:ascii="Times New Roman" w:hAnsi="Times New Roman" w:cs="Times New Roman"/>
                <w:lang w:val="lv-LV"/>
              </w:rPr>
              <w:t>229</w:t>
            </w:r>
          </w:p>
        </w:tc>
        <w:tc>
          <w:tcPr>
            <w:tcW w:w="895" w:type="dxa"/>
          </w:tcPr>
          <w:p w14:paraId="1109FD57" w14:textId="77777777" w:rsidR="00B61920" w:rsidRPr="00880EC7" w:rsidRDefault="006D1BFC" w:rsidP="00B61920">
            <w:pPr>
              <w:jc w:val="both"/>
              <w:rPr>
                <w:rFonts w:ascii="Times New Roman" w:hAnsi="Times New Roman" w:cs="Times New Roman"/>
                <w:lang w:val="lv-LV"/>
              </w:rPr>
            </w:pPr>
            <w:r w:rsidRPr="00880EC7">
              <w:rPr>
                <w:rFonts w:ascii="Times New Roman" w:hAnsi="Times New Roman" w:cs="Times New Roman"/>
                <w:lang w:val="lv-LV"/>
              </w:rPr>
              <w:t>155</w:t>
            </w:r>
          </w:p>
        </w:tc>
        <w:tc>
          <w:tcPr>
            <w:tcW w:w="1406" w:type="dxa"/>
          </w:tcPr>
          <w:p w14:paraId="47489C91" w14:textId="77777777" w:rsidR="00B61920" w:rsidRPr="00880EC7" w:rsidRDefault="006D1BFC" w:rsidP="00B61920">
            <w:pPr>
              <w:jc w:val="both"/>
              <w:rPr>
                <w:rFonts w:ascii="Times New Roman" w:hAnsi="Times New Roman" w:cs="Times New Roman"/>
                <w:lang w:val="lv-LV"/>
              </w:rPr>
            </w:pPr>
            <w:r w:rsidRPr="00880EC7">
              <w:rPr>
                <w:rFonts w:ascii="Times New Roman" w:hAnsi="Times New Roman" w:cs="Times New Roman"/>
                <w:lang w:val="lv-LV"/>
              </w:rPr>
              <w:t>1912820</w:t>
            </w:r>
          </w:p>
        </w:tc>
        <w:tc>
          <w:tcPr>
            <w:tcW w:w="1004" w:type="dxa"/>
          </w:tcPr>
          <w:p w14:paraId="47AB35BA" w14:textId="77777777" w:rsidR="00B61920" w:rsidRPr="00880EC7" w:rsidRDefault="006D1BFC" w:rsidP="00B61920">
            <w:pPr>
              <w:jc w:val="both"/>
              <w:rPr>
                <w:rFonts w:ascii="Times New Roman" w:hAnsi="Times New Roman" w:cs="Times New Roman"/>
                <w:lang w:val="lv-LV"/>
              </w:rPr>
            </w:pPr>
            <w:r w:rsidRPr="00880EC7">
              <w:rPr>
                <w:rFonts w:ascii="Times New Roman" w:hAnsi="Times New Roman" w:cs="Times New Roman"/>
                <w:lang w:val="lv-LV"/>
              </w:rPr>
              <w:t>22</w:t>
            </w:r>
          </w:p>
        </w:tc>
        <w:tc>
          <w:tcPr>
            <w:tcW w:w="1275" w:type="dxa"/>
          </w:tcPr>
          <w:p w14:paraId="0E38EC40" w14:textId="77777777" w:rsidR="00B61920" w:rsidRPr="00880EC7" w:rsidRDefault="006D1BFC" w:rsidP="00B61920">
            <w:pPr>
              <w:jc w:val="both"/>
              <w:rPr>
                <w:rFonts w:ascii="Times New Roman" w:hAnsi="Times New Roman" w:cs="Times New Roman"/>
                <w:lang w:val="lv-LV"/>
              </w:rPr>
            </w:pPr>
            <w:r w:rsidRPr="00880EC7">
              <w:rPr>
                <w:rFonts w:ascii="Times New Roman" w:hAnsi="Times New Roman" w:cs="Times New Roman"/>
                <w:lang w:val="lv-LV"/>
              </w:rPr>
              <w:t>630370</w:t>
            </w:r>
          </w:p>
        </w:tc>
        <w:tc>
          <w:tcPr>
            <w:tcW w:w="709" w:type="dxa"/>
          </w:tcPr>
          <w:p w14:paraId="38CC1842" w14:textId="77777777" w:rsidR="00B61920" w:rsidRPr="00880EC7" w:rsidRDefault="006D1BFC" w:rsidP="00B61920">
            <w:pPr>
              <w:jc w:val="both"/>
              <w:rPr>
                <w:rFonts w:ascii="Times New Roman" w:hAnsi="Times New Roman" w:cs="Times New Roman"/>
                <w:lang w:val="lv-LV"/>
              </w:rPr>
            </w:pPr>
            <w:r w:rsidRPr="00880EC7">
              <w:rPr>
                <w:rFonts w:ascii="Times New Roman" w:hAnsi="Times New Roman" w:cs="Times New Roman"/>
                <w:lang w:val="lv-LV"/>
              </w:rPr>
              <w:t>62</w:t>
            </w:r>
          </w:p>
        </w:tc>
        <w:tc>
          <w:tcPr>
            <w:tcW w:w="1320" w:type="dxa"/>
          </w:tcPr>
          <w:p w14:paraId="08CB80FC" w14:textId="77777777" w:rsidR="00B61920" w:rsidRPr="00880EC7" w:rsidRDefault="006D1BFC" w:rsidP="00B61920">
            <w:pPr>
              <w:jc w:val="both"/>
              <w:rPr>
                <w:rFonts w:ascii="Times New Roman" w:hAnsi="Times New Roman" w:cs="Times New Roman"/>
                <w:lang w:val="lv-LV"/>
              </w:rPr>
            </w:pPr>
            <w:r w:rsidRPr="00880EC7">
              <w:rPr>
                <w:rFonts w:ascii="Times New Roman" w:hAnsi="Times New Roman" w:cs="Times New Roman"/>
                <w:lang w:val="lv-LV"/>
              </w:rPr>
              <w:t>1118410</w:t>
            </w:r>
          </w:p>
        </w:tc>
      </w:tr>
      <w:tr w:rsidR="002C5745" w:rsidRPr="002C5745" w14:paraId="5EC93DE4" w14:textId="77777777" w:rsidTr="002C5745">
        <w:tc>
          <w:tcPr>
            <w:tcW w:w="1129" w:type="dxa"/>
            <w:tcBorders>
              <w:bottom w:val="single" w:sz="4" w:space="0" w:color="auto"/>
            </w:tcBorders>
          </w:tcPr>
          <w:p w14:paraId="1E79FCAF" w14:textId="77777777" w:rsidR="00B61920" w:rsidRPr="00880EC7" w:rsidRDefault="00B61920" w:rsidP="00B61920">
            <w:pPr>
              <w:jc w:val="both"/>
              <w:rPr>
                <w:rFonts w:ascii="Times New Roman" w:hAnsi="Times New Roman" w:cs="Times New Roman"/>
                <w:lang w:val="lv-LV"/>
              </w:rPr>
            </w:pPr>
            <w:r w:rsidRPr="00880EC7">
              <w:rPr>
                <w:rFonts w:ascii="Times New Roman" w:hAnsi="Times New Roman" w:cs="Times New Roman"/>
                <w:lang w:val="lv-LV"/>
              </w:rPr>
              <w:t xml:space="preserve">Jūnijs </w:t>
            </w:r>
          </w:p>
        </w:tc>
        <w:tc>
          <w:tcPr>
            <w:tcW w:w="1657" w:type="dxa"/>
            <w:tcBorders>
              <w:bottom w:val="single" w:sz="4" w:space="0" w:color="auto"/>
            </w:tcBorders>
          </w:tcPr>
          <w:p w14:paraId="48DF7EE6" w14:textId="77777777" w:rsidR="00B61920" w:rsidRPr="00880EC7" w:rsidRDefault="006D1BFC" w:rsidP="00B61920">
            <w:pPr>
              <w:jc w:val="both"/>
              <w:rPr>
                <w:rFonts w:ascii="Times New Roman" w:hAnsi="Times New Roman" w:cs="Times New Roman"/>
                <w:lang w:val="lv-LV"/>
              </w:rPr>
            </w:pPr>
            <w:r w:rsidRPr="00880EC7">
              <w:rPr>
                <w:rFonts w:ascii="Times New Roman" w:hAnsi="Times New Roman" w:cs="Times New Roman"/>
                <w:lang w:val="lv-LV"/>
              </w:rPr>
              <w:t>291</w:t>
            </w:r>
          </w:p>
        </w:tc>
        <w:tc>
          <w:tcPr>
            <w:tcW w:w="895" w:type="dxa"/>
            <w:tcBorders>
              <w:bottom w:val="single" w:sz="4" w:space="0" w:color="auto"/>
            </w:tcBorders>
          </w:tcPr>
          <w:p w14:paraId="4114064F" w14:textId="77777777" w:rsidR="00B61920" w:rsidRPr="00880EC7" w:rsidRDefault="006D1BFC" w:rsidP="00B61920">
            <w:pPr>
              <w:jc w:val="both"/>
              <w:rPr>
                <w:rFonts w:ascii="Times New Roman" w:hAnsi="Times New Roman" w:cs="Times New Roman"/>
                <w:lang w:val="lv-LV"/>
              </w:rPr>
            </w:pPr>
            <w:r w:rsidRPr="00880EC7">
              <w:rPr>
                <w:rFonts w:ascii="Times New Roman" w:hAnsi="Times New Roman" w:cs="Times New Roman"/>
                <w:lang w:val="lv-LV"/>
              </w:rPr>
              <w:t>218</w:t>
            </w:r>
          </w:p>
        </w:tc>
        <w:tc>
          <w:tcPr>
            <w:tcW w:w="1406" w:type="dxa"/>
            <w:tcBorders>
              <w:bottom w:val="single" w:sz="4" w:space="0" w:color="auto"/>
            </w:tcBorders>
          </w:tcPr>
          <w:p w14:paraId="3842ECDA" w14:textId="77777777" w:rsidR="00B61920" w:rsidRPr="00880EC7" w:rsidRDefault="006D1BFC" w:rsidP="00B61920">
            <w:pPr>
              <w:jc w:val="both"/>
              <w:rPr>
                <w:rFonts w:ascii="Times New Roman" w:hAnsi="Times New Roman" w:cs="Times New Roman"/>
                <w:lang w:val="lv-LV"/>
              </w:rPr>
            </w:pPr>
            <w:r w:rsidRPr="00880EC7">
              <w:rPr>
                <w:rFonts w:ascii="Times New Roman" w:hAnsi="Times New Roman" w:cs="Times New Roman"/>
                <w:lang w:val="lv-LV"/>
              </w:rPr>
              <w:t>2363550</w:t>
            </w:r>
          </w:p>
        </w:tc>
        <w:tc>
          <w:tcPr>
            <w:tcW w:w="1004" w:type="dxa"/>
            <w:tcBorders>
              <w:bottom w:val="single" w:sz="4" w:space="0" w:color="auto"/>
            </w:tcBorders>
          </w:tcPr>
          <w:p w14:paraId="7A852D1A" w14:textId="77777777" w:rsidR="00B61920" w:rsidRPr="00880EC7" w:rsidRDefault="006D1BFC" w:rsidP="00B61920">
            <w:pPr>
              <w:jc w:val="both"/>
              <w:rPr>
                <w:rFonts w:ascii="Times New Roman" w:hAnsi="Times New Roman" w:cs="Times New Roman"/>
                <w:lang w:val="lv-LV"/>
              </w:rPr>
            </w:pPr>
            <w:r w:rsidRPr="00880EC7">
              <w:rPr>
                <w:rFonts w:ascii="Times New Roman" w:hAnsi="Times New Roman" w:cs="Times New Roman"/>
                <w:lang w:val="lv-LV"/>
              </w:rPr>
              <w:t>17</w:t>
            </w:r>
          </w:p>
        </w:tc>
        <w:tc>
          <w:tcPr>
            <w:tcW w:w="1275" w:type="dxa"/>
            <w:tcBorders>
              <w:bottom w:val="single" w:sz="4" w:space="0" w:color="auto"/>
            </w:tcBorders>
          </w:tcPr>
          <w:p w14:paraId="62202A57" w14:textId="77777777" w:rsidR="00B61920" w:rsidRPr="00880EC7" w:rsidRDefault="006D1BFC" w:rsidP="00B61920">
            <w:pPr>
              <w:jc w:val="both"/>
              <w:rPr>
                <w:rFonts w:ascii="Times New Roman" w:hAnsi="Times New Roman" w:cs="Times New Roman"/>
                <w:lang w:val="lv-LV"/>
              </w:rPr>
            </w:pPr>
            <w:r w:rsidRPr="00880EC7">
              <w:rPr>
                <w:rFonts w:ascii="Times New Roman" w:hAnsi="Times New Roman" w:cs="Times New Roman"/>
                <w:lang w:val="lv-LV"/>
              </w:rPr>
              <w:t>731100</w:t>
            </w:r>
          </w:p>
        </w:tc>
        <w:tc>
          <w:tcPr>
            <w:tcW w:w="709" w:type="dxa"/>
            <w:tcBorders>
              <w:bottom w:val="single" w:sz="4" w:space="0" w:color="auto"/>
            </w:tcBorders>
          </w:tcPr>
          <w:p w14:paraId="07053B07" w14:textId="77777777" w:rsidR="00B61920" w:rsidRPr="00880EC7" w:rsidRDefault="006D1BFC" w:rsidP="00B61920">
            <w:pPr>
              <w:jc w:val="both"/>
              <w:rPr>
                <w:rFonts w:ascii="Times New Roman" w:hAnsi="Times New Roman" w:cs="Times New Roman"/>
                <w:lang w:val="lv-LV"/>
              </w:rPr>
            </w:pPr>
            <w:r w:rsidRPr="00880EC7">
              <w:rPr>
                <w:rFonts w:ascii="Times New Roman" w:hAnsi="Times New Roman" w:cs="Times New Roman"/>
                <w:lang w:val="lv-LV"/>
              </w:rPr>
              <w:t>44</w:t>
            </w:r>
          </w:p>
        </w:tc>
        <w:tc>
          <w:tcPr>
            <w:tcW w:w="1320" w:type="dxa"/>
            <w:tcBorders>
              <w:bottom w:val="single" w:sz="4" w:space="0" w:color="auto"/>
            </w:tcBorders>
          </w:tcPr>
          <w:p w14:paraId="6EB632D6" w14:textId="77777777" w:rsidR="00B61920" w:rsidRPr="00880EC7" w:rsidRDefault="006D1BFC" w:rsidP="00B61920">
            <w:pPr>
              <w:jc w:val="both"/>
              <w:rPr>
                <w:rFonts w:ascii="Times New Roman" w:hAnsi="Times New Roman" w:cs="Times New Roman"/>
                <w:lang w:val="lv-LV"/>
              </w:rPr>
            </w:pPr>
            <w:r w:rsidRPr="00880EC7">
              <w:rPr>
                <w:rFonts w:ascii="Times New Roman" w:hAnsi="Times New Roman" w:cs="Times New Roman"/>
                <w:lang w:val="lv-LV"/>
              </w:rPr>
              <w:t>1359960</w:t>
            </w:r>
          </w:p>
        </w:tc>
      </w:tr>
      <w:tr w:rsidR="002C5745" w:rsidRPr="002C5745" w14:paraId="4521E20E" w14:textId="77777777" w:rsidTr="002C5745">
        <w:tc>
          <w:tcPr>
            <w:tcW w:w="1129" w:type="dxa"/>
            <w:tcBorders>
              <w:bottom w:val="single" w:sz="4" w:space="0" w:color="auto"/>
            </w:tcBorders>
          </w:tcPr>
          <w:p w14:paraId="6958414C" w14:textId="0B9A1468" w:rsidR="00B61920" w:rsidRPr="00880EC7" w:rsidRDefault="006D1BFC" w:rsidP="00B61920">
            <w:pPr>
              <w:jc w:val="both"/>
              <w:rPr>
                <w:rFonts w:ascii="Times New Roman" w:hAnsi="Times New Roman" w:cs="Times New Roman"/>
                <w:b/>
                <w:lang w:val="lv-LV"/>
              </w:rPr>
            </w:pPr>
            <w:r w:rsidRPr="00880EC7">
              <w:rPr>
                <w:rFonts w:ascii="Times New Roman" w:hAnsi="Times New Roman" w:cs="Times New Roman"/>
                <w:b/>
                <w:lang w:val="lv-LV"/>
              </w:rPr>
              <w:t>Kopā 1.</w:t>
            </w:r>
            <w:r w:rsidR="00A36741">
              <w:rPr>
                <w:rFonts w:ascii="Times New Roman" w:hAnsi="Times New Roman" w:cs="Times New Roman"/>
                <w:b/>
                <w:lang w:val="lv-LV"/>
              </w:rPr>
              <w:t> </w:t>
            </w:r>
            <w:r w:rsidRPr="00880EC7">
              <w:rPr>
                <w:rFonts w:ascii="Times New Roman" w:hAnsi="Times New Roman" w:cs="Times New Roman"/>
                <w:b/>
                <w:lang w:val="lv-LV"/>
              </w:rPr>
              <w:t>pusgadā</w:t>
            </w:r>
          </w:p>
        </w:tc>
        <w:tc>
          <w:tcPr>
            <w:tcW w:w="1657" w:type="dxa"/>
            <w:tcBorders>
              <w:bottom w:val="single" w:sz="4" w:space="0" w:color="auto"/>
            </w:tcBorders>
          </w:tcPr>
          <w:p w14:paraId="79CDE8E8" w14:textId="77777777" w:rsidR="00B61920" w:rsidRPr="00880EC7" w:rsidRDefault="006D1BFC" w:rsidP="00B61920">
            <w:pPr>
              <w:jc w:val="both"/>
              <w:rPr>
                <w:rFonts w:ascii="Times New Roman" w:hAnsi="Times New Roman" w:cs="Times New Roman"/>
                <w:b/>
                <w:lang w:val="lv-LV"/>
              </w:rPr>
            </w:pPr>
            <w:r w:rsidRPr="00880EC7">
              <w:rPr>
                <w:rFonts w:ascii="Times New Roman" w:hAnsi="Times New Roman" w:cs="Times New Roman"/>
                <w:b/>
                <w:lang w:val="lv-LV"/>
              </w:rPr>
              <w:t>1511</w:t>
            </w:r>
          </w:p>
        </w:tc>
        <w:tc>
          <w:tcPr>
            <w:tcW w:w="895" w:type="dxa"/>
            <w:tcBorders>
              <w:bottom w:val="single" w:sz="4" w:space="0" w:color="auto"/>
            </w:tcBorders>
          </w:tcPr>
          <w:p w14:paraId="6B6D067D" w14:textId="77777777" w:rsidR="00B61920" w:rsidRPr="00880EC7" w:rsidRDefault="006D1BFC" w:rsidP="00B61920">
            <w:pPr>
              <w:jc w:val="both"/>
              <w:rPr>
                <w:rFonts w:ascii="Times New Roman" w:hAnsi="Times New Roman" w:cs="Times New Roman"/>
                <w:b/>
                <w:lang w:val="lv-LV"/>
              </w:rPr>
            </w:pPr>
            <w:r w:rsidRPr="00880EC7">
              <w:rPr>
                <w:rFonts w:ascii="Times New Roman" w:hAnsi="Times New Roman" w:cs="Times New Roman"/>
                <w:b/>
                <w:lang w:val="lv-LV"/>
              </w:rPr>
              <w:t>1034</w:t>
            </w:r>
          </w:p>
        </w:tc>
        <w:tc>
          <w:tcPr>
            <w:tcW w:w="1406" w:type="dxa"/>
            <w:tcBorders>
              <w:bottom w:val="single" w:sz="4" w:space="0" w:color="auto"/>
            </w:tcBorders>
          </w:tcPr>
          <w:p w14:paraId="509ECD24" w14:textId="77777777" w:rsidR="00B61920" w:rsidRPr="00880EC7" w:rsidRDefault="006D1BFC" w:rsidP="00B61920">
            <w:pPr>
              <w:jc w:val="both"/>
              <w:rPr>
                <w:rFonts w:ascii="Times New Roman" w:hAnsi="Times New Roman" w:cs="Times New Roman"/>
                <w:b/>
                <w:lang w:val="lv-LV"/>
              </w:rPr>
            </w:pPr>
            <w:r w:rsidRPr="00880EC7">
              <w:rPr>
                <w:rFonts w:ascii="Times New Roman" w:hAnsi="Times New Roman" w:cs="Times New Roman"/>
                <w:b/>
                <w:lang w:val="lv-LV"/>
              </w:rPr>
              <w:t>18070330</w:t>
            </w:r>
          </w:p>
        </w:tc>
        <w:tc>
          <w:tcPr>
            <w:tcW w:w="1004" w:type="dxa"/>
            <w:tcBorders>
              <w:bottom w:val="single" w:sz="4" w:space="0" w:color="auto"/>
            </w:tcBorders>
          </w:tcPr>
          <w:p w14:paraId="7730AEEC" w14:textId="77777777" w:rsidR="00B61920" w:rsidRPr="00880EC7" w:rsidRDefault="006D1BFC" w:rsidP="00B61920">
            <w:pPr>
              <w:jc w:val="both"/>
              <w:rPr>
                <w:rFonts w:ascii="Times New Roman" w:hAnsi="Times New Roman" w:cs="Times New Roman"/>
                <w:b/>
                <w:lang w:val="lv-LV"/>
              </w:rPr>
            </w:pPr>
            <w:r w:rsidRPr="00880EC7">
              <w:rPr>
                <w:rFonts w:ascii="Times New Roman" w:hAnsi="Times New Roman" w:cs="Times New Roman"/>
                <w:b/>
                <w:lang w:val="lv-LV"/>
              </w:rPr>
              <w:t>195</w:t>
            </w:r>
          </w:p>
        </w:tc>
        <w:tc>
          <w:tcPr>
            <w:tcW w:w="1275" w:type="dxa"/>
            <w:tcBorders>
              <w:bottom w:val="single" w:sz="4" w:space="0" w:color="auto"/>
            </w:tcBorders>
          </w:tcPr>
          <w:p w14:paraId="21B39390" w14:textId="77777777" w:rsidR="00B61920" w:rsidRPr="00880EC7" w:rsidRDefault="006D1BFC" w:rsidP="00B61920">
            <w:pPr>
              <w:jc w:val="both"/>
              <w:rPr>
                <w:rFonts w:ascii="Times New Roman" w:hAnsi="Times New Roman" w:cs="Times New Roman"/>
                <w:b/>
                <w:lang w:val="lv-LV"/>
              </w:rPr>
            </w:pPr>
            <w:r w:rsidRPr="00880EC7">
              <w:rPr>
                <w:rFonts w:ascii="Times New Roman" w:hAnsi="Times New Roman" w:cs="Times New Roman"/>
                <w:b/>
                <w:lang w:val="lv-LV"/>
              </w:rPr>
              <w:t>6794490</w:t>
            </w:r>
          </w:p>
        </w:tc>
        <w:tc>
          <w:tcPr>
            <w:tcW w:w="709" w:type="dxa"/>
            <w:tcBorders>
              <w:bottom w:val="single" w:sz="4" w:space="0" w:color="auto"/>
            </w:tcBorders>
          </w:tcPr>
          <w:p w14:paraId="0130D0A9" w14:textId="77777777" w:rsidR="00B61920" w:rsidRPr="00880EC7" w:rsidRDefault="006D1BFC" w:rsidP="00B61920">
            <w:pPr>
              <w:jc w:val="both"/>
              <w:rPr>
                <w:rFonts w:ascii="Times New Roman" w:hAnsi="Times New Roman" w:cs="Times New Roman"/>
                <w:b/>
                <w:lang w:val="lv-LV"/>
              </w:rPr>
            </w:pPr>
            <w:r w:rsidRPr="00880EC7">
              <w:rPr>
                <w:rFonts w:ascii="Times New Roman" w:hAnsi="Times New Roman" w:cs="Times New Roman"/>
                <w:b/>
                <w:lang w:val="lv-LV"/>
              </w:rPr>
              <w:t>276</w:t>
            </w:r>
          </w:p>
        </w:tc>
        <w:tc>
          <w:tcPr>
            <w:tcW w:w="1320" w:type="dxa"/>
            <w:tcBorders>
              <w:bottom w:val="single" w:sz="4" w:space="0" w:color="auto"/>
            </w:tcBorders>
          </w:tcPr>
          <w:p w14:paraId="48C19299" w14:textId="77777777" w:rsidR="00B61920" w:rsidRPr="00880EC7" w:rsidRDefault="006D1BFC" w:rsidP="00B61920">
            <w:pPr>
              <w:jc w:val="both"/>
              <w:rPr>
                <w:rFonts w:ascii="Times New Roman" w:hAnsi="Times New Roman" w:cs="Times New Roman"/>
                <w:b/>
                <w:lang w:val="lv-LV"/>
              </w:rPr>
            </w:pPr>
            <w:r w:rsidRPr="00880EC7">
              <w:rPr>
                <w:rFonts w:ascii="Times New Roman" w:hAnsi="Times New Roman" w:cs="Times New Roman"/>
                <w:b/>
                <w:lang w:val="lv-LV"/>
              </w:rPr>
              <w:t>8055410</w:t>
            </w:r>
          </w:p>
        </w:tc>
      </w:tr>
      <w:tr w:rsidR="006D1BFC" w:rsidRPr="002C5745" w14:paraId="135A569D" w14:textId="77777777" w:rsidTr="006D1BFC">
        <w:tc>
          <w:tcPr>
            <w:tcW w:w="9395" w:type="dxa"/>
            <w:gridSpan w:val="8"/>
            <w:tcBorders>
              <w:top w:val="single" w:sz="4" w:space="0" w:color="auto"/>
              <w:left w:val="nil"/>
              <w:bottom w:val="single" w:sz="4" w:space="0" w:color="auto"/>
              <w:right w:val="nil"/>
            </w:tcBorders>
          </w:tcPr>
          <w:p w14:paraId="3FEA1CA9" w14:textId="77777777" w:rsidR="006D1BFC" w:rsidRPr="00880EC7" w:rsidRDefault="006D1BFC" w:rsidP="00B61920">
            <w:pPr>
              <w:jc w:val="both"/>
              <w:rPr>
                <w:rFonts w:ascii="Times New Roman" w:hAnsi="Times New Roman" w:cs="Times New Roman"/>
                <w:lang w:val="lv-LV"/>
              </w:rPr>
            </w:pPr>
          </w:p>
        </w:tc>
      </w:tr>
      <w:tr w:rsidR="002C5745" w:rsidRPr="002C5745" w14:paraId="7DBE9254" w14:textId="77777777" w:rsidTr="002C5745">
        <w:tc>
          <w:tcPr>
            <w:tcW w:w="1129" w:type="dxa"/>
            <w:tcBorders>
              <w:top w:val="single" w:sz="4" w:space="0" w:color="auto"/>
            </w:tcBorders>
          </w:tcPr>
          <w:p w14:paraId="0BB98900" w14:textId="77777777" w:rsidR="00B61920" w:rsidRPr="00880EC7" w:rsidRDefault="006D1BFC" w:rsidP="00B61920">
            <w:pPr>
              <w:jc w:val="both"/>
              <w:rPr>
                <w:rFonts w:ascii="Times New Roman" w:hAnsi="Times New Roman" w:cs="Times New Roman"/>
                <w:lang w:val="lv-LV"/>
              </w:rPr>
            </w:pPr>
            <w:r w:rsidRPr="00880EC7">
              <w:rPr>
                <w:rFonts w:ascii="Times New Roman" w:hAnsi="Times New Roman" w:cs="Times New Roman"/>
                <w:lang w:val="lv-LV"/>
              </w:rPr>
              <w:t xml:space="preserve">Jūlijs </w:t>
            </w:r>
          </w:p>
        </w:tc>
        <w:tc>
          <w:tcPr>
            <w:tcW w:w="1657" w:type="dxa"/>
            <w:tcBorders>
              <w:top w:val="single" w:sz="4" w:space="0" w:color="auto"/>
            </w:tcBorders>
          </w:tcPr>
          <w:p w14:paraId="67C96ECF" w14:textId="77777777" w:rsidR="00B61920" w:rsidRPr="00880EC7" w:rsidRDefault="00022FD5" w:rsidP="00B61920">
            <w:pPr>
              <w:jc w:val="both"/>
              <w:rPr>
                <w:rFonts w:ascii="Times New Roman" w:hAnsi="Times New Roman" w:cs="Times New Roman"/>
                <w:lang w:val="lv-LV"/>
              </w:rPr>
            </w:pPr>
            <w:r w:rsidRPr="00880EC7">
              <w:rPr>
                <w:rFonts w:ascii="Times New Roman" w:hAnsi="Times New Roman" w:cs="Times New Roman"/>
                <w:lang w:val="lv-LV"/>
              </w:rPr>
              <w:t>294</w:t>
            </w:r>
          </w:p>
        </w:tc>
        <w:tc>
          <w:tcPr>
            <w:tcW w:w="895" w:type="dxa"/>
            <w:tcBorders>
              <w:top w:val="single" w:sz="4" w:space="0" w:color="auto"/>
            </w:tcBorders>
          </w:tcPr>
          <w:p w14:paraId="35ACE2AD" w14:textId="77777777" w:rsidR="00B61920" w:rsidRPr="00880EC7" w:rsidRDefault="00022FD5" w:rsidP="00B61920">
            <w:pPr>
              <w:jc w:val="both"/>
              <w:rPr>
                <w:rFonts w:ascii="Times New Roman" w:hAnsi="Times New Roman" w:cs="Times New Roman"/>
                <w:lang w:val="lv-LV"/>
              </w:rPr>
            </w:pPr>
            <w:r w:rsidRPr="00880EC7">
              <w:rPr>
                <w:rFonts w:ascii="Times New Roman" w:hAnsi="Times New Roman" w:cs="Times New Roman"/>
                <w:lang w:val="lv-LV"/>
              </w:rPr>
              <w:t>198</w:t>
            </w:r>
          </w:p>
        </w:tc>
        <w:tc>
          <w:tcPr>
            <w:tcW w:w="1406" w:type="dxa"/>
            <w:tcBorders>
              <w:top w:val="single" w:sz="4" w:space="0" w:color="auto"/>
            </w:tcBorders>
          </w:tcPr>
          <w:p w14:paraId="4480DAC4" w14:textId="77777777" w:rsidR="00B61920" w:rsidRPr="00880EC7" w:rsidRDefault="00022FD5" w:rsidP="00B61920">
            <w:pPr>
              <w:jc w:val="both"/>
              <w:rPr>
                <w:rFonts w:ascii="Times New Roman" w:hAnsi="Times New Roman" w:cs="Times New Roman"/>
                <w:lang w:val="lv-LV"/>
              </w:rPr>
            </w:pPr>
            <w:r w:rsidRPr="00880EC7">
              <w:rPr>
                <w:rFonts w:ascii="Times New Roman" w:hAnsi="Times New Roman" w:cs="Times New Roman"/>
                <w:lang w:val="lv-LV"/>
              </w:rPr>
              <w:t>2231480</w:t>
            </w:r>
          </w:p>
        </w:tc>
        <w:tc>
          <w:tcPr>
            <w:tcW w:w="1004" w:type="dxa"/>
            <w:tcBorders>
              <w:top w:val="single" w:sz="4" w:space="0" w:color="auto"/>
            </w:tcBorders>
          </w:tcPr>
          <w:p w14:paraId="1E557BD4" w14:textId="77777777" w:rsidR="00B61920" w:rsidRPr="00880EC7" w:rsidRDefault="00022FD5" w:rsidP="00B61920">
            <w:pPr>
              <w:jc w:val="both"/>
              <w:rPr>
                <w:rFonts w:ascii="Times New Roman" w:hAnsi="Times New Roman" w:cs="Times New Roman"/>
                <w:lang w:val="lv-LV"/>
              </w:rPr>
            </w:pPr>
            <w:r w:rsidRPr="00880EC7">
              <w:rPr>
                <w:rFonts w:ascii="Times New Roman" w:hAnsi="Times New Roman" w:cs="Times New Roman"/>
                <w:lang w:val="lv-LV"/>
              </w:rPr>
              <w:t>37</w:t>
            </w:r>
          </w:p>
        </w:tc>
        <w:tc>
          <w:tcPr>
            <w:tcW w:w="1275" w:type="dxa"/>
            <w:tcBorders>
              <w:top w:val="single" w:sz="4" w:space="0" w:color="auto"/>
            </w:tcBorders>
          </w:tcPr>
          <w:p w14:paraId="507C39B3" w14:textId="77777777" w:rsidR="00B61920" w:rsidRPr="00880EC7" w:rsidRDefault="00022FD5" w:rsidP="00B61920">
            <w:pPr>
              <w:jc w:val="both"/>
              <w:rPr>
                <w:rFonts w:ascii="Times New Roman" w:hAnsi="Times New Roman" w:cs="Times New Roman"/>
                <w:lang w:val="lv-LV"/>
              </w:rPr>
            </w:pPr>
            <w:r w:rsidRPr="00880EC7">
              <w:rPr>
                <w:rFonts w:ascii="Times New Roman" w:hAnsi="Times New Roman" w:cs="Times New Roman"/>
                <w:lang w:val="lv-LV"/>
              </w:rPr>
              <w:t>2129600</w:t>
            </w:r>
          </w:p>
        </w:tc>
        <w:tc>
          <w:tcPr>
            <w:tcW w:w="709" w:type="dxa"/>
            <w:tcBorders>
              <w:top w:val="single" w:sz="4" w:space="0" w:color="auto"/>
            </w:tcBorders>
          </w:tcPr>
          <w:p w14:paraId="48BE5F05" w14:textId="77777777" w:rsidR="00B61920" w:rsidRPr="00880EC7" w:rsidRDefault="00022FD5" w:rsidP="00B61920">
            <w:pPr>
              <w:jc w:val="both"/>
              <w:rPr>
                <w:rFonts w:ascii="Times New Roman" w:hAnsi="Times New Roman" w:cs="Times New Roman"/>
                <w:lang w:val="lv-LV"/>
              </w:rPr>
            </w:pPr>
            <w:r w:rsidRPr="00880EC7">
              <w:rPr>
                <w:rFonts w:ascii="Times New Roman" w:hAnsi="Times New Roman" w:cs="Times New Roman"/>
                <w:lang w:val="lv-LV"/>
              </w:rPr>
              <w:t>42</w:t>
            </w:r>
          </w:p>
        </w:tc>
        <w:tc>
          <w:tcPr>
            <w:tcW w:w="1320" w:type="dxa"/>
            <w:tcBorders>
              <w:top w:val="single" w:sz="4" w:space="0" w:color="auto"/>
            </w:tcBorders>
          </w:tcPr>
          <w:p w14:paraId="4A50183C" w14:textId="77777777" w:rsidR="00B61920" w:rsidRPr="00880EC7" w:rsidRDefault="00022FD5" w:rsidP="00B61920">
            <w:pPr>
              <w:jc w:val="both"/>
              <w:rPr>
                <w:rFonts w:ascii="Times New Roman" w:hAnsi="Times New Roman" w:cs="Times New Roman"/>
                <w:lang w:val="lv-LV"/>
              </w:rPr>
            </w:pPr>
            <w:r w:rsidRPr="00880EC7">
              <w:rPr>
                <w:rFonts w:ascii="Times New Roman" w:hAnsi="Times New Roman" w:cs="Times New Roman"/>
                <w:lang w:val="lv-LV"/>
              </w:rPr>
              <w:t>1898810</w:t>
            </w:r>
          </w:p>
        </w:tc>
      </w:tr>
      <w:tr w:rsidR="002C5745" w:rsidRPr="002C5745" w14:paraId="7A02C41D" w14:textId="77777777" w:rsidTr="002C5745">
        <w:tc>
          <w:tcPr>
            <w:tcW w:w="1129" w:type="dxa"/>
          </w:tcPr>
          <w:p w14:paraId="1300AD3C" w14:textId="77777777" w:rsidR="00B61920" w:rsidRPr="00880EC7" w:rsidRDefault="006D1BFC" w:rsidP="00B61920">
            <w:pPr>
              <w:jc w:val="both"/>
              <w:rPr>
                <w:rFonts w:ascii="Times New Roman" w:hAnsi="Times New Roman" w:cs="Times New Roman"/>
                <w:lang w:val="lv-LV"/>
              </w:rPr>
            </w:pPr>
            <w:r w:rsidRPr="00880EC7">
              <w:rPr>
                <w:rFonts w:ascii="Times New Roman" w:hAnsi="Times New Roman" w:cs="Times New Roman"/>
                <w:lang w:val="lv-LV"/>
              </w:rPr>
              <w:lastRenderedPageBreak/>
              <w:t xml:space="preserve">Augusts </w:t>
            </w:r>
          </w:p>
        </w:tc>
        <w:tc>
          <w:tcPr>
            <w:tcW w:w="1657" w:type="dxa"/>
          </w:tcPr>
          <w:p w14:paraId="1C028F12" w14:textId="77777777" w:rsidR="00B61920" w:rsidRPr="00880EC7" w:rsidRDefault="00022FD5" w:rsidP="00B61920">
            <w:pPr>
              <w:jc w:val="both"/>
              <w:rPr>
                <w:rFonts w:ascii="Times New Roman" w:hAnsi="Times New Roman" w:cs="Times New Roman"/>
                <w:lang w:val="lv-LV"/>
              </w:rPr>
            </w:pPr>
            <w:r w:rsidRPr="00880EC7">
              <w:rPr>
                <w:rFonts w:ascii="Times New Roman" w:hAnsi="Times New Roman" w:cs="Times New Roman"/>
                <w:lang w:val="lv-LV"/>
              </w:rPr>
              <w:t>244</w:t>
            </w:r>
          </w:p>
        </w:tc>
        <w:tc>
          <w:tcPr>
            <w:tcW w:w="895" w:type="dxa"/>
          </w:tcPr>
          <w:p w14:paraId="293768D4" w14:textId="77777777" w:rsidR="00B61920" w:rsidRPr="00880EC7" w:rsidRDefault="00022FD5" w:rsidP="00B61920">
            <w:pPr>
              <w:jc w:val="both"/>
              <w:rPr>
                <w:rFonts w:ascii="Times New Roman" w:hAnsi="Times New Roman" w:cs="Times New Roman"/>
                <w:lang w:val="lv-LV"/>
              </w:rPr>
            </w:pPr>
            <w:r w:rsidRPr="00880EC7">
              <w:rPr>
                <w:rFonts w:ascii="Times New Roman" w:hAnsi="Times New Roman" w:cs="Times New Roman"/>
                <w:lang w:val="lv-LV"/>
              </w:rPr>
              <w:t>183</w:t>
            </w:r>
          </w:p>
        </w:tc>
        <w:tc>
          <w:tcPr>
            <w:tcW w:w="1406" w:type="dxa"/>
          </w:tcPr>
          <w:p w14:paraId="4DBD44D6" w14:textId="77777777" w:rsidR="00B61920" w:rsidRPr="00880EC7" w:rsidRDefault="00022FD5" w:rsidP="00B61920">
            <w:pPr>
              <w:jc w:val="both"/>
              <w:rPr>
                <w:rFonts w:ascii="Times New Roman" w:hAnsi="Times New Roman" w:cs="Times New Roman"/>
                <w:lang w:val="lv-LV"/>
              </w:rPr>
            </w:pPr>
            <w:r w:rsidRPr="00880EC7">
              <w:rPr>
                <w:rFonts w:ascii="Times New Roman" w:hAnsi="Times New Roman" w:cs="Times New Roman"/>
                <w:lang w:val="lv-LV"/>
              </w:rPr>
              <w:t>2310600</w:t>
            </w:r>
          </w:p>
        </w:tc>
        <w:tc>
          <w:tcPr>
            <w:tcW w:w="1004" w:type="dxa"/>
          </w:tcPr>
          <w:p w14:paraId="7106ABF1" w14:textId="77777777" w:rsidR="00B61920" w:rsidRPr="00880EC7" w:rsidRDefault="00022FD5" w:rsidP="00B61920">
            <w:pPr>
              <w:jc w:val="both"/>
              <w:rPr>
                <w:rFonts w:ascii="Times New Roman" w:hAnsi="Times New Roman" w:cs="Times New Roman"/>
                <w:lang w:val="lv-LV"/>
              </w:rPr>
            </w:pPr>
            <w:r w:rsidRPr="00880EC7">
              <w:rPr>
                <w:rFonts w:ascii="Times New Roman" w:hAnsi="Times New Roman" w:cs="Times New Roman"/>
                <w:lang w:val="lv-LV"/>
              </w:rPr>
              <w:t>36</w:t>
            </w:r>
          </w:p>
        </w:tc>
        <w:tc>
          <w:tcPr>
            <w:tcW w:w="1275" w:type="dxa"/>
          </w:tcPr>
          <w:p w14:paraId="27FF3377" w14:textId="77777777" w:rsidR="00B61920" w:rsidRPr="00880EC7" w:rsidRDefault="00022FD5" w:rsidP="00B61920">
            <w:pPr>
              <w:jc w:val="both"/>
              <w:rPr>
                <w:rFonts w:ascii="Times New Roman" w:hAnsi="Times New Roman" w:cs="Times New Roman"/>
                <w:lang w:val="lv-LV"/>
              </w:rPr>
            </w:pPr>
            <w:r w:rsidRPr="00880EC7">
              <w:rPr>
                <w:rFonts w:ascii="Times New Roman" w:hAnsi="Times New Roman" w:cs="Times New Roman"/>
                <w:lang w:val="lv-LV"/>
              </w:rPr>
              <w:t>3909570</w:t>
            </w:r>
          </w:p>
        </w:tc>
        <w:tc>
          <w:tcPr>
            <w:tcW w:w="709" w:type="dxa"/>
          </w:tcPr>
          <w:p w14:paraId="046619E7" w14:textId="77777777" w:rsidR="00B61920" w:rsidRPr="00880EC7" w:rsidRDefault="00022FD5" w:rsidP="00B61920">
            <w:pPr>
              <w:jc w:val="both"/>
              <w:rPr>
                <w:rFonts w:ascii="Times New Roman" w:hAnsi="Times New Roman" w:cs="Times New Roman"/>
                <w:lang w:val="lv-LV"/>
              </w:rPr>
            </w:pPr>
            <w:r w:rsidRPr="00880EC7">
              <w:rPr>
                <w:rFonts w:ascii="Times New Roman" w:hAnsi="Times New Roman" w:cs="Times New Roman"/>
                <w:lang w:val="lv-LV"/>
              </w:rPr>
              <w:t>19</w:t>
            </w:r>
          </w:p>
        </w:tc>
        <w:tc>
          <w:tcPr>
            <w:tcW w:w="1320" w:type="dxa"/>
          </w:tcPr>
          <w:p w14:paraId="5BFC52D6" w14:textId="77777777" w:rsidR="00B61920" w:rsidRPr="00880EC7" w:rsidRDefault="00022FD5" w:rsidP="00B61920">
            <w:pPr>
              <w:jc w:val="both"/>
              <w:rPr>
                <w:rFonts w:ascii="Times New Roman" w:hAnsi="Times New Roman" w:cs="Times New Roman"/>
                <w:lang w:val="lv-LV"/>
              </w:rPr>
            </w:pPr>
            <w:r w:rsidRPr="00880EC7">
              <w:rPr>
                <w:rFonts w:ascii="Times New Roman" w:hAnsi="Times New Roman" w:cs="Times New Roman"/>
                <w:lang w:val="lv-LV"/>
              </w:rPr>
              <w:t>344510</w:t>
            </w:r>
          </w:p>
        </w:tc>
      </w:tr>
      <w:tr w:rsidR="002C5745" w:rsidRPr="002C5745" w14:paraId="3A9A4207" w14:textId="77777777" w:rsidTr="002C5745">
        <w:tc>
          <w:tcPr>
            <w:tcW w:w="1129" w:type="dxa"/>
          </w:tcPr>
          <w:p w14:paraId="572A8DB6" w14:textId="77777777" w:rsidR="00B61920" w:rsidRPr="00880EC7" w:rsidRDefault="006D1BFC" w:rsidP="00B61920">
            <w:pPr>
              <w:jc w:val="both"/>
              <w:rPr>
                <w:rFonts w:ascii="Times New Roman" w:hAnsi="Times New Roman" w:cs="Times New Roman"/>
                <w:lang w:val="lv-LV"/>
              </w:rPr>
            </w:pPr>
            <w:r w:rsidRPr="00880EC7">
              <w:rPr>
                <w:rFonts w:ascii="Times New Roman" w:hAnsi="Times New Roman" w:cs="Times New Roman"/>
                <w:lang w:val="lv-LV"/>
              </w:rPr>
              <w:t xml:space="preserve">Septembris </w:t>
            </w:r>
          </w:p>
        </w:tc>
        <w:tc>
          <w:tcPr>
            <w:tcW w:w="1657" w:type="dxa"/>
          </w:tcPr>
          <w:p w14:paraId="168B5EA7" w14:textId="77777777" w:rsidR="00B61920" w:rsidRPr="00880EC7" w:rsidRDefault="00022FD5" w:rsidP="00B61920">
            <w:pPr>
              <w:jc w:val="both"/>
              <w:rPr>
                <w:rFonts w:ascii="Times New Roman" w:hAnsi="Times New Roman" w:cs="Times New Roman"/>
                <w:lang w:val="lv-LV"/>
              </w:rPr>
            </w:pPr>
            <w:r w:rsidRPr="00880EC7">
              <w:rPr>
                <w:rFonts w:ascii="Times New Roman" w:hAnsi="Times New Roman" w:cs="Times New Roman"/>
                <w:lang w:val="lv-LV"/>
              </w:rPr>
              <w:t>89</w:t>
            </w:r>
          </w:p>
        </w:tc>
        <w:tc>
          <w:tcPr>
            <w:tcW w:w="895" w:type="dxa"/>
          </w:tcPr>
          <w:p w14:paraId="7BBAF6D8" w14:textId="77777777" w:rsidR="00B61920" w:rsidRPr="00880EC7" w:rsidRDefault="00022FD5" w:rsidP="00B61920">
            <w:pPr>
              <w:jc w:val="both"/>
              <w:rPr>
                <w:rFonts w:ascii="Times New Roman" w:hAnsi="Times New Roman" w:cs="Times New Roman"/>
                <w:lang w:val="lv-LV"/>
              </w:rPr>
            </w:pPr>
            <w:r w:rsidRPr="00880EC7">
              <w:rPr>
                <w:rFonts w:ascii="Times New Roman" w:hAnsi="Times New Roman" w:cs="Times New Roman"/>
                <w:lang w:val="lv-LV"/>
              </w:rPr>
              <w:t>57</w:t>
            </w:r>
          </w:p>
        </w:tc>
        <w:tc>
          <w:tcPr>
            <w:tcW w:w="1406" w:type="dxa"/>
          </w:tcPr>
          <w:p w14:paraId="4E9CB5ED" w14:textId="77777777" w:rsidR="00B61920" w:rsidRPr="00880EC7" w:rsidRDefault="00022FD5" w:rsidP="00B61920">
            <w:pPr>
              <w:jc w:val="both"/>
              <w:rPr>
                <w:rFonts w:ascii="Times New Roman" w:hAnsi="Times New Roman" w:cs="Times New Roman"/>
                <w:lang w:val="lv-LV"/>
              </w:rPr>
            </w:pPr>
            <w:r w:rsidRPr="00880EC7">
              <w:rPr>
                <w:rFonts w:ascii="Times New Roman" w:hAnsi="Times New Roman" w:cs="Times New Roman"/>
                <w:lang w:val="lv-LV"/>
              </w:rPr>
              <w:t>945120</w:t>
            </w:r>
          </w:p>
        </w:tc>
        <w:tc>
          <w:tcPr>
            <w:tcW w:w="1004" w:type="dxa"/>
          </w:tcPr>
          <w:p w14:paraId="6CFC2FDE" w14:textId="77777777" w:rsidR="00B61920" w:rsidRPr="00880EC7" w:rsidRDefault="00022FD5" w:rsidP="00B61920">
            <w:pPr>
              <w:jc w:val="both"/>
              <w:rPr>
                <w:rFonts w:ascii="Times New Roman" w:hAnsi="Times New Roman" w:cs="Times New Roman"/>
                <w:lang w:val="lv-LV"/>
              </w:rPr>
            </w:pPr>
            <w:r w:rsidRPr="00880EC7">
              <w:rPr>
                <w:rFonts w:ascii="Times New Roman" w:hAnsi="Times New Roman" w:cs="Times New Roman"/>
                <w:lang w:val="lv-LV"/>
              </w:rPr>
              <w:t>8</w:t>
            </w:r>
          </w:p>
        </w:tc>
        <w:tc>
          <w:tcPr>
            <w:tcW w:w="1275" w:type="dxa"/>
          </w:tcPr>
          <w:p w14:paraId="21C551A2" w14:textId="77777777" w:rsidR="00B61920" w:rsidRPr="00880EC7" w:rsidRDefault="00022FD5" w:rsidP="00B61920">
            <w:pPr>
              <w:jc w:val="both"/>
              <w:rPr>
                <w:rFonts w:ascii="Times New Roman" w:hAnsi="Times New Roman" w:cs="Times New Roman"/>
                <w:lang w:val="lv-LV"/>
              </w:rPr>
            </w:pPr>
            <w:r w:rsidRPr="00880EC7">
              <w:rPr>
                <w:rFonts w:ascii="Times New Roman" w:hAnsi="Times New Roman" w:cs="Times New Roman"/>
                <w:lang w:val="lv-LV"/>
              </w:rPr>
              <w:t>95950</w:t>
            </w:r>
          </w:p>
        </w:tc>
        <w:tc>
          <w:tcPr>
            <w:tcW w:w="709" w:type="dxa"/>
          </w:tcPr>
          <w:p w14:paraId="29D9829A" w14:textId="77777777" w:rsidR="00B61920" w:rsidRPr="00880EC7" w:rsidRDefault="00022FD5" w:rsidP="00B61920">
            <w:pPr>
              <w:jc w:val="both"/>
              <w:rPr>
                <w:rFonts w:ascii="Times New Roman" w:hAnsi="Times New Roman" w:cs="Times New Roman"/>
                <w:lang w:val="lv-LV"/>
              </w:rPr>
            </w:pPr>
            <w:r w:rsidRPr="00880EC7">
              <w:rPr>
                <w:rFonts w:ascii="Times New Roman" w:hAnsi="Times New Roman" w:cs="Times New Roman"/>
                <w:lang w:val="lv-LV"/>
              </w:rPr>
              <w:t>0</w:t>
            </w:r>
          </w:p>
        </w:tc>
        <w:tc>
          <w:tcPr>
            <w:tcW w:w="1320" w:type="dxa"/>
          </w:tcPr>
          <w:p w14:paraId="1874241E" w14:textId="77777777" w:rsidR="00B61920" w:rsidRPr="00880EC7" w:rsidRDefault="00022FD5" w:rsidP="00B61920">
            <w:pPr>
              <w:jc w:val="both"/>
              <w:rPr>
                <w:rFonts w:ascii="Times New Roman" w:hAnsi="Times New Roman" w:cs="Times New Roman"/>
                <w:lang w:val="lv-LV"/>
              </w:rPr>
            </w:pPr>
            <w:r w:rsidRPr="00880EC7">
              <w:rPr>
                <w:rFonts w:ascii="Times New Roman" w:hAnsi="Times New Roman" w:cs="Times New Roman"/>
                <w:lang w:val="lv-LV"/>
              </w:rPr>
              <w:t>0</w:t>
            </w:r>
          </w:p>
        </w:tc>
      </w:tr>
      <w:tr w:rsidR="002C5745" w:rsidRPr="002C5745" w14:paraId="73951DB7" w14:textId="77777777" w:rsidTr="002C5745">
        <w:tc>
          <w:tcPr>
            <w:tcW w:w="1129" w:type="dxa"/>
          </w:tcPr>
          <w:p w14:paraId="4AE3EA0C" w14:textId="77777777" w:rsidR="00B61920" w:rsidRPr="00880EC7" w:rsidRDefault="006D1BFC" w:rsidP="00B61920">
            <w:pPr>
              <w:jc w:val="both"/>
              <w:rPr>
                <w:rFonts w:ascii="Times New Roman" w:hAnsi="Times New Roman" w:cs="Times New Roman"/>
                <w:lang w:val="lv-LV"/>
              </w:rPr>
            </w:pPr>
            <w:r w:rsidRPr="00880EC7">
              <w:rPr>
                <w:rFonts w:ascii="Times New Roman" w:hAnsi="Times New Roman" w:cs="Times New Roman"/>
                <w:lang w:val="lv-LV"/>
              </w:rPr>
              <w:t xml:space="preserve">Oktobris </w:t>
            </w:r>
          </w:p>
        </w:tc>
        <w:tc>
          <w:tcPr>
            <w:tcW w:w="1657" w:type="dxa"/>
          </w:tcPr>
          <w:p w14:paraId="2496B098" w14:textId="77777777" w:rsidR="00B61920" w:rsidRPr="00880EC7" w:rsidRDefault="00022FD5" w:rsidP="00B61920">
            <w:pPr>
              <w:jc w:val="both"/>
              <w:rPr>
                <w:rFonts w:ascii="Times New Roman" w:hAnsi="Times New Roman" w:cs="Times New Roman"/>
                <w:lang w:val="lv-LV"/>
              </w:rPr>
            </w:pPr>
            <w:r w:rsidRPr="00880EC7">
              <w:rPr>
                <w:rFonts w:ascii="Times New Roman" w:hAnsi="Times New Roman" w:cs="Times New Roman"/>
                <w:lang w:val="lv-LV"/>
              </w:rPr>
              <w:t>51</w:t>
            </w:r>
          </w:p>
        </w:tc>
        <w:tc>
          <w:tcPr>
            <w:tcW w:w="895" w:type="dxa"/>
          </w:tcPr>
          <w:p w14:paraId="44016FB7" w14:textId="77777777" w:rsidR="00B61920" w:rsidRPr="00880EC7" w:rsidRDefault="00022FD5" w:rsidP="00B61920">
            <w:pPr>
              <w:jc w:val="both"/>
              <w:rPr>
                <w:rFonts w:ascii="Times New Roman" w:hAnsi="Times New Roman" w:cs="Times New Roman"/>
                <w:lang w:val="lv-LV"/>
              </w:rPr>
            </w:pPr>
            <w:r w:rsidRPr="00880EC7">
              <w:rPr>
                <w:rFonts w:ascii="Times New Roman" w:hAnsi="Times New Roman" w:cs="Times New Roman"/>
                <w:lang w:val="lv-LV"/>
              </w:rPr>
              <w:t>29</w:t>
            </w:r>
          </w:p>
        </w:tc>
        <w:tc>
          <w:tcPr>
            <w:tcW w:w="1406" w:type="dxa"/>
          </w:tcPr>
          <w:p w14:paraId="062797AD" w14:textId="77777777" w:rsidR="00B61920" w:rsidRPr="00880EC7" w:rsidRDefault="00022FD5" w:rsidP="00B61920">
            <w:pPr>
              <w:jc w:val="both"/>
              <w:rPr>
                <w:rFonts w:ascii="Times New Roman" w:hAnsi="Times New Roman" w:cs="Times New Roman"/>
                <w:lang w:val="lv-LV"/>
              </w:rPr>
            </w:pPr>
            <w:r w:rsidRPr="00880EC7">
              <w:rPr>
                <w:rFonts w:ascii="Times New Roman" w:hAnsi="Times New Roman" w:cs="Times New Roman"/>
                <w:lang w:val="lv-LV"/>
              </w:rPr>
              <w:t>427960</w:t>
            </w:r>
          </w:p>
        </w:tc>
        <w:tc>
          <w:tcPr>
            <w:tcW w:w="1004" w:type="dxa"/>
          </w:tcPr>
          <w:p w14:paraId="37F2734F" w14:textId="77777777" w:rsidR="00B61920" w:rsidRPr="00880EC7" w:rsidRDefault="00022FD5" w:rsidP="00B61920">
            <w:pPr>
              <w:jc w:val="both"/>
              <w:rPr>
                <w:rFonts w:ascii="Times New Roman" w:hAnsi="Times New Roman" w:cs="Times New Roman"/>
                <w:lang w:val="lv-LV"/>
              </w:rPr>
            </w:pPr>
            <w:r w:rsidRPr="00880EC7">
              <w:rPr>
                <w:rFonts w:ascii="Times New Roman" w:hAnsi="Times New Roman" w:cs="Times New Roman"/>
                <w:lang w:val="lv-LV"/>
              </w:rPr>
              <w:t>5</w:t>
            </w:r>
          </w:p>
        </w:tc>
        <w:tc>
          <w:tcPr>
            <w:tcW w:w="1275" w:type="dxa"/>
          </w:tcPr>
          <w:p w14:paraId="6B3E5EA9" w14:textId="77777777" w:rsidR="00B61920" w:rsidRPr="00880EC7" w:rsidRDefault="00022FD5" w:rsidP="00B61920">
            <w:pPr>
              <w:jc w:val="both"/>
              <w:rPr>
                <w:rFonts w:ascii="Times New Roman" w:hAnsi="Times New Roman" w:cs="Times New Roman"/>
                <w:lang w:val="lv-LV"/>
              </w:rPr>
            </w:pPr>
            <w:r w:rsidRPr="00880EC7">
              <w:rPr>
                <w:rFonts w:ascii="Times New Roman" w:hAnsi="Times New Roman" w:cs="Times New Roman"/>
                <w:lang w:val="lv-LV"/>
              </w:rPr>
              <w:t>174110</w:t>
            </w:r>
          </w:p>
        </w:tc>
        <w:tc>
          <w:tcPr>
            <w:tcW w:w="709" w:type="dxa"/>
          </w:tcPr>
          <w:p w14:paraId="52C265BD" w14:textId="77777777" w:rsidR="00B61920" w:rsidRPr="00880EC7" w:rsidRDefault="00022FD5" w:rsidP="00B61920">
            <w:pPr>
              <w:jc w:val="both"/>
              <w:rPr>
                <w:rFonts w:ascii="Times New Roman" w:hAnsi="Times New Roman" w:cs="Times New Roman"/>
                <w:lang w:val="lv-LV"/>
              </w:rPr>
            </w:pPr>
            <w:r w:rsidRPr="00880EC7">
              <w:rPr>
                <w:rFonts w:ascii="Times New Roman" w:hAnsi="Times New Roman" w:cs="Times New Roman"/>
                <w:lang w:val="lv-LV"/>
              </w:rPr>
              <w:t>0</w:t>
            </w:r>
          </w:p>
        </w:tc>
        <w:tc>
          <w:tcPr>
            <w:tcW w:w="1320" w:type="dxa"/>
          </w:tcPr>
          <w:p w14:paraId="06C5F6AE" w14:textId="77777777" w:rsidR="00B61920" w:rsidRPr="00880EC7" w:rsidRDefault="00022FD5" w:rsidP="00B61920">
            <w:pPr>
              <w:jc w:val="both"/>
              <w:rPr>
                <w:rFonts w:ascii="Times New Roman" w:hAnsi="Times New Roman" w:cs="Times New Roman"/>
                <w:lang w:val="lv-LV"/>
              </w:rPr>
            </w:pPr>
            <w:r w:rsidRPr="00880EC7">
              <w:rPr>
                <w:rFonts w:ascii="Times New Roman" w:hAnsi="Times New Roman" w:cs="Times New Roman"/>
                <w:lang w:val="lv-LV"/>
              </w:rPr>
              <w:t>0</w:t>
            </w:r>
          </w:p>
        </w:tc>
      </w:tr>
      <w:tr w:rsidR="002C5745" w:rsidRPr="002C5745" w14:paraId="3E18C3BB" w14:textId="77777777" w:rsidTr="002C5745">
        <w:tc>
          <w:tcPr>
            <w:tcW w:w="1129" w:type="dxa"/>
          </w:tcPr>
          <w:p w14:paraId="3AA1F1A3" w14:textId="77777777" w:rsidR="00B61920" w:rsidRPr="00880EC7" w:rsidRDefault="006D1BFC" w:rsidP="00B61920">
            <w:pPr>
              <w:jc w:val="both"/>
              <w:rPr>
                <w:rFonts w:ascii="Times New Roman" w:hAnsi="Times New Roman" w:cs="Times New Roman"/>
                <w:lang w:val="lv-LV"/>
              </w:rPr>
            </w:pPr>
            <w:r w:rsidRPr="00880EC7">
              <w:rPr>
                <w:rFonts w:ascii="Times New Roman" w:hAnsi="Times New Roman" w:cs="Times New Roman"/>
                <w:lang w:val="lv-LV"/>
              </w:rPr>
              <w:t xml:space="preserve">Novembris </w:t>
            </w:r>
          </w:p>
        </w:tc>
        <w:tc>
          <w:tcPr>
            <w:tcW w:w="1657" w:type="dxa"/>
          </w:tcPr>
          <w:p w14:paraId="71BFD34D" w14:textId="77777777" w:rsidR="00B61920" w:rsidRPr="00880EC7" w:rsidRDefault="00022FD5" w:rsidP="00B61920">
            <w:pPr>
              <w:jc w:val="both"/>
              <w:rPr>
                <w:rFonts w:ascii="Times New Roman" w:hAnsi="Times New Roman" w:cs="Times New Roman"/>
                <w:lang w:val="lv-LV"/>
              </w:rPr>
            </w:pPr>
            <w:r w:rsidRPr="00880EC7">
              <w:rPr>
                <w:rFonts w:ascii="Times New Roman" w:hAnsi="Times New Roman" w:cs="Times New Roman"/>
                <w:lang w:val="lv-LV"/>
              </w:rPr>
              <w:t>45</w:t>
            </w:r>
          </w:p>
        </w:tc>
        <w:tc>
          <w:tcPr>
            <w:tcW w:w="895" w:type="dxa"/>
          </w:tcPr>
          <w:p w14:paraId="671A300D" w14:textId="77777777" w:rsidR="00B61920" w:rsidRPr="00880EC7" w:rsidRDefault="00022FD5" w:rsidP="00B61920">
            <w:pPr>
              <w:jc w:val="both"/>
              <w:rPr>
                <w:rFonts w:ascii="Times New Roman" w:hAnsi="Times New Roman" w:cs="Times New Roman"/>
                <w:lang w:val="lv-LV"/>
              </w:rPr>
            </w:pPr>
            <w:r w:rsidRPr="00880EC7">
              <w:rPr>
                <w:rFonts w:ascii="Times New Roman" w:hAnsi="Times New Roman" w:cs="Times New Roman"/>
                <w:lang w:val="lv-LV"/>
              </w:rPr>
              <w:t>30</w:t>
            </w:r>
          </w:p>
        </w:tc>
        <w:tc>
          <w:tcPr>
            <w:tcW w:w="1406" w:type="dxa"/>
          </w:tcPr>
          <w:p w14:paraId="72B23EF5" w14:textId="77777777" w:rsidR="00B61920" w:rsidRPr="00880EC7" w:rsidRDefault="00022FD5" w:rsidP="00B61920">
            <w:pPr>
              <w:jc w:val="both"/>
              <w:rPr>
                <w:rFonts w:ascii="Times New Roman" w:hAnsi="Times New Roman" w:cs="Times New Roman"/>
                <w:lang w:val="lv-LV"/>
              </w:rPr>
            </w:pPr>
            <w:r w:rsidRPr="00880EC7">
              <w:rPr>
                <w:rFonts w:ascii="Times New Roman" w:hAnsi="Times New Roman" w:cs="Times New Roman"/>
                <w:lang w:val="lv-LV"/>
              </w:rPr>
              <w:t>474830</w:t>
            </w:r>
          </w:p>
        </w:tc>
        <w:tc>
          <w:tcPr>
            <w:tcW w:w="1004" w:type="dxa"/>
          </w:tcPr>
          <w:p w14:paraId="3B262DD9" w14:textId="77777777" w:rsidR="00B61920" w:rsidRPr="00880EC7" w:rsidRDefault="00022FD5" w:rsidP="00B61920">
            <w:pPr>
              <w:jc w:val="both"/>
              <w:rPr>
                <w:rFonts w:ascii="Times New Roman" w:hAnsi="Times New Roman" w:cs="Times New Roman"/>
                <w:lang w:val="lv-LV"/>
              </w:rPr>
            </w:pPr>
            <w:r w:rsidRPr="00880EC7">
              <w:rPr>
                <w:rFonts w:ascii="Times New Roman" w:hAnsi="Times New Roman" w:cs="Times New Roman"/>
                <w:lang w:val="lv-LV"/>
              </w:rPr>
              <w:t>6</w:t>
            </w:r>
          </w:p>
        </w:tc>
        <w:tc>
          <w:tcPr>
            <w:tcW w:w="1275" w:type="dxa"/>
          </w:tcPr>
          <w:p w14:paraId="42B9A696" w14:textId="77777777" w:rsidR="00B61920" w:rsidRPr="00880EC7" w:rsidRDefault="00022FD5" w:rsidP="00B61920">
            <w:pPr>
              <w:jc w:val="both"/>
              <w:rPr>
                <w:rFonts w:ascii="Times New Roman" w:hAnsi="Times New Roman" w:cs="Times New Roman"/>
                <w:lang w:val="lv-LV"/>
              </w:rPr>
            </w:pPr>
            <w:r w:rsidRPr="00880EC7">
              <w:rPr>
                <w:rFonts w:ascii="Times New Roman" w:hAnsi="Times New Roman" w:cs="Times New Roman"/>
                <w:lang w:val="lv-LV"/>
              </w:rPr>
              <w:t>69820</w:t>
            </w:r>
          </w:p>
        </w:tc>
        <w:tc>
          <w:tcPr>
            <w:tcW w:w="709" w:type="dxa"/>
          </w:tcPr>
          <w:p w14:paraId="6738B0A4" w14:textId="77777777" w:rsidR="00B61920" w:rsidRPr="00880EC7" w:rsidRDefault="00022FD5" w:rsidP="00B61920">
            <w:pPr>
              <w:jc w:val="both"/>
              <w:rPr>
                <w:rFonts w:ascii="Times New Roman" w:hAnsi="Times New Roman" w:cs="Times New Roman"/>
                <w:lang w:val="lv-LV"/>
              </w:rPr>
            </w:pPr>
            <w:r w:rsidRPr="00880EC7">
              <w:rPr>
                <w:rFonts w:ascii="Times New Roman" w:hAnsi="Times New Roman" w:cs="Times New Roman"/>
                <w:lang w:val="lv-LV"/>
              </w:rPr>
              <w:t>4</w:t>
            </w:r>
          </w:p>
        </w:tc>
        <w:tc>
          <w:tcPr>
            <w:tcW w:w="1320" w:type="dxa"/>
          </w:tcPr>
          <w:p w14:paraId="04DD6FDA" w14:textId="77777777" w:rsidR="00B61920" w:rsidRPr="00880EC7" w:rsidRDefault="00022FD5" w:rsidP="00B61920">
            <w:pPr>
              <w:jc w:val="both"/>
              <w:rPr>
                <w:rFonts w:ascii="Times New Roman" w:hAnsi="Times New Roman" w:cs="Times New Roman"/>
                <w:lang w:val="lv-LV"/>
              </w:rPr>
            </w:pPr>
            <w:r w:rsidRPr="00880EC7">
              <w:rPr>
                <w:rFonts w:ascii="Times New Roman" w:hAnsi="Times New Roman" w:cs="Times New Roman"/>
                <w:lang w:val="lv-LV"/>
              </w:rPr>
              <w:t>2112570</w:t>
            </w:r>
          </w:p>
        </w:tc>
      </w:tr>
      <w:tr w:rsidR="002C5745" w:rsidRPr="002C5745" w14:paraId="1AFAB43D" w14:textId="77777777" w:rsidTr="002C5745">
        <w:tc>
          <w:tcPr>
            <w:tcW w:w="1129" w:type="dxa"/>
          </w:tcPr>
          <w:p w14:paraId="5719A5FD" w14:textId="77777777" w:rsidR="00B430A9" w:rsidRPr="00880EC7" w:rsidRDefault="00B430A9" w:rsidP="00B430A9">
            <w:pPr>
              <w:jc w:val="both"/>
              <w:rPr>
                <w:rFonts w:ascii="Times New Roman" w:hAnsi="Times New Roman" w:cs="Times New Roman"/>
                <w:lang w:val="lv-LV"/>
              </w:rPr>
            </w:pPr>
            <w:r w:rsidRPr="00880EC7">
              <w:rPr>
                <w:rFonts w:ascii="Times New Roman" w:hAnsi="Times New Roman" w:cs="Times New Roman"/>
                <w:lang w:val="lv-LV"/>
              </w:rPr>
              <w:t xml:space="preserve">Decembris </w:t>
            </w:r>
          </w:p>
        </w:tc>
        <w:tc>
          <w:tcPr>
            <w:tcW w:w="1657" w:type="dxa"/>
          </w:tcPr>
          <w:p w14:paraId="0E01B893" w14:textId="77777777" w:rsidR="00B430A9" w:rsidRPr="00880EC7" w:rsidRDefault="00B430A9" w:rsidP="00B430A9">
            <w:pPr>
              <w:jc w:val="both"/>
              <w:rPr>
                <w:rFonts w:ascii="Times New Roman" w:hAnsi="Times New Roman" w:cs="Times New Roman"/>
                <w:lang w:val="lv-LV"/>
              </w:rPr>
            </w:pPr>
            <w:r w:rsidRPr="00880EC7">
              <w:rPr>
                <w:rFonts w:ascii="Times New Roman" w:hAnsi="Times New Roman" w:cs="Times New Roman"/>
                <w:lang w:val="lv-LV"/>
              </w:rPr>
              <w:t>63</w:t>
            </w:r>
          </w:p>
        </w:tc>
        <w:tc>
          <w:tcPr>
            <w:tcW w:w="895" w:type="dxa"/>
          </w:tcPr>
          <w:p w14:paraId="731294D3" w14:textId="77777777" w:rsidR="00B430A9" w:rsidRPr="00880EC7" w:rsidRDefault="00B430A9" w:rsidP="00B430A9">
            <w:pPr>
              <w:jc w:val="both"/>
              <w:rPr>
                <w:rFonts w:ascii="Times New Roman" w:hAnsi="Times New Roman" w:cs="Times New Roman"/>
                <w:lang w:val="lv-LV"/>
              </w:rPr>
            </w:pPr>
            <w:r w:rsidRPr="00880EC7">
              <w:rPr>
                <w:rFonts w:ascii="Times New Roman" w:hAnsi="Times New Roman" w:cs="Times New Roman"/>
                <w:lang w:val="lv-LV"/>
              </w:rPr>
              <w:t>33</w:t>
            </w:r>
          </w:p>
        </w:tc>
        <w:tc>
          <w:tcPr>
            <w:tcW w:w="1406" w:type="dxa"/>
          </w:tcPr>
          <w:p w14:paraId="2AE4500D" w14:textId="77777777" w:rsidR="00B430A9" w:rsidRPr="00880EC7" w:rsidRDefault="00B430A9" w:rsidP="00B430A9">
            <w:pPr>
              <w:jc w:val="both"/>
              <w:rPr>
                <w:rFonts w:ascii="Times New Roman" w:hAnsi="Times New Roman" w:cs="Times New Roman"/>
                <w:lang w:val="lv-LV"/>
              </w:rPr>
            </w:pPr>
            <w:r w:rsidRPr="00880EC7">
              <w:rPr>
                <w:rFonts w:ascii="Times New Roman" w:hAnsi="Times New Roman" w:cs="Times New Roman"/>
                <w:lang w:val="lv-LV"/>
              </w:rPr>
              <w:t>617180</w:t>
            </w:r>
          </w:p>
        </w:tc>
        <w:tc>
          <w:tcPr>
            <w:tcW w:w="1004" w:type="dxa"/>
          </w:tcPr>
          <w:p w14:paraId="13DFBDB2" w14:textId="77777777" w:rsidR="00B430A9" w:rsidRPr="00880EC7" w:rsidRDefault="00B430A9" w:rsidP="00B430A9">
            <w:pPr>
              <w:jc w:val="both"/>
              <w:rPr>
                <w:rFonts w:ascii="Times New Roman" w:hAnsi="Times New Roman" w:cs="Times New Roman"/>
                <w:lang w:val="lv-LV"/>
              </w:rPr>
            </w:pPr>
            <w:r w:rsidRPr="00880EC7">
              <w:rPr>
                <w:rFonts w:ascii="Times New Roman" w:hAnsi="Times New Roman" w:cs="Times New Roman"/>
                <w:lang w:val="lv-LV"/>
              </w:rPr>
              <w:t>7</w:t>
            </w:r>
          </w:p>
        </w:tc>
        <w:tc>
          <w:tcPr>
            <w:tcW w:w="1275" w:type="dxa"/>
          </w:tcPr>
          <w:p w14:paraId="097D0745" w14:textId="77777777" w:rsidR="00B430A9" w:rsidRPr="00880EC7" w:rsidRDefault="00B430A9" w:rsidP="00B430A9">
            <w:pPr>
              <w:jc w:val="both"/>
              <w:rPr>
                <w:rFonts w:ascii="Times New Roman" w:hAnsi="Times New Roman" w:cs="Times New Roman"/>
                <w:lang w:val="lv-LV"/>
              </w:rPr>
            </w:pPr>
            <w:r w:rsidRPr="00880EC7">
              <w:rPr>
                <w:rFonts w:ascii="Times New Roman" w:hAnsi="Times New Roman" w:cs="Times New Roman"/>
                <w:lang w:val="lv-LV"/>
              </w:rPr>
              <w:t>260530</w:t>
            </w:r>
          </w:p>
        </w:tc>
        <w:tc>
          <w:tcPr>
            <w:tcW w:w="709" w:type="dxa"/>
          </w:tcPr>
          <w:p w14:paraId="1C8C9EFC" w14:textId="77777777" w:rsidR="00B430A9" w:rsidRPr="00880EC7" w:rsidRDefault="00B430A9" w:rsidP="00B430A9">
            <w:pPr>
              <w:jc w:val="both"/>
              <w:rPr>
                <w:rFonts w:ascii="Times New Roman" w:hAnsi="Times New Roman" w:cs="Times New Roman"/>
                <w:lang w:val="lv-LV"/>
              </w:rPr>
            </w:pPr>
            <w:r w:rsidRPr="00880EC7">
              <w:rPr>
                <w:rFonts w:ascii="Times New Roman" w:hAnsi="Times New Roman" w:cs="Times New Roman"/>
                <w:lang w:val="lv-LV"/>
              </w:rPr>
              <w:t>7</w:t>
            </w:r>
          </w:p>
        </w:tc>
        <w:tc>
          <w:tcPr>
            <w:tcW w:w="1320" w:type="dxa"/>
          </w:tcPr>
          <w:p w14:paraId="59BBF6DF" w14:textId="77777777" w:rsidR="00B430A9" w:rsidRPr="00880EC7" w:rsidRDefault="00B430A9" w:rsidP="00B430A9">
            <w:pPr>
              <w:jc w:val="both"/>
              <w:rPr>
                <w:rFonts w:ascii="Times New Roman" w:hAnsi="Times New Roman" w:cs="Times New Roman"/>
                <w:lang w:val="lv-LV"/>
              </w:rPr>
            </w:pPr>
            <w:r w:rsidRPr="00880EC7">
              <w:rPr>
                <w:rFonts w:ascii="Times New Roman" w:hAnsi="Times New Roman" w:cs="Times New Roman"/>
                <w:lang w:val="lv-LV"/>
              </w:rPr>
              <w:t>338560</w:t>
            </w:r>
          </w:p>
        </w:tc>
      </w:tr>
      <w:tr w:rsidR="002C5745" w:rsidRPr="002C5745" w14:paraId="5740976A" w14:textId="77777777" w:rsidTr="002C5745">
        <w:tc>
          <w:tcPr>
            <w:tcW w:w="1129" w:type="dxa"/>
          </w:tcPr>
          <w:p w14:paraId="1EE138DE" w14:textId="66CC8989" w:rsidR="00B430A9" w:rsidRPr="00880EC7" w:rsidRDefault="00B430A9" w:rsidP="00B430A9">
            <w:pPr>
              <w:jc w:val="both"/>
              <w:rPr>
                <w:rFonts w:ascii="Times New Roman" w:hAnsi="Times New Roman" w:cs="Times New Roman"/>
                <w:lang w:val="lv-LV"/>
              </w:rPr>
            </w:pPr>
            <w:r w:rsidRPr="00880EC7">
              <w:rPr>
                <w:rFonts w:ascii="Times New Roman" w:hAnsi="Times New Roman" w:cs="Times New Roman"/>
                <w:b/>
                <w:lang w:val="lv-LV"/>
              </w:rPr>
              <w:t>Kopā 2.</w:t>
            </w:r>
            <w:r w:rsidR="00A36741">
              <w:rPr>
                <w:rFonts w:ascii="Times New Roman" w:hAnsi="Times New Roman" w:cs="Times New Roman"/>
                <w:b/>
                <w:lang w:val="lv-LV"/>
              </w:rPr>
              <w:t> </w:t>
            </w:r>
            <w:r w:rsidRPr="00880EC7">
              <w:rPr>
                <w:rFonts w:ascii="Times New Roman" w:hAnsi="Times New Roman" w:cs="Times New Roman"/>
                <w:b/>
                <w:lang w:val="lv-LV"/>
              </w:rPr>
              <w:t>pusgadā</w:t>
            </w:r>
          </w:p>
        </w:tc>
        <w:tc>
          <w:tcPr>
            <w:tcW w:w="1657" w:type="dxa"/>
          </w:tcPr>
          <w:p w14:paraId="414F52AC" w14:textId="77777777" w:rsidR="00B430A9" w:rsidRPr="00880EC7" w:rsidRDefault="00B430A9" w:rsidP="00B430A9">
            <w:pPr>
              <w:jc w:val="both"/>
              <w:rPr>
                <w:rFonts w:ascii="Times New Roman" w:hAnsi="Times New Roman" w:cs="Times New Roman"/>
                <w:lang w:val="lv-LV"/>
              </w:rPr>
            </w:pPr>
            <w:r w:rsidRPr="00880EC7">
              <w:rPr>
                <w:rFonts w:ascii="Times New Roman" w:hAnsi="Times New Roman" w:cs="Times New Roman"/>
                <w:b/>
                <w:lang w:val="lv-LV"/>
              </w:rPr>
              <w:t>786</w:t>
            </w:r>
          </w:p>
        </w:tc>
        <w:tc>
          <w:tcPr>
            <w:tcW w:w="895" w:type="dxa"/>
          </w:tcPr>
          <w:p w14:paraId="1B2368E7" w14:textId="77777777" w:rsidR="00B430A9" w:rsidRPr="00880EC7" w:rsidRDefault="00B430A9" w:rsidP="00B430A9">
            <w:pPr>
              <w:jc w:val="both"/>
              <w:rPr>
                <w:rFonts w:ascii="Times New Roman" w:hAnsi="Times New Roman" w:cs="Times New Roman"/>
                <w:lang w:val="lv-LV"/>
              </w:rPr>
            </w:pPr>
            <w:r w:rsidRPr="00880EC7">
              <w:rPr>
                <w:rFonts w:ascii="Times New Roman" w:hAnsi="Times New Roman" w:cs="Times New Roman"/>
                <w:b/>
                <w:lang w:val="lv-LV"/>
              </w:rPr>
              <w:t>530</w:t>
            </w:r>
          </w:p>
        </w:tc>
        <w:tc>
          <w:tcPr>
            <w:tcW w:w="1406" w:type="dxa"/>
          </w:tcPr>
          <w:p w14:paraId="387C2648" w14:textId="77777777" w:rsidR="00B430A9" w:rsidRPr="00880EC7" w:rsidRDefault="00B430A9" w:rsidP="00B430A9">
            <w:pPr>
              <w:jc w:val="both"/>
              <w:rPr>
                <w:rFonts w:ascii="Times New Roman" w:hAnsi="Times New Roman" w:cs="Times New Roman"/>
                <w:lang w:val="lv-LV"/>
              </w:rPr>
            </w:pPr>
            <w:r w:rsidRPr="00880EC7">
              <w:rPr>
                <w:rFonts w:ascii="Times New Roman" w:hAnsi="Times New Roman" w:cs="Times New Roman"/>
                <w:b/>
                <w:lang w:val="lv-LV"/>
              </w:rPr>
              <w:t>7007170</w:t>
            </w:r>
          </w:p>
        </w:tc>
        <w:tc>
          <w:tcPr>
            <w:tcW w:w="1004" w:type="dxa"/>
          </w:tcPr>
          <w:p w14:paraId="0DD5731F" w14:textId="77777777" w:rsidR="00B430A9" w:rsidRPr="00880EC7" w:rsidRDefault="00B430A9" w:rsidP="00B430A9">
            <w:pPr>
              <w:jc w:val="both"/>
              <w:rPr>
                <w:rFonts w:ascii="Times New Roman" w:hAnsi="Times New Roman" w:cs="Times New Roman"/>
                <w:lang w:val="lv-LV"/>
              </w:rPr>
            </w:pPr>
            <w:r w:rsidRPr="00880EC7">
              <w:rPr>
                <w:rFonts w:ascii="Times New Roman" w:hAnsi="Times New Roman" w:cs="Times New Roman"/>
                <w:b/>
                <w:lang w:val="lv-LV"/>
              </w:rPr>
              <w:t>99</w:t>
            </w:r>
          </w:p>
        </w:tc>
        <w:tc>
          <w:tcPr>
            <w:tcW w:w="1275" w:type="dxa"/>
          </w:tcPr>
          <w:p w14:paraId="50AE335E" w14:textId="77777777" w:rsidR="00B430A9" w:rsidRPr="00880EC7" w:rsidRDefault="00B430A9" w:rsidP="00B430A9">
            <w:pPr>
              <w:jc w:val="both"/>
              <w:rPr>
                <w:rFonts w:ascii="Times New Roman" w:hAnsi="Times New Roman" w:cs="Times New Roman"/>
                <w:lang w:val="lv-LV"/>
              </w:rPr>
            </w:pPr>
            <w:r w:rsidRPr="00880EC7">
              <w:rPr>
                <w:rFonts w:ascii="Times New Roman" w:hAnsi="Times New Roman" w:cs="Times New Roman"/>
                <w:b/>
                <w:lang w:val="lv-LV"/>
              </w:rPr>
              <w:t>6639580</w:t>
            </w:r>
          </w:p>
        </w:tc>
        <w:tc>
          <w:tcPr>
            <w:tcW w:w="709" w:type="dxa"/>
          </w:tcPr>
          <w:p w14:paraId="45F58573" w14:textId="77777777" w:rsidR="00B430A9" w:rsidRPr="00880EC7" w:rsidRDefault="00B430A9" w:rsidP="00B430A9">
            <w:pPr>
              <w:jc w:val="both"/>
              <w:rPr>
                <w:rFonts w:ascii="Times New Roman" w:hAnsi="Times New Roman" w:cs="Times New Roman"/>
                <w:lang w:val="lv-LV"/>
              </w:rPr>
            </w:pPr>
            <w:r w:rsidRPr="00880EC7">
              <w:rPr>
                <w:rFonts w:ascii="Times New Roman" w:hAnsi="Times New Roman" w:cs="Times New Roman"/>
                <w:b/>
                <w:lang w:val="lv-LV"/>
              </w:rPr>
              <w:t>72</w:t>
            </w:r>
          </w:p>
        </w:tc>
        <w:tc>
          <w:tcPr>
            <w:tcW w:w="1320" w:type="dxa"/>
          </w:tcPr>
          <w:p w14:paraId="770D609E" w14:textId="77777777" w:rsidR="00B430A9" w:rsidRPr="00880EC7" w:rsidRDefault="00B430A9" w:rsidP="00B430A9">
            <w:pPr>
              <w:jc w:val="both"/>
              <w:rPr>
                <w:rFonts w:ascii="Times New Roman" w:hAnsi="Times New Roman" w:cs="Times New Roman"/>
                <w:lang w:val="lv-LV"/>
              </w:rPr>
            </w:pPr>
            <w:r w:rsidRPr="00880EC7">
              <w:rPr>
                <w:rFonts w:ascii="Times New Roman" w:hAnsi="Times New Roman" w:cs="Times New Roman"/>
                <w:b/>
                <w:lang w:val="lv-LV"/>
              </w:rPr>
              <w:t>4694450</w:t>
            </w:r>
          </w:p>
        </w:tc>
      </w:tr>
    </w:tbl>
    <w:p w14:paraId="63FDADD3" w14:textId="77777777" w:rsidR="00B61920" w:rsidRPr="002C5745" w:rsidRDefault="00B61920" w:rsidP="00FB7912">
      <w:pPr>
        <w:ind w:firstLine="709"/>
        <w:jc w:val="both"/>
        <w:rPr>
          <w:rFonts w:ascii="Times New Roman" w:hAnsi="Times New Roman" w:cs="Times New Roman"/>
          <w:sz w:val="12"/>
          <w:szCs w:val="12"/>
          <w:lang w:val="lv-LV"/>
        </w:rPr>
      </w:pPr>
    </w:p>
    <w:p w14:paraId="16025C36" w14:textId="3D1436C3" w:rsidR="000B13DC" w:rsidRPr="002C5745" w:rsidRDefault="00FB7912" w:rsidP="00B430A9">
      <w:pPr>
        <w:ind w:firstLine="709"/>
        <w:jc w:val="both"/>
        <w:rPr>
          <w:rFonts w:ascii="Times New Roman" w:hAnsi="Times New Roman" w:cs="Times New Roman"/>
          <w:bCs/>
          <w:sz w:val="26"/>
          <w:szCs w:val="26"/>
          <w:lang w:val="lv-LV"/>
        </w:rPr>
      </w:pPr>
      <w:r w:rsidRPr="002C5745">
        <w:rPr>
          <w:rFonts w:ascii="Times New Roman" w:hAnsi="Times New Roman" w:cs="Times New Roman"/>
          <w:sz w:val="26"/>
          <w:szCs w:val="26"/>
          <w:lang w:val="lv-LV"/>
        </w:rPr>
        <w:t>Minētā tendence ir pamatojama ar Saeimā 2017.</w:t>
      </w:r>
      <w:r w:rsidR="00A36741">
        <w:rPr>
          <w:rFonts w:ascii="Times New Roman" w:hAnsi="Times New Roman" w:cs="Times New Roman"/>
          <w:sz w:val="26"/>
          <w:szCs w:val="26"/>
          <w:lang w:val="lv-LV"/>
        </w:rPr>
        <w:t> </w:t>
      </w:r>
      <w:r w:rsidRPr="002C5745">
        <w:rPr>
          <w:rFonts w:ascii="Times New Roman" w:hAnsi="Times New Roman" w:cs="Times New Roman"/>
          <w:sz w:val="26"/>
          <w:szCs w:val="26"/>
          <w:lang w:val="lv-LV"/>
        </w:rPr>
        <w:t>gada 27.</w:t>
      </w:r>
      <w:r w:rsidR="00A36741">
        <w:rPr>
          <w:rFonts w:ascii="Times New Roman" w:hAnsi="Times New Roman" w:cs="Times New Roman"/>
          <w:sz w:val="26"/>
          <w:szCs w:val="26"/>
          <w:lang w:val="lv-LV"/>
        </w:rPr>
        <w:t> </w:t>
      </w:r>
      <w:r w:rsidRPr="002C5745">
        <w:rPr>
          <w:rFonts w:ascii="Times New Roman" w:hAnsi="Times New Roman" w:cs="Times New Roman"/>
          <w:sz w:val="26"/>
          <w:szCs w:val="26"/>
          <w:lang w:val="lv-LV"/>
        </w:rPr>
        <w:t xml:space="preserve">jūlijā pieņemto </w:t>
      </w:r>
      <w:r w:rsidRPr="002C5745">
        <w:rPr>
          <w:rFonts w:ascii="Times New Roman" w:hAnsi="Times New Roman" w:cs="Times New Roman"/>
          <w:bCs/>
          <w:sz w:val="26"/>
          <w:szCs w:val="26"/>
          <w:lang w:val="lv-LV"/>
        </w:rPr>
        <w:t>Nodokļu maksātājiem nokavējuma naudas un soda naudas dz</w:t>
      </w:r>
      <w:r w:rsidR="00B61920" w:rsidRPr="002C5745">
        <w:rPr>
          <w:rFonts w:ascii="Times New Roman" w:hAnsi="Times New Roman" w:cs="Times New Roman"/>
          <w:bCs/>
          <w:sz w:val="26"/>
          <w:szCs w:val="26"/>
          <w:lang w:val="lv-LV"/>
        </w:rPr>
        <w:t xml:space="preserve">ēšanai paredzētā atbalsta likumu, kas paredz </w:t>
      </w:r>
      <w:r w:rsidR="00034562" w:rsidRPr="002C5745">
        <w:rPr>
          <w:rFonts w:ascii="Times New Roman" w:hAnsi="Times New Roman" w:cs="Times New Roman"/>
          <w:bCs/>
          <w:sz w:val="26"/>
          <w:szCs w:val="26"/>
          <w:lang w:val="lv-LV"/>
        </w:rPr>
        <w:t>sniegt atbalstu nokavējuma naudas</w:t>
      </w:r>
      <w:r w:rsidR="00B61920" w:rsidRPr="002C5745">
        <w:rPr>
          <w:rFonts w:ascii="Times New Roman" w:hAnsi="Times New Roman" w:cs="Times New Roman"/>
          <w:bCs/>
          <w:sz w:val="26"/>
          <w:szCs w:val="26"/>
          <w:lang w:val="lv-LV"/>
        </w:rPr>
        <w:t xml:space="preserve"> un soda naudas dzēšanai, ja nodokļu maksātājs līdz noteiktam datumam samaksās atbalsta pamatparādu</w:t>
      </w:r>
      <w:r w:rsidR="0057358E" w:rsidRPr="002C5745">
        <w:rPr>
          <w:rFonts w:ascii="Times New Roman" w:hAnsi="Times New Roman" w:cs="Times New Roman"/>
          <w:bCs/>
          <w:sz w:val="26"/>
          <w:szCs w:val="26"/>
          <w:lang w:val="lv-LV"/>
        </w:rPr>
        <w:t xml:space="preserve">. </w:t>
      </w:r>
    </w:p>
    <w:p w14:paraId="73982DF3" w14:textId="54A7E2D9" w:rsidR="000B13DC" w:rsidRPr="0002708D" w:rsidRDefault="000B13DC" w:rsidP="000B13DC">
      <w:pPr>
        <w:ind w:firstLine="567"/>
        <w:jc w:val="both"/>
        <w:rPr>
          <w:rFonts w:ascii="Times New Roman" w:hAnsi="Times New Roman" w:cs="Times New Roman"/>
          <w:sz w:val="26"/>
          <w:szCs w:val="26"/>
          <w:lang w:val="lv-LV"/>
        </w:rPr>
      </w:pPr>
      <w:r w:rsidRPr="002C5745">
        <w:rPr>
          <w:rFonts w:ascii="Times New Roman" w:hAnsi="Times New Roman" w:cs="Times New Roman"/>
          <w:bCs/>
          <w:sz w:val="26"/>
          <w:szCs w:val="26"/>
          <w:lang w:val="lv-LV"/>
        </w:rPr>
        <w:t>Dalībai</w:t>
      </w:r>
      <w:r w:rsidR="0057358E" w:rsidRPr="002C5745">
        <w:rPr>
          <w:rFonts w:ascii="Times New Roman" w:hAnsi="Times New Roman" w:cs="Times New Roman"/>
          <w:bCs/>
          <w:sz w:val="26"/>
          <w:szCs w:val="26"/>
          <w:lang w:val="lv-LV"/>
        </w:rPr>
        <w:t xml:space="preserve"> </w:t>
      </w:r>
      <w:r w:rsidRPr="002C5745">
        <w:rPr>
          <w:rFonts w:ascii="Times New Roman" w:hAnsi="Times New Roman" w:cs="Times New Roman"/>
          <w:sz w:val="26"/>
          <w:szCs w:val="26"/>
          <w:lang w:val="lv-LV"/>
        </w:rPr>
        <w:t xml:space="preserve">nodokļu atbalsta pasākumā saņemti </w:t>
      </w:r>
      <w:r w:rsidR="001D1FD7">
        <w:rPr>
          <w:rFonts w:ascii="Times New Roman" w:hAnsi="Times New Roman" w:cs="Times New Roman"/>
          <w:sz w:val="26"/>
          <w:szCs w:val="26"/>
          <w:lang w:val="lv-LV"/>
        </w:rPr>
        <w:t>(triju mēnešu laikā no atbalsta uzsākšanas</w:t>
      </w:r>
      <w:r w:rsidR="00A36741">
        <w:rPr>
          <w:rFonts w:ascii="Times New Roman" w:hAnsi="Times New Roman" w:cs="Times New Roman"/>
          <w:sz w:val="26"/>
          <w:szCs w:val="26"/>
          <w:lang w:val="lv-LV"/>
        </w:rPr>
        <w:t xml:space="preserve"> 2017. gada 1. </w:t>
      </w:r>
      <w:r w:rsidR="001D1FD7" w:rsidRPr="001D1FD7">
        <w:rPr>
          <w:rFonts w:ascii="Times New Roman" w:hAnsi="Times New Roman" w:cs="Times New Roman"/>
          <w:sz w:val="26"/>
          <w:szCs w:val="26"/>
          <w:lang w:val="lv-LV"/>
        </w:rPr>
        <w:t>oktobrī</w:t>
      </w:r>
      <w:r w:rsidR="001D1FD7">
        <w:rPr>
          <w:rFonts w:ascii="Times New Roman" w:hAnsi="Times New Roman" w:cs="Times New Roman"/>
          <w:sz w:val="26"/>
          <w:szCs w:val="26"/>
          <w:lang w:val="lv-LV"/>
        </w:rPr>
        <w:t xml:space="preserve">) </w:t>
      </w:r>
      <w:r w:rsidRPr="002C5745">
        <w:rPr>
          <w:rFonts w:ascii="Times New Roman" w:hAnsi="Times New Roman" w:cs="Times New Roman"/>
          <w:sz w:val="26"/>
          <w:szCs w:val="26"/>
          <w:lang w:val="lv-LV"/>
        </w:rPr>
        <w:t>14 025 iesniegumi, no tiem</w:t>
      </w:r>
      <w:r w:rsidR="003B2FFC" w:rsidRPr="002C5745">
        <w:rPr>
          <w:rFonts w:ascii="Times New Roman" w:hAnsi="Times New Roman" w:cs="Times New Roman"/>
          <w:sz w:val="26"/>
          <w:szCs w:val="26"/>
          <w:lang w:val="lv-LV"/>
        </w:rPr>
        <w:t xml:space="preserve"> </w:t>
      </w:r>
      <w:r w:rsidRPr="002C5745">
        <w:rPr>
          <w:rFonts w:ascii="Times New Roman" w:hAnsi="Times New Roman" w:cs="Times New Roman"/>
          <w:sz w:val="26"/>
          <w:szCs w:val="26"/>
          <w:lang w:val="lv-LV"/>
        </w:rPr>
        <w:t>6828</w:t>
      </w:r>
      <w:r w:rsidR="003B2FFC" w:rsidRPr="002C5745">
        <w:rPr>
          <w:rFonts w:ascii="Times New Roman" w:hAnsi="Times New Roman" w:cs="Times New Roman"/>
          <w:sz w:val="26"/>
          <w:szCs w:val="26"/>
          <w:lang w:val="lv-LV"/>
        </w:rPr>
        <w:t xml:space="preserve"> fizisk</w:t>
      </w:r>
      <w:r w:rsidRPr="002C5745">
        <w:rPr>
          <w:rFonts w:ascii="Times New Roman" w:hAnsi="Times New Roman" w:cs="Times New Roman"/>
          <w:sz w:val="26"/>
          <w:szCs w:val="26"/>
          <w:lang w:val="lv-LV"/>
        </w:rPr>
        <w:t>o</w:t>
      </w:r>
      <w:r w:rsidR="003B2FFC" w:rsidRPr="002C5745">
        <w:rPr>
          <w:rFonts w:ascii="Times New Roman" w:hAnsi="Times New Roman" w:cs="Times New Roman"/>
          <w:sz w:val="26"/>
          <w:szCs w:val="26"/>
          <w:lang w:val="lv-LV"/>
        </w:rPr>
        <w:t xml:space="preserve"> </w:t>
      </w:r>
      <w:r w:rsidRPr="002C5745">
        <w:rPr>
          <w:rFonts w:ascii="Times New Roman" w:hAnsi="Times New Roman" w:cs="Times New Roman"/>
          <w:sz w:val="26"/>
          <w:szCs w:val="26"/>
          <w:lang w:val="lv-LV"/>
        </w:rPr>
        <w:t xml:space="preserve">personu </w:t>
      </w:r>
      <w:r w:rsidR="003B2FFC" w:rsidRPr="002C5745">
        <w:rPr>
          <w:rFonts w:ascii="Times New Roman" w:hAnsi="Times New Roman" w:cs="Times New Roman"/>
          <w:sz w:val="26"/>
          <w:szCs w:val="26"/>
          <w:lang w:val="lv-LV"/>
        </w:rPr>
        <w:t xml:space="preserve">un </w:t>
      </w:r>
      <w:r w:rsidRPr="002C5745">
        <w:rPr>
          <w:rFonts w:ascii="Times New Roman" w:hAnsi="Times New Roman" w:cs="Times New Roman"/>
          <w:sz w:val="26"/>
          <w:szCs w:val="26"/>
          <w:lang w:val="lv-LV"/>
        </w:rPr>
        <w:t>7197 juridisko</w:t>
      </w:r>
      <w:r w:rsidR="003B2FFC" w:rsidRPr="002C5745">
        <w:rPr>
          <w:rFonts w:ascii="Times New Roman" w:hAnsi="Times New Roman" w:cs="Times New Roman"/>
          <w:sz w:val="26"/>
          <w:szCs w:val="26"/>
          <w:lang w:val="lv-LV"/>
        </w:rPr>
        <w:t xml:space="preserve"> person</w:t>
      </w:r>
      <w:r w:rsidRPr="002C5745">
        <w:rPr>
          <w:rFonts w:ascii="Times New Roman" w:hAnsi="Times New Roman" w:cs="Times New Roman"/>
          <w:sz w:val="26"/>
          <w:szCs w:val="26"/>
          <w:lang w:val="lv-LV"/>
        </w:rPr>
        <w:t>u iesniegumi</w:t>
      </w:r>
      <w:r w:rsidR="003B2FFC" w:rsidRPr="002C5745">
        <w:rPr>
          <w:rFonts w:ascii="Times New Roman" w:hAnsi="Times New Roman" w:cs="Times New Roman"/>
          <w:sz w:val="26"/>
          <w:szCs w:val="26"/>
          <w:lang w:val="lv-LV"/>
        </w:rPr>
        <w:t xml:space="preserve">. </w:t>
      </w:r>
      <w:r w:rsidR="003B2FFC" w:rsidRPr="002C5745">
        <w:rPr>
          <w:rFonts w:ascii="Times New Roman" w:hAnsi="Times New Roman" w:cs="Times New Roman"/>
          <w:color w:val="000000"/>
          <w:sz w:val="26"/>
          <w:szCs w:val="26"/>
          <w:lang w:val="lv-LV"/>
        </w:rPr>
        <w:t xml:space="preserve">Lēmums piemērot nodokļu atbalsta pasākumu ir pieņemts </w:t>
      </w:r>
      <w:r w:rsidR="00A36741">
        <w:rPr>
          <w:rFonts w:ascii="Times New Roman" w:hAnsi="Times New Roman" w:cs="Times New Roman"/>
          <w:color w:val="000000"/>
          <w:sz w:val="26"/>
          <w:szCs w:val="26"/>
          <w:lang w:val="lv-LV"/>
        </w:rPr>
        <w:t>5871 </w:t>
      </w:r>
      <w:r w:rsidRPr="002C5745">
        <w:rPr>
          <w:rFonts w:ascii="Times New Roman" w:hAnsi="Times New Roman" w:cs="Times New Roman"/>
          <w:color w:val="000000"/>
          <w:sz w:val="26"/>
          <w:szCs w:val="26"/>
          <w:lang w:val="lv-LV"/>
        </w:rPr>
        <w:t>fiziskai</w:t>
      </w:r>
      <w:r w:rsidR="003B2FFC" w:rsidRPr="002C5745">
        <w:rPr>
          <w:rFonts w:ascii="Times New Roman" w:hAnsi="Times New Roman" w:cs="Times New Roman"/>
          <w:color w:val="000000"/>
          <w:sz w:val="26"/>
          <w:szCs w:val="26"/>
          <w:lang w:val="lv-LV"/>
        </w:rPr>
        <w:t xml:space="preserve"> person</w:t>
      </w:r>
      <w:r w:rsidRPr="002C5745">
        <w:rPr>
          <w:rFonts w:ascii="Times New Roman" w:hAnsi="Times New Roman" w:cs="Times New Roman"/>
          <w:color w:val="000000"/>
          <w:sz w:val="26"/>
          <w:szCs w:val="26"/>
          <w:lang w:val="lv-LV"/>
        </w:rPr>
        <w:t>ai</w:t>
      </w:r>
      <w:r w:rsidR="003B2FFC" w:rsidRPr="002C5745">
        <w:rPr>
          <w:rFonts w:ascii="Times New Roman" w:hAnsi="Times New Roman" w:cs="Times New Roman"/>
          <w:color w:val="000000"/>
          <w:sz w:val="26"/>
          <w:szCs w:val="26"/>
          <w:lang w:val="lv-LV"/>
        </w:rPr>
        <w:t xml:space="preserve"> par kopējo summu </w:t>
      </w:r>
      <w:r w:rsidRPr="002C5745">
        <w:rPr>
          <w:rFonts w:ascii="Times New Roman" w:hAnsi="Times New Roman" w:cs="Times New Roman"/>
          <w:sz w:val="26"/>
          <w:szCs w:val="26"/>
          <w:lang w:val="lv-LV"/>
        </w:rPr>
        <w:t xml:space="preserve">15 773 808,38 </w:t>
      </w:r>
      <w:r w:rsidRPr="002C5745">
        <w:rPr>
          <w:rFonts w:ascii="Times New Roman" w:hAnsi="Times New Roman" w:cs="Times New Roman"/>
          <w:i/>
          <w:sz w:val="26"/>
          <w:szCs w:val="26"/>
          <w:lang w:val="lv-LV"/>
        </w:rPr>
        <w:t>euro</w:t>
      </w:r>
      <w:r w:rsidRPr="002C5745">
        <w:rPr>
          <w:rFonts w:ascii="Times New Roman" w:hAnsi="Times New Roman" w:cs="Times New Roman"/>
          <w:sz w:val="26"/>
          <w:szCs w:val="26"/>
          <w:lang w:val="lv-LV"/>
        </w:rPr>
        <w:t xml:space="preserve"> (t.sk. 11 104 956,06 </w:t>
      </w:r>
      <w:r w:rsidRPr="002C5745">
        <w:rPr>
          <w:rFonts w:ascii="Times New Roman" w:hAnsi="Times New Roman" w:cs="Times New Roman"/>
          <w:i/>
          <w:sz w:val="26"/>
          <w:szCs w:val="26"/>
          <w:lang w:val="lv-LV"/>
        </w:rPr>
        <w:t>euro</w:t>
      </w:r>
      <w:r w:rsidRPr="002C5745">
        <w:rPr>
          <w:rFonts w:ascii="Times New Roman" w:hAnsi="Times New Roman" w:cs="Times New Roman"/>
          <w:sz w:val="26"/>
          <w:szCs w:val="26"/>
          <w:lang w:val="lv-LV"/>
        </w:rPr>
        <w:t xml:space="preserve"> pamatparāds, 3 938 722,90 </w:t>
      </w:r>
      <w:r w:rsidRPr="002C5745">
        <w:rPr>
          <w:rFonts w:ascii="Times New Roman" w:hAnsi="Times New Roman" w:cs="Times New Roman"/>
          <w:i/>
          <w:sz w:val="26"/>
          <w:szCs w:val="26"/>
          <w:lang w:val="lv-LV"/>
        </w:rPr>
        <w:t>euro</w:t>
      </w:r>
      <w:r w:rsidRPr="002C5745">
        <w:rPr>
          <w:rFonts w:ascii="Times New Roman" w:hAnsi="Times New Roman" w:cs="Times New Roman"/>
          <w:sz w:val="26"/>
          <w:szCs w:val="26"/>
          <w:lang w:val="lv-LV"/>
        </w:rPr>
        <w:t xml:space="preserve"> nokavējuma nauda un 730 129,42 </w:t>
      </w:r>
      <w:r w:rsidRPr="002C5745">
        <w:rPr>
          <w:rFonts w:ascii="Times New Roman" w:hAnsi="Times New Roman" w:cs="Times New Roman"/>
          <w:i/>
          <w:sz w:val="26"/>
          <w:szCs w:val="26"/>
          <w:lang w:val="lv-LV"/>
        </w:rPr>
        <w:t>euro</w:t>
      </w:r>
      <w:r w:rsidRPr="002C5745">
        <w:rPr>
          <w:rFonts w:ascii="Times New Roman" w:hAnsi="Times New Roman" w:cs="Times New Roman"/>
          <w:sz w:val="26"/>
          <w:szCs w:val="26"/>
          <w:lang w:val="lv-LV"/>
        </w:rPr>
        <w:t xml:space="preserve"> soda nauda</w:t>
      </w:r>
      <w:r w:rsidRPr="0002708D">
        <w:rPr>
          <w:rFonts w:ascii="Times New Roman" w:hAnsi="Times New Roman" w:cs="Times New Roman"/>
          <w:sz w:val="26"/>
          <w:szCs w:val="26"/>
          <w:lang w:val="lv-LV"/>
        </w:rPr>
        <w:t>)</w:t>
      </w:r>
      <w:r w:rsidR="000A0227" w:rsidRPr="0002708D">
        <w:rPr>
          <w:rFonts w:ascii="Times New Roman" w:hAnsi="Times New Roman" w:cs="Times New Roman"/>
          <w:sz w:val="26"/>
          <w:szCs w:val="26"/>
          <w:lang w:val="lv-LV"/>
        </w:rPr>
        <w:t>,</w:t>
      </w:r>
      <w:r w:rsidRPr="0002708D">
        <w:rPr>
          <w:rFonts w:ascii="Times New Roman" w:hAnsi="Times New Roman" w:cs="Times New Roman"/>
          <w:sz w:val="26"/>
          <w:szCs w:val="26"/>
          <w:lang w:val="lv-LV"/>
        </w:rPr>
        <w:t xml:space="preserve"> 6</w:t>
      </w:r>
      <w:r w:rsidR="00A36741" w:rsidRPr="0002708D">
        <w:rPr>
          <w:rFonts w:ascii="Times New Roman" w:hAnsi="Times New Roman" w:cs="Times New Roman"/>
          <w:sz w:val="26"/>
          <w:szCs w:val="26"/>
          <w:lang w:val="lv-LV"/>
        </w:rPr>
        <w:t> </w:t>
      </w:r>
      <w:r w:rsidRPr="0002708D">
        <w:rPr>
          <w:rFonts w:ascii="Times New Roman" w:hAnsi="Times New Roman" w:cs="Times New Roman"/>
          <w:sz w:val="26"/>
          <w:szCs w:val="26"/>
          <w:lang w:val="lv-LV"/>
        </w:rPr>
        <w:t>339</w:t>
      </w:r>
      <w:r w:rsidR="00A36741" w:rsidRPr="0002708D">
        <w:rPr>
          <w:rFonts w:ascii="Times New Roman" w:hAnsi="Times New Roman" w:cs="Times New Roman"/>
          <w:sz w:val="26"/>
          <w:szCs w:val="26"/>
          <w:lang w:val="lv-LV"/>
        </w:rPr>
        <w:t> </w:t>
      </w:r>
      <w:r w:rsidRPr="0002708D">
        <w:rPr>
          <w:rFonts w:ascii="Times New Roman" w:hAnsi="Times New Roman" w:cs="Times New Roman"/>
          <w:sz w:val="26"/>
          <w:szCs w:val="26"/>
          <w:lang w:val="lv-LV"/>
        </w:rPr>
        <w:t xml:space="preserve">juridiskajām personām par kopējo summu 103 731 594,89  </w:t>
      </w:r>
      <w:r w:rsidRPr="0002708D">
        <w:rPr>
          <w:rFonts w:ascii="Times New Roman" w:hAnsi="Times New Roman" w:cs="Times New Roman"/>
          <w:i/>
          <w:sz w:val="26"/>
          <w:szCs w:val="26"/>
          <w:lang w:val="lv-LV"/>
        </w:rPr>
        <w:t>euro</w:t>
      </w:r>
      <w:r w:rsidRPr="0002708D">
        <w:rPr>
          <w:rFonts w:ascii="Times New Roman" w:hAnsi="Times New Roman" w:cs="Times New Roman"/>
          <w:sz w:val="26"/>
          <w:szCs w:val="26"/>
          <w:lang w:val="lv-LV"/>
        </w:rPr>
        <w:t xml:space="preserve"> (t.sk. 85 827 201,84</w:t>
      </w:r>
      <w:r w:rsidR="00A36741" w:rsidRPr="0002708D">
        <w:rPr>
          <w:rFonts w:ascii="Times New Roman" w:hAnsi="Times New Roman" w:cs="Times New Roman"/>
          <w:sz w:val="26"/>
          <w:szCs w:val="26"/>
          <w:lang w:val="lv-LV"/>
        </w:rPr>
        <w:t> </w:t>
      </w:r>
      <w:r w:rsidRPr="0002708D">
        <w:rPr>
          <w:rFonts w:ascii="Times New Roman" w:hAnsi="Times New Roman" w:cs="Times New Roman"/>
          <w:i/>
          <w:sz w:val="26"/>
          <w:szCs w:val="26"/>
          <w:lang w:val="lv-LV"/>
        </w:rPr>
        <w:t>euro</w:t>
      </w:r>
      <w:r w:rsidRPr="0002708D">
        <w:rPr>
          <w:rFonts w:ascii="Times New Roman" w:hAnsi="Times New Roman" w:cs="Times New Roman"/>
          <w:sz w:val="26"/>
          <w:szCs w:val="26"/>
          <w:lang w:val="lv-LV"/>
        </w:rPr>
        <w:t xml:space="preserve"> pamatparāds, 12 232 038,90 </w:t>
      </w:r>
      <w:r w:rsidRPr="0002708D">
        <w:rPr>
          <w:rFonts w:ascii="Times New Roman" w:hAnsi="Times New Roman" w:cs="Times New Roman"/>
          <w:i/>
          <w:sz w:val="26"/>
          <w:szCs w:val="26"/>
          <w:lang w:val="lv-LV"/>
        </w:rPr>
        <w:t>euro</w:t>
      </w:r>
      <w:r w:rsidRPr="0002708D">
        <w:rPr>
          <w:rFonts w:ascii="Times New Roman" w:hAnsi="Times New Roman" w:cs="Times New Roman"/>
          <w:sz w:val="26"/>
          <w:szCs w:val="26"/>
          <w:lang w:val="lv-LV"/>
        </w:rPr>
        <w:t xml:space="preserve"> nokavējuma nauda un 5 672 354,15</w:t>
      </w:r>
      <w:r w:rsidR="00A36741" w:rsidRPr="0002708D">
        <w:rPr>
          <w:rFonts w:ascii="Times New Roman" w:hAnsi="Times New Roman" w:cs="Times New Roman"/>
          <w:sz w:val="26"/>
          <w:szCs w:val="26"/>
          <w:lang w:val="lv-LV"/>
        </w:rPr>
        <w:t> </w:t>
      </w:r>
      <w:r w:rsidRPr="0002708D">
        <w:rPr>
          <w:rFonts w:ascii="Times New Roman" w:hAnsi="Times New Roman" w:cs="Times New Roman"/>
          <w:i/>
          <w:sz w:val="26"/>
          <w:szCs w:val="26"/>
          <w:lang w:val="lv-LV"/>
        </w:rPr>
        <w:t>euro</w:t>
      </w:r>
      <w:r w:rsidRPr="0002708D">
        <w:rPr>
          <w:rFonts w:ascii="Times New Roman" w:hAnsi="Times New Roman" w:cs="Times New Roman"/>
          <w:sz w:val="26"/>
          <w:szCs w:val="26"/>
          <w:lang w:val="lv-LV"/>
        </w:rPr>
        <w:t xml:space="preserve"> soda nauda).</w:t>
      </w:r>
    </w:p>
    <w:p w14:paraId="15C6D5B7" w14:textId="1DC19F1C" w:rsidR="00A36741" w:rsidRPr="0002708D" w:rsidRDefault="00A36741" w:rsidP="00A36741">
      <w:pPr>
        <w:ind w:firstLine="709"/>
        <w:jc w:val="both"/>
        <w:rPr>
          <w:rFonts w:ascii="Times New Roman" w:hAnsi="Times New Roman" w:cs="Times New Roman"/>
          <w:sz w:val="26"/>
          <w:szCs w:val="26"/>
          <w:lang w:val="lv-LV"/>
        </w:rPr>
      </w:pPr>
      <w:r w:rsidRPr="0002708D">
        <w:rPr>
          <w:rFonts w:ascii="Times New Roman" w:hAnsi="Times New Roman" w:cs="Times New Roman"/>
          <w:sz w:val="26"/>
          <w:szCs w:val="26"/>
          <w:lang w:val="lv-LV"/>
        </w:rPr>
        <w:t>Tādējādi, lai būtu iespējams objektīvi izvērtēt, vai nodokļu maksātāja motivāciju vienoties ar VID par labprātīgu nokavēto nodokļu maksājumu samaksu ir veicinājusi ar 2017. gada 1. jūliju samazinātā nokavējuma naudas likme, kas aprēķināma lēmumā par nokavēto nodokļu maksājumu labprātīgu izpildi iekļautajai nodokļu pamatparāda summai, ir nepieciešams ilgāks laika posms</w:t>
      </w:r>
      <w:r w:rsidR="00EC689C" w:rsidRPr="0002708D">
        <w:rPr>
          <w:rFonts w:ascii="Times New Roman" w:hAnsi="Times New Roman" w:cs="Times New Roman"/>
          <w:sz w:val="26"/>
          <w:szCs w:val="26"/>
          <w:lang w:val="lv-LV"/>
        </w:rPr>
        <w:t xml:space="preserve"> (vismaz trīs gadi)</w:t>
      </w:r>
      <w:r w:rsidRPr="0002708D">
        <w:rPr>
          <w:rFonts w:ascii="Times New Roman" w:hAnsi="Times New Roman" w:cs="Times New Roman"/>
          <w:sz w:val="26"/>
          <w:szCs w:val="26"/>
          <w:lang w:val="lv-LV"/>
        </w:rPr>
        <w:t xml:space="preserve">, pēc kura būs izvērtējama </w:t>
      </w:r>
      <w:r w:rsidR="00EC689C" w:rsidRPr="0002708D">
        <w:rPr>
          <w:rFonts w:ascii="Times New Roman" w:hAnsi="Times New Roman" w:cs="Times New Roman"/>
          <w:sz w:val="26"/>
          <w:szCs w:val="26"/>
          <w:lang w:val="lv-LV"/>
        </w:rPr>
        <w:t>samazinātās nokavējuma naudas likmes efektivitāte praksē.</w:t>
      </w:r>
    </w:p>
    <w:p w14:paraId="7E5E100E" w14:textId="15C04624" w:rsidR="00034562" w:rsidRPr="002C5745" w:rsidRDefault="00B430A9" w:rsidP="00034562">
      <w:pPr>
        <w:tabs>
          <w:tab w:val="left" w:pos="1276"/>
        </w:tabs>
        <w:ind w:firstLine="720"/>
        <w:jc w:val="both"/>
        <w:rPr>
          <w:rFonts w:ascii="Times New Roman" w:hAnsi="Times New Roman" w:cs="Times New Roman"/>
          <w:b/>
          <w:sz w:val="26"/>
          <w:szCs w:val="26"/>
          <w:lang w:val="lv-LV"/>
        </w:rPr>
      </w:pPr>
      <w:r w:rsidRPr="0002708D">
        <w:rPr>
          <w:rFonts w:ascii="Times New Roman" w:hAnsi="Times New Roman" w:cs="Times New Roman"/>
          <w:b/>
          <w:sz w:val="26"/>
          <w:szCs w:val="26"/>
          <w:lang w:val="lv-LV"/>
        </w:rPr>
        <w:t>3</w:t>
      </w:r>
      <w:r w:rsidR="00C177AD" w:rsidRPr="0002708D">
        <w:rPr>
          <w:rFonts w:ascii="Times New Roman" w:hAnsi="Times New Roman" w:cs="Times New Roman"/>
          <w:b/>
          <w:sz w:val="26"/>
          <w:szCs w:val="26"/>
          <w:lang w:val="lv-LV"/>
        </w:rPr>
        <w:t>)</w:t>
      </w:r>
      <w:r w:rsidRPr="0002708D">
        <w:rPr>
          <w:rFonts w:ascii="Times New Roman" w:hAnsi="Times New Roman" w:cs="Times New Roman"/>
          <w:b/>
          <w:sz w:val="26"/>
          <w:szCs w:val="26"/>
          <w:lang w:val="lv-LV"/>
        </w:rPr>
        <w:t xml:space="preserve">  nodokļu maksātāji, kas nesadarbojas ar nodokļu administrāciju, vai kuri neatbilst nosacījumiem, </w:t>
      </w:r>
      <w:r w:rsidR="00034562" w:rsidRPr="0002708D">
        <w:rPr>
          <w:rFonts w:ascii="Times New Roman" w:hAnsi="Times New Roman" w:cs="Times New Roman"/>
          <w:b/>
          <w:sz w:val="26"/>
          <w:szCs w:val="26"/>
          <w:lang w:val="lv-LV"/>
        </w:rPr>
        <w:t xml:space="preserve">kas izpildāmi samazinātas </w:t>
      </w:r>
      <w:r w:rsidR="00034562" w:rsidRPr="002C5745">
        <w:rPr>
          <w:rFonts w:ascii="Times New Roman" w:hAnsi="Times New Roman" w:cs="Times New Roman"/>
          <w:b/>
          <w:sz w:val="26"/>
          <w:szCs w:val="26"/>
          <w:lang w:val="lv-LV"/>
        </w:rPr>
        <w:t>nokavējuma naudas piemērošanai</w:t>
      </w:r>
    </w:p>
    <w:p w14:paraId="799AD654" w14:textId="77777777" w:rsidR="007749E4" w:rsidRPr="002C5745" w:rsidRDefault="00B430A9" w:rsidP="00034562">
      <w:pPr>
        <w:tabs>
          <w:tab w:val="left" w:pos="851"/>
        </w:tabs>
        <w:ind w:firstLine="720"/>
        <w:jc w:val="both"/>
        <w:rPr>
          <w:rFonts w:ascii="Times New Roman" w:hAnsi="Times New Roman" w:cs="Times New Roman"/>
          <w:sz w:val="26"/>
          <w:szCs w:val="26"/>
          <w:lang w:val="lv-LV"/>
        </w:rPr>
      </w:pPr>
      <w:r w:rsidRPr="002C5745">
        <w:rPr>
          <w:rFonts w:ascii="Times New Roman" w:hAnsi="Times New Roman" w:cs="Times New Roman"/>
          <w:sz w:val="26"/>
          <w:szCs w:val="26"/>
          <w:lang w:val="lv-LV"/>
        </w:rPr>
        <w:t>Tikai š</w:t>
      </w:r>
      <w:r w:rsidR="007749E4" w:rsidRPr="002C5745">
        <w:rPr>
          <w:rFonts w:ascii="Times New Roman" w:hAnsi="Times New Roman" w:cs="Times New Roman"/>
          <w:sz w:val="26"/>
          <w:szCs w:val="26"/>
          <w:lang w:val="lv-LV"/>
        </w:rPr>
        <w:t xml:space="preserve">ajā gadījumā nokavējuma naudas likme ir </w:t>
      </w:r>
      <w:r w:rsidR="007749E4" w:rsidRPr="002C5745">
        <w:rPr>
          <w:rFonts w:ascii="Times New Roman" w:hAnsi="Times New Roman" w:cs="Times New Roman"/>
          <w:b/>
          <w:sz w:val="26"/>
          <w:szCs w:val="26"/>
          <w:lang w:val="lv-LV"/>
        </w:rPr>
        <w:t>0,05 procenti</w:t>
      </w:r>
      <w:r w:rsidR="007749E4" w:rsidRPr="002C5745">
        <w:rPr>
          <w:rFonts w:ascii="Times New Roman" w:hAnsi="Times New Roman" w:cs="Times New Roman"/>
          <w:sz w:val="26"/>
          <w:szCs w:val="26"/>
          <w:lang w:val="lv-LV"/>
        </w:rPr>
        <w:t xml:space="preserve"> no laikā nenomaksātā pamatparāda par katru nokavēto dienu, ja konkrētā nodokļa likumā nav noteikti citi nokavējuma naudas apmēri,</w:t>
      </w:r>
      <w:r w:rsidR="007749E4" w:rsidRPr="002C5745">
        <w:rPr>
          <w:rStyle w:val="FootnoteReference"/>
          <w:rFonts w:ascii="Times New Roman" w:hAnsi="Times New Roman" w:cs="Times New Roman"/>
          <w:sz w:val="26"/>
          <w:szCs w:val="26"/>
          <w:lang w:val="lv-LV"/>
        </w:rPr>
        <w:footnoteReference w:id="16"/>
      </w:r>
      <w:r w:rsidR="007749E4" w:rsidRPr="002C5745">
        <w:rPr>
          <w:rFonts w:ascii="Times New Roman" w:hAnsi="Times New Roman" w:cs="Times New Roman"/>
          <w:sz w:val="26"/>
          <w:szCs w:val="26"/>
          <w:lang w:val="lv-LV"/>
        </w:rPr>
        <w:t xml:space="preserve"> jeb </w:t>
      </w:r>
      <w:r w:rsidR="007749E4" w:rsidRPr="002C5745">
        <w:rPr>
          <w:rFonts w:ascii="Times New Roman" w:hAnsi="Times New Roman" w:cs="Times New Roman"/>
          <w:b/>
          <w:sz w:val="26"/>
          <w:szCs w:val="26"/>
          <w:lang w:val="lv-LV"/>
        </w:rPr>
        <w:t>18,25</w:t>
      </w:r>
      <w:r w:rsidR="007749E4" w:rsidRPr="002C5745">
        <w:rPr>
          <w:rFonts w:ascii="Times New Roman" w:hAnsi="Times New Roman" w:cs="Times New Roman"/>
          <w:sz w:val="26"/>
          <w:szCs w:val="26"/>
          <w:lang w:val="lv-LV"/>
        </w:rPr>
        <w:t xml:space="preserve"> procenti gadā. </w:t>
      </w:r>
    </w:p>
    <w:p w14:paraId="441D4E6D" w14:textId="0B26DB48" w:rsidR="00B430A9" w:rsidRPr="002C5745" w:rsidRDefault="00060382" w:rsidP="003D3E2C">
      <w:pPr>
        <w:ind w:firstLine="720"/>
        <w:jc w:val="both"/>
        <w:rPr>
          <w:rFonts w:ascii="Times New Roman" w:hAnsi="Times New Roman" w:cs="Times New Roman"/>
          <w:sz w:val="26"/>
          <w:szCs w:val="26"/>
          <w:lang w:val="lv-LV"/>
        </w:rPr>
      </w:pPr>
      <w:r w:rsidRPr="002C5745">
        <w:rPr>
          <w:rFonts w:ascii="Times New Roman" w:hAnsi="Times New Roman" w:cs="Times New Roman"/>
          <w:sz w:val="26"/>
          <w:szCs w:val="26"/>
          <w:lang w:val="lv-LV"/>
        </w:rPr>
        <w:t>Līdz 201</w:t>
      </w:r>
      <w:r w:rsidR="00B430A9" w:rsidRPr="002C5745">
        <w:rPr>
          <w:rFonts w:ascii="Times New Roman" w:hAnsi="Times New Roman" w:cs="Times New Roman"/>
          <w:sz w:val="26"/>
          <w:szCs w:val="26"/>
          <w:lang w:val="lv-LV"/>
        </w:rPr>
        <w:t>7</w:t>
      </w:r>
      <w:r w:rsidRPr="002C5745">
        <w:rPr>
          <w:rFonts w:ascii="Times New Roman" w:hAnsi="Times New Roman" w:cs="Times New Roman"/>
          <w:sz w:val="26"/>
          <w:szCs w:val="26"/>
          <w:lang w:val="lv-LV"/>
        </w:rPr>
        <w:t>.</w:t>
      </w:r>
      <w:r w:rsidR="00EC689C">
        <w:rPr>
          <w:rFonts w:ascii="Times New Roman" w:hAnsi="Times New Roman" w:cs="Times New Roman"/>
          <w:sz w:val="26"/>
          <w:szCs w:val="26"/>
          <w:lang w:val="lv-LV"/>
        </w:rPr>
        <w:t> </w:t>
      </w:r>
      <w:r w:rsidRPr="002C5745">
        <w:rPr>
          <w:rFonts w:ascii="Times New Roman" w:hAnsi="Times New Roman" w:cs="Times New Roman"/>
          <w:sz w:val="26"/>
          <w:szCs w:val="26"/>
          <w:lang w:val="lv-LV"/>
        </w:rPr>
        <w:t xml:space="preserve">gada </w:t>
      </w:r>
      <w:r w:rsidR="00B430A9" w:rsidRPr="002C5745">
        <w:rPr>
          <w:rFonts w:ascii="Times New Roman" w:hAnsi="Times New Roman" w:cs="Times New Roman"/>
          <w:sz w:val="26"/>
          <w:szCs w:val="26"/>
          <w:lang w:val="lv-LV"/>
        </w:rPr>
        <w:t>30.</w:t>
      </w:r>
      <w:r w:rsidR="00EC689C">
        <w:rPr>
          <w:rFonts w:ascii="Times New Roman" w:hAnsi="Times New Roman" w:cs="Times New Roman"/>
          <w:sz w:val="26"/>
          <w:szCs w:val="26"/>
          <w:lang w:val="lv-LV"/>
        </w:rPr>
        <w:t> </w:t>
      </w:r>
      <w:r w:rsidR="00B430A9" w:rsidRPr="002C5745">
        <w:rPr>
          <w:rFonts w:ascii="Times New Roman" w:hAnsi="Times New Roman" w:cs="Times New Roman"/>
          <w:sz w:val="26"/>
          <w:szCs w:val="26"/>
          <w:lang w:val="lv-LV"/>
        </w:rPr>
        <w:t>jūnijam</w:t>
      </w:r>
      <w:r w:rsidRPr="002C5745">
        <w:rPr>
          <w:rFonts w:ascii="Times New Roman" w:hAnsi="Times New Roman" w:cs="Times New Roman"/>
          <w:sz w:val="26"/>
          <w:szCs w:val="26"/>
          <w:lang w:val="lv-LV"/>
        </w:rPr>
        <w:t xml:space="preserve"> nokavējuma naudas aprēķināšana tika pārtraukta, </w:t>
      </w:r>
      <w:r w:rsidR="00EB62E8">
        <w:rPr>
          <w:rFonts w:ascii="Times New Roman" w:hAnsi="Times New Roman" w:cs="Times New Roman"/>
          <w:sz w:val="26"/>
          <w:szCs w:val="26"/>
          <w:lang w:val="lv-LV"/>
        </w:rPr>
        <w:t>k</w:t>
      </w:r>
      <w:r w:rsidRPr="002C5745">
        <w:rPr>
          <w:rFonts w:ascii="Times New Roman" w:hAnsi="Times New Roman" w:cs="Times New Roman"/>
          <w:sz w:val="26"/>
          <w:szCs w:val="26"/>
          <w:lang w:val="lv-LV"/>
        </w:rPr>
        <w:t>a</w:t>
      </w:r>
      <w:r w:rsidR="00EB62E8">
        <w:rPr>
          <w:rFonts w:ascii="Times New Roman" w:hAnsi="Times New Roman" w:cs="Times New Roman"/>
          <w:sz w:val="26"/>
          <w:szCs w:val="26"/>
          <w:lang w:val="lv-LV"/>
        </w:rPr>
        <w:t>d</w:t>
      </w:r>
      <w:r w:rsidRPr="002C5745">
        <w:rPr>
          <w:rFonts w:ascii="Times New Roman" w:hAnsi="Times New Roman" w:cs="Times New Roman"/>
          <w:sz w:val="26"/>
          <w:szCs w:val="26"/>
          <w:lang w:val="lv-LV"/>
        </w:rPr>
        <w:t xml:space="preserve"> nokavējuma naudas summa sasniedza nokavētā maksājum</w:t>
      </w:r>
      <w:r w:rsidR="00EC689C">
        <w:rPr>
          <w:rFonts w:ascii="Times New Roman" w:hAnsi="Times New Roman" w:cs="Times New Roman"/>
          <w:sz w:val="26"/>
          <w:szCs w:val="26"/>
          <w:lang w:val="lv-LV"/>
        </w:rPr>
        <w:t xml:space="preserve">a (pamatparāda) apmēru. Tomēr, </w:t>
      </w:r>
      <w:r w:rsidRPr="002C5745">
        <w:rPr>
          <w:rFonts w:ascii="Times New Roman" w:hAnsi="Times New Roman" w:cs="Times New Roman"/>
          <w:sz w:val="26"/>
          <w:szCs w:val="26"/>
          <w:lang w:val="lv-LV"/>
        </w:rPr>
        <w:t xml:space="preserve">ņemot vērā, ka, </w:t>
      </w:r>
      <w:r w:rsidRPr="002C5745">
        <w:rPr>
          <w:rFonts w:ascii="Times New Roman" w:eastAsia="Times New Roman" w:hAnsi="Times New Roman" w:cs="Times New Roman"/>
          <w:sz w:val="26"/>
          <w:szCs w:val="26"/>
          <w:lang w:val="lv-LV" w:eastAsia="lv-LV"/>
        </w:rPr>
        <w:t xml:space="preserve">strādājot ar nodokļu administrēšanas jautājumiem, tika konstatēts, ka pārsvarā gadījumu, kad </w:t>
      </w:r>
      <w:r w:rsidRPr="002C5745">
        <w:rPr>
          <w:rFonts w:ascii="Times New Roman" w:eastAsia="Times New Roman" w:hAnsi="Times New Roman" w:cs="Times New Roman"/>
          <w:color w:val="000000"/>
          <w:sz w:val="26"/>
          <w:szCs w:val="26"/>
          <w:lang w:val="lv-LV" w:eastAsia="lv-LV"/>
        </w:rPr>
        <w:t xml:space="preserve">nodokļu parāds netiek samaksāts vai piedzīts 1-2 gadu laikā no tā rašanās brīža, tas vispār netiek atgūts no nodokļu maksātāja, tika secināts, ka </w:t>
      </w:r>
      <w:r w:rsidRPr="002C5745">
        <w:rPr>
          <w:rFonts w:ascii="Times New Roman" w:hAnsi="Times New Roman" w:cs="Times New Roman"/>
          <w:sz w:val="26"/>
          <w:szCs w:val="26"/>
          <w:lang w:val="lv-LV"/>
        </w:rPr>
        <w:t>vairumā gadījumu nokavējuma nauda pilda nodokļu samaksas stimula un fiskālo funkciju tikai pirmos divus gadus no nodokļu parāda rašanās brīža. Tādējādi ar</w:t>
      </w:r>
      <w:r w:rsidR="008E0303" w:rsidRPr="002C5745">
        <w:rPr>
          <w:rFonts w:ascii="Times New Roman" w:hAnsi="Times New Roman" w:cs="Times New Roman"/>
          <w:sz w:val="26"/>
          <w:szCs w:val="26"/>
          <w:lang w:val="lv-LV"/>
        </w:rPr>
        <w:t xml:space="preserve"> 2017. gada 1. </w:t>
      </w:r>
      <w:r w:rsidR="00B430A9" w:rsidRPr="002C5745">
        <w:rPr>
          <w:rFonts w:ascii="Times New Roman" w:hAnsi="Times New Roman" w:cs="Times New Roman"/>
          <w:sz w:val="26"/>
          <w:szCs w:val="26"/>
          <w:lang w:val="lv-LV"/>
        </w:rPr>
        <w:t>jūliju</w:t>
      </w:r>
      <w:r w:rsidR="008E0303" w:rsidRPr="002C5745">
        <w:rPr>
          <w:rFonts w:ascii="Times New Roman" w:hAnsi="Times New Roman" w:cs="Times New Roman"/>
          <w:sz w:val="26"/>
          <w:szCs w:val="26"/>
          <w:lang w:val="lv-LV"/>
        </w:rPr>
        <w:t xml:space="preserve"> </w:t>
      </w:r>
      <w:r w:rsidR="00A775FC" w:rsidRPr="002C5745">
        <w:rPr>
          <w:rFonts w:ascii="Times New Roman" w:hAnsi="Times New Roman" w:cs="Times New Roman"/>
          <w:sz w:val="26"/>
          <w:szCs w:val="26"/>
          <w:lang w:val="lv-LV"/>
        </w:rPr>
        <w:t>ir</w:t>
      </w:r>
      <w:r w:rsidRPr="002C5745">
        <w:rPr>
          <w:rFonts w:ascii="Times New Roman" w:hAnsi="Times New Roman" w:cs="Times New Roman"/>
          <w:sz w:val="26"/>
          <w:szCs w:val="26"/>
          <w:lang w:val="lv-LV"/>
        </w:rPr>
        <w:t xml:space="preserve"> mainīts nosacījums </w:t>
      </w:r>
      <w:r w:rsidR="008E0303" w:rsidRPr="002C5745">
        <w:rPr>
          <w:rFonts w:ascii="Times New Roman" w:hAnsi="Times New Roman" w:cs="Times New Roman"/>
          <w:sz w:val="26"/>
          <w:szCs w:val="26"/>
          <w:lang w:val="lv-LV"/>
        </w:rPr>
        <w:t>n</w:t>
      </w:r>
      <w:r w:rsidR="007749E4" w:rsidRPr="002C5745">
        <w:rPr>
          <w:rFonts w:ascii="Times New Roman" w:hAnsi="Times New Roman" w:cs="Times New Roman"/>
          <w:sz w:val="26"/>
          <w:szCs w:val="26"/>
          <w:lang w:val="lv-LV"/>
        </w:rPr>
        <w:t>okavējuma nauda</w:t>
      </w:r>
      <w:r w:rsidRPr="002C5745">
        <w:rPr>
          <w:rFonts w:ascii="Times New Roman" w:hAnsi="Times New Roman" w:cs="Times New Roman"/>
          <w:sz w:val="26"/>
          <w:szCs w:val="26"/>
          <w:lang w:val="lv-LV"/>
        </w:rPr>
        <w:t>s aprēķināšanas pārtraukšanai,</w:t>
      </w:r>
      <w:r w:rsidR="007749E4" w:rsidRPr="002C5745">
        <w:rPr>
          <w:rFonts w:ascii="Times New Roman" w:hAnsi="Times New Roman" w:cs="Times New Roman"/>
          <w:sz w:val="26"/>
          <w:szCs w:val="26"/>
          <w:lang w:val="lv-LV"/>
        </w:rPr>
        <w:t xml:space="preserve"> </w:t>
      </w:r>
      <w:r w:rsidR="00A775FC" w:rsidRPr="002C5745">
        <w:rPr>
          <w:rFonts w:ascii="Times New Roman" w:hAnsi="Times New Roman" w:cs="Times New Roman"/>
          <w:sz w:val="26"/>
          <w:szCs w:val="26"/>
          <w:lang w:val="lv-LV"/>
        </w:rPr>
        <w:t xml:space="preserve">proti, nosakot, ka tā </w:t>
      </w:r>
      <w:r w:rsidR="007749E4" w:rsidRPr="002C5745">
        <w:rPr>
          <w:rFonts w:ascii="Times New Roman" w:hAnsi="Times New Roman" w:cs="Times New Roman"/>
          <w:sz w:val="26"/>
          <w:szCs w:val="26"/>
          <w:lang w:val="lv-LV"/>
        </w:rPr>
        <w:t xml:space="preserve">tiek aprēķināta līdz brīdim, kamēr tā sasniedz divas piektdaļas (40 procentus) no nokavētā </w:t>
      </w:r>
      <w:r w:rsidR="00AD056D" w:rsidRPr="002C5745">
        <w:rPr>
          <w:rFonts w:ascii="Times New Roman" w:hAnsi="Times New Roman" w:cs="Times New Roman"/>
          <w:sz w:val="26"/>
          <w:szCs w:val="26"/>
          <w:lang w:val="lv-LV"/>
        </w:rPr>
        <w:t>maksājuma (pamatparāda) apmēra</w:t>
      </w:r>
      <w:r w:rsidR="00A775FC" w:rsidRPr="002C5745">
        <w:rPr>
          <w:rStyle w:val="FootnoteReference"/>
          <w:rFonts w:ascii="Times New Roman" w:hAnsi="Times New Roman" w:cs="Times New Roman"/>
          <w:sz w:val="26"/>
          <w:szCs w:val="26"/>
          <w:lang w:val="lv-LV"/>
        </w:rPr>
        <w:footnoteReference w:id="17"/>
      </w:r>
      <w:r w:rsidR="00AD056D" w:rsidRPr="002C5745">
        <w:rPr>
          <w:rFonts w:ascii="Times New Roman" w:hAnsi="Times New Roman" w:cs="Times New Roman"/>
          <w:sz w:val="26"/>
          <w:szCs w:val="26"/>
          <w:lang w:val="lv-LV"/>
        </w:rPr>
        <w:t>.</w:t>
      </w:r>
      <w:r w:rsidR="00580B0F" w:rsidRPr="002C5745">
        <w:rPr>
          <w:rFonts w:ascii="Times New Roman" w:hAnsi="Times New Roman" w:cs="Times New Roman"/>
          <w:sz w:val="26"/>
          <w:szCs w:val="26"/>
          <w:lang w:val="lv-LV"/>
        </w:rPr>
        <w:t xml:space="preserve"> </w:t>
      </w:r>
    </w:p>
    <w:p w14:paraId="33567374" w14:textId="77777777" w:rsidR="00B36246" w:rsidRPr="002C5745" w:rsidRDefault="00B36246" w:rsidP="00B36246">
      <w:pPr>
        <w:ind w:firstLine="720"/>
        <w:jc w:val="both"/>
        <w:rPr>
          <w:rFonts w:ascii="Times New Roman" w:hAnsi="Times New Roman" w:cs="Times New Roman"/>
          <w:b/>
          <w:sz w:val="26"/>
          <w:szCs w:val="26"/>
          <w:lang w:val="lv-LV"/>
        </w:rPr>
      </w:pPr>
      <w:r w:rsidRPr="002C5745">
        <w:rPr>
          <w:rFonts w:ascii="Times New Roman" w:hAnsi="Times New Roman" w:cs="Times New Roman"/>
          <w:b/>
          <w:sz w:val="26"/>
          <w:szCs w:val="26"/>
          <w:lang w:val="lv-LV"/>
        </w:rPr>
        <w:t>Līdz ar to šobrīd, salīdzinot ar civiltiesībām, kur procentu pieaugums apstājas, kad vēl nesamaksāto procentu daudzums sasniedzis kapitāla lielumu</w:t>
      </w:r>
      <w:r w:rsidRPr="002C5745">
        <w:rPr>
          <w:rStyle w:val="FootnoteReference"/>
          <w:rFonts w:ascii="Times New Roman" w:hAnsi="Times New Roman" w:cs="Times New Roman"/>
          <w:b/>
          <w:sz w:val="26"/>
          <w:szCs w:val="26"/>
          <w:lang w:val="lv-LV"/>
        </w:rPr>
        <w:footnoteReference w:id="18"/>
      </w:r>
      <w:r w:rsidRPr="002C5745">
        <w:rPr>
          <w:rFonts w:ascii="Times New Roman" w:hAnsi="Times New Roman" w:cs="Times New Roman"/>
          <w:b/>
          <w:sz w:val="26"/>
          <w:szCs w:val="26"/>
          <w:lang w:val="lv-LV"/>
        </w:rPr>
        <w:t>, nodokļu tiesībās ir labvēlīgāki nosacījumi attiecībā uz nokavējuma naudas aprēķināšanas pārtraukšanu.</w:t>
      </w:r>
    </w:p>
    <w:p w14:paraId="16980A67" w14:textId="2EE3DCA5" w:rsidR="00B36246" w:rsidRPr="002C5745" w:rsidRDefault="00B36246" w:rsidP="00B36246">
      <w:pPr>
        <w:ind w:firstLine="709"/>
        <w:jc w:val="both"/>
        <w:rPr>
          <w:rFonts w:ascii="Times New Roman" w:hAnsi="Times New Roman" w:cs="Times New Roman"/>
          <w:sz w:val="26"/>
          <w:szCs w:val="26"/>
          <w:lang w:val="lv-LV"/>
        </w:rPr>
      </w:pPr>
      <w:r w:rsidRPr="002C5745">
        <w:rPr>
          <w:rFonts w:ascii="Times New Roman" w:hAnsi="Times New Roman" w:cs="Times New Roman"/>
          <w:sz w:val="26"/>
          <w:szCs w:val="26"/>
          <w:lang w:val="lv-LV"/>
        </w:rPr>
        <w:lastRenderedPageBreak/>
        <w:t xml:space="preserve">Saskaņā ar </w:t>
      </w:r>
      <w:r w:rsidR="002437E6">
        <w:rPr>
          <w:rFonts w:ascii="Times New Roman" w:hAnsi="Times New Roman" w:cs="Times New Roman"/>
          <w:sz w:val="26"/>
          <w:szCs w:val="26"/>
          <w:lang w:val="lv-LV"/>
        </w:rPr>
        <w:t>VID</w:t>
      </w:r>
      <w:r w:rsidRPr="002C5745">
        <w:rPr>
          <w:rFonts w:ascii="Times New Roman" w:hAnsi="Times New Roman" w:cs="Times New Roman"/>
          <w:sz w:val="26"/>
          <w:szCs w:val="26"/>
          <w:lang w:val="lv-LV"/>
        </w:rPr>
        <w:t xml:space="preserve"> sniegto informāciju uz 2017.</w:t>
      </w:r>
      <w:r w:rsidR="00EC689C">
        <w:rPr>
          <w:rFonts w:ascii="Times New Roman" w:hAnsi="Times New Roman" w:cs="Times New Roman"/>
          <w:sz w:val="26"/>
          <w:szCs w:val="26"/>
          <w:lang w:val="lv-LV"/>
        </w:rPr>
        <w:t> </w:t>
      </w:r>
      <w:r w:rsidRPr="002C5745">
        <w:rPr>
          <w:rFonts w:ascii="Times New Roman" w:hAnsi="Times New Roman" w:cs="Times New Roman"/>
          <w:sz w:val="26"/>
          <w:szCs w:val="26"/>
          <w:lang w:val="lv-LV"/>
        </w:rPr>
        <w:t>gada 1.</w:t>
      </w:r>
      <w:r w:rsidR="00EC689C">
        <w:rPr>
          <w:rFonts w:ascii="Times New Roman" w:hAnsi="Times New Roman" w:cs="Times New Roman"/>
          <w:sz w:val="26"/>
          <w:szCs w:val="26"/>
          <w:lang w:val="lv-LV"/>
        </w:rPr>
        <w:t> </w:t>
      </w:r>
      <w:r w:rsidRPr="002C5745">
        <w:rPr>
          <w:rFonts w:ascii="Times New Roman" w:hAnsi="Times New Roman" w:cs="Times New Roman"/>
          <w:sz w:val="26"/>
          <w:szCs w:val="26"/>
          <w:lang w:val="lv-LV"/>
        </w:rPr>
        <w:t xml:space="preserve">decembri kopējais nodokļu parāds, kuram aprēķinātā nokavējuma naudas summa ir sasniegusi </w:t>
      </w:r>
      <w:r w:rsidR="009F59F3">
        <w:rPr>
          <w:rFonts w:ascii="Times New Roman" w:hAnsi="Times New Roman" w:cs="Times New Roman"/>
          <w:sz w:val="26"/>
          <w:szCs w:val="26"/>
          <w:lang w:val="lv-LV"/>
        </w:rPr>
        <w:t xml:space="preserve">vismaz </w:t>
      </w:r>
      <w:r w:rsidRPr="002C5745">
        <w:rPr>
          <w:rFonts w:ascii="Times New Roman" w:hAnsi="Times New Roman" w:cs="Times New Roman"/>
          <w:sz w:val="26"/>
          <w:szCs w:val="26"/>
          <w:lang w:val="lv-LV"/>
        </w:rPr>
        <w:t>divas piektdaļas no pamatparāda, ir 383</w:t>
      </w:r>
      <w:r w:rsidR="00EC689C">
        <w:rPr>
          <w:rFonts w:ascii="Times New Roman" w:hAnsi="Times New Roman" w:cs="Times New Roman"/>
          <w:sz w:val="26"/>
          <w:szCs w:val="26"/>
          <w:lang w:val="lv-LV"/>
        </w:rPr>
        <w:t> </w:t>
      </w:r>
      <w:r w:rsidRPr="002C5745">
        <w:rPr>
          <w:rFonts w:ascii="Times New Roman" w:hAnsi="Times New Roman" w:cs="Times New Roman"/>
          <w:sz w:val="26"/>
          <w:szCs w:val="26"/>
          <w:lang w:val="lv-LV"/>
        </w:rPr>
        <w:t>5</w:t>
      </w:r>
      <w:r w:rsidR="009F59F3">
        <w:rPr>
          <w:rFonts w:ascii="Times New Roman" w:hAnsi="Times New Roman" w:cs="Times New Roman"/>
          <w:sz w:val="26"/>
          <w:szCs w:val="26"/>
          <w:lang w:val="lv-LV"/>
        </w:rPr>
        <w:t>40</w:t>
      </w:r>
      <w:r w:rsidRPr="002C5745">
        <w:rPr>
          <w:rFonts w:ascii="Times New Roman" w:hAnsi="Times New Roman" w:cs="Times New Roman"/>
          <w:sz w:val="26"/>
          <w:szCs w:val="26"/>
          <w:lang w:val="lv-LV"/>
        </w:rPr>
        <w:t xml:space="preserve"> 000 </w:t>
      </w:r>
      <w:r w:rsidRPr="002C5745">
        <w:rPr>
          <w:rFonts w:ascii="Times New Roman" w:hAnsi="Times New Roman" w:cs="Times New Roman"/>
          <w:i/>
          <w:sz w:val="26"/>
          <w:szCs w:val="26"/>
          <w:lang w:val="lv-LV"/>
        </w:rPr>
        <w:t>euro</w:t>
      </w:r>
      <w:r w:rsidRPr="002C5745">
        <w:rPr>
          <w:rFonts w:ascii="Times New Roman" w:hAnsi="Times New Roman" w:cs="Times New Roman"/>
          <w:sz w:val="26"/>
          <w:szCs w:val="26"/>
          <w:lang w:val="lv-LV"/>
        </w:rPr>
        <w:t xml:space="preserve">, tajā skaitā, pamatparāds 222 440 000 </w:t>
      </w:r>
      <w:r w:rsidRPr="002C5745">
        <w:rPr>
          <w:rFonts w:ascii="Times New Roman" w:hAnsi="Times New Roman" w:cs="Times New Roman"/>
          <w:i/>
          <w:sz w:val="26"/>
          <w:szCs w:val="26"/>
          <w:lang w:val="lv-LV"/>
        </w:rPr>
        <w:t>euro</w:t>
      </w:r>
      <w:r w:rsidRPr="002C5745">
        <w:rPr>
          <w:rFonts w:ascii="Times New Roman" w:hAnsi="Times New Roman" w:cs="Times New Roman"/>
          <w:sz w:val="26"/>
          <w:szCs w:val="26"/>
          <w:lang w:val="lv-LV"/>
        </w:rPr>
        <w:t xml:space="preserve"> un nokavējuma nauda 161 100 000 </w:t>
      </w:r>
      <w:r w:rsidRPr="002C5745">
        <w:rPr>
          <w:rFonts w:ascii="Times New Roman" w:hAnsi="Times New Roman" w:cs="Times New Roman"/>
          <w:i/>
          <w:sz w:val="26"/>
          <w:szCs w:val="26"/>
          <w:lang w:val="lv-LV"/>
        </w:rPr>
        <w:t>euro</w:t>
      </w:r>
      <w:r w:rsidRPr="002C5745">
        <w:rPr>
          <w:rFonts w:ascii="Times New Roman" w:hAnsi="Times New Roman" w:cs="Times New Roman"/>
          <w:sz w:val="26"/>
          <w:szCs w:val="26"/>
          <w:lang w:val="lv-LV"/>
        </w:rPr>
        <w:t>.</w:t>
      </w:r>
    </w:p>
    <w:p w14:paraId="61D3BC0D" w14:textId="0DBF801E" w:rsidR="00B36246" w:rsidRDefault="000A0227" w:rsidP="00B36246">
      <w:pPr>
        <w:ind w:firstLine="709"/>
        <w:jc w:val="both"/>
        <w:rPr>
          <w:rFonts w:ascii="Times New Roman" w:hAnsi="Times New Roman" w:cs="Times New Roman"/>
          <w:sz w:val="26"/>
          <w:szCs w:val="26"/>
          <w:lang w:val="lv-LV"/>
        </w:rPr>
      </w:pPr>
      <w:r>
        <w:rPr>
          <w:rFonts w:ascii="Times New Roman" w:hAnsi="Times New Roman" w:cs="Times New Roman"/>
          <w:sz w:val="26"/>
          <w:szCs w:val="26"/>
          <w:lang w:val="lv-LV"/>
        </w:rPr>
        <w:t>K</w:t>
      </w:r>
      <w:r w:rsidR="00B36246" w:rsidRPr="002C5745">
        <w:rPr>
          <w:rFonts w:ascii="Times New Roman" w:hAnsi="Times New Roman" w:cs="Times New Roman"/>
          <w:sz w:val="26"/>
          <w:szCs w:val="26"/>
          <w:lang w:val="lv-LV"/>
        </w:rPr>
        <w:t xml:space="preserve">opējais nodokļu parādnieku skaits, kuru nodokļu parādam aprēķinātā nokavējuma naudas summa ir sasniegusi divas piektdaļas no pamatparāda, ir 29 000 nodokļu maksātāji, no tiem 11484 jeb 39,6 procenti ir fiziskās personas ar kopējo parādu 171 500 000 </w:t>
      </w:r>
      <w:r w:rsidR="00B36246" w:rsidRPr="002C5745">
        <w:rPr>
          <w:rFonts w:ascii="Times New Roman" w:hAnsi="Times New Roman" w:cs="Times New Roman"/>
          <w:i/>
          <w:sz w:val="26"/>
          <w:szCs w:val="26"/>
          <w:lang w:val="lv-LV"/>
        </w:rPr>
        <w:t>euro</w:t>
      </w:r>
      <w:r w:rsidR="00B36246" w:rsidRPr="002C5745">
        <w:rPr>
          <w:rFonts w:ascii="Times New Roman" w:hAnsi="Times New Roman" w:cs="Times New Roman"/>
          <w:sz w:val="26"/>
          <w:szCs w:val="26"/>
          <w:lang w:val="lv-LV"/>
        </w:rPr>
        <w:t xml:space="preserve"> (tajā skaitā pamatparāds - 98 880 000 </w:t>
      </w:r>
      <w:r w:rsidR="00B36246" w:rsidRPr="002C5745">
        <w:rPr>
          <w:rFonts w:ascii="Times New Roman" w:hAnsi="Times New Roman" w:cs="Times New Roman"/>
          <w:i/>
          <w:sz w:val="26"/>
          <w:szCs w:val="26"/>
          <w:lang w:val="lv-LV"/>
        </w:rPr>
        <w:t>euro</w:t>
      </w:r>
      <w:r w:rsidR="00B36246" w:rsidRPr="002C5745">
        <w:rPr>
          <w:rFonts w:ascii="Times New Roman" w:hAnsi="Times New Roman" w:cs="Times New Roman"/>
          <w:sz w:val="26"/>
          <w:szCs w:val="26"/>
          <w:lang w:val="lv-LV"/>
        </w:rPr>
        <w:t xml:space="preserve"> un nokavējuma nauda 72 620 000 </w:t>
      </w:r>
      <w:r w:rsidR="00B36246" w:rsidRPr="002C5745">
        <w:rPr>
          <w:rFonts w:ascii="Times New Roman" w:hAnsi="Times New Roman" w:cs="Times New Roman"/>
          <w:i/>
          <w:sz w:val="26"/>
          <w:szCs w:val="26"/>
          <w:lang w:val="lv-LV"/>
        </w:rPr>
        <w:t>euro)</w:t>
      </w:r>
      <w:r w:rsidR="00B36246" w:rsidRPr="002C5745">
        <w:rPr>
          <w:rFonts w:ascii="Times New Roman" w:hAnsi="Times New Roman" w:cs="Times New Roman"/>
          <w:sz w:val="26"/>
          <w:szCs w:val="26"/>
          <w:lang w:val="lv-LV"/>
        </w:rPr>
        <w:t xml:space="preserve"> un</w:t>
      </w:r>
      <w:r w:rsidR="00B36246" w:rsidRPr="002C5745">
        <w:rPr>
          <w:rFonts w:ascii="Times New Roman" w:hAnsi="Times New Roman" w:cs="Times New Roman"/>
          <w:i/>
          <w:sz w:val="26"/>
          <w:szCs w:val="26"/>
          <w:lang w:val="lv-LV"/>
        </w:rPr>
        <w:t xml:space="preserve"> </w:t>
      </w:r>
      <w:r w:rsidR="00B36246" w:rsidRPr="002C5745">
        <w:rPr>
          <w:rFonts w:ascii="Times New Roman" w:hAnsi="Times New Roman" w:cs="Times New Roman"/>
          <w:sz w:val="26"/>
          <w:szCs w:val="26"/>
          <w:lang w:val="lv-LV"/>
        </w:rPr>
        <w:t xml:space="preserve">17516 jeb 60,4 procenti ir juridiskās personas ar kopējo parādu 212 030 000 </w:t>
      </w:r>
      <w:r w:rsidR="00B36246" w:rsidRPr="002C5745">
        <w:rPr>
          <w:rFonts w:ascii="Times New Roman" w:hAnsi="Times New Roman" w:cs="Times New Roman"/>
          <w:i/>
          <w:sz w:val="26"/>
          <w:szCs w:val="26"/>
          <w:lang w:val="lv-LV"/>
        </w:rPr>
        <w:t>euro</w:t>
      </w:r>
      <w:r w:rsidR="00B36246" w:rsidRPr="002C5745">
        <w:rPr>
          <w:rFonts w:ascii="Times New Roman" w:hAnsi="Times New Roman" w:cs="Times New Roman"/>
          <w:sz w:val="26"/>
          <w:szCs w:val="26"/>
          <w:lang w:val="lv-LV"/>
        </w:rPr>
        <w:t xml:space="preserve"> (tajā skaitā pamatparāds - 123 560 000 </w:t>
      </w:r>
      <w:r w:rsidR="00B36246" w:rsidRPr="002C5745">
        <w:rPr>
          <w:rFonts w:ascii="Times New Roman" w:hAnsi="Times New Roman" w:cs="Times New Roman"/>
          <w:i/>
          <w:sz w:val="26"/>
          <w:szCs w:val="26"/>
          <w:lang w:val="lv-LV"/>
        </w:rPr>
        <w:t>euro</w:t>
      </w:r>
      <w:r w:rsidR="00B36246" w:rsidRPr="002C5745">
        <w:rPr>
          <w:rFonts w:ascii="Times New Roman" w:hAnsi="Times New Roman" w:cs="Times New Roman"/>
          <w:sz w:val="26"/>
          <w:szCs w:val="26"/>
          <w:lang w:val="lv-LV"/>
        </w:rPr>
        <w:t xml:space="preserve"> un nokavējuma nauda 88 480</w:t>
      </w:r>
      <w:r w:rsidR="00C177AD" w:rsidRPr="002C5745">
        <w:rPr>
          <w:rFonts w:ascii="Times New Roman" w:hAnsi="Times New Roman" w:cs="Times New Roman"/>
          <w:sz w:val="26"/>
          <w:szCs w:val="26"/>
          <w:lang w:val="lv-LV"/>
        </w:rPr>
        <w:t> </w:t>
      </w:r>
      <w:r w:rsidR="00B36246" w:rsidRPr="002C5745">
        <w:rPr>
          <w:rFonts w:ascii="Times New Roman" w:hAnsi="Times New Roman" w:cs="Times New Roman"/>
          <w:sz w:val="26"/>
          <w:szCs w:val="26"/>
          <w:lang w:val="lv-LV"/>
        </w:rPr>
        <w:t>000</w:t>
      </w:r>
      <w:r w:rsidR="00C177AD" w:rsidRPr="002C5745">
        <w:rPr>
          <w:rFonts w:ascii="Times New Roman" w:hAnsi="Times New Roman" w:cs="Times New Roman"/>
          <w:sz w:val="26"/>
          <w:szCs w:val="26"/>
          <w:lang w:val="lv-LV"/>
        </w:rPr>
        <w:t> </w:t>
      </w:r>
      <w:r w:rsidR="00B36246" w:rsidRPr="002C5745">
        <w:rPr>
          <w:rFonts w:ascii="Times New Roman" w:hAnsi="Times New Roman" w:cs="Times New Roman"/>
          <w:i/>
          <w:sz w:val="26"/>
          <w:szCs w:val="26"/>
          <w:lang w:val="lv-LV"/>
        </w:rPr>
        <w:t>euro)</w:t>
      </w:r>
      <w:r w:rsidR="00B36246" w:rsidRPr="002C5745">
        <w:rPr>
          <w:rFonts w:ascii="Times New Roman" w:hAnsi="Times New Roman" w:cs="Times New Roman"/>
          <w:sz w:val="26"/>
          <w:szCs w:val="26"/>
          <w:lang w:val="lv-LV"/>
        </w:rPr>
        <w:t xml:space="preserve">. </w:t>
      </w:r>
    </w:p>
    <w:p w14:paraId="06A2C70F" w14:textId="77777777" w:rsidR="0002708D" w:rsidRPr="0002708D" w:rsidRDefault="0002708D" w:rsidP="00B36246">
      <w:pPr>
        <w:ind w:firstLine="709"/>
        <w:jc w:val="both"/>
        <w:rPr>
          <w:rFonts w:ascii="Times New Roman" w:hAnsi="Times New Roman" w:cs="Times New Roman"/>
          <w:sz w:val="12"/>
          <w:szCs w:val="12"/>
          <w:lang w:val="lv-LV"/>
        </w:rPr>
      </w:pPr>
    </w:p>
    <w:tbl>
      <w:tblPr>
        <w:tblStyle w:val="TableGrid"/>
        <w:tblW w:w="0" w:type="auto"/>
        <w:jc w:val="center"/>
        <w:tblLook w:val="04A0" w:firstRow="1" w:lastRow="0" w:firstColumn="1" w:lastColumn="0" w:noHBand="0" w:noVBand="1"/>
      </w:tblPr>
      <w:tblGrid>
        <w:gridCol w:w="3681"/>
        <w:gridCol w:w="1984"/>
        <w:gridCol w:w="2694"/>
      </w:tblGrid>
      <w:tr w:rsidR="00B36246" w:rsidRPr="0002708D" w14:paraId="2B6CEB1D" w14:textId="77777777" w:rsidTr="00EC689C">
        <w:trPr>
          <w:jc w:val="center"/>
        </w:trPr>
        <w:tc>
          <w:tcPr>
            <w:tcW w:w="3681" w:type="dxa"/>
          </w:tcPr>
          <w:p w14:paraId="12E22620" w14:textId="77777777" w:rsidR="00B36246" w:rsidRPr="0002708D" w:rsidRDefault="00B36246" w:rsidP="00802B12">
            <w:pPr>
              <w:jc w:val="center"/>
              <w:rPr>
                <w:rFonts w:ascii="Times New Roman" w:hAnsi="Times New Roman" w:cs="Times New Roman"/>
                <w:lang w:val="lv-LV"/>
              </w:rPr>
            </w:pPr>
            <w:r w:rsidRPr="0002708D">
              <w:rPr>
                <w:rFonts w:ascii="Times New Roman" w:hAnsi="Times New Roman" w:cs="Times New Roman"/>
                <w:lang w:val="lv-LV"/>
              </w:rPr>
              <w:t>Nodokļu veids</w:t>
            </w:r>
          </w:p>
        </w:tc>
        <w:tc>
          <w:tcPr>
            <w:tcW w:w="1984" w:type="dxa"/>
          </w:tcPr>
          <w:p w14:paraId="08DD6694" w14:textId="77777777" w:rsidR="00B36246" w:rsidRPr="0002708D" w:rsidRDefault="00B36246" w:rsidP="00802B12">
            <w:pPr>
              <w:jc w:val="center"/>
              <w:rPr>
                <w:rFonts w:ascii="Times New Roman" w:hAnsi="Times New Roman" w:cs="Times New Roman"/>
                <w:i/>
                <w:lang w:val="lv-LV"/>
              </w:rPr>
            </w:pPr>
            <w:r w:rsidRPr="0002708D">
              <w:rPr>
                <w:rFonts w:ascii="Times New Roman" w:hAnsi="Times New Roman" w:cs="Times New Roman"/>
                <w:lang w:val="lv-LV"/>
              </w:rPr>
              <w:t xml:space="preserve">Nodokļu parāds </w:t>
            </w:r>
            <w:r w:rsidRPr="0002708D">
              <w:rPr>
                <w:rFonts w:ascii="Times New Roman" w:hAnsi="Times New Roman" w:cs="Times New Roman"/>
                <w:i/>
                <w:lang w:val="lv-LV"/>
              </w:rPr>
              <w:t>euro</w:t>
            </w:r>
          </w:p>
        </w:tc>
        <w:tc>
          <w:tcPr>
            <w:tcW w:w="2694" w:type="dxa"/>
          </w:tcPr>
          <w:p w14:paraId="30B50426" w14:textId="77777777" w:rsidR="00B36246" w:rsidRPr="0002708D" w:rsidRDefault="00B36246" w:rsidP="00802B12">
            <w:pPr>
              <w:jc w:val="center"/>
              <w:rPr>
                <w:rFonts w:ascii="Times New Roman" w:hAnsi="Times New Roman" w:cs="Times New Roman"/>
                <w:lang w:val="lv-LV"/>
              </w:rPr>
            </w:pPr>
            <w:r w:rsidRPr="0002708D">
              <w:rPr>
                <w:rFonts w:ascii="Times New Roman" w:hAnsi="Times New Roman" w:cs="Times New Roman"/>
                <w:lang w:val="lv-LV"/>
              </w:rPr>
              <w:t>Īpatsvars no kopējā parāda %</w:t>
            </w:r>
          </w:p>
        </w:tc>
      </w:tr>
      <w:tr w:rsidR="00B36246" w:rsidRPr="0002708D" w14:paraId="54E3C062" w14:textId="77777777" w:rsidTr="00EC689C">
        <w:trPr>
          <w:jc w:val="center"/>
        </w:trPr>
        <w:tc>
          <w:tcPr>
            <w:tcW w:w="8359" w:type="dxa"/>
            <w:gridSpan w:val="3"/>
          </w:tcPr>
          <w:p w14:paraId="0C84920D" w14:textId="77777777" w:rsidR="00B36246" w:rsidRPr="0002708D" w:rsidRDefault="00B36246" w:rsidP="00802B12">
            <w:pPr>
              <w:jc w:val="center"/>
              <w:rPr>
                <w:rFonts w:ascii="Times New Roman" w:hAnsi="Times New Roman" w:cs="Times New Roman"/>
                <w:b/>
                <w:lang w:val="lv-LV"/>
              </w:rPr>
            </w:pPr>
            <w:r w:rsidRPr="0002708D">
              <w:rPr>
                <w:rFonts w:ascii="Times New Roman" w:hAnsi="Times New Roman" w:cs="Times New Roman"/>
                <w:b/>
                <w:lang w:val="lv-LV"/>
              </w:rPr>
              <w:t>Fiziskās personas</w:t>
            </w:r>
          </w:p>
        </w:tc>
      </w:tr>
      <w:tr w:rsidR="00B36246" w:rsidRPr="0002708D" w14:paraId="09B1650B" w14:textId="77777777" w:rsidTr="00EC689C">
        <w:trPr>
          <w:jc w:val="center"/>
        </w:trPr>
        <w:tc>
          <w:tcPr>
            <w:tcW w:w="3681" w:type="dxa"/>
          </w:tcPr>
          <w:p w14:paraId="40584A44" w14:textId="77777777" w:rsidR="00B36246" w:rsidRPr="0002708D" w:rsidRDefault="00B36246" w:rsidP="00802B12">
            <w:pPr>
              <w:jc w:val="both"/>
              <w:rPr>
                <w:rFonts w:ascii="Times New Roman" w:hAnsi="Times New Roman" w:cs="Times New Roman"/>
                <w:lang w:val="lv-LV"/>
              </w:rPr>
            </w:pPr>
            <w:r w:rsidRPr="0002708D">
              <w:rPr>
                <w:rFonts w:ascii="Times New Roman" w:hAnsi="Times New Roman" w:cs="Times New Roman"/>
                <w:lang w:val="lv-LV"/>
              </w:rPr>
              <w:t xml:space="preserve">Iedzīvotāju ienākuma nodoklis </w:t>
            </w:r>
          </w:p>
        </w:tc>
        <w:tc>
          <w:tcPr>
            <w:tcW w:w="1984" w:type="dxa"/>
          </w:tcPr>
          <w:p w14:paraId="1625E44E" w14:textId="77777777" w:rsidR="00B36246" w:rsidRPr="0002708D" w:rsidRDefault="00B36246" w:rsidP="00802B12">
            <w:pPr>
              <w:jc w:val="center"/>
              <w:rPr>
                <w:rFonts w:ascii="Times New Roman" w:hAnsi="Times New Roman" w:cs="Times New Roman"/>
                <w:lang w:val="lv-LV"/>
              </w:rPr>
            </w:pPr>
            <w:r w:rsidRPr="0002708D">
              <w:rPr>
                <w:rFonts w:ascii="Times New Roman" w:hAnsi="Times New Roman" w:cs="Times New Roman"/>
                <w:lang w:val="lv-LV"/>
              </w:rPr>
              <w:t>157 870 000</w:t>
            </w:r>
          </w:p>
        </w:tc>
        <w:tc>
          <w:tcPr>
            <w:tcW w:w="2694" w:type="dxa"/>
          </w:tcPr>
          <w:p w14:paraId="46B43065" w14:textId="77777777" w:rsidR="00B36246" w:rsidRPr="0002708D" w:rsidRDefault="00B36246" w:rsidP="00802B12">
            <w:pPr>
              <w:jc w:val="center"/>
              <w:rPr>
                <w:rFonts w:ascii="Times New Roman" w:hAnsi="Times New Roman" w:cs="Times New Roman"/>
                <w:lang w:val="lv-LV"/>
              </w:rPr>
            </w:pPr>
            <w:r w:rsidRPr="0002708D">
              <w:rPr>
                <w:rFonts w:ascii="Times New Roman" w:hAnsi="Times New Roman" w:cs="Times New Roman"/>
                <w:lang w:val="lv-LV"/>
              </w:rPr>
              <w:t>92</w:t>
            </w:r>
          </w:p>
        </w:tc>
      </w:tr>
      <w:tr w:rsidR="00B36246" w:rsidRPr="0002708D" w14:paraId="6B0760C6" w14:textId="77777777" w:rsidTr="00EC689C">
        <w:trPr>
          <w:jc w:val="center"/>
        </w:trPr>
        <w:tc>
          <w:tcPr>
            <w:tcW w:w="3681" w:type="dxa"/>
          </w:tcPr>
          <w:p w14:paraId="757DFC02" w14:textId="77777777" w:rsidR="00B36246" w:rsidRPr="0002708D" w:rsidRDefault="00B36246" w:rsidP="00802B12">
            <w:pPr>
              <w:jc w:val="both"/>
              <w:rPr>
                <w:rFonts w:ascii="Times New Roman" w:hAnsi="Times New Roman" w:cs="Times New Roman"/>
                <w:lang w:val="lv-LV"/>
              </w:rPr>
            </w:pPr>
            <w:r w:rsidRPr="0002708D">
              <w:rPr>
                <w:rFonts w:ascii="Times New Roman" w:hAnsi="Times New Roman" w:cs="Times New Roman"/>
                <w:lang w:val="lv-LV"/>
              </w:rPr>
              <w:t>Pievienotās vērtības nodoklis</w:t>
            </w:r>
          </w:p>
        </w:tc>
        <w:tc>
          <w:tcPr>
            <w:tcW w:w="1984" w:type="dxa"/>
          </w:tcPr>
          <w:p w14:paraId="7D39CE96" w14:textId="77777777" w:rsidR="00B36246" w:rsidRPr="0002708D" w:rsidRDefault="00B36246" w:rsidP="00802B12">
            <w:pPr>
              <w:jc w:val="center"/>
              <w:rPr>
                <w:rFonts w:ascii="Times New Roman" w:hAnsi="Times New Roman" w:cs="Times New Roman"/>
                <w:lang w:val="lv-LV"/>
              </w:rPr>
            </w:pPr>
            <w:r w:rsidRPr="0002708D">
              <w:rPr>
                <w:rFonts w:ascii="Times New Roman" w:hAnsi="Times New Roman" w:cs="Times New Roman"/>
                <w:lang w:val="lv-LV"/>
              </w:rPr>
              <w:t>10 360 000</w:t>
            </w:r>
          </w:p>
        </w:tc>
        <w:tc>
          <w:tcPr>
            <w:tcW w:w="2694" w:type="dxa"/>
          </w:tcPr>
          <w:p w14:paraId="2DB7460E" w14:textId="77777777" w:rsidR="00B36246" w:rsidRPr="0002708D" w:rsidRDefault="00B36246" w:rsidP="00802B12">
            <w:pPr>
              <w:jc w:val="center"/>
              <w:rPr>
                <w:rFonts w:ascii="Times New Roman" w:hAnsi="Times New Roman" w:cs="Times New Roman"/>
                <w:lang w:val="lv-LV"/>
              </w:rPr>
            </w:pPr>
            <w:r w:rsidRPr="0002708D">
              <w:rPr>
                <w:rFonts w:ascii="Times New Roman" w:hAnsi="Times New Roman" w:cs="Times New Roman"/>
                <w:lang w:val="lv-LV"/>
              </w:rPr>
              <w:t>6</w:t>
            </w:r>
          </w:p>
        </w:tc>
      </w:tr>
      <w:tr w:rsidR="00B36246" w:rsidRPr="0002708D" w14:paraId="38381C73" w14:textId="77777777" w:rsidTr="00EC689C">
        <w:trPr>
          <w:jc w:val="center"/>
        </w:trPr>
        <w:tc>
          <w:tcPr>
            <w:tcW w:w="3681" w:type="dxa"/>
            <w:tcBorders>
              <w:bottom w:val="single" w:sz="4" w:space="0" w:color="auto"/>
            </w:tcBorders>
          </w:tcPr>
          <w:p w14:paraId="15187608" w14:textId="77777777" w:rsidR="00B36246" w:rsidRPr="0002708D" w:rsidRDefault="00B36246" w:rsidP="00802B12">
            <w:pPr>
              <w:jc w:val="both"/>
              <w:rPr>
                <w:rFonts w:ascii="Times New Roman" w:hAnsi="Times New Roman" w:cs="Times New Roman"/>
                <w:lang w:val="lv-LV"/>
              </w:rPr>
            </w:pPr>
            <w:r w:rsidRPr="0002708D">
              <w:rPr>
                <w:rFonts w:ascii="Times New Roman" w:hAnsi="Times New Roman" w:cs="Times New Roman"/>
                <w:lang w:val="lv-LV"/>
              </w:rPr>
              <w:t>Pārējie nodokļu veida parādi</w:t>
            </w:r>
          </w:p>
        </w:tc>
        <w:tc>
          <w:tcPr>
            <w:tcW w:w="1984" w:type="dxa"/>
            <w:tcBorders>
              <w:bottom w:val="single" w:sz="4" w:space="0" w:color="auto"/>
            </w:tcBorders>
          </w:tcPr>
          <w:p w14:paraId="6674CC2C" w14:textId="77777777" w:rsidR="00B36246" w:rsidRPr="0002708D" w:rsidRDefault="00B36246" w:rsidP="00802B12">
            <w:pPr>
              <w:jc w:val="center"/>
              <w:rPr>
                <w:rFonts w:ascii="Times New Roman" w:hAnsi="Times New Roman" w:cs="Times New Roman"/>
                <w:lang w:val="lv-LV"/>
              </w:rPr>
            </w:pPr>
            <w:r w:rsidRPr="0002708D">
              <w:rPr>
                <w:rFonts w:ascii="Times New Roman" w:hAnsi="Times New Roman" w:cs="Times New Roman"/>
                <w:lang w:val="lv-LV"/>
              </w:rPr>
              <w:t>3270000</w:t>
            </w:r>
          </w:p>
        </w:tc>
        <w:tc>
          <w:tcPr>
            <w:tcW w:w="2694" w:type="dxa"/>
            <w:tcBorders>
              <w:bottom w:val="single" w:sz="4" w:space="0" w:color="auto"/>
            </w:tcBorders>
          </w:tcPr>
          <w:p w14:paraId="29C9A7D3" w14:textId="77777777" w:rsidR="00B36246" w:rsidRPr="0002708D" w:rsidRDefault="00B36246" w:rsidP="00802B12">
            <w:pPr>
              <w:jc w:val="center"/>
              <w:rPr>
                <w:rFonts w:ascii="Times New Roman" w:hAnsi="Times New Roman" w:cs="Times New Roman"/>
                <w:lang w:val="lv-LV"/>
              </w:rPr>
            </w:pPr>
            <w:r w:rsidRPr="0002708D">
              <w:rPr>
                <w:rFonts w:ascii="Times New Roman" w:hAnsi="Times New Roman" w:cs="Times New Roman"/>
                <w:lang w:val="lv-LV"/>
              </w:rPr>
              <w:t>2</w:t>
            </w:r>
          </w:p>
        </w:tc>
      </w:tr>
      <w:tr w:rsidR="00B36246" w:rsidRPr="0002708D" w14:paraId="5F438F14" w14:textId="77777777" w:rsidTr="00EC689C">
        <w:trPr>
          <w:trHeight w:val="91"/>
          <w:jc w:val="center"/>
        </w:trPr>
        <w:tc>
          <w:tcPr>
            <w:tcW w:w="8359" w:type="dxa"/>
            <w:gridSpan w:val="3"/>
            <w:tcBorders>
              <w:top w:val="single" w:sz="4" w:space="0" w:color="auto"/>
              <w:left w:val="nil"/>
              <w:bottom w:val="single" w:sz="4" w:space="0" w:color="auto"/>
              <w:right w:val="nil"/>
            </w:tcBorders>
          </w:tcPr>
          <w:p w14:paraId="5BA8369A" w14:textId="77777777" w:rsidR="00B36246" w:rsidRPr="0002708D" w:rsidRDefault="00B36246" w:rsidP="00802B12">
            <w:pPr>
              <w:jc w:val="center"/>
              <w:rPr>
                <w:rFonts w:ascii="Times New Roman" w:hAnsi="Times New Roman" w:cs="Times New Roman"/>
                <w:lang w:val="lv-LV"/>
              </w:rPr>
            </w:pPr>
          </w:p>
        </w:tc>
      </w:tr>
      <w:tr w:rsidR="00B36246" w:rsidRPr="0002708D" w14:paraId="2C21E5E2" w14:textId="77777777" w:rsidTr="00EC689C">
        <w:trPr>
          <w:jc w:val="center"/>
        </w:trPr>
        <w:tc>
          <w:tcPr>
            <w:tcW w:w="8359" w:type="dxa"/>
            <w:gridSpan w:val="3"/>
            <w:tcBorders>
              <w:top w:val="single" w:sz="4" w:space="0" w:color="auto"/>
            </w:tcBorders>
          </w:tcPr>
          <w:p w14:paraId="3DD4EA00" w14:textId="77777777" w:rsidR="00B36246" w:rsidRPr="0002708D" w:rsidRDefault="00B36246" w:rsidP="00802B12">
            <w:pPr>
              <w:jc w:val="center"/>
              <w:rPr>
                <w:rFonts w:ascii="Times New Roman" w:hAnsi="Times New Roman" w:cs="Times New Roman"/>
                <w:lang w:val="lv-LV"/>
              </w:rPr>
            </w:pPr>
            <w:r w:rsidRPr="0002708D">
              <w:rPr>
                <w:rFonts w:ascii="Times New Roman" w:hAnsi="Times New Roman" w:cs="Times New Roman"/>
                <w:b/>
                <w:lang w:val="lv-LV"/>
              </w:rPr>
              <w:t>Juridiskās personas</w:t>
            </w:r>
          </w:p>
        </w:tc>
      </w:tr>
      <w:tr w:rsidR="00B36246" w:rsidRPr="0002708D" w14:paraId="4DFD05D2" w14:textId="77777777" w:rsidTr="00EC689C">
        <w:trPr>
          <w:jc w:val="center"/>
        </w:trPr>
        <w:tc>
          <w:tcPr>
            <w:tcW w:w="3681" w:type="dxa"/>
          </w:tcPr>
          <w:p w14:paraId="2B7CC773" w14:textId="77777777" w:rsidR="00B36246" w:rsidRPr="0002708D" w:rsidRDefault="00B36246" w:rsidP="00802B12">
            <w:pPr>
              <w:jc w:val="both"/>
              <w:rPr>
                <w:rFonts w:ascii="Times New Roman" w:hAnsi="Times New Roman" w:cs="Times New Roman"/>
                <w:lang w:val="lv-LV"/>
              </w:rPr>
            </w:pPr>
            <w:r w:rsidRPr="0002708D">
              <w:rPr>
                <w:rFonts w:ascii="Times New Roman" w:hAnsi="Times New Roman" w:cs="Times New Roman"/>
                <w:lang w:val="lv-LV"/>
              </w:rPr>
              <w:t>Pievienotās vērtības nodoklis</w:t>
            </w:r>
          </w:p>
        </w:tc>
        <w:tc>
          <w:tcPr>
            <w:tcW w:w="1984" w:type="dxa"/>
          </w:tcPr>
          <w:p w14:paraId="6CFC5107" w14:textId="77777777" w:rsidR="00B36246" w:rsidRPr="0002708D" w:rsidRDefault="00B36246" w:rsidP="00802B12">
            <w:pPr>
              <w:jc w:val="center"/>
              <w:rPr>
                <w:rFonts w:ascii="Times New Roman" w:hAnsi="Times New Roman" w:cs="Times New Roman"/>
                <w:lang w:eastAsia="lv-LV"/>
              </w:rPr>
            </w:pPr>
            <w:r w:rsidRPr="0002708D">
              <w:rPr>
                <w:rFonts w:ascii="Times New Roman" w:hAnsi="Times New Roman" w:cs="Times New Roman"/>
                <w:lang w:eastAsia="lv-LV"/>
              </w:rPr>
              <w:t>123000000</w:t>
            </w:r>
          </w:p>
        </w:tc>
        <w:tc>
          <w:tcPr>
            <w:tcW w:w="2694" w:type="dxa"/>
          </w:tcPr>
          <w:p w14:paraId="26BD79F9" w14:textId="77777777" w:rsidR="00B36246" w:rsidRPr="0002708D" w:rsidRDefault="00B36246" w:rsidP="00802B12">
            <w:pPr>
              <w:jc w:val="center"/>
              <w:rPr>
                <w:rFonts w:ascii="Times New Roman" w:hAnsi="Times New Roman" w:cs="Times New Roman"/>
                <w:lang w:val="lv-LV"/>
              </w:rPr>
            </w:pPr>
            <w:r w:rsidRPr="0002708D">
              <w:rPr>
                <w:rFonts w:ascii="Times New Roman" w:hAnsi="Times New Roman" w:cs="Times New Roman"/>
                <w:lang w:val="lv-LV"/>
              </w:rPr>
              <w:t>58,0</w:t>
            </w:r>
          </w:p>
        </w:tc>
      </w:tr>
      <w:tr w:rsidR="00B36246" w:rsidRPr="0002708D" w14:paraId="05774629" w14:textId="77777777" w:rsidTr="00EC689C">
        <w:trPr>
          <w:jc w:val="center"/>
        </w:trPr>
        <w:tc>
          <w:tcPr>
            <w:tcW w:w="3681" w:type="dxa"/>
          </w:tcPr>
          <w:p w14:paraId="7ED52440" w14:textId="77777777" w:rsidR="00B36246" w:rsidRPr="0002708D" w:rsidRDefault="00B36246" w:rsidP="00802B12">
            <w:pPr>
              <w:jc w:val="both"/>
              <w:rPr>
                <w:rFonts w:ascii="Times New Roman" w:hAnsi="Times New Roman" w:cs="Times New Roman"/>
                <w:lang w:val="lv-LV"/>
              </w:rPr>
            </w:pPr>
            <w:r w:rsidRPr="0002708D">
              <w:rPr>
                <w:rFonts w:ascii="Times New Roman" w:hAnsi="Times New Roman" w:cs="Times New Roman"/>
                <w:lang w:val="lv-LV"/>
              </w:rPr>
              <w:t>Sociālās apdrošināšanas iemaksas</w:t>
            </w:r>
          </w:p>
        </w:tc>
        <w:tc>
          <w:tcPr>
            <w:tcW w:w="1984" w:type="dxa"/>
          </w:tcPr>
          <w:p w14:paraId="51DC98B8" w14:textId="77777777" w:rsidR="00B36246" w:rsidRPr="0002708D" w:rsidRDefault="00B36246" w:rsidP="00802B12">
            <w:pPr>
              <w:jc w:val="center"/>
              <w:rPr>
                <w:rFonts w:ascii="Times New Roman" w:hAnsi="Times New Roman" w:cs="Times New Roman"/>
                <w:lang w:val="lv-LV"/>
              </w:rPr>
            </w:pPr>
            <w:r w:rsidRPr="0002708D">
              <w:rPr>
                <w:rFonts w:ascii="Times New Roman" w:hAnsi="Times New Roman" w:cs="Times New Roman"/>
                <w:lang w:eastAsia="lv-LV"/>
              </w:rPr>
              <w:t>37580000</w:t>
            </w:r>
          </w:p>
        </w:tc>
        <w:tc>
          <w:tcPr>
            <w:tcW w:w="2694" w:type="dxa"/>
          </w:tcPr>
          <w:p w14:paraId="16DBB339" w14:textId="77777777" w:rsidR="00B36246" w:rsidRPr="0002708D" w:rsidRDefault="00B36246" w:rsidP="00802B12">
            <w:pPr>
              <w:jc w:val="center"/>
              <w:rPr>
                <w:rFonts w:ascii="Times New Roman" w:hAnsi="Times New Roman" w:cs="Times New Roman"/>
                <w:lang w:val="lv-LV"/>
              </w:rPr>
            </w:pPr>
            <w:r w:rsidRPr="0002708D">
              <w:rPr>
                <w:rFonts w:ascii="Times New Roman" w:hAnsi="Times New Roman" w:cs="Times New Roman"/>
                <w:lang w:val="lv-LV"/>
              </w:rPr>
              <w:t>17,7</w:t>
            </w:r>
          </w:p>
        </w:tc>
      </w:tr>
      <w:tr w:rsidR="00B36246" w:rsidRPr="0002708D" w14:paraId="0F14A2DF" w14:textId="77777777" w:rsidTr="00EC689C">
        <w:trPr>
          <w:jc w:val="center"/>
        </w:trPr>
        <w:tc>
          <w:tcPr>
            <w:tcW w:w="3681" w:type="dxa"/>
          </w:tcPr>
          <w:p w14:paraId="4BCB4C10" w14:textId="77777777" w:rsidR="00B36246" w:rsidRPr="0002708D" w:rsidRDefault="00B36246" w:rsidP="00802B12">
            <w:pPr>
              <w:jc w:val="both"/>
              <w:rPr>
                <w:rFonts w:ascii="Times New Roman" w:hAnsi="Times New Roman" w:cs="Times New Roman"/>
                <w:lang w:val="lv-LV"/>
              </w:rPr>
            </w:pPr>
            <w:r w:rsidRPr="0002708D">
              <w:rPr>
                <w:rFonts w:ascii="Times New Roman" w:hAnsi="Times New Roman" w:cs="Times New Roman"/>
                <w:lang w:val="lv-LV"/>
              </w:rPr>
              <w:t>Uzņēmumu ienākuma nodoklis</w:t>
            </w:r>
          </w:p>
        </w:tc>
        <w:tc>
          <w:tcPr>
            <w:tcW w:w="1984" w:type="dxa"/>
          </w:tcPr>
          <w:p w14:paraId="5131F25B" w14:textId="77777777" w:rsidR="00B36246" w:rsidRPr="0002708D" w:rsidRDefault="00B36246" w:rsidP="00802B12">
            <w:pPr>
              <w:jc w:val="center"/>
              <w:rPr>
                <w:rFonts w:ascii="Times New Roman" w:hAnsi="Times New Roman" w:cs="Times New Roman"/>
                <w:lang w:val="lv-LV"/>
              </w:rPr>
            </w:pPr>
            <w:r w:rsidRPr="0002708D">
              <w:rPr>
                <w:rFonts w:ascii="Times New Roman" w:hAnsi="Times New Roman" w:cs="Times New Roman"/>
                <w:lang w:eastAsia="lv-LV"/>
              </w:rPr>
              <w:t>25950000</w:t>
            </w:r>
          </w:p>
        </w:tc>
        <w:tc>
          <w:tcPr>
            <w:tcW w:w="2694" w:type="dxa"/>
          </w:tcPr>
          <w:p w14:paraId="042B6028" w14:textId="77777777" w:rsidR="00B36246" w:rsidRPr="0002708D" w:rsidRDefault="00B36246" w:rsidP="00802B12">
            <w:pPr>
              <w:jc w:val="center"/>
              <w:rPr>
                <w:rFonts w:ascii="Times New Roman" w:hAnsi="Times New Roman" w:cs="Times New Roman"/>
                <w:lang w:val="lv-LV"/>
              </w:rPr>
            </w:pPr>
            <w:r w:rsidRPr="0002708D">
              <w:rPr>
                <w:rFonts w:ascii="Times New Roman" w:hAnsi="Times New Roman" w:cs="Times New Roman"/>
                <w:lang w:val="lv-LV"/>
              </w:rPr>
              <w:t>12,2</w:t>
            </w:r>
          </w:p>
        </w:tc>
      </w:tr>
      <w:tr w:rsidR="00B36246" w:rsidRPr="0002708D" w14:paraId="7B7B9A5A" w14:textId="77777777" w:rsidTr="00EC689C">
        <w:trPr>
          <w:jc w:val="center"/>
        </w:trPr>
        <w:tc>
          <w:tcPr>
            <w:tcW w:w="3681" w:type="dxa"/>
          </w:tcPr>
          <w:p w14:paraId="25B8EB4D" w14:textId="77777777" w:rsidR="00B36246" w:rsidRPr="0002708D" w:rsidRDefault="00B36246" w:rsidP="00802B12">
            <w:pPr>
              <w:jc w:val="both"/>
              <w:rPr>
                <w:rFonts w:ascii="Times New Roman" w:hAnsi="Times New Roman" w:cs="Times New Roman"/>
                <w:lang w:val="lv-LV"/>
              </w:rPr>
            </w:pPr>
            <w:r w:rsidRPr="0002708D">
              <w:rPr>
                <w:rFonts w:ascii="Times New Roman" w:hAnsi="Times New Roman" w:cs="Times New Roman"/>
                <w:lang w:val="lv-LV"/>
              </w:rPr>
              <w:t>Iedzīvotāju ienākuma nodoklis</w:t>
            </w:r>
          </w:p>
        </w:tc>
        <w:tc>
          <w:tcPr>
            <w:tcW w:w="1984" w:type="dxa"/>
          </w:tcPr>
          <w:p w14:paraId="4227BBD8" w14:textId="77777777" w:rsidR="00B36246" w:rsidRPr="0002708D" w:rsidRDefault="00B36246" w:rsidP="00802B12">
            <w:pPr>
              <w:jc w:val="center"/>
              <w:rPr>
                <w:rFonts w:ascii="Times New Roman" w:hAnsi="Times New Roman" w:cs="Times New Roman"/>
                <w:lang w:val="lv-LV"/>
              </w:rPr>
            </w:pPr>
            <w:r w:rsidRPr="0002708D">
              <w:rPr>
                <w:rFonts w:ascii="Times New Roman" w:hAnsi="Times New Roman" w:cs="Times New Roman"/>
                <w:lang w:eastAsia="lv-LV"/>
              </w:rPr>
              <w:t>21090000</w:t>
            </w:r>
          </w:p>
        </w:tc>
        <w:tc>
          <w:tcPr>
            <w:tcW w:w="2694" w:type="dxa"/>
          </w:tcPr>
          <w:p w14:paraId="095E2344" w14:textId="77777777" w:rsidR="00B36246" w:rsidRPr="0002708D" w:rsidRDefault="00B36246" w:rsidP="00802B12">
            <w:pPr>
              <w:jc w:val="center"/>
              <w:rPr>
                <w:rFonts w:ascii="Times New Roman" w:hAnsi="Times New Roman" w:cs="Times New Roman"/>
                <w:lang w:val="lv-LV"/>
              </w:rPr>
            </w:pPr>
            <w:r w:rsidRPr="0002708D">
              <w:rPr>
                <w:rFonts w:ascii="Times New Roman" w:hAnsi="Times New Roman" w:cs="Times New Roman"/>
                <w:lang w:val="lv-LV"/>
              </w:rPr>
              <w:t>9,9</w:t>
            </w:r>
          </w:p>
        </w:tc>
      </w:tr>
      <w:tr w:rsidR="00B36246" w:rsidRPr="0002708D" w14:paraId="1DCAAA3D" w14:textId="77777777" w:rsidTr="00EC689C">
        <w:trPr>
          <w:jc w:val="center"/>
        </w:trPr>
        <w:tc>
          <w:tcPr>
            <w:tcW w:w="3681" w:type="dxa"/>
          </w:tcPr>
          <w:p w14:paraId="4FDD66CE" w14:textId="77777777" w:rsidR="00B36246" w:rsidRPr="0002708D" w:rsidRDefault="00B36246" w:rsidP="00802B12">
            <w:pPr>
              <w:jc w:val="both"/>
              <w:rPr>
                <w:rFonts w:ascii="Times New Roman" w:hAnsi="Times New Roman" w:cs="Times New Roman"/>
                <w:lang w:val="lv-LV"/>
              </w:rPr>
            </w:pPr>
            <w:r w:rsidRPr="0002708D">
              <w:rPr>
                <w:rFonts w:ascii="Times New Roman" w:hAnsi="Times New Roman" w:cs="Times New Roman"/>
                <w:lang w:val="lv-LV"/>
              </w:rPr>
              <w:t>Mikrouzņēmumu nodoklis</w:t>
            </w:r>
          </w:p>
        </w:tc>
        <w:tc>
          <w:tcPr>
            <w:tcW w:w="1984" w:type="dxa"/>
          </w:tcPr>
          <w:p w14:paraId="7BBDCD44" w14:textId="77777777" w:rsidR="00B36246" w:rsidRPr="0002708D" w:rsidRDefault="00B36246" w:rsidP="00802B12">
            <w:pPr>
              <w:jc w:val="center"/>
              <w:rPr>
                <w:rFonts w:ascii="Times New Roman" w:hAnsi="Times New Roman" w:cs="Times New Roman"/>
                <w:lang w:val="lv-LV"/>
              </w:rPr>
            </w:pPr>
            <w:r w:rsidRPr="0002708D">
              <w:rPr>
                <w:rFonts w:ascii="Times New Roman" w:hAnsi="Times New Roman" w:cs="Times New Roman"/>
                <w:lang w:eastAsia="lv-LV"/>
              </w:rPr>
              <w:t>3680000</w:t>
            </w:r>
          </w:p>
        </w:tc>
        <w:tc>
          <w:tcPr>
            <w:tcW w:w="2694" w:type="dxa"/>
          </w:tcPr>
          <w:p w14:paraId="3B78A124" w14:textId="77777777" w:rsidR="00B36246" w:rsidRPr="0002708D" w:rsidRDefault="00B36246" w:rsidP="00802B12">
            <w:pPr>
              <w:jc w:val="center"/>
              <w:rPr>
                <w:rFonts w:ascii="Times New Roman" w:hAnsi="Times New Roman" w:cs="Times New Roman"/>
                <w:lang w:val="lv-LV"/>
              </w:rPr>
            </w:pPr>
            <w:r w:rsidRPr="0002708D">
              <w:rPr>
                <w:rFonts w:ascii="Times New Roman" w:hAnsi="Times New Roman" w:cs="Times New Roman"/>
                <w:lang w:val="lv-LV"/>
              </w:rPr>
              <w:t>1,7</w:t>
            </w:r>
          </w:p>
        </w:tc>
      </w:tr>
      <w:tr w:rsidR="00B36246" w:rsidRPr="0002708D" w14:paraId="630CD276" w14:textId="77777777" w:rsidTr="00EC689C">
        <w:trPr>
          <w:jc w:val="center"/>
        </w:trPr>
        <w:tc>
          <w:tcPr>
            <w:tcW w:w="3681" w:type="dxa"/>
          </w:tcPr>
          <w:p w14:paraId="02F19691" w14:textId="77777777" w:rsidR="00B36246" w:rsidRPr="0002708D" w:rsidRDefault="00B36246" w:rsidP="00802B12">
            <w:pPr>
              <w:jc w:val="both"/>
              <w:rPr>
                <w:rFonts w:ascii="Times New Roman" w:hAnsi="Times New Roman" w:cs="Times New Roman"/>
                <w:lang w:val="lv-LV"/>
              </w:rPr>
            </w:pPr>
            <w:r w:rsidRPr="0002708D">
              <w:rPr>
                <w:rFonts w:ascii="Times New Roman" w:hAnsi="Times New Roman" w:cs="Times New Roman"/>
                <w:lang w:val="lv-LV"/>
              </w:rPr>
              <w:t>Akcīzes nodoklis</w:t>
            </w:r>
          </w:p>
        </w:tc>
        <w:tc>
          <w:tcPr>
            <w:tcW w:w="1984" w:type="dxa"/>
          </w:tcPr>
          <w:p w14:paraId="0929F931" w14:textId="77777777" w:rsidR="00B36246" w:rsidRPr="0002708D" w:rsidRDefault="00B36246" w:rsidP="00802B12">
            <w:pPr>
              <w:jc w:val="center"/>
              <w:rPr>
                <w:rFonts w:ascii="Times New Roman" w:hAnsi="Times New Roman" w:cs="Times New Roman"/>
                <w:lang w:val="lv-LV"/>
              </w:rPr>
            </w:pPr>
            <w:r w:rsidRPr="0002708D">
              <w:rPr>
                <w:rFonts w:ascii="Times New Roman" w:hAnsi="Times New Roman" w:cs="Times New Roman"/>
                <w:lang w:eastAsia="lv-LV"/>
              </w:rPr>
              <w:t>430000</w:t>
            </w:r>
          </w:p>
        </w:tc>
        <w:tc>
          <w:tcPr>
            <w:tcW w:w="2694" w:type="dxa"/>
          </w:tcPr>
          <w:p w14:paraId="2A498F57" w14:textId="77777777" w:rsidR="00B36246" w:rsidRPr="0002708D" w:rsidRDefault="00B36246" w:rsidP="00802B12">
            <w:pPr>
              <w:jc w:val="center"/>
              <w:rPr>
                <w:rFonts w:ascii="Times New Roman" w:hAnsi="Times New Roman" w:cs="Times New Roman"/>
                <w:lang w:val="lv-LV"/>
              </w:rPr>
            </w:pPr>
            <w:r w:rsidRPr="0002708D">
              <w:rPr>
                <w:rFonts w:ascii="Times New Roman" w:hAnsi="Times New Roman" w:cs="Times New Roman"/>
                <w:lang w:val="lv-LV"/>
              </w:rPr>
              <w:t>0,2</w:t>
            </w:r>
          </w:p>
        </w:tc>
      </w:tr>
      <w:tr w:rsidR="00B36246" w:rsidRPr="0002708D" w14:paraId="3882A330" w14:textId="77777777" w:rsidTr="00EC689C">
        <w:trPr>
          <w:jc w:val="center"/>
        </w:trPr>
        <w:tc>
          <w:tcPr>
            <w:tcW w:w="3681" w:type="dxa"/>
          </w:tcPr>
          <w:p w14:paraId="7DF2EFF6" w14:textId="77777777" w:rsidR="00B36246" w:rsidRPr="0002708D" w:rsidRDefault="00B36246" w:rsidP="00802B12">
            <w:pPr>
              <w:jc w:val="both"/>
              <w:rPr>
                <w:rFonts w:ascii="Times New Roman" w:hAnsi="Times New Roman" w:cs="Times New Roman"/>
                <w:lang w:val="lv-LV"/>
              </w:rPr>
            </w:pPr>
            <w:r w:rsidRPr="0002708D">
              <w:rPr>
                <w:rFonts w:ascii="Times New Roman" w:hAnsi="Times New Roman" w:cs="Times New Roman"/>
                <w:lang w:val="lv-LV"/>
              </w:rPr>
              <w:t>Dabas resursu nodoklis</w:t>
            </w:r>
          </w:p>
        </w:tc>
        <w:tc>
          <w:tcPr>
            <w:tcW w:w="1984" w:type="dxa"/>
          </w:tcPr>
          <w:p w14:paraId="6BECB8E2" w14:textId="77777777" w:rsidR="00B36246" w:rsidRPr="0002708D" w:rsidRDefault="00B36246" w:rsidP="00802B12">
            <w:pPr>
              <w:jc w:val="center"/>
              <w:rPr>
                <w:rFonts w:ascii="Times New Roman" w:hAnsi="Times New Roman" w:cs="Times New Roman"/>
                <w:lang w:val="lv-LV"/>
              </w:rPr>
            </w:pPr>
            <w:r w:rsidRPr="0002708D">
              <w:rPr>
                <w:rFonts w:ascii="Times New Roman" w:hAnsi="Times New Roman" w:cs="Times New Roman"/>
                <w:lang w:eastAsia="lv-LV"/>
              </w:rPr>
              <w:t>310000</w:t>
            </w:r>
          </w:p>
        </w:tc>
        <w:tc>
          <w:tcPr>
            <w:tcW w:w="2694" w:type="dxa"/>
          </w:tcPr>
          <w:p w14:paraId="737DB481" w14:textId="77777777" w:rsidR="00B36246" w:rsidRPr="0002708D" w:rsidRDefault="00B36246" w:rsidP="00802B12">
            <w:pPr>
              <w:jc w:val="center"/>
              <w:rPr>
                <w:rFonts w:ascii="Times New Roman" w:hAnsi="Times New Roman" w:cs="Times New Roman"/>
                <w:lang w:val="lv-LV"/>
              </w:rPr>
            </w:pPr>
            <w:r w:rsidRPr="0002708D">
              <w:rPr>
                <w:rFonts w:ascii="Times New Roman" w:hAnsi="Times New Roman" w:cs="Times New Roman"/>
                <w:lang w:val="lv-LV"/>
              </w:rPr>
              <w:t>0,1</w:t>
            </w:r>
          </w:p>
        </w:tc>
      </w:tr>
      <w:tr w:rsidR="00B36246" w:rsidRPr="0002708D" w14:paraId="11F9E509" w14:textId="77777777" w:rsidTr="00EC689C">
        <w:trPr>
          <w:jc w:val="center"/>
        </w:trPr>
        <w:tc>
          <w:tcPr>
            <w:tcW w:w="3681" w:type="dxa"/>
          </w:tcPr>
          <w:p w14:paraId="06BB38B1" w14:textId="77777777" w:rsidR="00B36246" w:rsidRPr="0002708D" w:rsidRDefault="00B36246" w:rsidP="00802B12">
            <w:pPr>
              <w:jc w:val="right"/>
              <w:rPr>
                <w:rFonts w:ascii="Times New Roman" w:hAnsi="Times New Roman" w:cs="Times New Roman"/>
                <w:b/>
                <w:lang w:val="lv-LV"/>
              </w:rPr>
            </w:pPr>
            <w:r w:rsidRPr="0002708D">
              <w:rPr>
                <w:rFonts w:ascii="Times New Roman" w:hAnsi="Times New Roman" w:cs="Times New Roman"/>
                <w:b/>
                <w:lang w:val="lv-LV"/>
              </w:rPr>
              <w:t>Kopā:</w:t>
            </w:r>
          </w:p>
        </w:tc>
        <w:tc>
          <w:tcPr>
            <w:tcW w:w="1984" w:type="dxa"/>
          </w:tcPr>
          <w:p w14:paraId="577A8004" w14:textId="77777777" w:rsidR="00B36246" w:rsidRPr="0002708D" w:rsidRDefault="00B36246" w:rsidP="00802B12">
            <w:pPr>
              <w:jc w:val="center"/>
              <w:rPr>
                <w:rFonts w:ascii="Times New Roman" w:hAnsi="Times New Roman" w:cs="Times New Roman"/>
                <w:b/>
                <w:lang w:eastAsia="lv-LV"/>
              </w:rPr>
            </w:pPr>
            <w:r w:rsidRPr="0002708D">
              <w:rPr>
                <w:rFonts w:ascii="Times New Roman" w:hAnsi="Times New Roman" w:cs="Times New Roman"/>
                <w:b/>
                <w:lang w:eastAsia="lv-LV"/>
              </w:rPr>
              <w:t>171500000</w:t>
            </w:r>
          </w:p>
        </w:tc>
        <w:tc>
          <w:tcPr>
            <w:tcW w:w="2694" w:type="dxa"/>
          </w:tcPr>
          <w:p w14:paraId="118E0F9E" w14:textId="77777777" w:rsidR="00B36246" w:rsidRPr="0002708D" w:rsidRDefault="00B36246" w:rsidP="00802B12">
            <w:pPr>
              <w:jc w:val="center"/>
              <w:rPr>
                <w:rFonts w:ascii="Times New Roman" w:hAnsi="Times New Roman" w:cs="Times New Roman"/>
                <w:b/>
                <w:lang w:val="lv-LV"/>
              </w:rPr>
            </w:pPr>
            <w:r w:rsidRPr="0002708D">
              <w:rPr>
                <w:rFonts w:ascii="Times New Roman" w:hAnsi="Times New Roman" w:cs="Times New Roman"/>
                <w:b/>
                <w:lang w:val="lv-LV"/>
              </w:rPr>
              <w:t>100</w:t>
            </w:r>
          </w:p>
        </w:tc>
      </w:tr>
      <w:tr w:rsidR="00B36246" w:rsidRPr="0002708D" w14:paraId="2B6A1026" w14:textId="77777777" w:rsidTr="00EC689C">
        <w:trPr>
          <w:jc w:val="center"/>
        </w:trPr>
        <w:tc>
          <w:tcPr>
            <w:tcW w:w="3681" w:type="dxa"/>
          </w:tcPr>
          <w:p w14:paraId="3AD44C6F" w14:textId="77777777" w:rsidR="00B36246" w:rsidRPr="0002708D" w:rsidRDefault="00B36246" w:rsidP="00802B12">
            <w:pPr>
              <w:jc w:val="right"/>
              <w:rPr>
                <w:rFonts w:ascii="Times New Roman" w:hAnsi="Times New Roman" w:cs="Times New Roman"/>
                <w:b/>
                <w:lang w:val="lv-LV"/>
              </w:rPr>
            </w:pPr>
            <w:r w:rsidRPr="0002708D">
              <w:rPr>
                <w:rFonts w:ascii="Times New Roman" w:hAnsi="Times New Roman" w:cs="Times New Roman"/>
                <w:b/>
                <w:lang w:val="lv-LV"/>
              </w:rPr>
              <w:t xml:space="preserve">Kopā </w:t>
            </w:r>
          </w:p>
        </w:tc>
        <w:tc>
          <w:tcPr>
            <w:tcW w:w="1984" w:type="dxa"/>
          </w:tcPr>
          <w:p w14:paraId="7D8500B5" w14:textId="77777777" w:rsidR="00B36246" w:rsidRPr="0002708D" w:rsidRDefault="00B36246" w:rsidP="00802B12">
            <w:pPr>
              <w:jc w:val="center"/>
              <w:rPr>
                <w:rFonts w:ascii="Times New Roman" w:hAnsi="Times New Roman" w:cs="Times New Roman"/>
                <w:lang w:val="lv-LV"/>
              </w:rPr>
            </w:pPr>
            <w:r w:rsidRPr="0002708D">
              <w:rPr>
                <w:rFonts w:ascii="Times New Roman" w:hAnsi="Times New Roman" w:cs="Times New Roman"/>
                <w:b/>
                <w:bCs/>
                <w:lang w:eastAsia="lv-LV"/>
              </w:rPr>
              <w:t>212040000</w:t>
            </w:r>
          </w:p>
        </w:tc>
        <w:tc>
          <w:tcPr>
            <w:tcW w:w="2694" w:type="dxa"/>
          </w:tcPr>
          <w:p w14:paraId="72791D68" w14:textId="77777777" w:rsidR="00B36246" w:rsidRPr="0002708D" w:rsidRDefault="00B36246" w:rsidP="00802B12">
            <w:pPr>
              <w:jc w:val="center"/>
              <w:rPr>
                <w:rFonts w:ascii="Times New Roman" w:hAnsi="Times New Roman" w:cs="Times New Roman"/>
                <w:lang w:val="lv-LV"/>
              </w:rPr>
            </w:pPr>
            <w:r w:rsidRPr="0002708D">
              <w:rPr>
                <w:rFonts w:ascii="Times New Roman" w:hAnsi="Times New Roman" w:cs="Times New Roman"/>
                <w:lang w:val="lv-LV"/>
              </w:rPr>
              <w:t>100</w:t>
            </w:r>
          </w:p>
        </w:tc>
      </w:tr>
    </w:tbl>
    <w:p w14:paraId="70A62298" w14:textId="77777777" w:rsidR="0002708D" w:rsidRPr="0002708D" w:rsidRDefault="0002708D" w:rsidP="00B36246">
      <w:pPr>
        <w:ind w:firstLine="720"/>
        <w:jc w:val="both"/>
        <w:rPr>
          <w:rFonts w:ascii="Times New Roman" w:hAnsi="Times New Roman" w:cs="Times New Roman"/>
          <w:sz w:val="12"/>
          <w:szCs w:val="12"/>
          <w:lang w:val="lv-LV"/>
        </w:rPr>
      </w:pPr>
    </w:p>
    <w:p w14:paraId="6A97D082" w14:textId="2CCB03DF" w:rsidR="00EC689C" w:rsidRDefault="000A0227" w:rsidP="00B36246">
      <w:pPr>
        <w:ind w:firstLine="720"/>
        <w:jc w:val="both"/>
        <w:rPr>
          <w:rFonts w:ascii="Times New Roman" w:hAnsi="Times New Roman" w:cs="Times New Roman"/>
          <w:sz w:val="26"/>
          <w:szCs w:val="26"/>
          <w:lang w:val="lv-LV"/>
        </w:rPr>
      </w:pPr>
      <w:r>
        <w:rPr>
          <w:rFonts w:ascii="Times New Roman" w:hAnsi="Times New Roman" w:cs="Times New Roman"/>
          <w:sz w:val="26"/>
          <w:szCs w:val="26"/>
          <w:lang w:val="lv-LV"/>
        </w:rPr>
        <w:t>Ņ</w:t>
      </w:r>
      <w:r w:rsidR="00B36246" w:rsidRPr="002C5745">
        <w:rPr>
          <w:rFonts w:ascii="Times New Roman" w:hAnsi="Times New Roman" w:cs="Times New Roman"/>
          <w:sz w:val="26"/>
          <w:szCs w:val="26"/>
          <w:lang w:val="lv-LV"/>
        </w:rPr>
        <w:t xml:space="preserve">emot vērā, ka </w:t>
      </w:r>
      <w:r w:rsidR="007F4D1A">
        <w:rPr>
          <w:rFonts w:ascii="Times New Roman" w:hAnsi="Times New Roman" w:cs="Times New Roman"/>
          <w:sz w:val="26"/>
          <w:szCs w:val="26"/>
          <w:lang w:val="lv-LV"/>
        </w:rPr>
        <w:t xml:space="preserve">kopš </w:t>
      </w:r>
      <w:r w:rsidR="00B36246" w:rsidRPr="002C5745">
        <w:rPr>
          <w:rFonts w:ascii="Times New Roman" w:hAnsi="Times New Roman" w:cs="Times New Roman"/>
          <w:sz w:val="26"/>
          <w:szCs w:val="26"/>
          <w:lang w:val="lv-LV"/>
        </w:rPr>
        <w:t>minētā n</w:t>
      </w:r>
      <w:r w:rsidR="00E5554A">
        <w:rPr>
          <w:rFonts w:ascii="Times New Roman" w:hAnsi="Times New Roman" w:cs="Times New Roman"/>
          <w:sz w:val="26"/>
          <w:szCs w:val="26"/>
          <w:lang w:val="lv-LV"/>
        </w:rPr>
        <w:t xml:space="preserve">osacījuma ieviešanas ir pagājis </w:t>
      </w:r>
      <w:r w:rsidR="007F4D1A">
        <w:rPr>
          <w:rFonts w:ascii="Times New Roman" w:hAnsi="Times New Roman" w:cs="Times New Roman"/>
          <w:sz w:val="26"/>
          <w:szCs w:val="26"/>
          <w:lang w:val="lv-LV"/>
        </w:rPr>
        <w:t>neilgs laiks</w:t>
      </w:r>
      <w:r w:rsidR="00B36246" w:rsidRPr="002C5745">
        <w:rPr>
          <w:rFonts w:ascii="Times New Roman" w:hAnsi="Times New Roman" w:cs="Times New Roman"/>
          <w:sz w:val="26"/>
          <w:szCs w:val="26"/>
          <w:lang w:val="lv-LV"/>
        </w:rPr>
        <w:t xml:space="preserve">, šobrīd nav iespējams objektīvi izvērtēt, kā nodokļu maksātājus ir ietekmējis grozījums likuma “Par nodokļiem un nodevām” 29.panta septītajā daļā. </w:t>
      </w:r>
    </w:p>
    <w:p w14:paraId="1EFA54E7" w14:textId="4BCE3F8E" w:rsidR="00B36246" w:rsidRPr="002C5745" w:rsidRDefault="00EC689C" w:rsidP="00B36246">
      <w:pPr>
        <w:ind w:firstLine="720"/>
        <w:jc w:val="both"/>
        <w:rPr>
          <w:rFonts w:ascii="Times New Roman" w:hAnsi="Times New Roman" w:cs="Times New Roman"/>
          <w:sz w:val="26"/>
          <w:szCs w:val="26"/>
          <w:lang w:val="lv-LV"/>
        </w:rPr>
      </w:pPr>
      <w:r>
        <w:rPr>
          <w:rFonts w:ascii="Times New Roman" w:hAnsi="Times New Roman" w:cs="Times New Roman"/>
          <w:sz w:val="26"/>
          <w:szCs w:val="26"/>
          <w:lang w:val="lv-LV"/>
        </w:rPr>
        <w:t xml:space="preserve">Savukārt </w:t>
      </w:r>
      <w:r w:rsidR="002437E6">
        <w:rPr>
          <w:rFonts w:ascii="Times New Roman" w:hAnsi="Times New Roman" w:cs="Times New Roman"/>
          <w:sz w:val="26"/>
          <w:szCs w:val="26"/>
          <w:lang w:val="lv-LV"/>
        </w:rPr>
        <w:t>VID</w:t>
      </w:r>
      <w:r w:rsidR="00B36246" w:rsidRPr="002C5745">
        <w:rPr>
          <w:rFonts w:ascii="Times New Roman" w:hAnsi="Times New Roman" w:cs="Times New Roman"/>
          <w:sz w:val="26"/>
          <w:szCs w:val="26"/>
          <w:lang w:val="lv-LV"/>
        </w:rPr>
        <w:t xml:space="preserve">, ievērojot termiņu, kādā nokavējuma nauda sasniedz divas piektdaļas no pamatparāda apmēra, </w:t>
      </w:r>
      <w:r>
        <w:rPr>
          <w:rFonts w:ascii="Times New Roman" w:hAnsi="Times New Roman" w:cs="Times New Roman"/>
          <w:sz w:val="26"/>
          <w:szCs w:val="26"/>
          <w:lang w:val="lv-LV"/>
        </w:rPr>
        <w:t xml:space="preserve">ir apņēmies </w:t>
      </w:r>
      <w:r w:rsidR="00B36246" w:rsidRPr="002C5745">
        <w:rPr>
          <w:rFonts w:ascii="Times New Roman" w:hAnsi="Times New Roman" w:cs="Times New Roman"/>
          <w:sz w:val="26"/>
          <w:szCs w:val="26"/>
          <w:lang w:val="lv-LV"/>
        </w:rPr>
        <w:t>nodrošinā</w:t>
      </w:r>
      <w:r>
        <w:rPr>
          <w:rFonts w:ascii="Times New Roman" w:hAnsi="Times New Roman" w:cs="Times New Roman"/>
          <w:sz w:val="26"/>
          <w:szCs w:val="26"/>
          <w:lang w:val="lv-LV"/>
        </w:rPr>
        <w:t>t</w:t>
      </w:r>
      <w:r w:rsidR="00B36246" w:rsidRPr="002C5745">
        <w:rPr>
          <w:rFonts w:ascii="Times New Roman" w:hAnsi="Times New Roman" w:cs="Times New Roman"/>
          <w:sz w:val="26"/>
          <w:szCs w:val="26"/>
          <w:lang w:val="lv-LV"/>
        </w:rPr>
        <w:t>, ka nodokļu parāda summas, veicot nodokļu parādu piedziņas procesu, tiktu atgūtas maksimāli īsā termiņā (tas ir, veicot visas piedziņas darbības nekavējoties).</w:t>
      </w:r>
    </w:p>
    <w:p w14:paraId="0497E642" w14:textId="77777777" w:rsidR="007749E4" w:rsidRPr="002C5745" w:rsidRDefault="00C177AD" w:rsidP="007749E4">
      <w:pPr>
        <w:ind w:firstLine="720"/>
        <w:jc w:val="both"/>
        <w:rPr>
          <w:rFonts w:ascii="Times New Roman" w:hAnsi="Times New Roman" w:cs="Times New Roman"/>
          <w:sz w:val="26"/>
          <w:szCs w:val="26"/>
          <w:lang w:val="lv-LV"/>
        </w:rPr>
      </w:pPr>
      <w:r w:rsidRPr="002C5745">
        <w:rPr>
          <w:rFonts w:ascii="Times New Roman" w:hAnsi="Times New Roman" w:cs="Times New Roman"/>
          <w:sz w:val="26"/>
          <w:szCs w:val="26"/>
          <w:lang w:val="lv-LV"/>
        </w:rPr>
        <w:t>I</w:t>
      </w:r>
      <w:r w:rsidR="007749E4" w:rsidRPr="002C5745">
        <w:rPr>
          <w:rFonts w:ascii="Times New Roman" w:hAnsi="Times New Roman" w:cs="Times New Roman"/>
          <w:sz w:val="26"/>
          <w:szCs w:val="26"/>
          <w:lang w:val="lv-LV"/>
        </w:rPr>
        <w:t>evērojot likumā “Par nodokļiem un nodevām” paredzētos gadījumus, kuru rezultātā nodokļu maksātāja nokavētajiem nodokļu maksājumiem tiek piemērota samazināta nokavējuma naudas likme vai, kad tā netiek piemērota vispār, secināms, ka nokavējuma naudas likme 0,05</w:t>
      </w:r>
      <w:r w:rsidRPr="002C5745">
        <w:rPr>
          <w:rFonts w:ascii="Times New Roman" w:hAnsi="Times New Roman" w:cs="Times New Roman"/>
          <w:sz w:val="26"/>
          <w:szCs w:val="26"/>
          <w:lang w:val="lv-LV"/>
        </w:rPr>
        <w:t> </w:t>
      </w:r>
      <w:r w:rsidR="007749E4" w:rsidRPr="002C5745">
        <w:rPr>
          <w:rFonts w:ascii="Times New Roman" w:hAnsi="Times New Roman" w:cs="Times New Roman"/>
          <w:sz w:val="26"/>
          <w:szCs w:val="26"/>
          <w:lang w:val="lv-LV"/>
        </w:rPr>
        <w:t>procentu apmērā tiek piemērota tikai attiecībā uz nodokļu maksātājiem</w:t>
      </w:r>
      <w:r w:rsidR="00B430A9" w:rsidRPr="002C5745">
        <w:rPr>
          <w:rFonts w:ascii="Times New Roman" w:hAnsi="Times New Roman" w:cs="Times New Roman"/>
          <w:sz w:val="26"/>
          <w:szCs w:val="26"/>
          <w:lang w:val="lv-LV"/>
        </w:rPr>
        <w:t>, kuri</w:t>
      </w:r>
      <w:r w:rsidR="007749E4" w:rsidRPr="002C5745">
        <w:rPr>
          <w:rFonts w:ascii="Times New Roman" w:hAnsi="Times New Roman" w:cs="Times New Roman"/>
          <w:sz w:val="26"/>
          <w:szCs w:val="26"/>
          <w:lang w:val="lv-LV"/>
        </w:rPr>
        <w:t>:</w:t>
      </w:r>
    </w:p>
    <w:p w14:paraId="52691844" w14:textId="272D9F79" w:rsidR="007749E4" w:rsidRPr="00ED5B54" w:rsidRDefault="00C177AD" w:rsidP="007749E4">
      <w:pPr>
        <w:ind w:firstLine="720"/>
        <w:jc w:val="both"/>
        <w:rPr>
          <w:rFonts w:ascii="Times New Roman" w:hAnsi="Times New Roman" w:cs="Times New Roman"/>
          <w:sz w:val="26"/>
          <w:szCs w:val="26"/>
          <w:lang w:val="lv-LV"/>
        </w:rPr>
      </w:pPr>
      <w:r w:rsidRPr="00EF74EF">
        <w:rPr>
          <w:rFonts w:ascii="Times New Roman" w:hAnsi="Times New Roman" w:cs="Times New Roman"/>
          <w:sz w:val="26"/>
          <w:szCs w:val="26"/>
          <w:lang w:val="lv-LV"/>
        </w:rPr>
        <w:t>a)</w:t>
      </w:r>
      <w:r w:rsidRPr="001D1FD7">
        <w:rPr>
          <w:rFonts w:ascii="Times New Roman" w:hAnsi="Times New Roman" w:cs="Times New Roman"/>
          <w:sz w:val="26"/>
          <w:szCs w:val="26"/>
          <w:lang w:val="lv-LV"/>
        </w:rPr>
        <w:t>  </w:t>
      </w:r>
      <w:r w:rsidR="00B430A9" w:rsidRPr="001D1FD7">
        <w:rPr>
          <w:rFonts w:ascii="Times New Roman" w:hAnsi="Times New Roman" w:cs="Times New Roman"/>
          <w:sz w:val="26"/>
          <w:szCs w:val="26"/>
          <w:lang w:val="lv-LV"/>
        </w:rPr>
        <w:t>nav vēlējušies un nevēlas labprātīgi samaksāt nokavēto nodokļu maksājumu samaksu, kā arī izman</w:t>
      </w:r>
      <w:r w:rsidR="000A0227">
        <w:rPr>
          <w:rFonts w:ascii="Times New Roman" w:hAnsi="Times New Roman" w:cs="Times New Roman"/>
          <w:sz w:val="26"/>
          <w:szCs w:val="26"/>
          <w:lang w:val="lv-LV"/>
        </w:rPr>
        <w:t>t</w:t>
      </w:r>
      <w:r w:rsidR="00B430A9" w:rsidRPr="001D1FD7">
        <w:rPr>
          <w:rFonts w:ascii="Times New Roman" w:hAnsi="Times New Roman" w:cs="Times New Roman"/>
          <w:sz w:val="26"/>
          <w:szCs w:val="26"/>
          <w:lang w:val="lv-LV"/>
        </w:rPr>
        <w:t>ot likumā noteiktos tiesiskos risinājumus savu nodokļu maksājumu saistību izp</w:t>
      </w:r>
      <w:r w:rsidR="00B430A9" w:rsidRPr="00ED5B54">
        <w:rPr>
          <w:rFonts w:ascii="Times New Roman" w:hAnsi="Times New Roman" w:cs="Times New Roman"/>
          <w:sz w:val="26"/>
          <w:szCs w:val="26"/>
          <w:lang w:val="lv-LV"/>
        </w:rPr>
        <w:t>ildē</w:t>
      </w:r>
      <w:r w:rsidR="007749E4" w:rsidRPr="00ED5B54">
        <w:rPr>
          <w:rFonts w:ascii="Times New Roman" w:hAnsi="Times New Roman" w:cs="Times New Roman"/>
          <w:sz w:val="26"/>
          <w:szCs w:val="26"/>
          <w:lang w:val="lv-LV"/>
        </w:rPr>
        <w:t>;</w:t>
      </w:r>
    </w:p>
    <w:p w14:paraId="24D4BB93" w14:textId="48EB1472" w:rsidR="00890178" w:rsidRPr="002C5745" w:rsidRDefault="00C177AD" w:rsidP="00B430A9">
      <w:pPr>
        <w:ind w:firstLine="720"/>
        <w:jc w:val="both"/>
        <w:rPr>
          <w:rFonts w:ascii="Times New Roman" w:hAnsi="Times New Roman" w:cs="Times New Roman"/>
          <w:sz w:val="26"/>
          <w:szCs w:val="26"/>
          <w:lang w:val="lv-LV"/>
        </w:rPr>
      </w:pPr>
      <w:r w:rsidRPr="00EF74EF">
        <w:rPr>
          <w:rFonts w:ascii="Times New Roman" w:hAnsi="Times New Roman" w:cs="Times New Roman"/>
          <w:sz w:val="26"/>
          <w:szCs w:val="26"/>
          <w:lang w:val="lv-LV"/>
        </w:rPr>
        <w:t>b)</w:t>
      </w:r>
      <w:r w:rsidRPr="001D1FD7">
        <w:rPr>
          <w:rFonts w:ascii="Times New Roman" w:hAnsi="Times New Roman" w:cs="Times New Roman"/>
          <w:sz w:val="26"/>
          <w:szCs w:val="26"/>
          <w:lang w:val="lv-LV"/>
        </w:rPr>
        <w:t>  </w:t>
      </w:r>
      <w:r w:rsidR="00B430A9" w:rsidRPr="001D1FD7">
        <w:rPr>
          <w:rFonts w:ascii="Times New Roman" w:hAnsi="Times New Roman" w:cs="Times New Roman"/>
          <w:sz w:val="26"/>
          <w:szCs w:val="26"/>
          <w:lang w:val="lv-LV"/>
        </w:rPr>
        <w:t>vēlas labprātīgi samaksāt nokavēto</w:t>
      </w:r>
      <w:r w:rsidR="000A0227">
        <w:rPr>
          <w:rFonts w:ascii="Times New Roman" w:hAnsi="Times New Roman" w:cs="Times New Roman"/>
          <w:sz w:val="26"/>
          <w:szCs w:val="26"/>
          <w:lang w:val="lv-LV"/>
        </w:rPr>
        <w:t>s</w:t>
      </w:r>
      <w:r w:rsidR="00B430A9" w:rsidRPr="001D1FD7">
        <w:rPr>
          <w:rFonts w:ascii="Times New Roman" w:hAnsi="Times New Roman" w:cs="Times New Roman"/>
          <w:sz w:val="26"/>
          <w:szCs w:val="26"/>
          <w:lang w:val="lv-LV"/>
        </w:rPr>
        <w:t xml:space="preserve"> nodokļu maksājumu</w:t>
      </w:r>
      <w:r w:rsidR="000A0227">
        <w:rPr>
          <w:rFonts w:ascii="Times New Roman" w:hAnsi="Times New Roman" w:cs="Times New Roman"/>
          <w:sz w:val="26"/>
          <w:szCs w:val="26"/>
          <w:lang w:val="lv-LV"/>
        </w:rPr>
        <w:t>s</w:t>
      </w:r>
      <w:r w:rsidR="00B430A9" w:rsidRPr="001D1FD7">
        <w:rPr>
          <w:rFonts w:ascii="Times New Roman" w:hAnsi="Times New Roman" w:cs="Times New Roman"/>
          <w:sz w:val="26"/>
          <w:szCs w:val="26"/>
          <w:lang w:val="lv-LV"/>
        </w:rPr>
        <w:t>, tomēr nav ņēmuši vērā likumā</w:t>
      </w:r>
      <w:r w:rsidR="00B430A9" w:rsidRPr="002C5745">
        <w:rPr>
          <w:rFonts w:ascii="Times New Roman" w:hAnsi="Times New Roman" w:cs="Times New Roman"/>
          <w:sz w:val="26"/>
          <w:szCs w:val="26"/>
          <w:lang w:val="lv-LV"/>
        </w:rPr>
        <w:t xml:space="preserve"> “Par nodokļiem un nodevām” noteiktos procesuālos termiņus tiesību realizēšanai;</w:t>
      </w:r>
    </w:p>
    <w:p w14:paraId="102CCC33" w14:textId="77777777" w:rsidR="00B430A9" w:rsidRPr="002C5745" w:rsidRDefault="00B430A9" w:rsidP="00B430A9">
      <w:pPr>
        <w:ind w:firstLine="720"/>
        <w:jc w:val="both"/>
        <w:rPr>
          <w:rFonts w:ascii="Times New Roman" w:hAnsi="Times New Roman" w:cs="Times New Roman"/>
          <w:sz w:val="26"/>
          <w:szCs w:val="26"/>
          <w:lang w:val="lv-LV"/>
        </w:rPr>
      </w:pPr>
      <w:r w:rsidRPr="002C5745">
        <w:rPr>
          <w:rFonts w:ascii="Times New Roman" w:hAnsi="Times New Roman" w:cs="Times New Roman"/>
          <w:sz w:val="26"/>
          <w:szCs w:val="26"/>
          <w:lang w:val="lv-LV"/>
        </w:rPr>
        <w:t xml:space="preserve">Tā, piemēram, nodokļu maksātājam ir pienākums noteiktajā termiņā un pilnā apmērā nomaksāt paša aprēķinātos nodokļus un nodevas, vai arī, konstatējot, ka minēto pienākumu objektīvu iemeslu dēļ nebūs iespējams izpildīt, izmantot likumā “Par </w:t>
      </w:r>
      <w:r w:rsidRPr="002C5745">
        <w:rPr>
          <w:rFonts w:ascii="Times New Roman" w:hAnsi="Times New Roman" w:cs="Times New Roman"/>
          <w:sz w:val="26"/>
          <w:szCs w:val="26"/>
          <w:lang w:val="lv-LV"/>
        </w:rPr>
        <w:lastRenderedPageBreak/>
        <w:t>nodokļiem un nodevām” paredzēto iespēju 15 dienu laikā pēc maksājuma termiņa iestāšanās iesniegt iesniegumu samaksas termiņa pagarinājuma piešķiršanai</w:t>
      </w:r>
      <w:r w:rsidRPr="002C5745">
        <w:rPr>
          <w:rStyle w:val="FootnoteReference"/>
          <w:rFonts w:ascii="Times New Roman" w:hAnsi="Times New Roman" w:cs="Times New Roman"/>
          <w:sz w:val="26"/>
          <w:szCs w:val="26"/>
          <w:lang w:val="lv-LV"/>
        </w:rPr>
        <w:footnoteReference w:id="19"/>
      </w:r>
      <w:r w:rsidRPr="002C5745">
        <w:rPr>
          <w:rFonts w:ascii="Times New Roman" w:hAnsi="Times New Roman" w:cs="Times New Roman"/>
          <w:sz w:val="26"/>
          <w:szCs w:val="26"/>
          <w:lang w:val="lv-LV"/>
        </w:rPr>
        <w:t>. Ja nodokļu maksātājs minēto iespēju nav izmantojis un noteiktajā termiņā un pilnā apmērā paša aprēķinātos nodokļus un nodevas nav nomaksājis, nodokļu administrācijai ir pienākums tos piedzīt bezstrīda kārtībā, pieņemot lēmumu par nokavēto nodokļu maksājumu piedziņu</w:t>
      </w:r>
      <w:r w:rsidRPr="002C5745">
        <w:rPr>
          <w:rStyle w:val="FootnoteReference"/>
          <w:rFonts w:ascii="Times New Roman" w:hAnsi="Times New Roman" w:cs="Times New Roman"/>
          <w:sz w:val="26"/>
          <w:szCs w:val="26"/>
          <w:lang w:val="lv-LV"/>
        </w:rPr>
        <w:footnoteReference w:id="20"/>
      </w:r>
      <w:r w:rsidRPr="002C5745">
        <w:rPr>
          <w:rFonts w:ascii="Times New Roman" w:hAnsi="Times New Roman" w:cs="Times New Roman"/>
          <w:sz w:val="26"/>
          <w:szCs w:val="26"/>
          <w:lang w:val="lv-LV"/>
        </w:rPr>
        <w:t>.</w:t>
      </w:r>
    </w:p>
    <w:p w14:paraId="21A2732E" w14:textId="2793AB26" w:rsidR="00B430A9" w:rsidRPr="002C5745" w:rsidRDefault="00B430A9" w:rsidP="00B430A9">
      <w:pPr>
        <w:ind w:firstLine="720"/>
        <w:jc w:val="both"/>
        <w:rPr>
          <w:rFonts w:ascii="Times New Roman" w:hAnsi="Times New Roman" w:cs="Times New Roman"/>
          <w:sz w:val="26"/>
          <w:szCs w:val="26"/>
          <w:lang w:val="lv-LV"/>
        </w:rPr>
      </w:pPr>
      <w:r w:rsidRPr="002C5745">
        <w:rPr>
          <w:rFonts w:ascii="Times New Roman" w:hAnsi="Times New Roman" w:cs="Times New Roman"/>
          <w:sz w:val="26"/>
          <w:szCs w:val="26"/>
          <w:lang w:val="lv-LV"/>
        </w:rPr>
        <w:t>Šobrīd valsts ir pretimnākoša arī pret tiem nodokļu maksātājiem, kuri savu iniciatīvu ir izrādījuši tikai piedziņas procesa ietvaros. Proti, nodokļu maksātājam saskaņā ar likuma “Par nodokļiem un nodevām” 26.</w:t>
      </w:r>
      <w:r w:rsidR="00EC689C">
        <w:rPr>
          <w:rFonts w:ascii="Times New Roman" w:hAnsi="Times New Roman" w:cs="Times New Roman"/>
          <w:sz w:val="26"/>
          <w:szCs w:val="26"/>
          <w:lang w:val="lv-LV"/>
        </w:rPr>
        <w:t> </w:t>
      </w:r>
      <w:r w:rsidRPr="002C5745">
        <w:rPr>
          <w:rFonts w:ascii="Times New Roman" w:hAnsi="Times New Roman" w:cs="Times New Roman"/>
          <w:sz w:val="26"/>
          <w:szCs w:val="26"/>
          <w:lang w:val="lv-LV"/>
        </w:rPr>
        <w:t xml:space="preserve">panta vienpadsmito daļu ir tiesības lūgt nodokļu administrācijai vienoties ar nodokļu maksātāju par nokavēto nodokļu maksājumu labprātīgu samaksu. Lai nodokļu administrācija izskatītu minēto iesniegumu un pieņemtu lēmumu par nokavēto nodokļu maksājumu labprātīgu izpildi, tam ir jābūt iesniegtam ne vēlāk kā </w:t>
      </w:r>
      <w:r w:rsidRPr="002C5745">
        <w:rPr>
          <w:rFonts w:ascii="Times New Roman" w:hAnsi="Times New Roman" w:cs="Times New Roman"/>
          <w:sz w:val="26"/>
          <w:szCs w:val="26"/>
          <w:u w:val="single"/>
          <w:lang w:val="lv-LV"/>
        </w:rPr>
        <w:t>sešus mēnešus</w:t>
      </w:r>
      <w:r w:rsidRPr="002C5745">
        <w:rPr>
          <w:rFonts w:ascii="Times New Roman" w:hAnsi="Times New Roman" w:cs="Times New Roman"/>
          <w:sz w:val="26"/>
          <w:szCs w:val="26"/>
          <w:lang w:val="lv-LV"/>
        </w:rPr>
        <w:t xml:space="preserve"> no lēmuma par nokavēto nodokļu maksājumu piedziņu paziņošanas dienas.</w:t>
      </w:r>
    </w:p>
    <w:p w14:paraId="70297D75" w14:textId="77777777" w:rsidR="00B430A9" w:rsidRPr="002C5745" w:rsidRDefault="00B430A9" w:rsidP="00B430A9">
      <w:pPr>
        <w:ind w:firstLine="720"/>
        <w:jc w:val="both"/>
        <w:rPr>
          <w:rFonts w:ascii="Times New Roman" w:hAnsi="Times New Roman" w:cs="Times New Roman"/>
          <w:b/>
          <w:sz w:val="26"/>
          <w:szCs w:val="26"/>
          <w:lang w:val="lv-LV"/>
        </w:rPr>
      </w:pPr>
      <w:r w:rsidRPr="002C5745">
        <w:rPr>
          <w:rFonts w:ascii="Times New Roman" w:hAnsi="Times New Roman" w:cs="Times New Roman"/>
          <w:b/>
          <w:sz w:val="26"/>
          <w:szCs w:val="26"/>
          <w:lang w:val="lv-LV"/>
        </w:rPr>
        <w:t>Tādējādi secināms, ka nodokļu maksātājam ir dots gandrīz septiņu mēnešu ilgs laika posms</w:t>
      </w:r>
      <w:r w:rsidRPr="002C5745">
        <w:rPr>
          <w:rStyle w:val="FootnoteReference"/>
          <w:rFonts w:ascii="Times New Roman" w:hAnsi="Times New Roman" w:cs="Times New Roman"/>
          <w:sz w:val="26"/>
          <w:szCs w:val="26"/>
          <w:lang w:val="lv-LV"/>
        </w:rPr>
        <w:footnoteReference w:id="21"/>
      </w:r>
      <w:r w:rsidRPr="002C5745">
        <w:rPr>
          <w:rFonts w:ascii="Times New Roman" w:hAnsi="Times New Roman" w:cs="Times New Roman"/>
          <w:b/>
          <w:sz w:val="26"/>
          <w:szCs w:val="26"/>
          <w:lang w:val="lv-LV"/>
        </w:rPr>
        <w:t xml:space="preserve"> no nodokļu maksājumu samaksas iestāšanās brīža, lai vienotos ar nodokļu administrāciju par labprātīgu nokavēto nodokļu maksājumu samaksu, kā rezultātā tā nokavētajiem nodokļu maksājumiem, kas iekļauti lēmumā par nokavēto nodokļu maksājumu piedziņu, tiktu aprēķināta samazināta nokavējuma nauda, proti 0,025 procenti par katru dienu visā kavējuma periodā jeb </w:t>
      </w:r>
      <w:r w:rsidRPr="002C5745">
        <w:rPr>
          <w:rFonts w:ascii="Times New Roman" w:hAnsi="Times New Roman" w:cs="Times New Roman"/>
          <w:b/>
          <w:sz w:val="26"/>
          <w:szCs w:val="26"/>
          <w:u w:val="single"/>
          <w:lang w:val="lv-LV"/>
        </w:rPr>
        <w:t>9,125 procenti gadā</w:t>
      </w:r>
      <w:r w:rsidRPr="002C5745">
        <w:rPr>
          <w:rFonts w:ascii="Times New Roman" w:hAnsi="Times New Roman" w:cs="Times New Roman"/>
          <w:b/>
          <w:sz w:val="26"/>
          <w:szCs w:val="26"/>
          <w:lang w:val="lv-LV"/>
        </w:rPr>
        <w:t>.</w:t>
      </w:r>
    </w:p>
    <w:p w14:paraId="02BED1DE" w14:textId="7D7C4322" w:rsidR="007749E4" w:rsidRPr="002C5745" w:rsidRDefault="00C177AD" w:rsidP="00B430A9">
      <w:pPr>
        <w:ind w:firstLine="720"/>
        <w:jc w:val="both"/>
        <w:rPr>
          <w:rFonts w:ascii="Times New Roman" w:hAnsi="Times New Roman" w:cs="Times New Roman"/>
          <w:sz w:val="26"/>
          <w:szCs w:val="26"/>
          <w:lang w:val="lv-LV"/>
        </w:rPr>
      </w:pPr>
      <w:r w:rsidRPr="00DF19EF">
        <w:rPr>
          <w:rFonts w:ascii="Times New Roman" w:hAnsi="Times New Roman" w:cs="Times New Roman"/>
          <w:sz w:val="26"/>
          <w:szCs w:val="26"/>
          <w:lang w:val="lv-LV"/>
        </w:rPr>
        <w:t>c)</w:t>
      </w:r>
      <w:r w:rsidRPr="002C5745">
        <w:rPr>
          <w:rFonts w:ascii="Times New Roman" w:hAnsi="Times New Roman" w:cs="Times New Roman"/>
          <w:sz w:val="26"/>
          <w:szCs w:val="26"/>
          <w:lang w:val="lv-LV"/>
        </w:rPr>
        <w:t>  </w:t>
      </w:r>
      <w:r w:rsidR="007749E4" w:rsidRPr="002C5745">
        <w:rPr>
          <w:rFonts w:ascii="Times New Roman" w:hAnsi="Times New Roman" w:cs="Times New Roman"/>
          <w:sz w:val="26"/>
          <w:szCs w:val="26"/>
          <w:lang w:val="lv-LV"/>
        </w:rPr>
        <w:t xml:space="preserve">kuri vēlas sadarboties ar nodokļu administrāciju, bet neatbilst kritērijiem, </w:t>
      </w:r>
      <w:r w:rsidR="000A0227" w:rsidRPr="002C5745">
        <w:rPr>
          <w:rFonts w:ascii="Times New Roman" w:hAnsi="Times New Roman" w:cs="Times New Roman"/>
          <w:sz w:val="26"/>
          <w:szCs w:val="26"/>
          <w:lang w:val="lv-LV"/>
        </w:rPr>
        <w:t>k</w:t>
      </w:r>
      <w:r w:rsidR="000A0227">
        <w:rPr>
          <w:rFonts w:ascii="Times New Roman" w:hAnsi="Times New Roman" w:cs="Times New Roman"/>
          <w:sz w:val="26"/>
          <w:szCs w:val="26"/>
          <w:lang w:val="lv-LV"/>
        </w:rPr>
        <w:t xml:space="preserve">as </w:t>
      </w:r>
      <w:r w:rsidR="007749E4" w:rsidRPr="002C5745">
        <w:rPr>
          <w:rFonts w:ascii="Times New Roman" w:hAnsi="Times New Roman" w:cs="Times New Roman"/>
          <w:sz w:val="26"/>
          <w:szCs w:val="26"/>
          <w:lang w:val="lv-LV"/>
        </w:rPr>
        <w:t>noteikti, lai nodokļu administrācija sadarbību veiktu.</w:t>
      </w:r>
    </w:p>
    <w:p w14:paraId="6D85D589" w14:textId="4E3E0A74" w:rsidR="00A977D2" w:rsidRPr="002C5745" w:rsidRDefault="00D84DC9" w:rsidP="007749E4">
      <w:pPr>
        <w:ind w:firstLine="720"/>
        <w:jc w:val="both"/>
        <w:rPr>
          <w:rFonts w:ascii="Times New Roman" w:hAnsi="Times New Roman" w:cs="Times New Roman"/>
          <w:noProof/>
          <w:sz w:val="26"/>
          <w:szCs w:val="26"/>
          <w:lang w:val="lv-LV"/>
        </w:rPr>
      </w:pPr>
      <w:r w:rsidRPr="002C5745">
        <w:rPr>
          <w:rFonts w:ascii="Times New Roman" w:hAnsi="Times New Roman" w:cs="Times New Roman"/>
          <w:sz w:val="26"/>
          <w:szCs w:val="26"/>
          <w:lang w:val="lv-LV"/>
        </w:rPr>
        <w:t>Saskaņā ar likuma “Par nodokļiem un nodevām” 24.</w:t>
      </w:r>
      <w:r w:rsidR="00EC689C">
        <w:rPr>
          <w:rFonts w:ascii="Times New Roman" w:hAnsi="Times New Roman" w:cs="Times New Roman"/>
          <w:sz w:val="26"/>
          <w:szCs w:val="26"/>
          <w:lang w:val="lv-LV"/>
        </w:rPr>
        <w:t> </w:t>
      </w:r>
      <w:r w:rsidRPr="002C5745">
        <w:rPr>
          <w:rFonts w:ascii="Times New Roman" w:hAnsi="Times New Roman" w:cs="Times New Roman"/>
          <w:sz w:val="26"/>
          <w:szCs w:val="26"/>
          <w:lang w:val="lv-LV"/>
        </w:rPr>
        <w:t>pantu un 26.</w:t>
      </w:r>
      <w:r w:rsidR="00EC689C">
        <w:rPr>
          <w:rFonts w:ascii="Times New Roman" w:hAnsi="Times New Roman" w:cs="Times New Roman"/>
          <w:sz w:val="26"/>
          <w:szCs w:val="26"/>
          <w:lang w:val="lv-LV"/>
        </w:rPr>
        <w:t> </w:t>
      </w:r>
      <w:r w:rsidRPr="002C5745">
        <w:rPr>
          <w:rFonts w:ascii="Times New Roman" w:hAnsi="Times New Roman" w:cs="Times New Roman"/>
          <w:sz w:val="26"/>
          <w:szCs w:val="26"/>
          <w:lang w:val="lv-LV"/>
        </w:rPr>
        <w:t xml:space="preserve">panta vienpadsmito daļu nodokļu administrācijai ir </w:t>
      </w:r>
      <w:r w:rsidRPr="002C5745">
        <w:rPr>
          <w:rFonts w:ascii="Times New Roman" w:hAnsi="Times New Roman" w:cs="Times New Roman"/>
          <w:noProof/>
          <w:sz w:val="26"/>
          <w:szCs w:val="26"/>
          <w:lang w:val="lv-LV"/>
        </w:rPr>
        <w:t>tiesības, nevis pienākums piešķirt</w:t>
      </w:r>
      <w:r w:rsidRPr="002C5745">
        <w:rPr>
          <w:rFonts w:ascii="Times New Roman" w:hAnsi="Times New Roman" w:cs="Times New Roman"/>
          <w:sz w:val="26"/>
          <w:szCs w:val="26"/>
          <w:lang w:val="lv-LV"/>
        </w:rPr>
        <w:t xml:space="preserve"> nodokļu maksātājam iespēju veikt labprātīgu nokavēto nodokļu maksājumu samaksu. </w:t>
      </w:r>
      <w:r w:rsidR="00A977D2" w:rsidRPr="002C5745">
        <w:rPr>
          <w:rFonts w:ascii="Times New Roman" w:hAnsi="Times New Roman" w:cs="Times New Roman"/>
          <w:sz w:val="26"/>
          <w:szCs w:val="26"/>
          <w:lang w:val="lv-LV"/>
        </w:rPr>
        <w:t xml:space="preserve">Tādējādi nodokļu administrācijai rīcības brīvības ietvaros ir jāiegūst pārliecība ne tikai par to, ka </w:t>
      </w:r>
      <w:r w:rsidR="00A977D2" w:rsidRPr="002C5745">
        <w:rPr>
          <w:rFonts w:ascii="Times New Roman" w:hAnsi="Times New Roman" w:cs="Times New Roman"/>
          <w:noProof/>
          <w:sz w:val="26"/>
          <w:szCs w:val="26"/>
          <w:lang w:val="lv-LV"/>
        </w:rPr>
        <w:t>nodokļu maksātājs noteiktajos samaksas termiņos samaksās nokavētos nodokļu maksājumus un samaksās arī turpmāk aprēķinātos nodokļu maksājumus atbilstoši normatīvajos aktos noteiktajiem termiņiem, bet arī pārliecība, ka nodokļu maksātājs minētajā likumā paredzētos tiesiskos risinājumus izmanto, lai risinātu radušās finansiālās grūtības, nevis nepildītu likuma “Par nodokļiem un nodevām” 15.</w:t>
      </w:r>
      <w:r w:rsidR="00EC689C">
        <w:rPr>
          <w:rFonts w:ascii="Times New Roman" w:hAnsi="Times New Roman" w:cs="Times New Roman"/>
          <w:noProof/>
          <w:sz w:val="26"/>
          <w:szCs w:val="26"/>
          <w:lang w:val="lv-LV"/>
        </w:rPr>
        <w:t> </w:t>
      </w:r>
      <w:r w:rsidR="00A977D2" w:rsidRPr="002C5745">
        <w:rPr>
          <w:rFonts w:ascii="Times New Roman" w:hAnsi="Times New Roman" w:cs="Times New Roman"/>
          <w:noProof/>
          <w:sz w:val="26"/>
          <w:szCs w:val="26"/>
          <w:lang w:val="lv-LV"/>
        </w:rPr>
        <w:t>panta pirmās daļas 2.</w:t>
      </w:r>
      <w:r w:rsidR="00EC689C">
        <w:rPr>
          <w:rFonts w:ascii="Times New Roman" w:hAnsi="Times New Roman" w:cs="Times New Roman"/>
          <w:noProof/>
          <w:sz w:val="26"/>
          <w:szCs w:val="26"/>
          <w:lang w:val="lv-LV"/>
        </w:rPr>
        <w:t> </w:t>
      </w:r>
      <w:r w:rsidR="00A977D2" w:rsidRPr="002C5745">
        <w:rPr>
          <w:rFonts w:ascii="Times New Roman" w:hAnsi="Times New Roman" w:cs="Times New Roman"/>
          <w:noProof/>
          <w:sz w:val="26"/>
          <w:szCs w:val="26"/>
          <w:lang w:val="lv-LV"/>
        </w:rPr>
        <w:t>punktā noteikto pienākumu.</w:t>
      </w:r>
    </w:p>
    <w:p w14:paraId="425DE933" w14:textId="77777777" w:rsidR="00224386" w:rsidRPr="002C5745" w:rsidRDefault="00224386" w:rsidP="007749E4">
      <w:pPr>
        <w:ind w:firstLine="720"/>
        <w:jc w:val="both"/>
        <w:rPr>
          <w:rFonts w:ascii="Times New Roman" w:hAnsi="Times New Roman" w:cs="Times New Roman"/>
          <w:noProof/>
          <w:sz w:val="26"/>
          <w:szCs w:val="26"/>
          <w:lang w:val="lv-LV"/>
        </w:rPr>
      </w:pPr>
    </w:p>
    <w:p w14:paraId="27C820D2" w14:textId="5E1C2A9A" w:rsidR="00802BA1" w:rsidRPr="002C5745" w:rsidRDefault="00224386" w:rsidP="00802BA1">
      <w:pPr>
        <w:ind w:firstLine="720"/>
        <w:jc w:val="center"/>
        <w:rPr>
          <w:rFonts w:ascii="Times New Roman" w:hAnsi="Times New Roman" w:cs="Times New Roman"/>
          <w:b/>
          <w:sz w:val="26"/>
          <w:szCs w:val="26"/>
          <w:lang w:val="lv-LV"/>
        </w:rPr>
      </w:pPr>
      <w:r w:rsidRPr="002C5745">
        <w:rPr>
          <w:rFonts w:ascii="Times New Roman" w:hAnsi="Times New Roman" w:cs="Times New Roman"/>
          <w:b/>
          <w:sz w:val="26"/>
          <w:szCs w:val="26"/>
          <w:lang w:val="lv-LV"/>
        </w:rPr>
        <w:t>2</w:t>
      </w:r>
      <w:r w:rsidR="0079353B" w:rsidRPr="002C5745">
        <w:rPr>
          <w:rFonts w:ascii="Times New Roman" w:hAnsi="Times New Roman" w:cs="Times New Roman"/>
          <w:b/>
          <w:sz w:val="26"/>
          <w:szCs w:val="26"/>
          <w:lang w:val="lv-LV"/>
        </w:rPr>
        <w:t>.</w:t>
      </w:r>
      <w:r w:rsidR="00C177AD" w:rsidRPr="002C5745">
        <w:rPr>
          <w:rFonts w:ascii="Times New Roman" w:hAnsi="Times New Roman" w:cs="Times New Roman"/>
          <w:b/>
          <w:sz w:val="26"/>
          <w:szCs w:val="26"/>
          <w:lang w:val="lv-LV"/>
        </w:rPr>
        <w:t>3</w:t>
      </w:r>
      <w:r w:rsidR="0079353B" w:rsidRPr="002C5745">
        <w:rPr>
          <w:rFonts w:ascii="Times New Roman" w:hAnsi="Times New Roman" w:cs="Times New Roman"/>
          <w:b/>
          <w:sz w:val="26"/>
          <w:szCs w:val="26"/>
          <w:lang w:val="lv-LV"/>
        </w:rPr>
        <w:t>.  </w:t>
      </w:r>
      <w:r w:rsidR="002437E6">
        <w:rPr>
          <w:rFonts w:ascii="Times New Roman" w:hAnsi="Times New Roman" w:cs="Times New Roman"/>
          <w:b/>
          <w:sz w:val="26"/>
          <w:szCs w:val="26"/>
          <w:lang w:val="lv-LV"/>
        </w:rPr>
        <w:t>ES</w:t>
      </w:r>
      <w:r w:rsidR="00802BA1" w:rsidRPr="002C5745">
        <w:rPr>
          <w:rFonts w:ascii="Times New Roman" w:hAnsi="Times New Roman" w:cs="Times New Roman"/>
          <w:b/>
          <w:sz w:val="26"/>
          <w:szCs w:val="26"/>
          <w:lang w:val="lv-LV"/>
        </w:rPr>
        <w:t xml:space="preserve"> dalībvalstu noteiktās nokavējuma naudas likmes</w:t>
      </w:r>
    </w:p>
    <w:p w14:paraId="439FE338" w14:textId="77777777" w:rsidR="006810B3" w:rsidRPr="002C5745" w:rsidRDefault="006810B3" w:rsidP="00802BA1">
      <w:pPr>
        <w:widowControl w:val="0"/>
        <w:tabs>
          <w:tab w:val="left" w:pos="6740"/>
        </w:tabs>
        <w:ind w:firstLine="709"/>
        <w:jc w:val="both"/>
        <w:rPr>
          <w:rFonts w:ascii="Times New Roman" w:eastAsia="Calibri" w:hAnsi="Times New Roman" w:cs="Times New Roman"/>
          <w:sz w:val="26"/>
          <w:szCs w:val="26"/>
          <w:lang w:val="lv-LV"/>
        </w:rPr>
      </w:pPr>
      <w:r w:rsidRPr="002C5745">
        <w:rPr>
          <w:rFonts w:ascii="Times New Roman" w:eastAsia="Calibri" w:hAnsi="Times New Roman" w:cs="Times New Roman"/>
          <w:sz w:val="26"/>
          <w:szCs w:val="26"/>
          <w:lang w:val="lv-LV"/>
        </w:rPr>
        <w:t xml:space="preserve">Eiropas nodokļu administrāciju organizācijas (IOTA – </w:t>
      </w:r>
      <w:r w:rsidRPr="002C5745">
        <w:rPr>
          <w:rFonts w:ascii="Times New Roman" w:eastAsia="Calibri" w:hAnsi="Times New Roman" w:cs="Times New Roman"/>
          <w:sz w:val="26"/>
          <w:szCs w:val="26"/>
        </w:rPr>
        <w:t>Intra-European Organization of Tax Administrations</w:t>
      </w:r>
      <w:r w:rsidRPr="002C5745">
        <w:rPr>
          <w:rFonts w:ascii="Times New Roman" w:eastAsia="Calibri" w:hAnsi="Times New Roman" w:cs="Times New Roman"/>
          <w:sz w:val="26"/>
          <w:szCs w:val="26"/>
          <w:lang w:val="lv-LV"/>
        </w:rPr>
        <w:t>) darba grupa “Parādu vadība” ir apkopojusi informāciju par IOTA dalībvalstīs esošajām nokavējuma naudām un tās apmēriem pārskatā</w:t>
      </w:r>
      <w:r w:rsidR="00740E0D" w:rsidRPr="002C5745">
        <w:rPr>
          <w:rFonts w:ascii="Times New Roman" w:eastAsia="Calibri" w:hAnsi="Times New Roman" w:cs="Times New Roman"/>
          <w:sz w:val="26"/>
          <w:szCs w:val="26"/>
          <w:lang w:val="lv-LV"/>
        </w:rPr>
        <w:t xml:space="preserve"> “</w:t>
      </w:r>
      <w:r w:rsidR="00740E0D" w:rsidRPr="002C5745">
        <w:rPr>
          <w:rFonts w:ascii="Times New Roman" w:eastAsia="Calibri" w:hAnsi="Times New Roman" w:cs="Times New Roman"/>
          <w:sz w:val="26"/>
          <w:szCs w:val="26"/>
        </w:rPr>
        <w:t>Use of Innovative Approaches to Promotion of Voluntary Tax Debt Payment – Deterrence Measures</w:t>
      </w:r>
      <w:r w:rsidR="00740E0D" w:rsidRPr="002C5745">
        <w:rPr>
          <w:rFonts w:ascii="Times New Roman" w:eastAsia="Calibri" w:hAnsi="Times New Roman" w:cs="Times New Roman"/>
          <w:sz w:val="26"/>
          <w:szCs w:val="26"/>
          <w:lang w:val="lv-LV"/>
        </w:rPr>
        <w:t>” (turpmāk – IOTA pārskats).</w:t>
      </w:r>
    </w:p>
    <w:p w14:paraId="67DCA765" w14:textId="23287ADF" w:rsidR="00646FC3" w:rsidRPr="002C5745" w:rsidRDefault="006810B3" w:rsidP="00646FC3">
      <w:pPr>
        <w:widowControl w:val="0"/>
        <w:tabs>
          <w:tab w:val="left" w:pos="6740"/>
        </w:tabs>
        <w:ind w:firstLine="709"/>
        <w:jc w:val="both"/>
        <w:rPr>
          <w:rFonts w:ascii="Times New Roman" w:eastAsia="Calibri" w:hAnsi="Times New Roman" w:cs="Times New Roman"/>
          <w:sz w:val="26"/>
          <w:szCs w:val="26"/>
          <w:lang w:val="lv-LV"/>
        </w:rPr>
      </w:pPr>
      <w:r w:rsidRPr="002C5745">
        <w:rPr>
          <w:rFonts w:ascii="Times New Roman" w:eastAsia="Calibri" w:hAnsi="Times New Roman" w:cs="Times New Roman"/>
          <w:sz w:val="26"/>
          <w:szCs w:val="26"/>
          <w:lang w:val="lv-LV"/>
        </w:rPr>
        <w:t xml:space="preserve">No minētā pārskata izriet, ka </w:t>
      </w:r>
      <w:r w:rsidR="00DE7615" w:rsidRPr="002C5745">
        <w:rPr>
          <w:rFonts w:ascii="Times New Roman" w:eastAsia="Calibri" w:hAnsi="Times New Roman" w:cs="Times New Roman"/>
          <w:sz w:val="26"/>
          <w:szCs w:val="26"/>
          <w:lang w:val="lv-LV"/>
        </w:rPr>
        <w:t>mazāk nekā puse no</w:t>
      </w:r>
      <w:r w:rsidRPr="002C5745">
        <w:rPr>
          <w:rFonts w:ascii="Times New Roman" w:eastAsia="Calibri" w:hAnsi="Times New Roman" w:cs="Times New Roman"/>
          <w:sz w:val="26"/>
          <w:szCs w:val="26"/>
          <w:lang w:val="lv-LV"/>
        </w:rPr>
        <w:t xml:space="preserve"> IOTA dalībvalstīm </w:t>
      </w:r>
      <w:r w:rsidR="00740E0D" w:rsidRPr="002C5745">
        <w:rPr>
          <w:rFonts w:ascii="Times New Roman" w:eastAsia="Calibri" w:hAnsi="Times New Roman" w:cs="Times New Roman"/>
          <w:sz w:val="26"/>
          <w:szCs w:val="26"/>
          <w:lang w:val="lv-LV"/>
        </w:rPr>
        <w:t xml:space="preserve">par </w:t>
      </w:r>
      <w:r w:rsidR="00DE7615" w:rsidRPr="002C5745">
        <w:rPr>
          <w:rFonts w:ascii="Times New Roman" w:eastAsia="Calibri" w:hAnsi="Times New Roman" w:cs="Times New Roman"/>
          <w:sz w:val="26"/>
          <w:szCs w:val="26"/>
          <w:lang w:val="lv-LV"/>
        </w:rPr>
        <w:t xml:space="preserve">nodokļu maksājumu samaksas termiņa kavējumu piemēro </w:t>
      </w:r>
      <w:r w:rsidR="000A0162" w:rsidRPr="002C5745">
        <w:rPr>
          <w:rFonts w:ascii="Times New Roman" w:eastAsia="Calibri" w:hAnsi="Times New Roman" w:cs="Times New Roman"/>
          <w:sz w:val="26"/>
          <w:szCs w:val="26"/>
          <w:lang w:val="lv-LV"/>
        </w:rPr>
        <w:t xml:space="preserve">sodu </w:t>
      </w:r>
      <w:r w:rsidR="00DE7615" w:rsidRPr="002C5745">
        <w:rPr>
          <w:rFonts w:ascii="Times New Roman" w:eastAsia="Calibri" w:hAnsi="Times New Roman" w:cs="Times New Roman"/>
          <w:sz w:val="26"/>
          <w:szCs w:val="26"/>
          <w:lang w:val="lv-LV"/>
        </w:rPr>
        <w:t>(</w:t>
      </w:r>
      <w:r w:rsidR="00DE7615" w:rsidRPr="002C5745">
        <w:rPr>
          <w:rFonts w:ascii="Times New Roman" w:eastAsia="Calibri" w:hAnsi="Times New Roman" w:cs="Times New Roman"/>
          <w:i/>
          <w:sz w:val="26"/>
          <w:szCs w:val="26"/>
        </w:rPr>
        <w:t>penalties</w:t>
      </w:r>
      <w:r w:rsidR="00DE7615" w:rsidRPr="002C5745">
        <w:rPr>
          <w:rFonts w:ascii="Times New Roman" w:eastAsia="Calibri" w:hAnsi="Times New Roman" w:cs="Times New Roman"/>
          <w:sz w:val="26"/>
          <w:szCs w:val="26"/>
          <w:lang w:val="lv-LV"/>
        </w:rPr>
        <w:t xml:space="preserve">), kura apmērs ir </w:t>
      </w:r>
      <w:r w:rsidR="00DE7615" w:rsidRPr="002C5745">
        <w:rPr>
          <w:rFonts w:ascii="Times New Roman" w:eastAsia="Calibri" w:hAnsi="Times New Roman" w:cs="Times New Roman"/>
          <w:sz w:val="26"/>
          <w:szCs w:val="26"/>
          <w:lang w:val="lv-LV"/>
        </w:rPr>
        <w:lastRenderedPageBreak/>
        <w:t xml:space="preserve">atkarīgs no nokavētā nodokļu maksājuma apmēra. </w:t>
      </w:r>
      <w:r w:rsidR="00646FC3" w:rsidRPr="002C5745">
        <w:rPr>
          <w:rFonts w:ascii="Times New Roman" w:eastAsia="Calibri" w:hAnsi="Times New Roman" w:cs="Times New Roman"/>
          <w:sz w:val="26"/>
          <w:szCs w:val="26"/>
          <w:lang w:val="lv-LV"/>
        </w:rPr>
        <w:t>Sods (naudas sods) par kavētu nodokļu maksājumu samaksu vai nodokļu maksājumu nemaksāšanu ir 15 valstīs, tajā skaitā Albānijā, Austrijā, Beļģijā, Dānijā, Francijā, Ungārijā, Itālijā, Somijā, Maltā, Nīderlandē, Polijā, Serbijas Republikā, Krievijā, Spānijā un Apvienotajā Karalistē.</w:t>
      </w:r>
      <w:r w:rsidR="00797BF7" w:rsidRPr="002C5745">
        <w:rPr>
          <w:rFonts w:ascii="Times New Roman" w:eastAsia="Calibri" w:hAnsi="Times New Roman" w:cs="Times New Roman"/>
          <w:sz w:val="26"/>
          <w:szCs w:val="26"/>
          <w:lang w:val="lv-LV"/>
        </w:rPr>
        <w:t xml:space="preserve"> </w:t>
      </w:r>
    </w:p>
    <w:p w14:paraId="170EB58B" w14:textId="77777777" w:rsidR="0040278B" w:rsidRPr="002C5745" w:rsidRDefault="0040278B" w:rsidP="00646FC3">
      <w:pPr>
        <w:widowControl w:val="0"/>
        <w:tabs>
          <w:tab w:val="left" w:pos="6740"/>
        </w:tabs>
        <w:ind w:firstLine="709"/>
        <w:jc w:val="both"/>
        <w:rPr>
          <w:rFonts w:ascii="Times New Roman" w:eastAsia="Calibri" w:hAnsi="Times New Roman" w:cs="Times New Roman"/>
          <w:sz w:val="26"/>
          <w:szCs w:val="26"/>
          <w:lang w:val="lv-LV"/>
        </w:rPr>
      </w:pPr>
      <w:r w:rsidRPr="002C5745">
        <w:rPr>
          <w:rFonts w:ascii="Times New Roman" w:eastAsia="Calibri" w:hAnsi="Times New Roman" w:cs="Times New Roman"/>
          <w:sz w:val="26"/>
          <w:szCs w:val="26"/>
          <w:lang w:val="lv-LV"/>
        </w:rPr>
        <w:t>Minētajās valstīs naudas soda apmērs tiek noteikts atšķirīgi. Tā, piemēram, trīs valstis piemēro fiksētu soda apmēru, savukārt 12 valstīs soda apmērs ir atkarīgs no nodokļu parāda apmēra (izņemot Apvienoto Karalisti, kurā tiek izmantotas abas pieejas).</w:t>
      </w:r>
    </w:p>
    <w:p w14:paraId="2A5765E5" w14:textId="77777777" w:rsidR="00646FC3" w:rsidRPr="002C5745" w:rsidRDefault="00646FC3" w:rsidP="00646FC3">
      <w:pPr>
        <w:widowControl w:val="0"/>
        <w:tabs>
          <w:tab w:val="left" w:pos="6740"/>
        </w:tabs>
        <w:ind w:firstLine="709"/>
        <w:jc w:val="both"/>
        <w:rPr>
          <w:rFonts w:ascii="Times New Roman" w:eastAsia="Calibri" w:hAnsi="Times New Roman" w:cs="Times New Roman"/>
          <w:sz w:val="26"/>
          <w:szCs w:val="26"/>
          <w:lang w:val="lv-LV"/>
        </w:rPr>
      </w:pPr>
      <w:r w:rsidRPr="002536F6">
        <w:rPr>
          <w:rFonts w:ascii="Times New Roman" w:eastAsia="Calibri" w:hAnsi="Times New Roman" w:cs="Times New Roman"/>
          <w:sz w:val="26"/>
          <w:szCs w:val="26"/>
          <w:u w:val="single"/>
          <w:lang w:val="lv-LV"/>
        </w:rPr>
        <w:t>Austrijā</w:t>
      </w:r>
      <w:r w:rsidRPr="002C5745">
        <w:rPr>
          <w:rFonts w:ascii="Times New Roman" w:hAnsi="Times New Roman" w:cs="Times New Roman"/>
          <w:sz w:val="26"/>
          <w:szCs w:val="26"/>
        </w:rPr>
        <w:t xml:space="preserve"> </w:t>
      </w:r>
      <w:r w:rsidRPr="002C5745">
        <w:rPr>
          <w:rFonts w:ascii="Times New Roman" w:eastAsia="Calibri" w:hAnsi="Times New Roman" w:cs="Times New Roman"/>
          <w:sz w:val="26"/>
          <w:szCs w:val="26"/>
          <w:lang w:val="lv-LV"/>
        </w:rPr>
        <w:t>ir naudas sods 2 % no nodokļu parāda apmēra. Ja nodoklis nav samaksāts vēl pēc trim mēnešiem, šajā brīdī tam ir jāsamaksā vēl 1 % no nesamaksātā nodokļa apmēra. Ja trīs mēneši pēc otrā atgādinājuma vēl joprojām nodoklis nav samaksāts, nodokļu maksātājam</w:t>
      </w:r>
      <w:r w:rsidRPr="002C5745">
        <w:rPr>
          <w:rFonts w:ascii="Times New Roman" w:hAnsi="Times New Roman" w:cs="Times New Roman"/>
          <w:sz w:val="26"/>
          <w:szCs w:val="26"/>
          <w:lang w:val="lv-LV"/>
        </w:rPr>
        <w:t xml:space="preserve"> papildus aprēķina 1% no nesamaksātās summas.</w:t>
      </w:r>
    </w:p>
    <w:p w14:paraId="75ECD835" w14:textId="77777777" w:rsidR="00797BF7" w:rsidRPr="002C5745" w:rsidRDefault="000F308D" w:rsidP="00797BF7">
      <w:pPr>
        <w:widowControl w:val="0"/>
        <w:tabs>
          <w:tab w:val="left" w:pos="6740"/>
        </w:tabs>
        <w:ind w:firstLine="709"/>
        <w:jc w:val="both"/>
        <w:rPr>
          <w:rFonts w:ascii="Times New Roman" w:eastAsia="Calibri" w:hAnsi="Times New Roman" w:cs="Times New Roman"/>
          <w:sz w:val="26"/>
          <w:szCs w:val="26"/>
          <w:lang w:val="lv-LV"/>
        </w:rPr>
      </w:pPr>
      <w:r w:rsidRPr="002536F6">
        <w:rPr>
          <w:rFonts w:ascii="Times New Roman" w:eastAsia="Calibri" w:hAnsi="Times New Roman" w:cs="Times New Roman"/>
          <w:sz w:val="26"/>
          <w:szCs w:val="26"/>
          <w:u w:val="single"/>
          <w:lang w:val="lv-LV"/>
        </w:rPr>
        <w:t>Ungārijā</w:t>
      </w:r>
      <w:r w:rsidRPr="002C5745">
        <w:rPr>
          <w:rFonts w:ascii="Times New Roman" w:eastAsia="Calibri" w:hAnsi="Times New Roman" w:cs="Times New Roman"/>
          <w:sz w:val="26"/>
          <w:szCs w:val="26"/>
          <w:lang w:val="lv-LV"/>
        </w:rPr>
        <w:t xml:space="preserve"> ir divu veidu sodi – nodokļu sods (</w:t>
      </w:r>
      <w:r w:rsidRPr="002C5745">
        <w:rPr>
          <w:rFonts w:ascii="Times New Roman" w:eastAsia="Calibri" w:hAnsi="Times New Roman" w:cs="Times New Roman"/>
          <w:i/>
          <w:sz w:val="26"/>
          <w:szCs w:val="26"/>
        </w:rPr>
        <w:t>tax penalty</w:t>
      </w:r>
      <w:r w:rsidRPr="002C5745">
        <w:rPr>
          <w:rFonts w:ascii="Times New Roman" w:eastAsia="Calibri" w:hAnsi="Times New Roman" w:cs="Times New Roman"/>
          <w:sz w:val="26"/>
          <w:szCs w:val="26"/>
          <w:lang w:val="lv-LV"/>
        </w:rPr>
        <w:t xml:space="preserve">) un </w:t>
      </w:r>
      <w:r w:rsidR="00AB7CF4" w:rsidRPr="002C5745">
        <w:rPr>
          <w:rFonts w:ascii="Times New Roman" w:eastAsia="Calibri" w:hAnsi="Times New Roman" w:cs="Times New Roman"/>
          <w:sz w:val="26"/>
          <w:szCs w:val="26"/>
          <w:lang w:val="lv-LV"/>
        </w:rPr>
        <w:t>nokavējuma sods (</w:t>
      </w:r>
      <w:r w:rsidR="00AB7CF4" w:rsidRPr="002C5745">
        <w:rPr>
          <w:rFonts w:ascii="Times New Roman" w:eastAsia="Calibri" w:hAnsi="Times New Roman" w:cs="Times New Roman"/>
          <w:i/>
          <w:sz w:val="26"/>
          <w:szCs w:val="26"/>
        </w:rPr>
        <w:t>default penalty</w:t>
      </w:r>
      <w:r w:rsidR="00AB7CF4" w:rsidRPr="002C5745">
        <w:rPr>
          <w:rFonts w:ascii="Times New Roman" w:eastAsia="Calibri" w:hAnsi="Times New Roman" w:cs="Times New Roman"/>
          <w:sz w:val="26"/>
          <w:szCs w:val="26"/>
          <w:lang w:val="lv-LV"/>
        </w:rPr>
        <w:t>).</w:t>
      </w:r>
    </w:p>
    <w:p w14:paraId="1A2F572D" w14:textId="77777777" w:rsidR="00797BF7" w:rsidRPr="002C5745" w:rsidRDefault="00797BF7" w:rsidP="00797BF7">
      <w:pPr>
        <w:widowControl w:val="0"/>
        <w:tabs>
          <w:tab w:val="left" w:pos="6740"/>
        </w:tabs>
        <w:ind w:firstLine="709"/>
        <w:jc w:val="both"/>
        <w:rPr>
          <w:rFonts w:ascii="Times New Roman" w:eastAsia="Calibri" w:hAnsi="Times New Roman" w:cs="Times New Roman"/>
          <w:sz w:val="26"/>
          <w:szCs w:val="26"/>
          <w:lang w:val="lv-LV"/>
        </w:rPr>
      </w:pPr>
      <w:r w:rsidRPr="002536F6">
        <w:rPr>
          <w:rFonts w:ascii="Times New Roman" w:eastAsia="Calibri" w:hAnsi="Times New Roman" w:cs="Times New Roman"/>
          <w:sz w:val="26"/>
          <w:szCs w:val="26"/>
          <w:u w:val="single"/>
          <w:lang w:val="lv-LV"/>
        </w:rPr>
        <w:t>Itālijā</w:t>
      </w:r>
      <w:r w:rsidRPr="002C5745">
        <w:rPr>
          <w:rFonts w:ascii="Times New Roman" w:eastAsia="Calibri" w:hAnsi="Times New Roman" w:cs="Times New Roman"/>
          <w:sz w:val="26"/>
          <w:szCs w:val="26"/>
          <w:lang w:val="lv-LV"/>
        </w:rPr>
        <w:t xml:space="preserve"> 30 dienas pēc paziņojuma par pārkāpumu sods ir 10 % no nesamaksātās summas. Ja nodokļu maksātājs šo nesamaksāto nodokļu parāda summu nesamaksā, tam tiek nosūtīta nodokļu maksāšanas veidlapa ar soda naudu 30 % apmērā no parāda summas, kā arī citas izmaksas un nokavējuma nauda.</w:t>
      </w:r>
    </w:p>
    <w:p w14:paraId="25301ECF" w14:textId="77777777" w:rsidR="0040278B" w:rsidRPr="002C5745" w:rsidRDefault="0040278B" w:rsidP="00797BF7">
      <w:pPr>
        <w:widowControl w:val="0"/>
        <w:tabs>
          <w:tab w:val="left" w:pos="6740"/>
        </w:tabs>
        <w:ind w:firstLine="709"/>
        <w:jc w:val="both"/>
        <w:rPr>
          <w:rFonts w:ascii="Times New Roman" w:eastAsia="Calibri" w:hAnsi="Times New Roman" w:cs="Times New Roman"/>
          <w:sz w:val="26"/>
          <w:szCs w:val="26"/>
          <w:lang w:val="lv-LV"/>
        </w:rPr>
      </w:pPr>
      <w:r w:rsidRPr="002536F6">
        <w:rPr>
          <w:rFonts w:ascii="Times New Roman" w:eastAsia="Calibri" w:hAnsi="Times New Roman" w:cs="Times New Roman"/>
          <w:sz w:val="26"/>
          <w:szCs w:val="26"/>
          <w:u w:val="single"/>
          <w:lang w:val="lv-LV"/>
        </w:rPr>
        <w:t>Spānijā</w:t>
      </w:r>
      <w:r w:rsidRPr="002C5745">
        <w:rPr>
          <w:rFonts w:ascii="Times New Roman" w:eastAsia="Calibri" w:hAnsi="Times New Roman" w:cs="Times New Roman"/>
          <w:sz w:val="26"/>
          <w:szCs w:val="26"/>
          <w:lang w:val="lv-LV"/>
        </w:rPr>
        <w:t xml:space="preserve"> naudas sodam ir trīs </w:t>
      </w:r>
      <w:r w:rsidR="00904516" w:rsidRPr="002C5745">
        <w:rPr>
          <w:rFonts w:ascii="Times New Roman" w:eastAsia="Calibri" w:hAnsi="Times New Roman" w:cs="Times New Roman"/>
          <w:sz w:val="26"/>
          <w:szCs w:val="26"/>
          <w:lang w:val="lv-LV"/>
        </w:rPr>
        <w:t xml:space="preserve">procentu </w:t>
      </w:r>
      <w:r w:rsidRPr="002C5745">
        <w:rPr>
          <w:rFonts w:ascii="Times New Roman" w:eastAsia="Calibri" w:hAnsi="Times New Roman" w:cs="Times New Roman"/>
          <w:sz w:val="26"/>
          <w:szCs w:val="26"/>
          <w:lang w:val="lv-LV"/>
        </w:rPr>
        <w:t>likmes (5 %, 10 % un 20 % no nodokļu parāda apmēra). Konkrēto likmi piemēro atkarībā no tā, cik ilgi nodokļu maksātājs</w:t>
      </w:r>
      <w:r w:rsidR="00904516" w:rsidRPr="002C5745">
        <w:rPr>
          <w:rFonts w:ascii="Times New Roman" w:eastAsia="Calibri" w:hAnsi="Times New Roman" w:cs="Times New Roman"/>
          <w:sz w:val="26"/>
          <w:szCs w:val="26"/>
          <w:lang w:val="lv-LV"/>
        </w:rPr>
        <w:t xml:space="preserve"> no oficiālā atgādinājuma saņemšanas ir</w:t>
      </w:r>
      <w:r w:rsidRPr="002C5745">
        <w:rPr>
          <w:rFonts w:ascii="Times New Roman" w:eastAsia="Calibri" w:hAnsi="Times New Roman" w:cs="Times New Roman"/>
          <w:sz w:val="26"/>
          <w:szCs w:val="26"/>
          <w:lang w:val="lv-LV"/>
        </w:rPr>
        <w:t xml:space="preserve"> kavējis nodokļu maks</w:t>
      </w:r>
      <w:r w:rsidR="00904516" w:rsidRPr="002C5745">
        <w:rPr>
          <w:rFonts w:ascii="Times New Roman" w:eastAsia="Calibri" w:hAnsi="Times New Roman" w:cs="Times New Roman"/>
          <w:sz w:val="26"/>
          <w:szCs w:val="26"/>
          <w:lang w:val="lv-LV"/>
        </w:rPr>
        <w:t>ājuma samaksu</w:t>
      </w:r>
      <w:r w:rsidRPr="002C5745">
        <w:rPr>
          <w:rFonts w:ascii="Times New Roman" w:eastAsia="Calibri" w:hAnsi="Times New Roman" w:cs="Times New Roman"/>
          <w:sz w:val="26"/>
          <w:szCs w:val="26"/>
          <w:lang w:val="lv-LV"/>
        </w:rPr>
        <w:t>.</w:t>
      </w:r>
    </w:p>
    <w:p w14:paraId="421AAD49" w14:textId="77777777" w:rsidR="000A0162" w:rsidRPr="002C5745" w:rsidRDefault="00797BF7" w:rsidP="00802BA1">
      <w:pPr>
        <w:widowControl w:val="0"/>
        <w:tabs>
          <w:tab w:val="left" w:pos="6740"/>
        </w:tabs>
        <w:ind w:firstLine="709"/>
        <w:jc w:val="both"/>
        <w:rPr>
          <w:rFonts w:ascii="Times New Roman" w:eastAsia="Calibri" w:hAnsi="Times New Roman" w:cs="Times New Roman"/>
          <w:sz w:val="26"/>
          <w:szCs w:val="26"/>
          <w:lang w:val="lv-LV"/>
        </w:rPr>
      </w:pPr>
      <w:r w:rsidRPr="002C5745">
        <w:rPr>
          <w:rFonts w:ascii="Times New Roman" w:eastAsia="Calibri" w:hAnsi="Times New Roman" w:cs="Times New Roman"/>
          <w:sz w:val="26"/>
          <w:szCs w:val="26"/>
          <w:lang w:val="lv-LV"/>
        </w:rPr>
        <w:t xml:space="preserve">Savukārt 15 valstīs nav noteikts sods par nodokļu maksājumu samaksas termiņa kavējumu, bet ir noteikta </w:t>
      </w:r>
      <w:r w:rsidR="00A0236B" w:rsidRPr="002C5745">
        <w:rPr>
          <w:rFonts w:ascii="Times New Roman" w:eastAsia="Calibri" w:hAnsi="Times New Roman" w:cs="Times New Roman"/>
          <w:sz w:val="26"/>
          <w:szCs w:val="26"/>
          <w:lang w:val="lv-LV"/>
        </w:rPr>
        <w:t xml:space="preserve">tikai </w:t>
      </w:r>
      <w:r w:rsidRPr="002C5745">
        <w:rPr>
          <w:rFonts w:ascii="Times New Roman" w:eastAsia="Calibri" w:hAnsi="Times New Roman" w:cs="Times New Roman"/>
          <w:sz w:val="26"/>
          <w:szCs w:val="26"/>
          <w:lang w:val="lv-LV"/>
        </w:rPr>
        <w:t xml:space="preserve">nokavējuma nauda, </w:t>
      </w:r>
      <w:r w:rsidR="000A0162" w:rsidRPr="002C5745">
        <w:rPr>
          <w:rFonts w:ascii="Times New Roman" w:eastAsia="Calibri" w:hAnsi="Times New Roman" w:cs="Times New Roman"/>
          <w:sz w:val="26"/>
          <w:szCs w:val="26"/>
          <w:lang w:val="lv-LV"/>
        </w:rPr>
        <w:t>kuras apmērs parasti var sasniegt kavētā nodokļu maksājuma apmēru.</w:t>
      </w:r>
      <w:r w:rsidR="008218C9" w:rsidRPr="002C5745">
        <w:rPr>
          <w:rFonts w:ascii="Times New Roman" w:eastAsia="Calibri" w:hAnsi="Times New Roman" w:cs="Times New Roman"/>
          <w:sz w:val="26"/>
          <w:szCs w:val="26"/>
          <w:lang w:val="lv-LV"/>
        </w:rPr>
        <w:t xml:space="preserve"> Proti, n</w:t>
      </w:r>
      <w:r w:rsidR="00A0236B" w:rsidRPr="002C5745">
        <w:rPr>
          <w:rFonts w:ascii="Times New Roman" w:eastAsia="Calibri" w:hAnsi="Times New Roman" w:cs="Times New Roman"/>
          <w:sz w:val="26"/>
          <w:szCs w:val="26"/>
          <w:lang w:val="lv-LV"/>
        </w:rPr>
        <w:t>o 30 aptaujātajām IOTA dalībvalstīm 24 valstis norādīja, ka nokavējuma nauda tiek aprēķināta līdz brīdim, kamēr nodokļu parāds ir pilnībā samaksāts.</w:t>
      </w:r>
    </w:p>
    <w:p w14:paraId="1476AB4E" w14:textId="77777777" w:rsidR="00A0236B" w:rsidRPr="002C5745" w:rsidRDefault="00A0236B" w:rsidP="00802BA1">
      <w:pPr>
        <w:widowControl w:val="0"/>
        <w:tabs>
          <w:tab w:val="left" w:pos="6740"/>
        </w:tabs>
        <w:ind w:firstLine="709"/>
        <w:jc w:val="both"/>
        <w:rPr>
          <w:rFonts w:ascii="Times New Roman" w:eastAsia="Calibri" w:hAnsi="Times New Roman" w:cs="Times New Roman"/>
          <w:sz w:val="26"/>
          <w:szCs w:val="26"/>
          <w:lang w:val="lv-LV"/>
        </w:rPr>
      </w:pPr>
      <w:r w:rsidRPr="002536F6">
        <w:rPr>
          <w:rFonts w:ascii="Times New Roman" w:eastAsia="Calibri" w:hAnsi="Times New Roman" w:cs="Times New Roman"/>
          <w:sz w:val="26"/>
          <w:szCs w:val="26"/>
          <w:u w:val="single"/>
          <w:lang w:val="lv-LV"/>
        </w:rPr>
        <w:t>Azerbaidžānā</w:t>
      </w:r>
      <w:r w:rsidRPr="002C5745">
        <w:rPr>
          <w:rFonts w:ascii="Times New Roman" w:eastAsia="Calibri" w:hAnsi="Times New Roman" w:cs="Times New Roman"/>
          <w:sz w:val="26"/>
          <w:szCs w:val="26"/>
          <w:lang w:val="lv-LV"/>
        </w:rPr>
        <w:t xml:space="preserve"> maksā procentus ne ilgāk kā vienu gadu.</w:t>
      </w:r>
    </w:p>
    <w:p w14:paraId="27968463" w14:textId="77777777" w:rsidR="005A3C14" w:rsidRPr="002C5745" w:rsidRDefault="009553F4" w:rsidP="00802BA1">
      <w:pPr>
        <w:widowControl w:val="0"/>
        <w:tabs>
          <w:tab w:val="left" w:pos="6740"/>
        </w:tabs>
        <w:ind w:firstLine="709"/>
        <w:jc w:val="both"/>
        <w:rPr>
          <w:rFonts w:ascii="Times New Roman" w:eastAsia="Calibri" w:hAnsi="Times New Roman" w:cs="Times New Roman"/>
          <w:sz w:val="26"/>
          <w:szCs w:val="26"/>
          <w:lang w:val="lv-LV"/>
        </w:rPr>
      </w:pPr>
      <w:r w:rsidRPr="002536F6">
        <w:rPr>
          <w:rFonts w:ascii="Times New Roman" w:eastAsia="Calibri" w:hAnsi="Times New Roman" w:cs="Times New Roman"/>
          <w:sz w:val="26"/>
          <w:szCs w:val="26"/>
          <w:u w:val="single"/>
          <w:lang w:val="lv-LV"/>
        </w:rPr>
        <w:t>Beļģijā</w:t>
      </w:r>
      <w:r w:rsidRPr="002C5745">
        <w:rPr>
          <w:rFonts w:ascii="Times New Roman" w:eastAsia="Calibri" w:hAnsi="Times New Roman" w:cs="Times New Roman"/>
          <w:sz w:val="26"/>
          <w:szCs w:val="26"/>
          <w:lang w:val="lv-LV"/>
        </w:rPr>
        <w:t xml:space="preserve"> aptur nokavējuma naudas aprēķinu, ja, piemēram, nodokļu maksātājam ir nodokļu parādu samaksas kārtība.</w:t>
      </w:r>
    </w:p>
    <w:p w14:paraId="54619484" w14:textId="77777777" w:rsidR="009F1CB0" w:rsidRPr="002C5745" w:rsidRDefault="009F1CB0" w:rsidP="009F1CB0">
      <w:pPr>
        <w:widowControl w:val="0"/>
        <w:tabs>
          <w:tab w:val="left" w:pos="6740"/>
        </w:tabs>
        <w:ind w:firstLine="709"/>
        <w:jc w:val="both"/>
        <w:rPr>
          <w:rFonts w:ascii="Times New Roman" w:eastAsia="Calibri" w:hAnsi="Times New Roman" w:cs="Times New Roman"/>
          <w:sz w:val="26"/>
          <w:szCs w:val="26"/>
          <w:lang w:val="lv-LV"/>
        </w:rPr>
      </w:pPr>
      <w:r w:rsidRPr="002536F6">
        <w:rPr>
          <w:rFonts w:ascii="Times New Roman" w:eastAsia="Calibri" w:hAnsi="Times New Roman" w:cs="Times New Roman"/>
          <w:sz w:val="26"/>
          <w:szCs w:val="26"/>
          <w:u w:val="single"/>
          <w:lang w:val="lv-LV"/>
        </w:rPr>
        <w:t>Itālijā</w:t>
      </w:r>
      <w:r w:rsidRPr="002C5745">
        <w:rPr>
          <w:rFonts w:ascii="Times New Roman" w:eastAsia="Calibri" w:hAnsi="Times New Roman" w:cs="Times New Roman"/>
          <w:sz w:val="26"/>
          <w:szCs w:val="26"/>
          <w:lang w:val="lv-LV"/>
        </w:rPr>
        <w:t xml:space="preserve"> nodokļu parādam pirms piespiedu izpildes perioda un nodokļu parādam, kas nodots piespiedu izpildei, ir noteiktas atšķirīgas nokavējuma naudas likmes.</w:t>
      </w:r>
    </w:p>
    <w:p w14:paraId="3E8B81E4" w14:textId="799B3CF8" w:rsidR="009F1CB0" w:rsidRPr="002C5745" w:rsidRDefault="008218C9" w:rsidP="009F1CB0">
      <w:pPr>
        <w:widowControl w:val="0"/>
        <w:tabs>
          <w:tab w:val="left" w:pos="6740"/>
        </w:tabs>
        <w:ind w:firstLine="709"/>
        <w:jc w:val="both"/>
        <w:rPr>
          <w:rFonts w:ascii="Times New Roman" w:eastAsia="Calibri" w:hAnsi="Times New Roman" w:cs="Times New Roman"/>
          <w:sz w:val="26"/>
          <w:szCs w:val="26"/>
          <w:lang w:val="lv-LV"/>
        </w:rPr>
      </w:pPr>
      <w:r w:rsidRPr="002C5745">
        <w:rPr>
          <w:rFonts w:ascii="Times New Roman" w:eastAsia="Calibri" w:hAnsi="Times New Roman" w:cs="Times New Roman"/>
          <w:sz w:val="26"/>
          <w:szCs w:val="26"/>
          <w:lang w:val="lv-LV"/>
        </w:rPr>
        <w:t xml:space="preserve">Nokavējuma naudas apmērs </w:t>
      </w:r>
      <w:r w:rsidR="002437E6">
        <w:rPr>
          <w:rFonts w:ascii="Times New Roman" w:eastAsia="Calibri" w:hAnsi="Times New Roman" w:cs="Times New Roman"/>
          <w:sz w:val="26"/>
          <w:szCs w:val="26"/>
          <w:lang w:val="lv-LV"/>
        </w:rPr>
        <w:t>ES</w:t>
      </w:r>
      <w:r w:rsidRPr="002C5745">
        <w:rPr>
          <w:rFonts w:ascii="Times New Roman" w:eastAsia="Calibri" w:hAnsi="Times New Roman" w:cs="Times New Roman"/>
          <w:sz w:val="26"/>
          <w:szCs w:val="26"/>
          <w:lang w:val="lv-LV"/>
        </w:rPr>
        <w:t xml:space="preserve"> dalībvalstīs</w:t>
      </w:r>
      <w:r w:rsidR="004B1797" w:rsidRPr="002C5745">
        <w:rPr>
          <w:rFonts w:ascii="Times New Roman" w:eastAsia="Calibri" w:hAnsi="Times New Roman" w:cs="Times New Roman"/>
          <w:sz w:val="26"/>
          <w:szCs w:val="26"/>
          <w:lang w:val="lv-LV"/>
        </w:rPr>
        <w:t xml:space="preserve"> ir atšķirīgs. Dažās valstīs likme ir fiksēts procentu lielums, savukārt citās tā tiek aprēķināta, ņemot vērā komerciālo vai starpbanku likmi</w:t>
      </w:r>
      <w:r w:rsidR="009F1CB0" w:rsidRPr="002C5745">
        <w:rPr>
          <w:rFonts w:ascii="Times New Roman" w:eastAsia="Calibri" w:hAnsi="Times New Roman" w:cs="Times New Roman"/>
          <w:sz w:val="26"/>
          <w:szCs w:val="26"/>
          <w:lang w:val="lv-LV"/>
        </w:rPr>
        <w:t xml:space="preserve"> vai kādu citu procentu likmes aprēķināšanas metodi</w:t>
      </w:r>
      <w:r w:rsidR="004B1797" w:rsidRPr="002C5745">
        <w:rPr>
          <w:rFonts w:ascii="Times New Roman" w:eastAsia="Calibri" w:hAnsi="Times New Roman" w:cs="Times New Roman"/>
          <w:sz w:val="26"/>
          <w:szCs w:val="26"/>
          <w:lang w:val="lv-LV"/>
        </w:rPr>
        <w:t xml:space="preserve">. </w:t>
      </w:r>
    </w:p>
    <w:p w14:paraId="0902DDED" w14:textId="578052AC" w:rsidR="009F1CB0" w:rsidRPr="002C5745" w:rsidRDefault="004B1797" w:rsidP="009F1CB0">
      <w:pPr>
        <w:widowControl w:val="0"/>
        <w:tabs>
          <w:tab w:val="left" w:pos="6740"/>
        </w:tabs>
        <w:ind w:firstLine="709"/>
        <w:jc w:val="both"/>
        <w:rPr>
          <w:rFonts w:ascii="Times New Roman" w:hAnsi="Times New Roman" w:cs="Times New Roman"/>
          <w:sz w:val="26"/>
          <w:szCs w:val="26"/>
          <w:lang w:val="lv-LV"/>
        </w:rPr>
      </w:pPr>
      <w:r w:rsidRPr="002C5745">
        <w:rPr>
          <w:rFonts w:ascii="Times New Roman" w:eastAsia="Calibri" w:hAnsi="Times New Roman" w:cs="Times New Roman"/>
          <w:sz w:val="26"/>
          <w:szCs w:val="26"/>
          <w:lang w:val="lv-LV"/>
        </w:rPr>
        <w:t xml:space="preserve">Procentu </w:t>
      </w:r>
      <w:r w:rsidR="009F1CB0" w:rsidRPr="002C5745">
        <w:rPr>
          <w:rFonts w:ascii="Times New Roman" w:hAnsi="Times New Roman" w:cs="Times New Roman"/>
          <w:sz w:val="26"/>
          <w:szCs w:val="26"/>
          <w:lang w:val="lv-LV"/>
        </w:rPr>
        <w:t>likmju diapazons ir</w:t>
      </w:r>
      <w:r w:rsidR="009F59F3">
        <w:rPr>
          <w:rFonts w:ascii="Times New Roman" w:hAnsi="Times New Roman" w:cs="Times New Roman"/>
          <w:sz w:val="26"/>
          <w:szCs w:val="26"/>
          <w:lang w:val="lv-LV"/>
        </w:rPr>
        <w:t>,</w:t>
      </w:r>
      <w:r w:rsidR="009F1CB0" w:rsidRPr="002C5745">
        <w:rPr>
          <w:rFonts w:ascii="Times New Roman" w:hAnsi="Times New Roman" w:cs="Times New Roman"/>
          <w:sz w:val="26"/>
          <w:szCs w:val="26"/>
          <w:lang w:val="lv-LV"/>
        </w:rPr>
        <w:t xml:space="preserve"> sākot no 3% līdz 36,5% gadā. </w:t>
      </w:r>
    </w:p>
    <w:p w14:paraId="4E087542" w14:textId="77777777" w:rsidR="009F1CB0" w:rsidRPr="002C5745" w:rsidRDefault="009F1CB0" w:rsidP="009F1CB0">
      <w:pPr>
        <w:widowControl w:val="0"/>
        <w:tabs>
          <w:tab w:val="left" w:pos="6740"/>
        </w:tabs>
        <w:ind w:firstLine="709"/>
        <w:jc w:val="both"/>
        <w:rPr>
          <w:rFonts w:ascii="Times New Roman" w:hAnsi="Times New Roman" w:cs="Times New Roman"/>
          <w:sz w:val="26"/>
          <w:szCs w:val="26"/>
          <w:lang w:val="lv-LV"/>
        </w:rPr>
      </w:pPr>
      <w:r w:rsidRPr="002C5745">
        <w:rPr>
          <w:rFonts w:ascii="Times New Roman" w:eastAsia="Calibri" w:hAnsi="Times New Roman" w:cs="Times New Roman"/>
          <w:sz w:val="26"/>
          <w:szCs w:val="26"/>
          <w:lang w:val="lv-LV"/>
        </w:rPr>
        <w:t>IOTA pārskatā, a</w:t>
      </w:r>
      <w:r w:rsidRPr="002C5745">
        <w:rPr>
          <w:rFonts w:ascii="Times New Roman" w:hAnsi="Times New Roman" w:cs="Times New Roman"/>
          <w:sz w:val="26"/>
          <w:szCs w:val="26"/>
          <w:lang w:val="lv-LV"/>
        </w:rPr>
        <w:t>nalizējot 26 aptaujāto valstu gada procentu likmes diapazonu,</w:t>
      </w:r>
      <w:r w:rsidR="005F7D2D" w:rsidRPr="002C5745">
        <w:rPr>
          <w:rFonts w:ascii="Times New Roman" w:hAnsi="Times New Roman" w:cs="Times New Roman"/>
          <w:sz w:val="26"/>
          <w:szCs w:val="26"/>
          <w:lang w:val="lv-LV"/>
        </w:rPr>
        <w:t xml:space="preserve"> konstatēts, ka 16 valstis</w:t>
      </w:r>
      <w:r w:rsidRPr="002C5745">
        <w:rPr>
          <w:rFonts w:ascii="Times New Roman" w:hAnsi="Times New Roman" w:cs="Times New Roman"/>
          <w:sz w:val="26"/>
          <w:szCs w:val="26"/>
          <w:lang w:val="lv-LV"/>
        </w:rPr>
        <w:t xml:space="preserve"> izmanto procentu</w:t>
      </w:r>
      <w:r w:rsidR="005F7D2D" w:rsidRPr="002C5745">
        <w:rPr>
          <w:rFonts w:ascii="Times New Roman" w:hAnsi="Times New Roman" w:cs="Times New Roman"/>
          <w:sz w:val="26"/>
          <w:szCs w:val="26"/>
          <w:lang w:val="lv-LV"/>
        </w:rPr>
        <w:t xml:space="preserve"> likmi zem 10%, 4 valstīs </w:t>
      </w:r>
      <w:r w:rsidRPr="002C5745">
        <w:rPr>
          <w:rFonts w:ascii="Times New Roman" w:hAnsi="Times New Roman" w:cs="Times New Roman"/>
          <w:sz w:val="26"/>
          <w:szCs w:val="26"/>
          <w:lang w:val="lv-LV"/>
        </w:rPr>
        <w:t>procentu likmes diapazons ir no 10% lī</w:t>
      </w:r>
      <w:r w:rsidR="005F7D2D" w:rsidRPr="002C5745">
        <w:rPr>
          <w:rFonts w:ascii="Times New Roman" w:hAnsi="Times New Roman" w:cs="Times New Roman"/>
          <w:sz w:val="26"/>
          <w:szCs w:val="26"/>
          <w:lang w:val="lv-LV"/>
        </w:rPr>
        <w:t xml:space="preserve">dz 20%, savukārt 6 valstīm </w:t>
      </w:r>
      <w:r w:rsidRPr="002C5745">
        <w:rPr>
          <w:rFonts w:ascii="Times New Roman" w:hAnsi="Times New Roman" w:cs="Times New Roman"/>
          <w:sz w:val="26"/>
          <w:szCs w:val="26"/>
          <w:lang w:val="lv-LV"/>
        </w:rPr>
        <w:t>nokavējuma naudas likmi ir vienāda vai lielāka par 20%.</w:t>
      </w:r>
    </w:p>
    <w:p w14:paraId="35874C9A" w14:textId="537EECEE" w:rsidR="00527F5D" w:rsidRDefault="005F7D2D" w:rsidP="00802BA1">
      <w:pPr>
        <w:widowControl w:val="0"/>
        <w:tabs>
          <w:tab w:val="left" w:pos="6740"/>
        </w:tabs>
        <w:ind w:firstLine="709"/>
        <w:jc w:val="both"/>
        <w:rPr>
          <w:rFonts w:ascii="Times New Roman" w:eastAsia="Calibri" w:hAnsi="Times New Roman" w:cs="Times New Roman"/>
          <w:sz w:val="26"/>
          <w:szCs w:val="26"/>
          <w:lang w:val="lv-LV"/>
        </w:rPr>
      </w:pPr>
      <w:r w:rsidRPr="002C5745">
        <w:rPr>
          <w:rFonts w:ascii="Times New Roman" w:eastAsia="Calibri" w:hAnsi="Times New Roman" w:cs="Times New Roman"/>
          <w:sz w:val="26"/>
          <w:szCs w:val="26"/>
          <w:lang w:val="lv-LV"/>
        </w:rPr>
        <w:t>I</w:t>
      </w:r>
      <w:r w:rsidR="00527F5D" w:rsidRPr="002C5745">
        <w:rPr>
          <w:rFonts w:ascii="Times New Roman" w:eastAsia="Calibri" w:hAnsi="Times New Roman" w:cs="Times New Roman"/>
          <w:sz w:val="26"/>
          <w:szCs w:val="26"/>
          <w:lang w:val="lv-LV"/>
        </w:rPr>
        <w:t xml:space="preserve">zvērtējot </w:t>
      </w:r>
      <w:r w:rsidR="002437E6">
        <w:rPr>
          <w:rFonts w:ascii="Times New Roman" w:eastAsia="Calibri" w:hAnsi="Times New Roman" w:cs="Times New Roman"/>
          <w:sz w:val="26"/>
          <w:szCs w:val="26"/>
          <w:lang w:val="lv-LV"/>
        </w:rPr>
        <w:t>ES</w:t>
      </w:r>
      <w:r w:rsidR="00527F5D" w:rsidRPr="002C5745">
        <w:rPr>
          <w:rFonts w:ascii="Times New Roman" w:eastAsia="Calibri" w:hAnsi="Times New Roman" w:cs="Times New Roman"/>
          <w:sz w:val="26"/>
          <w:szCs w:val="26"/>
          <w:lang w:val="lv-LV"/>
        </w:rPr>
        <w:t xml:space="preserve"> dalībvalstu tīmekļa vietnēs pieejamo informāciju, konstatējams, ka </w:t>
      </w:r>
      <w:r w:rsidRPr="002C5745">
        <w:rPr>
          <w:rFonts w:ascii="Times New Roman" w:eastAsia="Calibri" w:hAnsi="Times New Roman" w:cs="Times New Roman"/>
          <w:sz w:val="26"/>
          <w:szCs w:val="26"/>
          <w:lang w:val="lv-LV"/>
        </w:rPr>
        <w:t xml:space="preserve">līdzās nokavējuma naudai vai (un) soda naudai par </w:t>
      </w:r>
      <w:r w:rsidR="00C2077E" w:rsidRPr="002C5745">
        <w:rPr>
          <w:rFonts w:ascii="Times New Roman" w:eastAsia="Calibri" w:hAnsi="Times New Roman" w:cs="Times New Roman"/>
          <w:sz w:val="26"/>
          <w:szCs w:val="26"/>
          <w:lang w:val="lv-LV"/>
        </w:rPr>
        <w:t>nodokļu samaksas termiņa kavējumu</w:t>
      </w:r>
      <w:r w:rsidRPr="002C5745">
        <w:rPr>
          <w:rFonts w:ascii="Times New Roman" w:eastAsia="Calibri" w:hAnsi="Times New Roman" w:cs="Times New Roman"/>
          <w:sz w:val="26"/>
          <w:szCs w:val="26"/>
          <w:lang w:val="lv-LV"/>
        </w:rPr>
        <w:t>, nodokļu maksātājam tiek piemēroti būtiski sodi par nodokļu deklarācijas termiņa neievērošanu.</w:t>
      </w:r>
    </w:p>
    <w:p w14:paraId="6B5F63B6" w14:textId="77777777" w:rsidR="001D1FD7" w:rsidRPr="00EC689C" w:rsidRDefault="001D1FD7" w:rsidP="00802BA1">
      <w:pPr>
        <w:widowControl w:val="0"/>
        <w:tabs>
          <w:tab w:val="left" w:pos="6740"/>
        </w:tabs>
        <w:ind w:firstLine="709"/>
        <w:jc w:val="both"/>
        <w:rPr>
          <w:rFonts w:ascii="Times New Roman" w:eastAsia="Calibri" w:hAnsi="Times New Roman" w:cs="Times New Roman"/>
          <w:sz w:val="12"/>
          <w:szCs w:val="12"/>
          <w:lang w:val="lv-LV"/>
        </w:rPr>
      </w:pPr>
    </w:p>
    <w:tbl>
      <w:tblPr>
        <w:tblStyle w:val="TableGrid"/>
        <w:tblW w:w="0" w:type="auto"/>
        <w:tblLook w:val="04A0" w:firstRow="1" w:lastRow="0" w:firstColumn="1" w:lastColumn="0" w:noHBand="0" w:noVBand="1"/>
      </w:tblPr>
      <w:tblGrid>
        <w:gridCol w:w="2192"/>
        <w:gridCol w:w="3034"/>
        <w:gridCol w:w="3836"/>
      </w:tblGrid>
      <w:tr w:rsidR="00C2077E" w:rsidRPr="002C5745" w14:paraId="5C3F7A38" w14:textId="77777777" w:rsidTr="00F67628">
        <w:tc>
          <w:tcPr>
            <w:tcW w:w="2263" w:type="dxa"/>
          </w:tcPr>
          <w:p w14:paraId="229291CE" w14:textId="1B0C8B0E" w:rsidR="00C2077E" w:rsidRPr="00880EC7" w:rsidRDefault="00C2077E" w:rsidP="00EC689C">
            <w:pPr>
              <w:pStyle w:val="NoSpacing"/>
              <w:jc w:val="center"/>
              <w:rPr>
                <w:rFonts w:ascii="Times New Roman" w:hAnsi="Times New Roman" w:cs="Times New Roman"/>
                <w:b/>
              </w:rPr>
            </w:pPr>
            <w:r w:rsidRPr="00880EC7">
              <w:rPr>
                <w:rFonts w:ascii="Times New Roman" w:hAnsi="Times New Roman" w:cs="Times New Roman"/>
                <w:b/>
              </w:rPr>
              <w:t>Valsts</w:t>
            </w:r>
          </w:p>
        </w:tc>
        <w:tc>
          <w:tcPr>
            <w:tcW w:w="3119" w:type="dxa"/>
          </w:tcPr>
          <w:p w14:paraId="6BF047DA" w14:textId="77777777" w:rsidR="00C2077E" w:rsidRPr="00880EC7" w:rsidRDefault="00C2077E" w:rsidP="00EC689C">
            <w:pPr>
              <w:pStyle w:val="NoSpacing"/>
              <w:jc w:val="center"/>
              <w:rPr>
                <w:rFonts w:ascii="Times New Roman" w:eastAsia="Calibri" w:hAnsi="Times New Roman" w:cs="Times New Roman"/>
                <w:b/>
              </w:rPr>
            </w:pPr>
            <w:r w:rsidRPr="00880EC7">
              <w:rPr>
                <w:rFonts w:ascii="Times New Roman" w:eastAsia="Calibri" w:hAnsi="Times New Roman" w:cs="Times New Roman"/>
                <w:b/>
              </w:rPr>
              <w:t>Nokavējuma naudas likme</w:t>
            </w:r>
          </w:p>
        </w:tc>
        <w:tc>
          <w:tcPr>
            <w:tcW w:w="4013" w:type="dxa"/>
          </w:tcPr>
          <w:p w14:paraId="7C0162FD" w14:textId="77777777" w:rsidR="00C2077E" w:rsidRPr="00880EC7" w:rsidRDefault="00C2077E" w:rsidP="00EC689C">
            <w:pPr>
              <w:pStyle w:val="NoSpacing"/>
              <w:jc w:val="center"/>
              <w:rPr>
                <w:rFonts w:ascii="Times New Roman" w:eastAsia="Calibri" w:hAnsi="Times New Roman" w:cs="Times New Roman"/>
                <w:b/>
              </w:rPr>
            </w:pPr>
            <w:r w:rsidRPr="00880EC7">
              <w:rPr>
                <w:rFonts w:ascii="Times New Roman" w:eastAsia="Calibri" w:hAnsi="Times New Roman" w:cs="Times New Roman"/>
                <w:b/>
              </w:rPr>
              <w:t>Cita informācija</w:t>
            </w:r>
          </w:p>
        </w:tc>
      </w:tr>
      <w:tr w:rsidR="00C2077E" w:rsidRPr="002C5745" w14:paraId="10D5D2E4" w14:textId="77777777" w:rsidTr="00F67628">
        <w:tc>
          <w:tcPr>
            <w:tcW w:w="2263" w:type="dxa"/>
          </w:tcPr>
          <w:p w14:paraId="0A40AF5B" w14:textId="77777777" w:rsidR="00C2077E" w:rsidRPr="00880EC7" w:rsidRDefault="00C2077E" w:rsidP="00BF6C32">
            <w:pPr>
              <w:pStyle w:val="NoSpacing"/>
              <w:rPr>
                <w:rFonts w:ascii="Times New Roman" w:hAnsi="Times New Roman" w:cs="Times New Roman"/>
              </w:rPr>
            </w:pPr>
            <w:r w:rsidRPr="00880EC7">
              <w:rPr>
                <w:rFonts w:ascii="Times New Roman" w:hAnsi="Times New Roman" w:cs="Times New Roman"/>
              </w:rPr>
              <w:t>Apvienotā Karaliste</w:t>
            </w:r>
            <w:r w:rsidRPr="00880EC7">
              <w:rPr>
                <w:rStyle w:val="FootnoteReference"/>
                <w:rFonts w:ascii="Times New Roman" w:hAnsi="Times New Roman" w:cs="Times New Roman"/>
              </w:rPr>
              <w:footnoteReference w:id="22"/>
            </w:r>
          </w:p>
        </w:tc>
        <w:tc>
          <w:tcPr>
            <w:tcW w:w="3119" w:type="dxa"/>
          </w:tcPr>
          <w:p w14:paraId="6E93F6F2" w14:textId="77777777" w:rsidR="00C2077E" w:rsidRPr="00880EC7" w:rsidRDefault="00C2077E" w:rsidP="00EC689C">
            <w:pPr>
              <w:pStyle w:val="NoSpacing"/>
              <w:jc w:val="both"/>
              <w:rPr>
                <w:rFonts w:ascii="Times New Roman" w:hAnsi="Times New Roman" w:cs="Times New Roman"/>
              </w:rPr>
            </w:pPr>
            <w:r w:rsidRPr="00880EC7">
              <w:rPr>
                <w:rFonts w:ascii="Times New Roman" w:hAnsi="Times New Roman" w:cs="Times New Roman"/>
              </w:rPr>
              <w:t>Sākot no 21.11.2017. likme 3%.</w:t>
            </w:r>
          </w:p>
        </w:tc>
        <w:tc>
          <w:tcPr>
            <w:tcW w:w="4013" w:type="dxa"/>
          </w:tcPr>
          <w:p w14:paraId="3D75874B" w14:textId="77777777" w:rsidR="00C2077E" w:rsidRPr="00880EC7" w:rsidRDefault="00C2077E" w:rsidP="002B5932">
            <w:pPr>
              <w:pStyle w:val="NoSpacing"/>
              <w:jc w:val="both"/>
              <w:rPr>
                <w:rFonts w:ascii="Times New Roman" w:hAnsi="Times New Roman" w:cs="Times New Roman"/>
              </w:rPr>
            </w:pPr>
            <w:r w:rsidRPr="00880EC7">
              <w:rPr>
                <w:rFonts w:ascii="Times New Roman" w:hAnsi="Times New Roman" w:cs="Times New Roman"/>
              </w:rPr>
              <w:t>Par nokavētu nodokļu deklarācijas iesniegšanu:</w:t>
            </w:r>
          </w:p>
          <w:p w14:paraId="60D418F1" w14:textId="77777777" w:rsidR="00C2077E" w:rsidRPr="00880EC7" w:rsidRDefault="00C2077E" w:rsidP="002B5932">
            <w:pPr>
              <w:pStyle w:val="NoSpacing"/>
              <w:jc w:val="both"/>
              <w:rPr>
                <w:rFonts w:ascii="Times New Roman" w:hAnsi="Times New Roman" w:cs="Times New Roman"/>
              </w:rPr>
            </w:pPr>
            <w:r w:rsidRPr="00880EC7">
              <w:rPr>
                <w:rFonts w:ascii="Times New Roman" w:hAnsi="Times New Roman" w:cs="Times New Roman"/>
              </w:rPr>
              <w:lastRenderedPageBreak/>
              <w:t>Par 1 dienu £100;</w:t>
            </w:r>
          </w:p>
          <w:p w14:paraId="43CDC771" w14:textId="77777777" w:rsidR="00C2077E" w:rsidRPr="00880EC7" w:rsidRDefault="00C2077E" w:rsidP="002B5932">
            <w:pPr>
              <w:pStyle w:val="NoSpacing"/>
              <w:jc w:val="both"/>
              <w:rPr>
                <w:rFonts w:ascii="Times New Roman" w:hAnsi="Times New Roman" w:cs="Times New Roman"/>
              </w:rPr>
            </w:pPr>
            <w:r w:rsidRPr="00880EC7">
              <w:rPr>
                <w:rFonts w:ascii="Times New Roman" w:hAnsi="Times New Roman" w:cs="Times New Roman"/>
              </w:rPr>
              <w:t>+</w:t>
            </w:r>
          </w:p>
          <w:p w14:paraId="4869177C" w14:textId="77777777" w:rsidR="00C2077E" w:rsidRPr="00880EC7" w:rsidRDefault="00C2077E" w:rsidP="002B5932">
            <w:pPr>
              <w:pStyle w:val="NoSpacing"/>
              <w:jc w:val="both"/>
              <w:rPr>
                <w:rFonts w:ascii="Times New Roman" w:hAnsi="Times New Roman" w:cs="Times New Roman"/>
              </w:rPr>
            </w:pPr>
            <w:r w:rsidRPr="00880EC7">
              <w:rPr>
                <w:rFonts w:ascii="Times New Roman" w:hAnsi="Times New Roman" w:cs="Times New Roman"/>
              </w:rPr>
              <w:t xml:space="preserve">Līdz 3 mēn. £10 par katru papildu dienu (līdz 90 dienām) </w:t>
            </w:r>
          </w:p>
          <w:p w14:paraId="02B6DD4C" w14:textId="77777777" w:rsidR="00C2077E" w:rsidRPr="00880EC7" w:rsidRDefault="00C2077E" w:rsidP="002B5932">
            <w:pPr>
              <w:pStyle w:val="NoSpacing"/>
              <w:jc w:val="both"/>
              <w:rPr>
                <w:rFonts w:ascii="Times New Roman" w:hAnsi="Times New Roman" w:cs="Times New Roman"/>
              </w:rPr>
            </w:pPr>
            <w:r w:rsidRPr="00880EC7">
              <w:rPr>
                <w:rFonts w:ascii="Times New Roman" w:hAnsi="Times New Roman" w:cs="Times New Roman"/>
              </w:rPr>
              <w:t>+</w:t>
            </w:r>
          </w:p>
          <w:p w14:paraId="3C5459A4" w14:textId="77777777" w:rsidR="00C2077E" w:rsidRPr="00880EC7" w:rsidRDefault="00C2077E" w:rsidP="002B5932">
            <w:pPr>
              <w:pStyle w:val="NoSpacing"/>
              <w:jc w:val="both"/>
              <w:rPr>
                <w:rFonts w:ascii="Times New Roman" w:hAnsi="Times New Roman" w:cs="Times New Roman"/>
              </w:rPr>
            </w:pPr>
            <w:r w:rsidRPr="00880EC7">
              <w:rPr>
                <w:rFonts w:ascii="Times New Roman" w:hAnsi="Times New Roman" w:cs="Times New Roman"/>
              </w:rPr>
              <w:t>Līdz 6 mēn. vai nu £300 vai 5% no neatmaksātās summas [atkarībā no tā, kura summa būs augstāka];</w:t>
            </w:r>
          </w:p>
          <w:p w14:paraId="0AFFC8CB" w14:textId="77777777" w:rsidR="00C2077E" w:rsidRPr="00880EC7" w:rsidRDefault="00C2077E" w:rsidP="002B5932">
            <w:pPr>
              <w:pStyle w:val="NoSpacing"/>
              <w:jc w:val="both"/>
              <w:rPr>
                <w:rFonts w:ascii="Times New Roman" w:hAnsi="Times New Roman" w:cs="Times New Roman"/>
              </w:rPr>
            </w:pPr>
            <w:r w:rsidRPr="00880EC7">
              <w:rPr>
                <w:rFonts w:ascii="Times New Roman" w:hAnsi="Times New Roman" w:cs="Times New Roman"/>
              </w:rPr>
              <w:t>+</w:t>
            </w:r>
          </w:p>
          <w:p w14:paraId="11C6C08E" w14:textId="77777777" w:rsidR="00C2077E" w:rsidRPr="00880EC7" w:rsidRDefault="00C2077E" w:rsidP="002B5932">
            <w:pPr>
              <w:pStyle w:val="NoSpacing"/>
              <w:jc w:val="both"/>
              <w:rPr>
                <w:rFonts w:ascii="Times New Roman" w:hAnsi="Times New Roman" w:cs="Times New Roman"/>
              </w:rPr>
            </w:pPr>
            <w:r w:rsidRPr="00880EC7">
              <w:rPr>
                <w:rFonts w:ascii="Times New Roman" w:hAnsi="Times New Roman" w:cs="Times New Roman"/>
              </w:rPr>
              <w:t xml:space="preserve">Līdz 12 mēn. £300 vai 5% no neatmaksātās summas, bet nopietnākos gadījumos var būt arī 100% no neatmaksātā nodokļa. </w:t>
            </w:r>
          </w:p>
        </w:tc>
      </w:tr>
      <w:tr w:rsidR="00BF6C32" w:rsidRPr="002C5745" w14:paraId="621BF845" w14:textId="77777777" w:rsidTr="00F67628">
        <w:tc>
          <w:tcPr>
            <w:tcW w:w="2263" w:type="dxa"/>
          </w:tcPr>
          <w:p w14:paraId="76083D5B" w14:textId="77777777" w:rsidR="00C2077E" w:rsidRPr="00880EC7" w:rsidRDefault="00F56202" w:rsidP="00646FC3">
            <w:pPr>
              <w:pStyle w:val="NoSpacing"/>
              <w:rPr>
                <w:rFonts w:ascii="Times New Roman" w:eastAsia="Calibri" w:hAnsi="Times New Roman" w:cs="Times New Roman"/>
              </w:rPr>
            </w:pPr>
            <w:r w:rsidRPr="00880EC7">
              <w:rPr>
                <w:rFonts w:ascii="Times New Roman" w:hAnsi="Times New Roman" w:cs="Times New Roman"/>
              </w:rPr>
              <w:lastRenderedPageBreak/>
              <w:t>Austrija</w:t>
            </w:r>
            <w:r w:rsidR="009F1CB0" w:rsidRPr="00880EC7">
              <w:rPr>
                <w:rStyle w:val="FootnoteReference"/>
                <w:rFonts w:ascii="Times New Roman" w:hAnsi="Times New Roman" w:cs="Times New Roman"/>
              </w:rPr>
              <w:footnoteReference w:id="23"/>
            </w:r>
          </w:p>
        </w:tc>
        <w:tc>
          <w:tcPr>
            <w:tcW w:w="3119" w:type="dxa"/>
          </w:tcPr>
          <w:p w14:paraId="3526C5AB" w14:textId="77777777" w:rsidR="00B723CE" w:rsidRPr="00880EC7" w:rsidRDefault="00263B80" w:rsidP="00EC689C">
            <w:pPr>
              <w:pStyle w:val="NoSpacing"/>
              <w:jc w:val="both"/>
              <w:rPr>
                <w:rFonts w:ascii="Times New Roman" w:hAnsi="Times New Roman" w:cs="Times New Roman"/>
              </w:rPr>
            </w:pPr>
            <w:r w:rsidRPr="00880EC7">
              <w:rPr>
                <w:rFonts w:ascii="Times New Roman" w:hAnsi="Times New Roman" w:cs="Times New Roman"/>
              </w:rPr>
              <w:t>Sākot no 21.11.2017. likme 2% no nesamaksātās summas</w:t>
            </w:r>
            <w:r w:rsidR="00B723CE" w:rsidRPr="00880EC7">
              <w:rPr>
                <w:rFonts w:ascii="Times New Roman" w:hAnsi="Times New Roman" w:cs="Times New Roman"/>
              </w:rPr>
              <w:t>.</w:t>
            </w:r>
          </w:p>
          <w:p w14:paraId="2B7A0378" w14:textId="77777777" w:rsidR="00B723CE" w:rsidRPr="00880EC7" w:rsidRDefault="00B723CE" w:rsidP="00EC689C">
            <w:pPr>
              <w:pStyle w:val="NoSpacing"/>
              <w:jc w:val="both"/>
              <w:rPr>
                <w:rFonts w:ascii="Times New Roman" w:hAnsi="Times New Roman" w:cs="Times New Roman"/>
              </w:rPr>
            </w:pPr>
            <w:r w:rsidRPr="00880EC7">
              <w:rPr>
                <w:rFonts w:ascii="Times New Roman" w:hAnsi="Times New Roman" w:cs="Times New Roman"/>
              </w:rPr>
              <w:t xml:space="preserve">Ja nodoklis nav samaksāts </w:t>
            </w:r>
            <w:r w:rsidR="00263B80" w:rsidRPr="00880EC7">
              <w:rPr>
                <w:rFonts w:ascii="Times New Roman" w:hAnsi="Times New Roman" w:cs="Times New Roman"/>
              </w:rPr>
              <w:t>3 mēn</w:t>
            </w:r>
            <w:r w:rsidRPr="00880EC7">
              <w:rPr>
                <w:rFonts w:ascii="Times New Roman" w:hAnsi="Times New Roman" w:cs="Times New Roman"/>
              </w:rPr>
              <w:t xml:space="preserve">ešu laikā </w:t>
            </w:r>
            <w:r w:rsidR="00E87AA6" w:rsidRPr="00880EC7">
              <w:rPr>
                <w:rFonts w:ascii="Times New Roman" w:hAnsi="Times New Roman" w:cs="Times New Roman"/>
              </w:rPr>
              <w:t xml:space="preserve">– papildus </w:t>
            </w:r>
            <w:r w:rsidRPr="00880EC7">
              <w:rPr>
                <w:rFonts w:ascii="Times New Roman" w:hAnsi="Times New Roman" w:cs="Times New Roman"/>
              </w:rPr>
              <w:t>1%</w:t>
            </w:r>
            <w:r w:rsidR="00E87AA6" w:rsidRPr="00880EC7">
              <w:rPr>
                <w:rFonts w:ascii="Times New Roman" w:hAnsi="Times New Roman" w:cs="Times New Roman"/>
              </w:rPr>
              <w:t xml:space="preserve"> no nesamaksātās summas</w:t>
            </w:r>
            <w:r w:rsidRPr="00880EC7">
              <w:rPr>
                <w:rFonts w:ascii="Times New Roman" w:hAnsi="Times New Roman" w:cs="Times New Roman"/>
              </w:rPr>
              <w:t>.</w:t>
            </w:r>
          </w:p>
          <w:p w14:paraId="02E3DDFA" w14:textId="652CE5D4" w:rsidR="00C2077E" w:rsidRPr="00880EC7" w:rsidRDefault="00E87AA6" w:rsidP="00EC689C">
            <w:pPr>
              <w:pStyle w:val="NoSpacing"/>
              <w:jc w:val="both"/>
              <w:rPr>
                <w:rFonts w:ascii="Times New Roman" w:hAnsi="Times New Roman" w:cs="Times New Roman"/>
              </w:rPr>
            </w:pPr>
            <w:r w:rsidRPr="00880EC7">
              <w:rPr>
                <w:rFonts w:ascii="Times New Roman" w:hAnsi="Times New Roman" w:cs="Times New Roman"/>
              </w:rPr>
              <w:t xml:space="preserve">Ja nodoklis nav samaksāts vēl pēc 3 mēnešiem - vēl papildus </w:t>
            </w:r>
            <w:r w:rsidR="00A67B44" w:rsidRPr="00880EC7">
              <w:rPr>
                <w:rFonts w:ascii="Times New Roman" w:hAnsi="Times New Roman" w:cs="Times New Roman"/>
              </w:rPr>
              <w:t>1%</w:t>
            </w:r>
            <w:r w:rsidRPr="00880EC7">
              <w:rPr>
                <w:rFonts w:ascii="Times New Roman" w:hAnsi="Times New Roman" w:cs="Times New Roman"/>
              </w:rPr>
              <w:t xml:space="preserve"> no nesamaksātās summas</w:t>
            </w:r>
            <w:r w:rsidR="00A67B44" w:rsidRPr="00880EC7">
              <w:rPr>
                <w:rFonts w:ascii="Times New Roman" w:hAnsi="Times New Roman" w:cs="Times New Roman"/>
              </w:rPr>
              <w:t>.</w:t>
            </w:r>
          </w:p>
        </w:tc>
        <w:tc>
          <w:tcPr>
            <w:tcW w:w="4013" w:type="dxa"/>
          </w:tcPr>
          <w:p w14:paraId="7AC768F4" w14:textId="77777777" w:rsidR="00C2077E" w:rsidRPr="00880EC7" w:rsidRDefault="00B723CE" w:rsidP="002B5932">
            <w:pPr>
              <w:pStyle w:val="NoSpacing"/>
              <w:jc w:val="both"/>
              <w:rPr>
                <w:rFonts w:ascii="Times New Roman" w:hAnsi="Times New Roman" w:cs="Times New Roman"/>
              </w:rPr>
            </w:pPr>
            <w:r w:rsidRPr="00880EC7">
              <w:rPr>
                <w:rFonts w:ascii="Times New Roman" w:hAnsi="Times New Roman" w:cs="Times New Roman"/>
              </w:rPr>
              <w:t>Soda apmērs par</w:t>
            </w:r>
            <w:r w:rsidR="00263B80" w:rsidRPr="00880EC7">
              <w:rPr>
                <w:rFonts w:ascii="Times New Roman" w:hAnsi="Times New Roman" w:cs="Times New Roman"/>
              </w:rPr>
              <w:t xml:space="preserve"> nokavētu nodokļu deklarācijas iesniegšanu</w:t>
            </w:r>
            <w:r w:rsidRPr="00880EC7">
              <w:rPr>
                <w:rFonts w:ascii="Times New Roman" w:hAnsi="Times New Roman" w:cs="Times New Roman"/>
              </w:rPr>
              <w:t xml:space="preserve"> ir a</w:t>
            </w:r>
            <w:r w:rsidR="00263B80" w:rsidRPr="00880EC7">
              <w:rPr>
                <w:rFonts w:ascii="Times New Roman" w:hAnsi="Times New Roman" w:cs="Times New Roman"/>
              </w:rPr>
              <w:t xml:space="preserve">tkarīgs </w:t>
            </w:r>
            <w:r w:rsidRPr="00880EC7">
              <w:rPr>
                <w:rFonts w:ascii="Times New Roman" w:hAnsi="Times New Roman" w:cs="Times New Roman"/>
              </w:rPr>
              <w:t>no</w:t>
            </w:r>
            <w:r w:rsidR="00263B80" w:rsidRPr="00880EC7">
              <w:rPr>
                <w:rFonts w:ascii="Times New Roman" w:hAnsi="Times New Roman" w:cs="Times New Roman"/>
              </w:rPr>
              <w:t xml:space="preserve"> nodokļu administrācija</w:t>
            </w:r>
            <w:r w:rsidRPr="00880EC7">
              <w:rPr>
                <w:rFonts w:ascii="Times New Roman" w:hAnsi="Times New Roman" w:cs="Times New Roman"/>
              </w:rPr>
              <w:t>s lēmuma</w:t>
            </w:r>
            <w:r w:rsidR="00263B80" w:rsidRPr="00880EC7">
              <w:rPr>
                <w:rFonts w:ascii="Times New Roman" w:hAnsi="Times New Roman" w:cs="Times New Roman"/>
              </w:rPr>
              <w:t>, bet</w:t>
            </w:r>
            <w:r w:rsidRPr="00880EC7">
              <w:rPr>
                <w:rFonts w:ascii="Times New Roman" w:hAnsi="Times New Roman" w:cs="Times New Roman"/>
              </w:rPr>
              <w:t xml:space="preserve"> tas</w:t>
            </w:r>
            <w:r w:rsidR="00263B80" w:rsidRPr="00880EC7">
              <w:rPr>
                <w:rFonts w:ascii="Times New Roman" w:hAnsi="Times New Roman" w:cs="Times New Roman"/>
              </w:rPr>
              <w:t xml:space="preserve"> nevar pārsniegt 10% no kavētā maksājuma.</w:t>
            </w:r>
          </w:p>
          <w:p w14:paraId="4F124E21" w14:textId="77777777" w:rsidR="00E87AA6" w:rsidRPr="00880EC7" w:rsidRDefault="00E87AA6" w:rsidP="002B5932">
            <w:pPr>
              <w:pStyle w:val="NoSpacing"/>
              <w:jc w:val="both"/>
              <w:rPr>
                <w:rFonts w:ascii="Times New Roman" w:hAnsi="Times New Roman" w:cs="Times New Roman"/>
              </w:rPr>
            </w:pPr>
          </w:p>
          <w:p w14:paraId="0C4C31B7" w14:textId="77777777" w:rsidR="00E87AA6" w:rsidRPr="00880EC7" w:rsidRDefault="00E87AA6" w:rsidP="002B5932">
            <w:pPr>
              <w:pStyle w:val="NoSpacing"/>
              <w:jc w:val="both"/>
              <w:rPr>
                <w:rFonts w:ascii="Times New Roman" w:eastAsia="Calibri" w:hAnsi="Times New Roman" w:cs="Times New Roman"/>
              </w:rPr>
            </w:pPr>
            <w:r w:rsidRPr="00880EC7">
              <w:rPr>
                <w:rFonts w:ascii="Times New Roman" w:hAnsi="Times New Roman" w:cs="Times New Roman"/>
              </w:rPr>
              <w:t>Ir iespējams atlikt nodokļu maksājuma samaksu, ja ir oficiāls nodokļu maksātāja pieprasījums (nokavējuma nauda šajā gadījumā tiek aprēķināta).</w:t>
            </w:r>
          </w:p>
        </w:tc>
      </w:tr>
      <w:tr w:rsidR="00BF6C32" w:rsidRPr="002C5745" w14:paraId="6F765E6F" w14:textId="77777777" w:rsidTr="00F67628">
        <w:tc>
          <w:tcPr>
            <w:tcW w:w="2263" w:type="dxa"/>
          </w:tcPr>
          <w:p w14:paraId="66105125" w14:textId="77777777" w:rsidR="00C2077E" w:rsidRPr="00880EC7" w:rsidRDefault="00DF55C9" w:rsidP="00BF6C32">
            <w:pPr>
              <w:pStyle w:val="NoSpacing"/>
              <w:rPr>
                <w:rFonts w:ascii="Times New Roman" w:hAnsi="Times New Roman" w:cs="Times New Roman"/>
              </w:rPr>
            </w:pPr>
            <w:r w:rsidRPr="00880EC7">
              <w:rPr>
                <w:rFonts w:ascii="Times New Roman" w:hAnsi="Times New Roman" w:cs="Times New Roman"/>
              </w:rPr>
              <w:t>Beļģija</w:t>
            </w:r>
            <w:r w:rsidR="00143B57" w:rsidRPr="00880EC7">
              <w:rPr>
                <w:rStyle w:val="FootnoteReference"/>
                <w:rFonts w:ascii="Times New Roman" w:hAnsi="Times New Roman" w:cs="Times New Roman"/>
              </w:rPr>
              <w:footnoteReference w:id="24"/>
            </w:r>
          </w:p>
        </w:tc>
        <w:tc>
          <w:tcPr>
            <w:tcW w:w="3119" w:type="dxa"/>
          </w:tcPr>
          <w:p w14:paraId="1B05EFBB" w14:textId="77777777" w:rsidR="00C2077E" w:rsidRPr="00880EC7" w:rsidRDefault="00143B57" w:rsidP="00EC689C">
            <w:pPr>
              <w:pStyle w:val="NoSpacing"/>
              <w:jc w:val="both"/>
              <w:rPr>
                <w:rFonts w:ascii="Times New Roman" w:hAnsi="Times New Roman" w:cs="Times New Roman"/>
              </w:rPr>
            </w:pPr>
            <w:r w:rsidRPr="00880EC7">
              <w:rPr>
                <w:rFonts w:ascii="Times New Roman" w:hAnsi="Times New Roman" w:cs="Times New Roman"/>
              </w:rPr>
              <w:t xml:space="preserve">No 2018.gada nokavējuma nauda ir vismaz 4 % (un ne vairāk kā 10 </w:t>
            </w:r>
            <w:r w:rsidR="00DF55C9" w:rsidRPr="00880EC7">
              <w:rPr>
                <w:rFonts w:ascii="Times New Roman" w:hAnsi="Times New Roman" w:cs="Times New Roman"/>
              </w:rPr>
              <w:t>%</w:t>
            </w:r>
            <w:r w:rsidRPr="00880EC7">
              <w:rPr>
                <w:rFonts w:ascii="Times New Roman" w:hAnsi="Times New Roman" w:cs="Times New Roman"/>
              </w:rPr>
              <w:t>)</w:t>
            </w:r>
          </w:p>
        </w:tc>
        <w:tc>
          <w:tcPr>
            <w:tcW w:w="4013" w:type="dxa"/>
          </w:tcPr>
          <w:p w14:paraId="4DCA9301" w14:textId="77777777" w:rsidR="00C2077E" w:rsidRPr="00880EC7" w:rsidRDefault="00DF55C9" w:rsidP="002B5932">
            <w:pPr>
              <w:pStyle w:val="NoSpacing"/>
              <w:jc w:val="both"/>
              <w:rPr>
                <w:rFonts w:ascii="Times New Roman" w:eastAsia="Calibri" w:hAnsi="Times New Roman" w:cs="Times New Roman"/>
              </w:rPr>
            </w:pPr>
            <w:r w:rsidRPr="00880EC7">
              <w:rPr>
                <w:rFonts w:ascii="Times New Roman" w:hAnsi="Times New Roman" w:cs="Times New Roman"/>
              </w:rPr>
              <w:t>Par nokavētu nodokļu deklarācijas iesniegšanu no 10% līdz 200% no maksājamā nodokļa.</w:t>
            </w:r>
          </w:p>
        </w:tc>
      </w:tr>
      <w:tr w:rsidR="00BF6C32" w:rsidRPr="002C5745" w14:paraId="0AC877DF" w14:textId="77777777" w:rsidTr="00F67628">
        <w:tc>
          <w:tcPr>
            <w:tcW w:w="2263" w:type="dxa"/>
          </w:tcPr>
          <w:p w14:paraId="2B11B6B2" w14:textId="77777777" w:rsidR="00C2077E" w:rsidRPr="00880EC7" w:rsidRDefault="00BF6C32" w:rsidP="000F3E15">
            <w:pPr>
              <w:pStyle w:val="NoSpacing"/>
              <w:rPr>
                <w:rFonts w:ascii="Times New Roman" w:eastAsia="Calibri" w:hAnsi="Times New Roman" w:cs="Times New Roman"/>
              </w:rPr>
            </w:pPr>
            <w:r w:rsidRPr="00880EC7">
              <w:rPr>
                <w:rFonts w:ascii="Times New Roman" w:eastAsia="Calibri" w:hAnsi="Times New Roman" w:cs="Times New Roman"/>
              </w:rPr>
              <w:t>Čehija</w:t>
            </w:r>
            <w:r w:rsidR="000F3E15" w:rsidRPr="00880EC7">
              <w:rPr>
                <w:rStyle w:val="FootnoteReference"/>
                <w:rFonts w:ascii="Times New Roman" w:eastAsia="Calibri" w:hAnsi="Times New Roman" w:cs="Times New Roman"/>
              </w:rPr>
              <w:footnoteReference w:id="25"/>
            </w:r>
          </w:p>
        </w:tc>
        <w:tc>
          <w:tcPr>
            <w:tcW w:w="3119" w:type="dxa"/>
          </w:tcPr>
          <w:p w14:paraId="619A9391" w14:textId="77777777" w:rsidR="00C2077E" w:rsidRPr="00880EC7" w:rsidRDefault="000F3E15" w:rsidP="00EC689C">
            <w:pPr>
              <w:pStyle w:val="NoSpacing"/>
              <w:jc w:val="both"/>
              <w:rPr>
                <w:rFonts w:ascii="Times New Roman" w:hAnsi="Times New Roman" w:cs="Times New Roman"/>
              </w:rPr>
            </w:pPr>
            <w:r w:rsidRPr="00880EC7">
              <w:rPr>
                <w:rFonts w:ascii="Times New Roman" w:hAnsi="Times New Roman" w:cs="Times New Roman"/>
              </w:rPr>
              <w:t>V</w:t>
            </w:r>
            <w:r w:rsidR="00BF6C32" w:rsidRPr="00880EC7">
              <w:rPr>
                <w:rFonts w:ascii="Times New Roman" w:hAnsi="Times New Roman" w:cs="Times New Roman"/>
              </w:rPr>
              <w:t>alsts Centrālās bankas likme, par kuru dod komercbankām kredītus</w:t>
            </w:r>
            <w:r w:rsidRPr="00880EC7">
              <w:rPr>
                <w:rFonts w:ascii="Times New Roman" w:hAnsi="Times New Roman" w:cs="Times New Roman"/>
              </w:rPr>
              <w:t>, un</w:t>
            </w:r>
            <w:r w:rsidR="00BF6C32" w:rsidRPr="00880EC7">
              <w:rPr>
                <w:rFonts w:ascii="Times New Roman" w:hAnsi="Times New Roman" w:cs="Times New Roman"/>
              </w:rPr>
              <w:t xml:space="preserve"> papildus </w:t>
            </w:r>
            <w:r w:rsidRPr="00880EC7">
              <w:rPr>
                <w:rFonts w:ascii="Times New Roman" w:hAnsi="Times New Roman" w:cs="Times New Roman"/>
              </w:rPr>
              <w:t xml:space="preserve">vēl </w:t>
            </w:r>
            <w:r w:rsidR="005F7D2D" w:rsidRPr="00880EC7">
              <w:rPr>
                <w:rFonts w:ascii="Times New Roman" w:hAnsi="Times New Roman" w:cs="Times New Roman"/>
              </w:rPr>
              <w:t>gada likme 14%.</w:t>
            </w:r>
          </w:p>
        </w:tc>
        <w:tc>
          <w:tcPr>
            <w:tcW w:w="4013" w:type="dxa"/>
          </w:tcPr>
          <w:p w14:paraId="021C17C4" w14:textId="77777777" w:rsidR="00C2077E" w:rsidRPr="00880EC7" w:rsidRDefault="00BF6C32" w:rsidP="002B5932">
            <w:pPr>
              <w:pStyle w:val="NoSpacing"/>
              <w:jc w:val="both"/>
              <w:rPr>
                <w:rFonts w:ascii="Times New Roman" w:eastAsia="Calibri" w:hAnsi="Times New Roman" w:cs="Times New Roman"/>
              </w:rPr>
            </w:pPr>
            <w:r w:rsidRPr="00880EC7">
              <w:rPr>
                <w:rFonts w:ascii="Times New Roman" w:hAnsi="Times New Roman" w:cs="Times New Roman"/>
              </w:rPr>
              <w:t>Par nokavētu nodokļu deklarācijas iesniegšanu</w:t>
            </w:r>
            <w:r w:rsidR="000F3E15" w:rsidRPr="00880EC7">
              <w:rPr>
                <w:rFonts w:ascii="Times New Roman" w:hAnsi="Times New Roman" w:cs="Times New Roman"/>
              </w:rPr>
              <w:t xml:space="preserve"> </w:t>
            </w:r>
            <w:r w:rsidRPr="00880EC7">
              <w:rPr>
                <w:rFonts w:ascii="Times New Roman" w:hAnsi="Times New Roman" w:cs="Times New Roman"/>
              </w:rPr>
              <w:t>līdz 10% no maksājamā nodokļa.</w:t>
            </w:r>
          </w:p>
        </w:tc>
      </w:tr>
      <w:tr w:rsidR="00C2077E" w:rsidRPr="002C5745" w14:paraId="24F0612F" w14:textId="77777777" w:rsidTr="00F67628">
        <w:tc>
          <w:tcPr>
            <w:tcW w:w="2263" w:type="dxa"/>
          </w:tcPr>
          <w:p w14:paraId="47AB6C4C" w14:textId="77777777" w:rsidR="00C2077E" w:rsidRPr="00880EC7" w:rsidRDefault="00BF6C32" w:rsidP="00BF6C32">
            <w:pPr>
              <w:pStyle w:val="NoSpacing"/>
              <w:rPr>
                <w:rFonts w:ascii="Times New Roman" w:eastAsia="Calibri" w:hAnsi="Times New Roman" w:cs="Times New Roman"/>
              </w:rPr>
            </w:pPr>
            <w:r w:rsidRPr="00880EC7">
              <w:rPr>
                <w:rFonts w:ascii="Times New Roman" w:eastAsia="Calibri" w:hAnsi="Times New Roman" w:cs="Times New Roman"/>
              </w:rPr>
              <w:t>Dānija</w:t>
            </w:r>
            <w:r w:rsidR="001678F2" w:rsidRPr="00880EC7">
              <w:rPr>
                <w:rStyle w:val="FootnoteReference"/>
                <w:rFonts w:ascii="Times New Roman" w:eastAsia="Calibri" w:hAnsi="Times New Roman" w:cs="Times New Roman"/>
              </w:rPr>
              <w:footnoteReference w:id="26"/>
            </w:r>
            <w:r w:rsidRPr="00880EC7">
              <w:rPr>
                <w:rFonts w:ascii="Times New Roman" w:eastAsia="Calibri" w:hAnsi="Times New Roman" w:cs="Times New Roman"/>
              </w:rPr>
              <w:t xml:space="preserve"> </w:t>
            </w:r>
          </w:p>
        </w:tc>
        <w:tc>
          <w:tcPr>
            <w:tcW w:w="3119" w:type="dxa"/>
          </w:tcPr>
          <w:p w14:paraId="1666789E" w14:textId="77777777" w:rsidR="00C2077E" w:rsidRPr="00880EC7" w:rsidRDefault="000F3E15" w:rsidP="00EC689C">
            <w:pPr>
              <w:pStyle w:val="NoSpacing"/>
              <w:jc w:val="both"/>
              <w:rPr>
                <w:rFonts w:ascii="Times New Roman" w:hAnsi="Times New Roman" w:cs="Times New Roman"/>
              </w:rPr>
            </w:pPr>
            <w:r w:rsidRPr="00880EC7">
              <w:rPr>
                <w:rFonts w:ascii="Times New Roman" w:hAnsi="Times New Roman" w:cs="Times New Roman"/>
              </w:rPr>
              <w:t>3,</w:t>
            </w:r>
            <w:r w:rsidR="005F7D2D" w:rsidRPr="00880EC7">
              <w:rPr>
                <w:rFonts w:ascii="Times New Roman" w:hAnsi="Times New Roman" w:cs="Times New Roman"/>
              </w:rPr>
              <w:t>1%.</w:t>
            </w:r>
          </w:p>
        </w:tc>
        <w:tc>
          <w:tcPr>
            <w:tcW w:w="4013" w:type="dxa"/>
          </w:tcPr>
          <w:p w14:paraId="742E07DB" w14:textId="77777777" w:rsidR="00C2077E" w:rsidRPr="00880EC7" w:rsidRDefault="00BF6C32" w:rsidP="002B5932">
            <w:pPr>
              <w:pStyle w:val="NoSpacing"/>
              <w:jc w:val="both"/>
              <w:rPr>
                <w:rFonts w:ascii="Times New Roman" w:eastAsia="Calibri" w:hAnsi="Times New Roman" w:cs="Times New Roman"/>
              </w:rPr>
            </w:pPr>
            <w:r w:rsidRPr="00880EC7">
              <w:rPr>
                <w:rFonts w:ascii="Times New Roman" w:eastAsia="Calibri" w:hAnsi="Times New Roman" w:cs="Times New Roman"/>
              </w:rPr>
              <w:t>nav</w:t>
            </w:r>
          </w:p>
        </w:tc>
      </w:tr>
      <w:tr w:rsidR="00BF6C32" w:rsidRPr="002C5745" w14:paraId="605E23C0" w14:textId="77777777" w:rsidTr="00F67628">
        <w:tc>
          <w:tcPr>
            <w:tcW w:w="2263" w:type="dxa"/>
          </w:tcPr>
          <w:p w14:paraId="34CD0F08" w14:textId="77777777" w:rsidR="00C2077E" w:rsidRPr="00880EC7" w:rsidRDefault="00BF6C32" w:rsidP="00BF6C32">
            <w:pPr>
              <w:pStyle w:val="NoSpacing"/>
              <w:rPr>
                <w:rFonts w:ascii="Times New Roman" w:eastAsia="Calibri" w:hAnsi="Times New Roman" w:cs="Times New Roman"/>
              </w:rPr>
            </w:pPr>
            <w:r w:rsidRPr="00880EC7">
              <w:rPr>
                <w:rFonts w:ascii="Times New Roman" w:eastAsia="Calibri" w:hAnsi="Times New Roman" w:cs="Times New Roman"/>
              </w:rPr>
              <w:t xml:space="preserve">Francija </w:t>
            </w:r>
            <w:r w:rsidR="001678F2" w:rsidRPr="00880EC7">
              <w:rPr>
                <w:rStyle w:val="FootnoteReference"/>
                <w:rFonts w:ascii="Times New Roman" w:eastAsia="Calibri" w:hAnsi="Times New Roman" w:cs="Times New Roman"/>
              </w:rPr>
              <w:footnoteReference w:id="27"/>
            </w:r>
          </w:p>
        </w:tc>
        <w:tc>
          <w:tcPr>
            <w:tcW w:w="3119" w:type="dxa"/>
          </w:tcPr>
          <w:p w14:paraId="39C68045" w14:textId="0C734800" w:rsidR="00BF6C32" w:rsidRPr="00880EC7" w:rsidRDefault="001678F2" w:rsidP="00EC689C">
            <w:pPr>
              <w:pStyle w:val="NoSpacing"/>
              <w:jc w:val="both"/>
              <w:rPr>
                <w:rFonts w:ascii="Times New Roman" w:hAnsi="Times New Roman" w:cs="Times New Roman"/>
              </w:rPr>
            </w:pPr>
            <w:r w:rsidRPr="00880EC7">
              <w:rPr>
                <w:rFonts w:ascii="Times New Roman" w:hAnsi="Times New Roman" w:cs="Times New Roman"/>
              </w:rPr>
              <w:t>Nokavējuma nauda uzņēmuma ienākuma nodoklim, PVN, reģistrācijas nodev</w:t>
            </w:r>
            <w:r w:rsidR="005E0E24">
              <w:rPr>
                <w:rFonts w:ascii="Times New Roman" w:hAnsi="Times New Roman" w:cs="Times New Roman"/>
              </w:rPr>
              <w:t xml:space="preserve">ai un uzņēmējdarbības nodoklim </w:t>
            </w:r>
            <w:r w:rsidRPr="00880EC7">
              <w:rPr>
                <w:rFonts w:ascii="Times New Roman" w:hAnsi="Times New Roman" w:cs="Times New Roman"/>
              </w:rPr>
              <w:t>ir 0,4 % mēnesī un 5 % sods.</w:t>
            </w:r>
          </w:p>
          <w:p w14:paraId="0F33B328" w14:textId="19A3F1A6" w:rsidR="00C2077E" w:rsidRPr="00880EC7" w:rsidRDefault="001678F2" w:rsidP="00EC689C">
            <w:pPr>
              <w:pStyle w:val="NoSpacing"/>
              <w:jc w:val="both"/>
              <w:rPr>
                <w:rFonts w:ascii="Times New Roman" w:hAnsi="Times New Roman" w:cs="Times New Roman"/>
              </w:rPr>
            </w:pPr>
            <w:r w:rsidRPr="00880EC7">
              <w:rPr>
                <w:rFonts w:ascii="Times New Roman" w:hAnsi="Times New Roman" w:cs="Times New Roman"/>
              </w:rPr>
              <w:t>Bez tam sodu no 40 % var piemērot ļaun</w:t>
            </w:r>
            <w:r w:rsidR="009F59F3" w:rsidRPr="00880EC7">
              <w:rPr>
                <w:rFonts w:ascii="Times New Roman" w:hAnsi="Times New Roman" w:cs="Times New Roman"/>
              </w:rPr>
              <w:t>prātības</w:t>
            </w:r>
            <w:r w:rsidRPr="00880EC7">
              <w:rPr>
                <w:rFonts w:ascii="Times New Roman" w:hAnsi="Times New Roman" w:cs="Times New Roman"/>
              </w:rPr>
              <w:t xml:space="preserve"> gadījumā, savukārt 80  % - krāpšanas gadījumā</w:t>
            </w:r>
          </w:p>
        </w:tc>
        <w:tc>
          <w:tcPr>
            <w:tcW w:w="4013" w:type="dxa"/>
          </w:tcPr>
          <w:p w14:paraId="4D6CC213" w14:textId="77777777" w:rsidR="00C2077E" w:rsidRPr="00880EC7" w:rsidRDefault="00BF6C32" w:rsidP="002B5932">
            <w:pPr>
              <w:pStyle w:val="NoSpacing"/>
              <w:jc w:val="both"/>
              <w:rPr>
                <w:rFonts w:ascii="Times New Roman" w:eastAsia="Calibri" w:hAnsi="Times New Roman" w:cs="Times New Roman"/>
              </w:rPr>
            </w:pPr>
            <w:r w:rsidRPr="00880EC7">
              <w:rPr>
                <w:rFonts w:ascii="Times New Roman" w:hAnsi="Times New Roman" w:cs="Times New Roman"/>
              </w:rPr>
              <w:t>Par nokavētu nodokļu deklarācijas iesniegšanu</w:t>
            </w:r>
            <w:r w:rsidR="0088281D" w:rsidRPr="00880EC7">
              <w:rPr>
                <w:rFonts w:ascii="Times New Roman" w:hAnsi="Times New Roman" w:cs="Times New Roman"/>
              </w:rPr>
              <w:t xml:space="preserve"> tiek aprēķināti nokavējuma procenti 0,4 % mēnesī</w:t>
            </w:r>
            <w:r w:rsidRPr="00880EC7">
              <w:rPr>
                <w:rFonts w:ascii="Times New Roman" w:hAnsi="Times New Roman" w:cs="Times New Roman"/>
              </w:rPr>
              <w:t xml:space="preserve"> un 10% sods.</w:t>
            </w:r>
          </w:p>
        </w:tc>
      </w:tr>
      <w:tr w:rsidR="00BF6C32" w:rsidRPr="002C5745" w14:paraId="5C925389" w14:textId="77777777" w:rsidTr="00F67628">
        <w:tc>
          <w:tcPr>
            <w:tcW w:w="2263" w:type="dxa"/>
          </w:tcPr>
          <w:p w14:paraId="168E5638" w14:textId="77777777" w:rsidR="00BF6C32" w:rsidRPr="00880EC7" w:rsidRDefault="00BF6C32" w:rsidP="00BF6C32">
            <w:pPr>
              <w:pStyle w:val="NoSpacing"/>
              <w:rPr>
                <w:rFonts w:ascii="Times New Roman" w:eastAsia="Calibri" w:hAnsi="Times New Roman" w:cs="Times New Roman"/>
              </w:rPr>
            </w:pPr>
            <w:r w:rsidRPr="00880EC7">
              <w:rPr>
                <w:rFonts w:ascii="Times New Roman" w:eastAsia="Calibri" w:hAnsi="Times New Roman" w:cs="Times New Roman"/>
              </w:rPr>
              <w:t>Itālija</w:t>
            </w:r>
            <w:r w:rsidR="0088281D" w:rsidRPr="00880EC7">
              <w:rPr>
                <w:rStyle w:val="FootnoteReference"/>
                <w:rFonts w:ascii="Times New Roman" w:eastAsia="Calibri" w:hAnsi="Times New Roman" w:cs="Times New Roman"/>
              </w:rPr>
              <w:footnoteReference w:id="28"/>
            </w:r>
            <w:r w:rsidRPr="00880EC7">
              <w:rPr>
                <w:rFonts w:ascii="Times New Roman" w:eastAsia="Calibri" w:hAnsi="Times New Roman" w:cs="Times New Roman"/>
              </w:rPr>
              <w:t xml:space="preserve"> </w:t>
            </w:r>
          </w:p>
        </w:tc>
        <w:tc>
          <w:tcPr>
            <w:tcW w:w="3119" w:type="dxa"/>
          </w:tcPr>
          <w:p w14:paraId="6D8E512C" w14:textId="77777777" w:rsidR="00BF6C32" w:rsidRPr="00880EC7" w:rsidRDefault="00BF6C32" w:rsidP="00EC689C">
            <w:pPr>
              <w:pStyle w:val="NoSpacing"/>
              <w:jc w:val="both"/>
              <w:rPr>
                <w:rFonts w:ascii="Times New Roman" w:hAnsi="Times New Roman" w:cs="Times New Roman"/>
              </w:rPr>
            </w:pPr>
            <w:r w:rsidRPr="00880EC7">
              <w:rPr>
                <w:rFonts w:ascii="Times New Roman" w:hAnsi="Times New Roman" w:cs="Times New Roman"/>
              </w:rPr>
              <w:t>Par nokavētu nodokļu nomaksu</w:t>
            </w:r>
            <w:r w:rsidR="0088281D" w:rsidRPr="00880EC7">
              <w:rPr>
                <w:rFonts w:ascii="Times New Roman" w:hAnsi="Times New Roman" w:cs="Times New Roman"/>
              </w:rPr>
              <w:t xml:space="preserve"> (neatkarīgo no nodokļu veida) sods 30 % apmērā no nesamaksātā nodokļu apmēra. Tomēr, ja kavēšanās ir līdz 1</w:t>
            </w:r>
            <w:r w:rsidRPr="00880EC7">
              <w:rPr>
                <w:rFonts w:ascii="Times New Roman" w:hAnsi="Times New Roman" w:cs="Times New Roman"/>
              </w:rPr>
              <w:t xml:space="preserve">5 dienām, tad </w:t>
            </w:r>
            <w:r w:rsidR="0088281D" w:rsidRPr="00880EC7">
              <w:rPr>
                <w:rFonts w:ascii="Times New Roman" w:hAnsi="Times New Roman" w:cs="Times New Roman"/>
              </w:rPr>
              <w:t xml:space="preserve">sods ir vienāds ar </w:t>
            </w:r>
            <w:r w:rsidRPr="00880EC7">
              <w:rPr>
                <w:rFonts w:ascii="Times New Roman" w:hAnsi="Times New Roman" w:cs="Times New Roman"/>
              </w:rPr>
              <w:lastRenderedPageBreak/>
              <w:t xml:space="preserve">1% dienā, </w:t>
            </w:r>
            <w:r w:rsidR="0088281D" w:rsidRPr="00880EC7">
              <w:rPr>
                <w:rFonts w:ascii="Times New Roman" w:hAnsi="Times New Roman" w:cs="Times New Roman"/>
              </w:rPr>
              <w:t xml:space="preserve">bet, ja kavēšanās ir </w:t>
            </w:r>
            <w:r w:rsidRPr="00880EC7">
              <w:rPr>
                <w:rFonts w:ascii="Times New Roman" w:hAnsi="Times New Roman" w:cs="Times New Roman"/>
              </w:rPr>
              <w:t>no 15 līdz 90 dienām</w:t>
            </w:r>
            <w:r w:rsidR="0088281D" w:rsidRPr="00880EC7">
              <w:rPr>
                <w:rFonts w:ascii="Times New Roman" w:hAnsi="Times New Roman" w:cs="Times New Roman"/>
              </w:rPr>
              <w:t>,</w:t>
            </w:r>
            <w:r w:rsidRPr="00880EC7">
              <w:rPr>
                <w:rFonts w:ascii="Times New Roman" w:hAnsi="Times New Roman" w:cs="Times New Roman"/>
              </w:rPr>
              <w:t xml:space="preserve"> sods </w:t>
            </w:r>
            <w:r w:rsidR="0088281D" w:rsidRPr="00880EC7">
              <w:rPr>
                <w:rFonts w:ascii="Times New Roman" w:hAnsi="Times New Roman" w:cs="Times New Roman"/>
              </w:rPr>
              <w:t>ir 15%</w:t>
            </w:r>
          </w:p>
        </w:tc>
        <w:tc>
          <w:tcPr>
            <w:tcW w:w="4013" w:type="dxa"/>
          </w:tcPr>
          <w:p w14:paraId="07CCF2FC" w14:textId="162964AB" w:rsidR="00BF6C32" w:rsidRPr="00880EC7" w:rsidRDefault="00BF6C32" w:rsidP="00D64468">
            <w:pPr>
              <w:pStyle w:val="NoSpacing"/>
              <w:jc w:val="both"/>
              <w:rPr>
                <w:rFonts w:ascii="Times New Roman" w:hAnsi="Times New Roman" w:cs="Times New Roman"/>
              </w:rPr>
            </w:pPr>
            <w:r w:rsidRPr="00880EC7">
              <w:rPr>
                <w:rFonts w:ascii="Times New Roman" w:hAnsi="Times New Roman" w:cs="Times New Roman"/>
              </w:rPr>
              <w:lastRenderedPageBreak/>
              <w:t>Par nokavētu nodokļu deklarācijas iesniegšanu</w:t>
            </w:r>
            <w:r w:rsidR="0088281D" w:rsidRPr="00880EC7">
              <w:rPr>
                <w:rFonts w:ascii="Times New Roman" w:hAnsi="Times New Roman" w:cs="Times New Roman"/>
              </w:rPr>
              <w:t xml:space="preserve"> piemēro sodu </w:t>
            </w:r>
            <w:r w:rsidRPr="00880EC7">
              <w:rPr>
                <w:rFonts w:ascii="Times New Roman" w:hAnsi="Times New Roman" w:cs="Times New Roman"/>
              </w:rPr>
              <w:t>no</w:t>
            </w:r>
            <w:r w:rsidR="009F59F3" w:rsidRPr="00880EC7">
              <w:rPr>
                <w:rFonts w:ascii="Times New Roman" w:hAnsi="Times New Roman" w:cs="Times New Roman"/>
              </w:rPr>
              <w:t xml:space="preserve"> </w:t>
            </w:r>
            <w:r w:rsidRPr="00880EC7">
              <w:rPr>
                <w:rFonts w:ascii="Times New Roman" w:hAnsi="Times New Roman" w:cs="Times New Roman"/>
              </w:rPr>
              <w:t xml:space="preserve">120% līdz 240% </w:t>
            </w:r>
            <w:r w:rsidR="0088281D" w:rsidRPr="00880EC7">
              <w:rPr>
                <w:rFonts w:ascii="Times New Roman" w:hAnsi="Times New Roman" w:cs="Times New Roman"/>
              </w:rPr>
              <w:t xml:space="preserve">no nesamaksātajiem nodokļiem (minimālā sankcija – 250 </w:t>
            </w:r>
            <w:r w:rsidR="0088281D" w:rsidRPr="00880EC7">
              <w:rPr>
                <w:rFonts w:ascii="Times New Roman" w:hAnsi="Times New Roman" w:cs="Times New Roman"/>
                <w:i/>
              </w:rPr>
              <w:t>euro</w:t>
            </w:r>
            <w:r w:rsidR="0088281D" w:rsidRPr="00880EC7">
              <w:rPr>
                <w:rFonts w:ascii="Times New Roman" w:hAnsi="Times New Roman" w:cs="Times New Roman"/>
              </w:rPr>
              <w:t xml:space="preserve"> līdz 1000 </w:t>
            </w:r>
            <w:r w:rsidR="0088281D" w:rsidRPr="00880EC7">
              <w:rPr>
                <w:rFonts w:ascii="Times New Roman" w:hAnsi="Times New Roman" w:cs="Times New Roman"/>
                <w:i/>
              </w:rPr>
              <w:t>euro</w:t>
            </w:r>
            <w:r w:rsidR="0088281D" w:rsidRPr="00880EC7">
              <w:rPr>
                <w:rFonts w:ascii="Times New Roman" w:hAnsi="Times New Roman" w:cs="Times New Roman"/>
              </w:rPr>
              <w:t xml:space="preserve">, ja nav konstatētas nodokļu saistības) </w:t>
            </w:r>
            <w:r w:rsidRPr="00880EC7">
              <w:rPr>
                <w:rFonts w:ascii="Times New Roman" w:hAnsi="Times New Roman" w:cs="Times New Roman"/>
              </w:rPr>
              <w:t>.</w:t>
            </w:r>
          </w:p>
        </w:tc>
      </w:tr>
      <w:tr w:rsidR="00BF6C32" w:rsidRPr="002C5745" w14:paraId="4DC6963B" w14:textId="77777777" w:rsidTr="00F67628">
        <w:tc>
          <w:tcPr>
            <w:tcW w:w="2263" w:type="dxa"/>
          </w:tcPr>
          <w:p w14:paraId="749B8C21" w14:textId="77777777" w:rsidR="00BF6C32" w:rsidRPr="00880EC7" w:rsidRDefault="00BF6C32" w:rsidP="00D72007">
            <w:pPr>
              <w:pStyle w:val="NoSpacing"/>
              <w:rPr>
                <w:rFonts w:ascii="Times New Roman" w:eastAsia="Calibri" w:hAnsi="Times New Roman" w:cs="Times New Roman"/>
              </w:rPr>
            </w:pPr>
            <w:r w:rsidRPr="00880EC7">
              <w:rPr>
                <w:rFonts w:ascii="Times New Roman" w:eastAsia="Calibri" w:hAnsi="Times New Roman" w:cs="Times New Roman"/>
              </w:rPr>
              <w:t>Nīderlande</w:t>
            </w:r>
            <w:r w:rsidR="00D72007" w:rsidRPr="00880EC7">
              <w:rPr>
                <w:rStyle w:val="FootnoteReference"/>
                <w:rFonts w:ascii="Times New Roman" w:eastAsia="Calibri" w:hAnsi="Times New Roman" w:cs="Times New Roman"/>
              </w:rPr>
              <w:footnoteReference w:id="29"/>
            </w:r>
          </w:p>
        </w:tc>
        <w:tc>
          <w:tcPr>
            <w:tcW w:w="3119" w:type="dxa"/>
          </w:tcPr>
          <w:p w14:paraId="0E5BB445" w14:textId="77777777" w:rsidR="00BF6C32" w:rsidRPr="00880EC7" w:rsidRDefault="00DA17CB" w:rsidP="00EC689C">
            <w:pPr>
              <w:pStyle w:val="NoSpacing"/>
              <w:jc w:val="both"/>
              <w:rPr>
                <w:rFonts w:ascii="Times New Roman" w:hAnsi="Times New Roman" w:cs="Times New Roman"/>
              </w:rPr>
            </w:pPr>
            <w:r w:rsidRPr="00880EC7">
              <w:rPr>
                <w:rFonts w:ascii="Times New Roman" w:hAnsi="Times New Roman" w:cs="Times New Roman"/>
              </w:rPr>
              <w:t xml:space="preserve">Par nokavētu uzņēmuma ienākuma nodokļa nomaksu – vismaz </w:t>
            </w:r>
            <w:r w:rsidR="00BF6C32" w:rsidRPr="00880EC7">
              <w:rPr>
                <w:rFonts w:ascii="Times New Roman" w:hAnsi="Times New Roman" w:cs="Times New Roman"/>
              </w:rPr>
              <w:t>8%</w:t>
            </w:r>
            <w:r w:rsidRPr="00880EC7">
              <w:rPr>
                <w:rFonts w:ascii="Times New Roman" w:hAnsi="Times New Roman" w:cs="Times New Roman"/>
              </w:rPr>
              <w:t xml:space="preserve"> (tāda pati procentu likme, kas noteikta attiecībā uz komercdarījumiem)</w:t>
            </w:r>
            <w:r w:rsidR="00BF6C32" w:rsidRPr="00880EC7">
              <w:rPr>
                <w:rFonts w:ascii="Times New Roman" w:hAnsi="Times New Roman" w:cs="Times New Roman"/>
              </w:rPr>
              <w:t>.</w:t>
            </w:r>
          </w:p>
          <w:p w14:paraId="6F1F6C4B" w14:textId="77777777" w:rsidR="00DA17CB" w:rsidRPr="00880EC7" w:rsidRDefault="00DA17CB" w:rsidP="00EC689C">
            <w:pPr>
              <w:pStyle w:val="NoSpacing"/>
              <w:jc w:val="both"/>
              <w:rPr>
                <w:rFonts w:ascii="Times New Roman" w:hAnsi="Times New Roman" w:cs="Times New Roman"/>
              </w:rPr>
            </w:pPr>
            <w:r w:rsidRPr="00880EC7">
              <w:rPr>
                <w:rFonts w:ascii="Times New Roman" w:hAnsi="Times New Roman" w:cs="Times New Roman"/>
              </w:rPr>
              <w:t>Attiecībā uz pārējiem nokavētajiem nodokļu maksājumiem – vismaz 4 % (tādi pati procentu likme, kas noteikta attiecībā uz nekomerciāliem darījumiem).</w:t>
            </w:r>
          </w:p>
        </w:tc>
        <w:tc>
          <w:tcPr>
            <w:tcW w:w="4013" w:type="dxa"/>
          </w:tcPr>
          <w:p w14:paraId="238A600D" w14:textId="77777777" w:rsidR="00D72007" w:rsidRPr="00880EC7" w:rsidRDefault="00D72007" w:rsidP="00D64468">
            <w:pPr>
              <w:pStyle w:val="NoSpacing"/>
              <w:jc w:val="both"/>
              <w:rPr>
                <w:rFonts w:ascii="Times New Roman" w:hAnsi="Times New Roman" w:cs="Times New Roman"/>
              </w:rPr>
            </w:pPr>
            <w:r w:rsidRPr="00880EC7">
              <w:rPr>
                <w:rFonts w:ascii="Times New Roman" w:hAnsi="Times New Roman" w:cs="Times New Roman"/>
              </w:rPr>
              <w:t>Nodokļu maksātājam ir tiesības iesniegt pieteikumu par nodokļu maksājuma atlikšanu.</w:t>
            </w:r>
          </w:p>
          <w:p w14:paraId="0E938E4B" w14:textId="77777777" w:rsidR="00BF6C32" w:rsidRPr="00880EC7" w:rsidRDefault="00D72007" w:rsidP="00D64468">
            <w:pPr>
              <w:pStyle w:val="NoSpacing"/>
              <w:jc w:val="both"/>
              <w:rPr>
                <w:rFonts w:ascii="Times New Roman" w:hAnsi="Times New Roman" w:cs="Times New Roman"/>
              </w:rPr>
            </w:pPr>
            <w:r w:rsidRPr="00880EC7">
              <w:rPr>
                <w:rFonts w:ascii="Times New Roman" w:hAnsi="Times New Roman" w:cs="Times New Roman"/>
              </w:rPr>
              <w:t xml:space="preserve">Standarta naudas sods par </w:t>
            </w:r>
            <w:r w:rsidR="00BF6C32" w:rsidRPr="00880EC7">
              <w:rPr>
                <w:rFonts w:ascii="Times New Roman" w:hAnsi="Times New Roman" w:cs="Times New Roman"/>
              </w:rPr>
              <w:t>nokavētu nodokļu deklarācijas iesniegšanu</w:t>
            </w:r>
            <w:r w:rsidRPr="00880EC7">
              <w:rPr>
                <w:rFonts w:ascii="Times New Roman" w:hAnsi="Times New Roman" w:cs="Times New Roman"/>
              </w:rPr>
              <w:t xml:space="preserve"> ir </w:t>
            </w:r>
            <w:r w:rsidR="00BF6C32" w:rsidRPr="00880EC7">
              <w:rPr>
                <w:rFonts w:ascii="Times New Roman" w:hAnsi="Times New Roman" w:cs="Times New Roman"/>
              </w:rPr>
              <w:t xml:space="preserve">2460 </w:t>
            </w:r>
            <w:r w:rsidR="00BF6C32" w:rsidRPr="00880EC7">
              <w:rPr>
                <w:rFonts w:ascii="Times New Roman" w:hAnsi="Times New Roman" w:cs="Times New Roman"/>
                <w:i/>
              </w:rPr>
              <w:t>euro</w:t>
            </w:r>
            <w:r w:rsidRPr="00880EC7">
              <w:rPr>
                <w:rFonts w:ascii="Times New Roman" w:hAnsi="Times New Roman" w:cs="Times New Roman"/>
                <w:i/>
              </w:rPr>
              <w:t xml:space="preserve"> (50 %no maksimālās summas)</w:t>
            </w:r>
            <w:r w:rsidR="00BF6C32" w:rsidRPr="00880EC7">
              <w:rPr>
                <w:rFonts w:ascii="Times New Roman" w:hAnsi="Times New Roman" w:cs="Times New Roman"/>
              </w:rPr>
              <w:t>.</w:t>
            </w:r>
            <w:r w:rsidRPr="00880EC7">
              <w:rPr>
                <w:rFonts w:ascii="Times New Roman" w:hAnsi="Times New Roman" w:cs="Times New Roman"/>
              </w:rPr>
              <w:t xml:space="preserve"> Ja atkārtoti netiek iesniegta nodokļu deklarācija, naudas sods tiek palielināts līdz 4920 %euro </w:t>
            </w:r>
          </w:p>
        </w:tc>
      </w:tr>
      <w:tr w:rsidR="00BF6C32" w:rsidRPr="002C5745" w14:paraId="3E84A3E8" w14:textId="77777777" w:rsidTr="00F67628">
        <w:tc>
          <w:tcPr>
            <w:tcW w:w="2263" w:type="dxa"/>
          </w:tcPr>
          <w:p w14:paraId="567E3E1B" w14:textId="77777777" w:rsidR="00BF6C32" w:rsidRPr="00880EC7" w:rsidRDefault="00BF6C32" w:rsidP="00BF6C32">
            <w:pPr>
              <w:pStyle w:val="NoSpacing"/>
              <w:rPr>
                <w:rFonts w:ascii="Times New Roman" w:eastAsia="Calibri" w:hAnsi="Times New Roman" w:cs="Times New Roman"/>
              </w:rPr>
            </w:pPr>
            <w:r w:rsidRPr="00880EC7">
              <w:rPr>
                <w:rFonts w:ascii="Times New Roman" w:eastAsia="Calibri" w:hAnsi="Times New Roman" w:cs="Times New Roman"/>
              </w:rPr>
              <w:t>Ungārija</w:t>
            </w:r>
            <w:r w:rsidR="00DE66B9" w:rsidRPr="00880EC7">
              <w:rPr>
                <w:rStyle w:val="FootnoteReference"/>
                <w:rFonts w:ascii="Times New Roman" w:eastAsia="Calibri" w:hAnsi="Times New Roman" w:cs="Times New Roman"/>
              </w:rPr>
              <w:footnoteReference w:id="30"/>
            </w:r>
            <w:r w:rsidRPr="00880EC7">
              <w:rPr>
                <w:rFonts w:ascii="Times New Roman" w:eastAsia="Calibri" w:hAnsi="Times New Roman" w:cs="Times New Roman"/>
              </w:rPr>
              <w:t xml:space="preserve"> </w:t>
            </w:r>
          </w:p>
        </w:tc>
        <w:tc>
          <w:tcPr>
            <w:tcW w:w="3119" w:type="dxa"/>
          </w:tcPr>
          <w:p w14:paraId="4421887F" w14:textId="77777777" w:rsidR="00BF6C32" w:rsidRPr="00880EC7" w:rsidRDefault="00DE66B9" w:rsidP="00EC689C">
            <w:pPr>
              <w:pStyle w:val="NoSpacing"/>
              <w:jc w:val="both"/>
              <w:rPr>
                <w:rFonts w:ascii="Times New Roman" w:hAnsi="Times New Roman" w:cs="Times New Roman"/>
              </w:rPr>
            </w:pPr>
            <w:r w:rsidRPr="00880EC7">
              <w:rPr>
                <w:rFonts w:ascii="Times New Roman" w:hAnsi="Times New Roman" w:cs="Times New Roman"/>
              </w:rPr>
              <w:t xml:space="preserve">Nokavējuma </w:t>
            </w:r>
            <w:r w:rsidR="00433D26" w:rsidRPr="00880EC7">
              <w:rPr>
                <w:rFonts w:ascii="Times New Roman" w:hAnsi="Times New Roman" w:cs="Times New Roman"/>
              </w:rPr>
              <w:t>naudas likme ir divkār</w:t>
            </w:r>
            <w:r w:rsidR="00C07909" w:rsidRPr="00880EC7">
              <w:rPr>
                <w:rFonts w:ascii="Times New Roman" w:hAnsi="Times New Roman" w:cs="Times New Roman"/>
              </w:rPr>
              <w:t>šā</w:t>
            </w:r>
            <w:r w:rsidR="00433D26" w:rsidRPr="00880EC7">
              <w:rPr>
                <w:rFonts w:ascii="Times New Roman" w:hAnsi="Times New Roman" w:cs="Times New Roman"/>
              </w:rPr>
              <w:t xml:space="preserve"> Ungārijas valsts bankas </w:t>
            </w:r>
            <w:r w:rsidR="00C07909" w:rsidRPr="00880EC7">
              <w:rPr>
                <w:rFonts w:ascii="Times New Roman" w:hAnsi="Times New Roman" w:cs="Times New Roman"/>
              </w:rPr>
              <w:t xml:space="preserve">noteiktās procenta </w:t>
            </w:r>
            <w:r w:rsidR="00433D26" w:rsidRPr="00880EC7">
              <w:rPr>
                <w:rFonts w:ascii="Times New Roman" w:hAnsi="Times New Roman" w:cs="Times New Roman"/>
              </w:rPr>
              <w:t>likme</w:t>
            </w:r>
            <w:r w:rsidR="00C07909" w:rsidRPr="00880EC7">
              <w:rPr>
                <w:rFonts w:ascii="Times New Roman" w:hAnsi="Times New Roman" w:cs="Times New Roman"/>
              </w:rPr>
              <w:t>s apmērā</w:t>
            </w:r>
          </w:p>
        </w:tc>
        <w:tc>
          <w:tcPr>
            <w:tcW w:w="4013" w:type="dxa"/>
          </w:tcPr>
          <w:p w14:paraId="557E3F2F" w14:textId="77777777" w:rsidR="00BF6C32" w:rsidRPr="00880EC7" w:rsidRDefault="00433D26" w:rsidP="00D64468">
            <w:pPr>
              <w:pStyle w:val="NoSpacing"/>
              <w:jc w:val="both"/>
              <w:rPr>
                <w:rFonts w:ascii="Times New Roman" w:hAnsi="Times New Roman" w:cs="Times New Roman"/>
              </w:rPr>
            </w:pPr>
            <w:r w:rsidRPr="00880EC7">
              <w:rPr>
                <w:rFonts w:ascii="Times New Roman" w:hAnsi="Times New Roman" w:cs="Times New Roman"/>
              </w:rPr>
              <w:t>Par nodokļu nomaksas kavējumu tiek piemērots sods 50 % (noteiktos gadījumos līdz par 200 %).</w:t>
            </w:r>
          </w:p>
          <w:p w14:paraId="674AE01D" w14:textId="77777777" w:rsidR="00433D26" w:rsidRPr="00880EC7" w:rsidRDefault="00433D26" w:rsidP="00D64468">
            <w:pPr>
              <w:pStyle w:val="NoSpacing"/>
              <w:jc w:val="both"/>
              <w:rPr>
                <w:rFonts w:ascii="Times New Roman" w:hAnsi="Times New Roman" w:cs="Times New Roman"/>
              </w:rPr>
            </w:pPr>
            <w:r w:rsidRPr="00880EC7">
              <w:rPr>
                <w:rFonts w:ascii="Times New Roman" w:hAnsi="Times New Roman" w:cs="Times New Roman"/>
              </w:rPr>
              <w:t>Papildus ir arī nokavējuma sods (</w:t>
            </w:r>
            <w:r w:rsidRPr="00880EC7">
              <w:rPr>
                <w:rFonts w:ascii="Times New Roman" w:eastAsia="Calibri" w:hAnsi="Times New Roman" w:cs="Times New Roman"/>
                <w:i/>
                <w:lang w:val="en-US"/>
              </w:rPr>
              <w:t>default penalty</w:t>
            </w:r>
            <w:r w:rsidRPr="00880EC7">
              <w:rPr>
                <w:rFonts w:ascii="Times New Roman" w:eastAsia="Calibri" w:hAnsi="Times New Roman" w:cs="Times New Roman"/>
                <w:i/>
              </w:rPr>
              <w:t>).</w:t>
            </w:r>
          </w:p>
        </w:tc>
      </w:tr>
      <w:tr w:rsidR="00BF6C32" w:rsidRPr="002C5745" w14:paraId="0C7956EC" w14:textId="77777777" w:rsidTr="00F67628">
        <w:tc>
          <w:tcPr>
            <w:tcW w:w="2263" w:type="dxa"/>
          </w:tcPr>
          <w:p w14:paraId="0190E04A" w14:textId="77777777" w:rsidR="00BF6C32" w:rsidRPr="00880EC7" w:rsidRDefault="00C07909" w:rsidP="00BF6C32">
            <w:pPr>
              <w:pStyle w:val="NoSpacing"/>
              <w:rPr>
                <w:rFonts w:ascii="Times New Roman" w:eastAsia="Calibri" w:hAnsi="Times New Roman" w:cs="Times New Roman"/>
              </w:rPr>
            </w:pPr>
            <w:r w:rsidRPr="00880EC7">
              <w:rPr>
                <w:rFonts w:ascii="Times New Roman" w:eastAsia="Calibri" w:hAnsi="Times New Roman" w:cs="Times New Roman"/>
              </w:rPr>
              <w:t>Vācija</w:t>
            </w:r>
            <w:r w:rsidR="00D64468" w:rsidRPr="00880EC7">
              <w:rPr>
                <w:rStyle w:val="FootnoteReference"/>
                <w:rFonts w:ascii="Times New Roman" w:eastAsia="Calibri" w:hAnsi="Times New Roman" w:cs="Times New Roman"/>
              </w:rPr>
              <w:footnoteReference w:id="31"/>
            </w:r>
          </w:p>
        </w:tc>
        <w:tc>
          <w:tcPr>
            <w:tcW w:w="3119" w:type="dxa"/>
          </w:tcPr>
          <w:p w14:paraId="2DF924AA" w14:textId="06B29A09" w:rsidR="00BF6C32" w:rsidRPr="00880EC7" w:rsidRDefault="00D64468" w:rsidP="00EC689C">
            <w:pPr>
              <w:pStyle w:val="NoSpacing"/>
              <w:jc w:val="both"/>
              <w:rPr>
                <w:rFonts w:ascii="Times New Roman" w:hAnsi="Times New Roman" w:cs="Times New Roman"/>
              </w:rPr>
            </w:pPr>
            <w:r w:rsidRPr="00880EC7">
              <w:rPr>
                <w:rFonts w:ascii="Times New Roman" w:hAnsi="Times New Roman" w:cs="Times New Roman"/>
              </w:rPr>
              <w:t xml:space="preserve">Nokavējuma nauda tiek aprēķināta pēc nodokļu paziņojuma saņemšanas </w:t>
            </w:r>
            <w:r w:rsidR="00BF6C32" w:rsidRPr="00880EC7">
              <w:rPr>
                <w:rFonts w:ascii="Times New Roman" w:hAnsi="Times New Roman" w:cs="Times New Roman"/>
              </w:rPr>
              <w:t>1%</w:t>
            </w:r>
            <w:r w:rsidRPr="00880EC7">
              <w:rPr>
                <w:rFonts w:ascii="Times New Roman" w:hAnsi="Times New Roman" w:cs="Times New Roman"/>
              </w:rPr>
              <w:t xml:space="preserve"> mēnesī no nesamak</w:t>
            </w:r>
            <w:r w:rsidR="009F59F3" w:rsidRPr="00880EC7">
              <w:rPr>
                <w:rFonts w:ascii="Times New Roman" w:hAnsi="Times New Roman" w:cs="Times New Roman"/>
              </w:rPr>
              <w:t>sā</w:t>
            </w:r>
            <w:r w:rsidRPr="00880EC7">
              <w:rPr>
                <w:rFonts w:ascii="Times New Roman" w:hAnsi="Times New Roman" w:cs="Times New Roman"/>
              </w:rPr>
              <w:t>tās summ</w:t>
            </w:r>
            <w:r w:rsidR="009F59F3" w:rsidRPr="00880EC7">
              <w:rPr>
                <w:rFonts w:ascii="Times New Roman" w:hAnsi="Times New Roman" w:cs="Times New Roman"/>
              </w:rPr>
              <w:t>as</w:t>
            </w:r>
            <w:r w:rsidR="00BF6C32" w:rsidRPr="00880EC7">
              <w:rPr>
                <w:rFonts w:ascii="Times New Roman" w:hAnsi="Times New Roman" w:cs="Times New Roman"/>
              </w:rPr>
              <w:t>.</w:t>
            </w:r>
          </w:p>
        </w:tc>
        <w:tc>
          <w:tcPr>
            <w:tcW w:w="4013" w:type="dxa"/>
          </w:tcPr>
          <w:p w14:paraId="4A0066EC" w14:textId="77777777" w:rsidR="00BF6C32" w:rsidRPr="00880EC7" w:rsidRDefault="00D64468" w:rsidP="00D64468">
            <w:pPr>
              <w:pStyle w:val="NoSpacing"/>
              <w:jc w:val="both"/>
              <w:rPr>
                <w:rFonts w:ascii="Times New Roman" w:hAnsi="Times New Roman" w:cs="Times New Roman"/>
              </w:rPr>
            </w:pPr>
            <w:r w:rsidRPr="00880EC7">
              <w:rPr>
                <w:rFonts w:ascii="Times New Roman" w:hAnsi="Times New Roman" w:cs="Times New Roman"/>
              </w:rPr>
              <w:t xml:space="preserve">Sods par nodokļu deklarācijas neiesniegšanu ir atkarīgs no nodokļu administrācijas lēmuma, bet ne lielāks kā </w:t>
            </w:r>
            <w:r w:rsidR="00BF6C32" w:rsidRPr="00880EC7">
              <w:rPr>
                <w:rFonts w:ascii="Times New Roman" w:hAnsi="Times New Roman" w:cs="Times New Roman"/>
              </w:rPr>
              <w:t>10% no maksājamā nodokļa</w:t>
            </w:r>
            <w:r w:rsidRPr="00880EC7">
              <w:rPr>
                <w:rFonts w:ascii="Times New Roman" w:hAnsi="Times New Roman" w:cs="Times New Roman"/>
              </w:rPr>
              <w:t xml:space="preserve"> apmēra</w:t>
            </w:r>
            <w:r w:rsidR="00BF6C32" w:rsidRPr="00880EC7">
              <w:rPr>
                <w:rFonts w:ascii="Times New Roman" w:hAnsi="Times New Roman" w:cs="Times New Roman"/>
              </w:rPr>
              <w:t>.</w:t>
            </w:r>
          </w:p>
        </w:tc>
      </w:tr>
      <w:tr w:rsidR="00BF6C32" w:rsidRPr="002C5745" w14:paraId="27083FD1" w14:textId="77777777" w:rsidTr="00F67628">
        <w:tc>
          <w:tcPr>
            <w:tcW w:w="2263" w:type="dxa"/>
          </w:tcPr>
          <w:p w14:paraId="26085C2D" w14:textId="77777777" w:rsidR="00BF6C32" w:rsidRPr="00880EC7" w:rsidRDefault="00D64468" w:rsidP="00BF6C32">
            <w:pPr>
              <w:pStyle w:val="NoSpacing"/>
              <w:rPr>
                <w:rFonts w:ascii="Times New Roman" w:eastAsia="Calibri" w:hAnsi="Times New Roman" w:cs="Times New Roman"/>
              </w:rPr>
            </w:pPr>
            <w:r w:rsidRPr="00880EC7">
              <w:rPr>
                <w:rFonts w:ascii="Times New Roman" w:eastAsia="Calibri" w:hAnsi="Times New Roman" w:cs="Times New Roman"/>
              </w:rPr>
              <w:t>Zviedrija</w:t>
            </w:r>
            <w:r w:rsidR="005F7D2D" w:rsidRPr="00880EC7">
              <w:rPr>
                <w:rStyle w:val="FootnoteReference"/>
                <w:rFonts w:ascii="Times New Roman" w:eastAsia="Calibri" w:hAnsi="Times New Roman" w:cs="Times New Roman"/>
              </w:rPr>
              <w:footnoteReference w:id="32"/>
            </w:r>
          </w:p>
        </w:tc>
        <w:tc>
          <w:tcPr>
            <w:tcW w:w="3119" w:type="dxa"/>
          </w:tcPr>
          <w:p w14:paraId="29C4E5EB" w14:textId="77777777" w:rsidR="00BF6C32" w:rsidRPr="00880EC7" w:rsidRDefault="00BF6C32" w:rsidP="00EC689C">
            <w:pPr>
              <w:pStyle w:val="NoSpacing"/>
              <w:jc w:val="both"/>
              <w:rPr>
                <w:rFonts w:ascii="Times New Roman" w:hAnsi="Times New Roman" w:cs="Times New Roman"/>
              </w:rPr>
            </w:pPr>
          </w:p>
        </w:tc>
        <w:tc>
          <w:tcPr>
            <w:tcW w:w="4013" w:type="dxa"/>
          </w:tcPr>
          <w:p w14:paraId="01B52B5C" w14:textId="3F2AD7FF" w:rsidR="00BF6C32" w:rsidRPr="00880EC7" w:rsidRDefault="00BF6C32" w:rsidP="00D64468">
            <w:pPr>
              <w:pStyle w:val="NoSpacing"/>
              <w:jc w:val="both"/>
              <w:rPr>
                <w:rFonts w:ascii="Times New Roman" w:hAnsi="Times New Roman" w:cs="Times New Roman"/>
              </w:rPr>
            </w:pPr>
            <w:r w:rsidRPr="00880EC7">
              <w:rPr>
                <w:rFonts w:ascii="Times New Roman" w:hAnsi="Times New Roman" w:cs="Times New Roman"/>
              </w:rPr>
              <w:t>Par nokavētu n</w:t>
            </w:r>
            <w:r w:rsidR="0036327F" w:rsidRPr="00880EC7">
              <w:rPr>
                <w:rFonts w:ascii="Times New Roman" w:hAnsi="Times New Roman" w:cs="Times New Roman"/>
              </w:rPr>
              <w:t xml:space="preserve">odokļu deklarācijas iesniegšanu </w:t>
            </w:r>
            <w:r w:rsidR="005F7D2D" w:rsidRPr="00880EC7">
              <w:rPr>
                <w:rFonts w:ascii="Times New Roman" w:hAnsi="Times New Roman" w:cs="Times New Roman"/>
              </w:rPr>
              <w:t xml:space="preserve">no </w:t>
            </w:r>
            <w:r w:rsidRPr="00880EC7">
              <w:rPr>
                <w:rFonts w:ascii="Times New Roman" w:hAnsi="Times New Roman" w:cs="Times New Roman"/>
              </w:rPr>
              <w:t>6 250 SEK</w:t>
            </w:r>
            <w:r w:rsidR="005F7D2D" w:rsidRPr="00880EC7">
              <w:rPr>
                <w:rFonts w:ascii="Times New Roman" w:hAnsi="Times New Roman" w:cs="Times New Roman"/>
              </w:rPr>
              <w:t xml:space="preserve"> līdz 18,750</w:t>
            </w:r>
            <w:r w:rsidR="005E0E24">
              <w:rPr>
                <w:rFonts w:ascii="Times New Roman" w:hAnsi="Times New Roman" w:cs="Times New Roman"/>
              </w:rPr>
              <w:t> </w:t>
            </w:r>
            <w:r w:rsidR="005F7D2D" w:rsidRPr="00880EC7">
              <w:rPr>
                <w:rFonts w:ascii="Times New Roman" w:hAnsi="Times New Roman" w:cs="Times New Roman"/>
              </w:rPr>
              <w:t>SEK.</w:t>
            </w:r>
          </w:p>
          <w:p w14:paraId="1E4D2ABC" w14:textId="77777777" w:rsidR="00BF6C32" w:rsidRPr="00880EC7" w:rsidRDefault="00BF6C32" w:rsidP="00D64468">
            <w:pPr>
              <w:pStyle w:val="NoSpacing"/>
              <w:jc w:val="both"/>
              <w:rPr>
                <w:rFonts w:ascii="Times New Roman" w:hAnsi="Times New Roman" w:cs="Times New Roman"/>
              </w:rPr>
            </w:pPr>
            <w:r w:rsidRPr="00880EC7">
              <w:rPr>
                <w:rFonts w:ascii="Times New Roman" w:hAnsi="Times New Roman" w:cs="Times New Roman"/>
              </w:rPr>
              <w:t>Par nepareizu vai nepietiekami aizpildītu nodokļu deklarācijas iesniegšanu:</w:t>
            </w:r>
          </w:p>
          <w:p w14:paraId="116D3EA0" w14:textId="77777777" w:rsidR="00BF6C32" w:rsidRPr="00880EC7" w:rsidRDefault="00BF6C32" w:rsidP="00D64468">
            <w:pPr>
              <w:pStyle w:val="NoSpacing"/>
              <w:jc w:val="both"/>
              <w:rPr>
                <w:rFonts w:ascii="Times New Roman" w:hAnsi="Times New Roman" w:cs="Times New Roman"/>
              </w:rPr>
            </w:pPr>
            <w:r w:rsidRPr="00880EC7">
              <w:rPr>
                <w:rFonts w:ascii="Times New Roman" w:hAnsi="Times New Roman" w:cs="Times New Roman"/>
              </w:rPr>
              <w:t xml:space="preserve">līdz 40% no </w:t>
            </w:r>
            <w:r w:rsidR="007C1FFA" w:rsidRPr="00880EC7">
              <w:rPr>
                <w:rFonts w:ascii="Times New Roman" w:hAnsi="Times New Roman" w:cs="Times New Roman"/>
              </w:rPr>
              <w:t xml:space="preserve">pareizi </w:t>
            </w:r>
            <w:r w:rsidRPr="00880EC7">
              <w:rPr>
                <w:rFonts w:ascii="Times New Roman" w:hAnsi="Times New Roman" w:cs="Times New Roman"/>
              </w:rPr>
              <w:t>maksājamā nodokļa.</w:t>
            </w:r>
          </w:p>
        </w:tc>
      </w:tr>
    </w:tbl>
    <w:p w14:paraId="0968ED8B" w14:textId="77777777" w:rsidR="001D1FD7" w:rsidRPr="00EC689C" w:rsidRDefault="001D1FD7" w:rsidP="00D64468">
      <w:pPr>
        <w:widowControl w:val="0"/>
        <w:tabs>
          <w:tab w:val="left" w:pos="6740"/>
        </w:tabs>
        <w:ind w:firstLine="709"/>
        <w:jc w:val="both"/>
        <w:rPr>
          <w:rFonts w:ascii="Times New Roman" w:eastAsia="Calibri" w:hAnsi="Times New Roman" w:cs="Times New Roman"/>
          <w:sz w:val="12"/>
          <w:szCs w:val="12"/>
          <w:lang w:val="lv-LV"/>
        </w:rPr>
      </w:pPr>
    </w:p>
    <w:p w14:paraId="0284F78B" w14:textId="54941AD9" w:rsidR="00440576" w:rsidRPr="002C5745" w:rsidRDefault="005F7D2D" w:rsidP="00D64468">
      <w:pPr>
        <w:widowControl w:val="0"/>
        <w:tabs>
          <w:tab w:val="left" w:pos="6740"/>
        </w:tabs>
        <w:ind w:firstLine="709"/>
        <w:jc w:val="both"/>
        <w:rPr>
          <w:rFonts w:ascii="Times New Roman" w:eastAsia="Calibri" w:hAnsi="Times New Roman" w:cs="Times New Roman"/>
          <w:sz w:val="26"/>
          <w:szCs w:val="26"/>
          <w:lang w:val="lv-LV"/>
        </w:rPr>
      </w:pPr>
      <w:r w:rsidRPr="002C5745">
        <w:rPr>
          <w:rFonts w:ascii="Times New Roman" w:eastAsia="Calibri" w:hAnsi="Times New Roman" w:cs="Times New Roman"/>
          <w:sz w:val="26"/>
          <w:szCs w:val="26"/>
          <w:lang w:val="lv-LV"/>
        </w:rPr>
        <w:t xml:space="preserve">Ievērojot </w:t>
      </w:r>
      <w:r w:rsidR="002437E6">
        <w:rPr>
          <w:rFonts w:ascii="Times New Roman" w:eastAsia="Calibri" w:hAnsi="Times New Roman" w:cs="Times New Roman"/>
          <w:sz w:val="26"/>
          <w:szCs w:val="26"/>
          <w:lang w:val="lv-LV"/>
        </w:rPr>
        <w:t>ES</w:t>
      </w:r>
      <w:r w:rsidRPr="002C5745">
        <w:rPr>
          <w:rFonts w:ascii="Times New Roman" w:eastAsia="Calibri" w:hAnsi="Times New Roman" w:cs="Times New Roman"/>
          <w:sz w:val="26"/>
          <w:szCs w:val="26"/>
          <w:lang w:val="lv-LV"/>
        </w:rPr>
        <w:t xml:space="preserve"> dalībvalstu dažādo pieeju, kā motivēt nodokļu maksātājus ievērot nodokļu maksājumu samaksas termiņus</w:t>
      </w:r>
      <w:r w:rsidR="000A3FDF" w:rsidRPr="002C5745">
        <w:rPr>
          <w:rFonts w:ascii="Times New Roman" w:eastAsia="Calibri" w:hAnsi="Times New Roman" w:cs="Times New Roman"/>
          <w:sz w:val="26"/>
          <w:szCs w:val="26"/>
          <w:lang w:val="lv-LV"/>
        </w:rPr>
        <w:t xml:space="preserve"> un pilnā apmērā veikt aprēķinātos nodokļu maksājumus, secināms, </w:t>
      </w:r>
      <w:r w:rsidR="00CD1A56" w:rsidRPr="002C5745">
        <w:rPr>
          <w:rFonts w:ascii="Times New Roman" w:eastAsia="Calibri" w:hAnsi="Times New Roman" w:cs="Times New Roman"/>
          <w:sz w:val="26"/>
          <w:szCs w:val="26"/>
          <w:lang w:val="lv-LV"/>
        </w:rPr>
        <w:t xml:space="preserve">ka nav iespējams iegūt objektīvu vērtējumu </w:t>
      </w:r>
      <w:r w:rsidR="00D64468" w:rsidRPr="002C5745">
        <w:rPr>
          <w:rFonts w:ascii="Times New Roman" w:eastAsia="Calibri" w:hAnsi="Times New Roman" w:cs="Times New Roman"/>
          <w:sz w:val="26"/>
          <w:szCs w:val="26"/>
          <w:lang w:val="lv-LV"/>
        </w:rPr>
        <w:t>likuma “Par nodokļiem un nodevā</w:t>
      </w:r>
      <w:r w:rsidR="000A3FDF" w:rsidRPr="002C5745">
        <w:rPr>
          <w:rFonts w:ascii="Times New Roman" w:eastAsia="Calibri" w:hAnsi="Times New Roman" w:cs="Times New Roman"/>
          <w:sz w:val="26"/>
          <w:szCs w:val="26"/>
          <w:lang w:val="lv-LV"/>
        </w:rPr>
        <w:t>m” 29.</w:t>
      </w:r>
      <w:r w:rsidR="005E0E24">
        <w:rPr>
          <w:rFonts w:ascii="Times New Roman" w:eastAsia="Calibri" w:hAnsi="Times New Roman" w:cs="Times New Roman"/>
          <w:sz w:val="26"/>
          <w:szCs w:val="26"/>
          <w:lang w:val="lv-LV"/>
        </w:rPr>
        <w:t> </w:t>
      </w:r>
      <w:r w:rsidR="000A3FDF" w:rsidRPr="002C5745">
        <w:rPr>
          <w:rFonts w:ascii="Times New Roman" w:eastAsia="Calibri" w:hAnsi="Times New Roman" w:cs="Times New Roman"/>
          <w:sz w:val="26"/>
          <w:szCs w:val="26"/>
          <w:lang w:val="lv-LV"/>
        </w:rPr>
        <w:t>panta otrajā daļā noteikto nokavējuma naudas likmi</w:t>
      </w:r>
      <w:r w:rsidR="009F59F3">
        <w:rPr>
          <w:rFonts w:ascii="Times New Roman" w:eastAsia="Calibri" w:hAnsi="Times New Roman" w:cs="Times New Roman"/>
          <w:sz w:val="26"/>
          <w:szCs w:val="26"/>
          <w:lang w:val="lv-LV"/>
        </w:rPr>
        <w:t>,</w:t>
      </w:r>
      <w:r w:rsidR="00D64468" w:rsidRPr="002C5745">
        <w:rPr>
          <w:rFonts w:ascii="Times New Roman" w:eastAsia="Calibri" w:hAnsi="Times New Roman" w:cs="Times New Roman"/>
          <w:sz w:val="26"/>
          <w:szCs w:val="26"/>
          <w:lang w:val="lv-LV"/>
        </w:rPr>
        <w:t xml:space="preserve"> </w:t>
      </w:r>
      <w:r w:rsidR="00CD1A56" w:rsidRPr="002C5745">
        <w:rPr>
          <w:rFonts w:ascii="Times New Roman" w:eastAsia="Calibri" w:hAnsi="Times New Roman" w:cs="Times New Roman"/>
          <w:sz w:val="26"/>
          <w:szCs w:val="26"/>
          <w:lang w:val="lv-LV"/>
        </w:rPr>
        <w:t xml:space="preserve">salīdzinot tikai </w:t>
      </w:r>
      <w:r w:rsidR="000A3FDF" w:rsidRPr="002C5745">
        <w:rPr>
          <w:rFonts w:ascii="Times New Roman" w:eastAsia="Calibri" w:hAnsi="Times New Roman" w:cs="Times New Roman"/>
          <w:sz w:val="26"/>
          <w:szCs w:val="26"/>
          <w:lang w:val="lv-LV"/>
        </w:rPr>
        <w:t xml:space="preserve">ar citās </w:t>
      </w:r>
      <w:r w:rsidR="002437E6">
        <w:rPr>
          <w:rFonts w:ascii="Times New Roman" w:eastAsia="Calibri" w:hAnsi="Times New Roman" w:cs="Times New Roman"/>
          <w:sz w:val="26"/>
          <w:szCs w:val="26"/>
          <w:lang w:val="lv-LV"/>
        </w:rPr>
        <w:t>ES</w:t>
      </w:r>
      <w:r w:rsidR="000A3FDF" w:rsidRPr="002C5745">
        <w:rPr>
          <w:rFonts w:ascii="Times New Roman" w:eastAsia="Calibri" w:hAnsi="Times New Roman" w:cs="Times New Roman"/>
          <w:sz w:val="26"/>
          <w:szCs w:val="26"/>
          <w:lang w:val="lv-LV"/>
        </w:rPr>
        <w:t xml:space="preserve"> dalībvalstīs noteiktajām nokavējuma naudas likmēm</w:t>
      </w:r>
      <w:r w:rsidR="00CD1A56" w:rsidRPr="002C5745">
        <w:rPr>
          <w:rFonts w:ascii="Times New Roman" w:eastAsia="Calibri" w:hAnsi="Times New Roman" w:cs="Times New Roman"/>
          <w:sz w:val="26"/>
          <w:szCs w:val="26"/>
          <w:lang w:val="lv-LV"/>
        </w:rPr>
        <w:t xml:space="preserve">. Proti, </w:t>
      </w:r>
      <w:r w:rsidR="00995761" w:rsidRPr="002C5745">
        <w:rPr>
          <w:rFonts w:ascii="Times New Roman" w:eastAsia="Calibri" w:hAnsi="Times New Roman" w:cs="Times New Roman"/>
          <w:sz w:val="26"/>
          <w:szCs w:val="26"/>
          <w:lang w:val="lv-LV"/>
        </w:rPr>
        <w:t>valstu noteiktās maksimālās nokavējuma naudas likmes</w:t>
      </w:r>
      <w:r w:rsidR="000A3FDF" w:rsidRPr="002C5745">
        <w:rPr>
          <w:rFonts w:ascii="Times New Roman" w:eastAsia="Calibri" w:hAnsi="Times New Roman" w:cs="Times New Roman"/>
          <w:sz w:val="26"/>
          <w:szCs w:val="26"/>
          <w:lang w:val="lv-LV"/>
        </w:rPr>
        <w:t xml:space="preserve"> </w:t>
      </w:r>
      <w:r w:rsidR="00995761" w:rsidRPr="002C5745">
        <w:rPr>
          <w:rFonts w:ascii="Times New Roman" w:eastAsia="Calibri" w:hAnsi="Times New Roman" w:cs="Times New Roman"/>
          <w:sz w:val="26"/>
          <w:szCs w:val="26"/>
          <w:lang w:val="lv-LV"/>
        </w:rPr>
        <w:t xml:space="preserve">būtu </w:t>
      </w:r>
      <w:r w:rsidR="000A3FDF" w:rsidRPr="002C5745">
        <w:rPr>
          <w:rFonts w:ascii="Times New Roman" w:eastAsia="Calibri" w:hAnsi="Times New Roman" w:cs="Times New Roman"/>
          <w:sz w:val="26"/>
          <w:szCs w:val="26"/>
          <w:lang w:val="lv-LV"/>
        </w:rPr>
        <w:t>jāvērtē</w:t>
      </w:r>
      <w:r w:rsidR="00D64468" w:rsidRPr="002C5745">
        <w:rPr>
          <w:rFonts w:ascii="Times New Roman" w:eastAsia="Calibri" w:hAnsi="Times New Roman" w:cs="Times New Roman"/>
          <w:sz w:val="26"/>
          <w:szCs w:val="26"/>
          <w:lang w:val="lv-LV"/>
        </w:rPr>
        <w:t xml:space="preserve"> </w:t>
      </w:r>
      <w:r w:rsidR="00995761" w:rsidRPr="002C5745">
        <w:rPr>
          <w:rFonts w:ascii="Times New Roman" w:eastAsia="Calibri" w:hAnsi="Times New Roman" w:cs="Times New Roman"/>
          <w:sz w:val="26"/>
          <w:szCs w:val="26"/>
          <w:lang w:val="lv-LV"/>
        </w:rPr>
        <w:t xml:space="preserve">arī </w:t>
      </w:r>
      <w:r w:rsidR="00D64468" w:rsidRPr="002C5745">
        <w:rPr>
          <w:rFonts w:ascii="Times New Roman" w:eastAsia="Calibri" w:hAnsi="Times New Roman" w:cs="Times New Roman"/>
          <w:sz w:val="26"/>
          <w:szCs w:val="26"/>
          <w:lang w:val="lv-LV"/>
        </w:rPr>
        <w:t xml:space="preserve">kopsakarā </w:t>
      </w:r>
      <w:r w:rsidR="00995761" w:rsidRPr="002C5745">
        <w:rPr>
          <w:rFonts w:ascii="Times New Roman" w:eastAsia="Calibri" w:hAnsi="Times New Roman" w:cs="Times New Roman"/>
          <w:sz w:val="26"/>
          <w:szCs w:val="26"/>
          <w:lang w:val="lv-LV"/>
        </w:rPr>
        <w:t>gan</w:t>
      </w:r>
      <w:r w:rsidR="000A3FDF" w:rsidRPr="002C5745">
        <w:rPr>
          <w:rFonts w:ascii="Times New Roman" w:eastAsia="Calibri" w:hAnsi="Times New Roman" w:cs="Times New Roman"/>
          <w:sz w:val="26"/>
          <w:szCs w:val="26"/>
          <w:lang w:val="lv-LV"/>
        </w:rPr>
        <w:t xml:space="preserve"> ar</w:t>
      </w:r>
      <w:r w:rsidR="00D64468" w:rsidRPr="002C5745">
        <w:rPr>
          <w:rFonts w:ascii="Times New Roman" w:eastAsia="Calibri" w:hAnsi="Times New Roman" w:cs="Times New Roman"/>
          <w:sz w:val="26"/>
          <w:szCs w:val="26"/>
          <w:lang w:val="lv-LV"/>
        </w:rPr>
        <w:t xml:space="preserve"> </w:t>
      </w:r>
      <w:r w:rsidR="00995761" w:rsidRPr="002C5745">
        <w:rPr>
          <w:rFonts w:ascii="Times New Roman" w:eastAsia="Calibri" w:hAnsi="Times New Roman" w:cs="Times New Roman"/>
          <w:sz w:val="26"/>
          <w:szCs w:val="26"/>
          <w:lang w:val="lv-LV"/>
        </w:rPr>
        <w:t xml:space="preserve">citu </w:t>
      </w:r>
      <w:r w:rsidR="00440576" w:rsidRPr="002C5745">
        <w:rPr>
          <w:rFonts w:ascii="Times New Roman" w:eastAsia="Calibri" w:hAnsi="Times New Roman" w:cs="Times New Roman"/>
          <w:sz w:val="26"/>
          <w:szCs w:val="26"/>
          <w:lang w:val="lv-LV"/>
        </w:rPr>
        <w:t>valstu normatīvajos aktos</w:t>
      </w:r>
      <w:r w:rsidR="00D64468" w:rsidRPr="002C5745">
        <w:rPr>
          <w:rFonts w:ascii="Times New Roman" w:eastAsia="Calibri" w:hAnsi="Times New Roman" w:cs="Times New Roman"/>
          <w:sz w:val="26"/>
          <w:szCs w:val="26"/>
          <w:lang w:val="lv-LV"/>
        </w:rPr>
        <w:t xml:space="preserve"> paredzētajiem</w:t>
      </w:r>
      <w:r w:rsidR="00440576" w:rsidRPr="002C5745">
        <w:rPr>
          <w:rFonts w:ascii="Times New Roman" w:eastAsia="Calibri" w:hAnsi="Times New Roman" w:cs="Times New Roman"/>
          <w:sz w:val="26"/>
          <w:szCs w:val="26"/>
          <w:lang w:val="lv-LV"/>
        </w:rPr>
        <w:t xml:space="preserve"> citiem</w:t>
      </w:r>
      <w:r w:rsidR="00D64468" w:rsidRPr="002C5745">
        <w:rPr>
          <w:rFonts w:ascii="Times New Roman" w:eastAsia="Calibri" w:hAnsi="Times New Roman" w:cs="Times New Roman"/>
          <w:sz w:val="26"/>
          <w:szCs w:val="26"/>
          <w:lang w:val="lv-LV"/>
        </w:rPr>
        <w:t xml:space="preserve"> tiesiskajiem risinājumiem nokavējuma naudas mazināšanas iespējai</w:t>
      </w:r>
      <w:r w:rsidR="000A3FDF" w:rsidRPr="002C5745">
        <w:rPr>
          <w:rFonts w:ascii="Times New Roman" w:eastAsia="Calibri" w:hAnsi="Times New Roman" w:cs="Times New Roman"/>
          <w:sz w:val="26"/>
          <w:szCs w:val="26"/>
          <w:lang w:val="lv-LV"/>
        </w:rPr>
        <w:t xml:space="preserve">, </w:t>
      </w:r>
      <w:r w:rsidR="00995761" w:rsidRPr="002C5745">
        <w:rPr>
          <w:rFonts w:ascii="Times New Roman" w:eastAsia="Calibri" w:hAnsi="Times New Roman" w:cs="Times New Roman"/>
          <w:sz w:val="26"/>
          <w:szCs w:val="26"/>
          <w:lang w:val="lv-LV"/>
        </w:rPr>
        <w:t>kā</w:t>
      </w:r>
      <w:r w:rsidR="000A3FDF" w:rsidRPr="002C5745">
        <w:rPr>
          <w:rFonts w:ascii="Times New Roman" w:eastAsia="Calibri" w:hAnsi="Times New Roman" w:cs="Times New Roman"/>
          <w:sz w:val="26"/>
          <w:szCs w:val="26"/>
          <w:lang w:val="lv-LV"/>
        </w:rPr>
        <w:t xml:space="preserve"> ar</w:t>
      </w:r>
      <w:r w:rsidR="00440576" w:rsidRPr="002C5745">
        <w:rPr>
          <w:rFonts w:ascii="Times New Roman" w:eastAsia="Calibri" w:hAnsi="Times New Roman" w:cs="Times New Roman"/>
          <w:sz w:val="26"/>
          <w:szCs w:val="26"/>
          <w:lang w:val="lv-LV"/>
        </w:rPr>
        <w:t>ī papildus noteiktajām sankcijām, kas noteiktas attiecībā uz nodokļu parādniekiem.</w:t>
      </w:r>
    </w:p>
    <w:p w14:paraId="42192EF7" w14:textId="77777777" w:rsidR="00802BA1" w:rsidRPr="002C5745" w:rsidRDefault="00802BA1" w:rsidP="00440576">
      <w:pPr>
        <w:pStyle w:val="Heading2"/>
        <w:jc w:val="both"/>
        <w:rPr>
          <w:rFonts w:ascii="Times New Roman" w:hAnsi="Times New Roman" w:cs="Times New Roman"/>
          <w:b/>
          <w:color w:val="auto"/>
          <w:lang w:val="lv-LV"/>
        </w:rPr>
      </w:pPr>
    </w:p>
    <w:p w14:paraId="5B2B9EA9" w14:textId="77777777" w:rsidR="0079353B" w:rsidRPr="002C5745" w:rsidRDefault="00995761" w:rsidP="009A1D53">
      <w:pPr>
        <w:pStyle w:val="Heading2"/>
        <w:jc w:val="center"/>
        <w:rPr>
          <w:rFonts w:ascii="Times New Roman" w:hAnsi="Times New Roman" w:cs="Times New Roman"/>
          <w:b/>
          <w:i/>
          <w:color w:val="auto"/>
          <w:lang w:val="lv-LV"/>
        </w:rPr>
      </w:pPr>
      <w:r w:rsidRPr="002C5745">
        <w:rPr>
          <w:rFonts w:ascii="Times New Roman" w:hAnsi="Times New Roman" w:cs="Times New Roman"/>
          <w:b/>
          <w:color w:val="auto"/>
          <w:lang w:val="lv-LV"/>
        </w:rPr>
        <w:t>2.4.  </w:t>
      </w:r>
      <w:r w:rsidR="0079353B" w:rsidRPr="002C5745">
        <w:rPr>
          <w:rFonts w:ascii="Times New Roman" w:hAnsi="Times New Roman" w:cs="Times New Roman"/>
          <w:b/>
          <w:color w:val="auto"/>
          <w:lang w:val="lv-LV"/>
        </w:rPr>
        <w:t>Vai nokavējuma nauda</w:t>
      </w:r>
      <w:r w:rsidR="00216B2A" w:rsidRPr="002C5745">
        <w:rPr>
          <w:rFonts w:ascii="Times New Roman" w:hAnsi="Times New Roman" w:cs="Times New Roman"/>
          <w:b/>
          <w:color w:val="auto"/>
          <w:lang w:val="lv-LV"/>
        </w:rPr>
        <w:t xml:space="preserve"> </w:t>
      </w:r>
      <w:r w:rsidR="0079353B" w:rsidRPr="002C5745">
        <w:rPr>
          <w:rFonts w:ascii="Times New Roman" w:hAnsi="Times New Roman" w:cs="Times New Roman"/>
          <w:b/>
          <w:color w:val="auto"/>
          <w:lang w:val="lv-LV"/>
        </w:rPr>
        <w:t>ir uzskatāma par soda sankcijas instrumentu</w:t>
      </w:r>
      <w:r w:rsidR="004438FD" w:rsidRPr="002C5745">
        <w:rPr>
          <w:rFonts w:ascii="Times New Roman" w:hAnsi="Times New Roman" w:cs="Times New Roman"/>
          <w:b/>
          <w:color w:val="auto"/>
          <w:lang w:val="lv-LV"/>
        </w:rPr>
        <w:t>?</w:t>
      </w:r>
    </w:p>
    <w:p w14:paraId="33729D93" w14:textId="0B93990F" w:rsidR="0079353B" w:rsidRPr="002C5745" w:rsidRDefault="0079353B" w:rsidP="0079353B">
      <w:pPr>
        <w:ind w:firstLine="720"/>
        <w:jc w:val="both"/>
        <w:rPr>
          <w:rFonts w:ascii="Times New Roman" w:hAnsi="Times New Roman" w:cs="Times New Roman"/>
          <w:sz w:val="26"/>
          <w:szCs w:val="26"/>
          <w:lang w:val="lv-LV"/>
        </w:rPr>
      </w:pPr>
      <w:r w:rsidRPr="002C5745">
        <w:rPr>
          <w:rFonts w:ascii="Times New Roman" w:hAnsi="Times New Roman" w:cs="Times New Roman"/>
          <w:sz w:val="26"/>
          <w:szCs w:val="26"/>
          <w:lang w:val="lv-LV"/>
        </w:rPr>
        <w:t>Likums “Par nodokļiem un nodevām” izšķir divu veidu maksājumus par nodokļu likumos noteikto pienākumu pienācīgu neizpildi. Viens no šiem maksājumiem ir nokavējuma nauda, kas ir procentu maksājum</w:t>
      </w:r>
      <w:r w:rsidR="009F59F3">
        <w:rPr>
          <w:rFonts w:ascii="Times New Roman" w:hAnsi="Times New Roman" w:cs="Times New Roman"/>
          <w:sz w:val="26"/>
          <w:szCs w:val="26"/>
          <w:lang w:val="lv-LV"/>
        </w:rPr>
        <w:t>s</w:t>
      </w:r>
      <w:r w:rsidRPr="002C5745">
        <w:rPr>
          <w:rFonts w:ascii="Times New Roman" w:hAnsi="Times New Roman" w:cs="Times New Roman"/>
          <w:sz w:val="26"/>
          <w:szCs w:val="26"/>
          <w:lang w:val="lv-LV"/>
        </w:rPr>
        <w:t xml:space="preserve"> par nodokļu, nodevu samaksas termiņa kavējumu,</w:t>
      </w:r>
      <w:r w:rsidRPr="002C5745">
        <w:rPr>
          <w:rStyle w:val="FootnoteReference"/>
          <w:rFonts w:ascii="Times New Roman" w:hAnsi="Times New Roman" w:cs="Times New Roman"/>
          <w:sz w:val="26"/>
          <w:szCs w:val="26"/>
          <w:lang w:val="lv-LV"/>
        </w:rPr>
        <w:footnoteReference w:id="33"/>
      </w:r>
      <w:r w:rsidRPr="002C5745">
        <w:rPr>
          <w:rFonts w:ascii="Times New Roman" w:hAnsi="Times New Roman" w:cs="Times New Roman"/>
          <w:sz w:val="26"/>
          <w:szCs w:val="26"/>
          <w:lang w:val="lv-LV"/>
        </w:rPr>
        <w:t xml:space="preserve"> savukārt otrs maksājums ir soda nauda, kas ir obligāts maksājums, kas tiek uzlikts nodokļu revīzijas (audita) rezultātā par budžetā iemaksājamās nodokļa summas samazināšanu vai no budžeta atmaksājamās nodokļa summas palielināšanu nodokļu </w:t>
      </w:r>
      <w:r w:rsidRPr="002C5745">
        <w:rPr>
          <w:rFonts w:ascii="Times New Roman" w:hAnsi="Times New Roman" w:cs="Times New Roman"/>
          <w:sz w:val="26"/>
          <w:szCs w:val="26"/>
          <w:lang w:val="lv-LV"/>
        </w:rPr>
        <w:lastRenderedPageBreak/>
        <w:t>administrācijai iesniegtajās vai iesniedzamajās nodokļu deklarācijās vai ko nodokļu administrācija aprēķina gadījumā, kad nodokļu maksātājs nodokļu deklarācijas precizējumu un deklarācijā precizēto nodokļa maksājumu veic pēc tam, kad saņemts paziņojums par nodokļu revīzijas (audita) uzsākšanu vai lēmums par nodokļu revīzijas (audita) veikšanas nosacījumu maiņu</w:t>
      </w:r>
      <w:r w:rsidRPr="002C5745">
        <w:rPr>
          <w:rStyle w:val="FootnoteReference"/>
          <w:rFonts w:ascii="Times New Roman" w:hAnsi="Times New Roman" w:cs="Times New Roman"/>
          <w:sz w:val="26"/>
          <w:szCs w:val="26"/>
          <w:lang w:val="lv-LV"/>
        </w:rPr>
        <w:footnoteReference w:id="34"/>
      </w:r>
      <w:r w:rsidRPr="002C5745">
        <w:rPr>
          <w:rFonts w:ascii="Times New Roman" w:hAnsi="Times New Roman" w:cs="Times New Roman"/>
          <w:sz w:val="26"/>
          <w:szCs w:val="26"/>
          <w:lang w:val="lv-LV"/>
        </w:rPr>
        <w:t>.</w:t>
      </w:r>
    </w:p>
    <w:p w14:paraId="4F13E49F" w14:textId="6955F94D" w:rsidR="0079353B" w:rsidRPr="002C5745" w:rsidRDefault="0079353B" w:rsidP="0079353B">
      <w:pPr>
        <w:ind w:firstLine="720"/>
        <w:jc w:val="both"/>
        <w:rPr>
          <w:rFonts w:ascii="Times New Roman" w:hAnsi="Times New Roman" w:cs="Times New Roman"/>
          <w:sz w:val="26"/>
          <w:szCs w:val="26"/>
          <w:lang w:val="lv-LV"/>
        </w:rPr>
      </w:pPr>
      <w:r w:rsidRPr="002C5745">
        <w:rPr>
          <w:rFonts w:ascii="Times New Roman" w:hAnsi="Times New Roman" w:cs="Times New Roman"/>
          <w:sz w:val="26"/>
          <w:szCs w:val="26"/>
          <w:lang w:val="lv-LV"/>
        </w:rPr>
        <w:t>Nodokļu jomu regulējošajos normatīvajos aktos paredzētā nokavējuma nauda un soda nauda zināmā mērā ir attiecīgi salīdzināma ar tādiem tiesību institūtiem civiltiesībās kā nokavējuma procenti un līgumsods (</w:t>
      </w:r>
      <w:r w:rsidRPr="002C5745">
        <w:rPr>
          <w:rFonts w:ascii="Times New Roman" w:hAnsi="Times New Roman" w:cs="Times New Roman"/>
          <w:i/>
          <w:sz w:val="26"/>
          <w:szCs w:val="26"/>
          <w:lang w:val="lv-LV"/>
        </w:rPr>
        <w:t>sk. Senāta 2013.</w:t>
      </w:r>
      <w:r w:rsidR="00EC689C">
        <w:rPr>
          <w:rFonts w:ascii="Times New Roman" w:hAnsi="Times New Roman" w:cs="Times New Roman"/>
          <w:i/>
          <w:sz w:val="26"/>
          <w:szCs w:val="26"/>
          <w:lang w:val="lv-LV"/>
        </w:rPr>
        <w:t> </w:t>
      </w:r>
      <w:r w:rsidRPr="002C5745">
        <w:rPr>
          <w:rFonts w:ascii="Times New Roman" w:hAnsi="Times New Roman" w:cs="Times New Roman"/>
          <w:i/>
          <w:sz w:val="26"/>
          <w:szCs w:val="26"/>
          <w:lang w:val="lv-LV"/>
        </w:rPr>
        <w:t>gada 22.</w:t>
      </w:r>
      <w:r w:rsidR="00EC689C">
        <w:rPr>
          <w:rFonts w:ascii="Times New Roman" w:hAnsi="Times New Roman" w:cs="Times New Roman"/>
          <w:i/>
          <w:sz w:val="26"/>
          <w:szCs w:val="26"/>
          <w:lang w:val="lv-LV"/>
        </w:rPr>
        <w:t> </w:t>
      </w:r>
      <w:r w:rsidRPr="002C5745">
        <w:rPr>
          <w:rFonts w:ascii="Times New Roman" w:hAnsi="Times New Roman" w:cs="Times New Roman"/>
          <w:i/>
          <w:sz w:val="26"/>
          <w:szCs w:val="26"/>
          <w:lang w:val="lv-LV"/>
        </w:rPr>
        <w:t>februāra sprieduma lietā Nr. SKA-30/2013 14.</w:t>
      </w:r>
      <w:r w:rsidR="00EC689C">
        <w:rPr>
          <w:rFonts w:ascii="Times New Roman" w:hAnsi="Times New Roman" w:cs="Times New Roman"/>
          <w:i/>
          <w:sz w:val="26"/>
          <w:szCs w:val="26"/>
          <w:lang w:val="lv-LV"/>
        </w:rPr>
        <w:t> </w:t>
      </w:r>
      <w:r w:rsidRPr="002C5745">
        <w:rPr>
          <w:rFonts w:ascii="Times New Roman" w:hAnsi="Times New Roman" w:cs="Times New Roman"/>
          <w:i/>
          <w:sz w:val="26"/>
          <w:szCs w:val="26"/>
          <w:lang w:val="lv-LV"/>
        </w:rPr>
        <w:t>punktu</w:t>
      </w:r>
      <w:r w:rsidRPr="002C5745">
        <w:rPr>
          <w:rFonts w:ascii="Times New Roman" w:hAnsi="Times New Roman" w:cs="Times New Roman"/>
          <w:sz w:val="26"/>
          <w:szCs w:val="26"/>
          <w:lang w:val="lv-LV"/>
        </w:rPr>
        <w:t>).</w:t>
      </w:r>
    </w:p>
    <w:p w14:paraId="493687E5" w14:textId="62FE78E1" w:rsidR="0079353B" w:rsidRPr="002C5745" w:rsidRDefault="00834A9D" w:rsidP="0079353B">
      <w:pPr>
        <w:ind w:firstLine="720"/>
        <w:jc w:val="both"/>
        <w:rPr>
          <w:rFonts w:ascii="Times New Roman" w:hAnsi="Times New Roman" w:cs="Times New Roman"/>
          <w:sz w:val="26"/>
          <w:szCs w:val="26"/>
          <w:lang w:val="lv-LV"/>
        </w:rPr>
      </w:pPr>
      <w:r w:rsidRPr="002C5745">
        <w:rPr>
          <w:rFonts w:ascii="Times New Roman" w:hAnsi="Times New Roman" w:cs="Times New Roman"/>
          <w:sz w:val="26"/>
          <w:szCs w:val="26"/>
          <w:lang w:val="lv-LV"/>
        </w:rPr>
        <w:t xml:space="preserve">Kā skaidrots Latvijas Republikas </w:t>
      </w:r>
      <w:r w:rsidR="0079353B" w:rsidRPr="002C5745">
        <w:rPr>
          <w:rFonts w:ascii="Times New Roman" w:hAnsi="Times New Roman" w:cs="Times New Roman"/>
          <w:sz w:val="26"/>
          <w:szCs w:val="26"/>
          <w:lang w:val="lv-LV"/>
        </w:rPr>
        <w:t xml:space="preserve">Civillikuma </w:t>
      </w:r>
      <w:r w:rsidRPr="002C5745">
        <w:rPr>
          <w:rFonts w:ascii="Times New Roman" w:hAnsi="Times New Roman" w:cs="Times New Roman"/>
          <w:sz w:val="26"/>
          <w:szCs w:val="26"/>
          <w:lang w:val="lv-LV"/>
        </w:rPr>
        <w:t>komentāros</w:t>
      </w:r>
      <w:r w:rsidRPr="002C5745">
        <w:rPr>
          <w:rStyle w:val="FootnoteReference"/>
          <w:rFonts w:ascii="Times New Roman" w:hAnsi="Times New Roman" w:cs="Times New Roman"/>
          <w:sz w:val="26"/>
          <w:szCs w:val="26"/>
          <w:lang w:val="lv-LV"/>
        </w:rPr>
        <w:footnoteReference w:id="35"/>
      </w:r>
      <w:r w:rsidR="000A0227">
        <w:rPr>
          <w:rFonts w:ascii="Times New Roman" w:hAnsi="Times New Roman" w:cs="Times New Roman"/>
          <w:sz w:val="26"/>
          <w:szCs w:val="26"/>
          <w:lang w:val="lv-LV"/>
        </w:rPr>
        <w:t>-</w:t>
      </w:r>
      <w:r w:rsidR="00A31FAF" w:rsidRPr="002C5745">
        <w:rPr>
          <w:rFonts w:ascii="Times New Roman" w:hAnsi="Times New Roman" w:cs="Times New Roman"/>
          <w:sz w:val="26"/>
          <w:szCs w:val="26"/>
          <w:lang w:val="lv-LV"/>
        </w:rPr>
        <w:t xml:space="preserve"> “P</w:t>
      </w:r>
      <w:r w:rsidR="0079353B" w:rsidRPr="002C5745">
        <w:rPr>
          <w:rFonts w:ascii="Times New Roman" w:hAnsi="Times New Roman" w:cs="Times New Roman"/>
          <w:sz w:val="26"/>
          <w:szCs w:val="26"/>
          <w:lang w:val="lv-LV"/>
        </w:rPr>
        <w:t>rocentu maksāšanas pienākums balstās uz tirgus ekonomikai raksturīgu pieņēmumu, saskaņā ar kuru kapitāls parasti nes augļus, un tāpēc, ja tas tiesiski vai prettiesiski nonāk citas personas turējumā, tad par tā turēšanu (lietošanu) ir jāmaksā procenti. [..] Procentu kā atlīdzības par kapitāla lietošanas atvēlējumu vai atdošanas kavējumu galvenā funkcija ir nodrošināt tirgus ekonomikai raksturīgu ekvivalenci, pamatojoties uz kapitāla spēju nest augļus. [..] Procenti jāmaksā arī tad, ja kapitāls nonācis vai palicis svešā lietojumā prettiesiskas rīcības – nokavējuma rezultātā. Šādos gadījumos procentiem nedrīkst piedēvēt soda raksturu, kaut gan procentu maksāšanas pienākums iedarbojas kā pamudinājums parāda ātrākai nokārtošanai. Sankcijas raksturs ir līgumsodam, ko arī var</w:t>
      </w:r>
      <w:r w:rsidR="00A31FAF" w:rsidRPr="002C5745">
        <w:rPr>
          <w:rFonts w:ascii="Times New Roman" w:hAnsi="Times New Roman" w:cs="Times New Roman"/>
          <w:sz w:val="26"/>
          <w:szCs w:val="26"/>
          <w:lang w:val="lv-LV"/>
        </w:rPr>
        <w:t xml:space="preserve"> izteikt procentos.</w:t>
      </w:r>
      <w:r w:rsidR="00000837" w:rsidRPr="002C5745">
        <w:rPr>
          <w:rFonts w:ascii="Times New Roman" w:hAnsi="Times New Roman" w:cs="Times New Roman"/>
          <w:sz w:val="26"/>
          <w:szCs w:val="26"/>
          <w:lang w:val="lv-LV"/>
        </w:rPr>
        <w:t>[..] Procentu maksājums nav saistāms ar vainas esamību vai neesamību, turpretim no līgumsoda attiecīgā puse ir atbrīvojama, ja tā nav nokavējumā vainojama.</w:t>
      </w:r>
      <w:r w:rsidR="00A31FAF" w:rsidRPr="002C5745">
        <w:rPr>
          <w:rFonts w:ascii="Times New Roman" w:hAnsi="Times New Roman" w:cs="Times New Roman"/>
          <w:sz w:val="26"/>
          <w:szCs w:val="26"/>
          <w:lang w:val="lv-LV"/>
        </w:rPr>
        <w:t>”</w:t>
      </w:r>
    </w:p>
    <w:p w14:paraId="4C0837C1" w14:textId="47000C1C" w:rsidR="0079353B" w:rsidRPr="002C5745" w:rsidRDefault="0079353B" w:rsidP="0079353B">
      <w:pPr>
        <w:ind w:firstLine="720"/>
        <w:jc w:val="both"/>
        <w:rPr>
          <w:rFonts w:ascii="Times New Roman" w:hAnsi="Times New Roman" w:cs="Times New Roman"/>
          <w:sz w:val="26"/>
          <w:szCs w:val="26"/>
          <w:lang w:val="lv-LV"/>
        </w:rPr>
      </w:pPr>
      <w:r w:rsidRPr="002C5745">
        <w:rPr>
          <w:rFonts w:ascii="Times New Roman" w:hAnsi="Times New Roman" w:cs="Times New Roman"/>
          <w:sz w:val="26"/>
          <w:szCs w:val="26"/>
          <w:lang w:val="lv-LV"/>
        </w:rPr>
        <w:t xml:space="preserve">Savukārt </w:t>
      </w:r>
      <w:r w:rsidR="00A31FAF" w:rsidRPr="002C5745">
        <w:rPr>
          <w:rFonts w:ascii="Times New Roman" w:hAnsi="Times New Roman" w:cs="Times New Roman"/>
          <w:sz w:val="26"/>
          <w:szCs w:val="26"/>
          <w:lang w:val="lv-LV"/>
        </w:rPr>
        <w:t>attiecībā uz Civillikuma 1759.</w:t>
      </w:r>
      <w:r w:rsidR="00EC689C">
        <w:rPr>
          <w:rFonts w:ascii="Times New Roman" w:hAnsi="Times New Roman" w:cs="Times New Roman"/>
          <w:sz w:val="26"/>
          <w:szCs w:val="26"/>
          <w:lang w:val="lv-LV"/>
        </w:rPr>
        <w:t> </w:t>
      </w:r>
      <w:r w:rsidR="00A31FAF" w:rsidRPr="002C5745">
        <w:rPr>
          <w:rFonts w:ascii="Times New Roman" w:hAnsi="Times New Roman" w:cs="Times New Roman"/>
          <w:sz w:val="26"/>
          <w:szCs w:val="26"/>
          <w:lang w:val="lv-LV"/>
        </w:rPr>
        <w:t>panta 1.</w:t>
      </w:r>
      <w:r w:rsidR="00EC689C">
        <w:rPr>
          <w:rFonts w:ascii="Times New Roman" w:hAnsi="Times New Roman" w:cs="Times New Roman"/>
          <w:sz w:val="26"/>
          <w:szCs w:val="26"/>
          <w:lang w:val="lv-LV"/>
        </w:rPr>
        <w:t> </w:t>
      </w:r>
      <w:r w:rsidR="00A31FAF" w:rsidRPr="002C5745">
        <w:rPr>
          <w:rFonts w:ascii="Times New Roman" w:hAnsi="Times New Roman" w:cs="Times New Roman"/>
          <w:sz w:val="26"/>
          <w:szCs w:val="26"/>
          <w:lang w:val="lv-LV"/>
        </w:rPr>
        <w:t>punktu</w:t>
      </w:r>
      <w:r w:rsidRPr="002C5745">
        <w:rPr>
          <w:rFonts w:ascii="Times New Roman" w:hAnsi="Times New Roman" w:cs="Times New Roman"/>
          <w:sz w:val="26"/>
          <w:szCs w:val="26"/>
          <w:lang w:val="lv-LV"/>
        </w:rPr>
        <w:t xml:space="preserve">, </w:t>
      </w:r>
      <w:r w:rsidR="00A31FAF" w:rsidRPr="002C5745">
        <w:rPr>
          <w:rFonts w:ascii="Times New Roman" w:hAnsi="Times New Roman" w:cs="Times New Roman"/>
          <w:sz w:val="26"/>
          <w:szCs w:val="26"/>
          <w:lang w:val="lv-LV"/>
        </w:rPr>
        <w:t>kurā</w:t>
      </w:r>
      <w:r w:rsidRPr="002C5745">
        <w:rPr>
          <w:rFonts w:ascii="Times New Roman" w:hAnsi="Times New Roman" w:cs="Times New Roman"/>
          <w:sz w:val="26"/>
          <w:szCs w:val="26"/>
          <w:lang w:val="lv-LV"/>
        </w:rPr>
        <w:t xml:space="preserve"> note</w:t>
      </w:r>
      <w:r w:rsidR="00A31FAF" w:rsidRPr="002C5745">
        <w:rPr>
          <w:rFonts w:ascii="Times New Roman" w:hAnsi="Times New Roman" w:cs="Times New Roman"/>
          <w:sz w:val="26"/>
          <w:szCs w:val="26"/>
          <w:lang w:val="lv-LV"/>
        </w:rPr>
        <w:t>ikts</w:t>
      </w:r>
      <w:r w:rsidRPr="002C5745">
        <w:rPr>
          <w:rFonts w:ascii="Times New Roman" w:hAnsi="Times New Roman" w:cs="Times New Roman"/>
          <w:sz w:val="26"/>
          <w:szCs w:val="26"/>
          <w:lang w:val="lv-LV"/>
        </w:rPr>
        <w:t xml:space="preserve"> pienākum</w:t>
      </w:r>
      <w:r w:rsidR="00A31FAF" w:rsidRPr="002C5745">
        <w:rPr>
          <w:rFonts w:ascii="Times New Roman" w:hAnsi="Times New Roman" w:cs="Times New Roman"/>
          <w:sz w:val="26"/>
          <w:szCs w:val="26"/>
          <w:lang w:val="lv-LV"/>
        </w:rPr>
        <w:t>s</w:t>
      </w:r>
      <w:r w:rsidRPr="002C5745">
        <w:rPr>
          <w:rFonts w:ascii="Times New Roman" w:hAnsi="Times New Roman" w:cs="Times New Roman"/>
          <w:sz w:val="26"/>
          <w:szCs w:val="26"/>
          <w:lang w:val="lv-LV"/>
        </w:rPr>
        <w:t xml:space="preserve"> maksāt nokavējuma procentus par parāda samaksas nokavējumu, </w:t>
      </w:r>
      <w:r w:rsidR="00A31FAF" w:rsidRPr="002C5745">
        <w:rPr>
          <w:rFonts w:ascii="Times New Roman" w:hAnsi="Times New Roman" w:cs="Times New Roman"/>
          <w:sz w:val="26"/>
          <w:szCs w:val="26"/>
          <w:lang w:val="lv-LV"/>
        </w:rPr>
        <w:t>Latvijas Republikas Civillikuma komentāros</w:t>
      </w:r>
      <w:r w:rsidR="003E299D" w:rsidRPr="002C5745">
        <w:rPr>
          <w:rStyle w:val="FootnoteReference"/>
          <w:rFonts w:ascii="Times New Roman" w:hAnsi="Times New Roman" w:cs="Times New Roman"/>
          <w:sz w:val="26"/>
          <w:szCs w:val="26"/>
          <w:lang w:val="lv-LV"/>
        </w:rPr>
        <w:footnoteReference w:id="36"/>
      </w:r>
      <w:r w:rsidR="00A31FAF" w:rsidRPr="002C5745">
        <w:rPr>
          <w:rFonts w:ascii="Times New Roman" w:hAnsi="Times New Roman" w:cs="Times New Roman"/>
          <w:sz w:val="26"/>
          <w:szCs w:val="26"/>
          <w:lang w:val="lv-LV"/>
        </w:rPr>
        <w:t xml:space="preserve"> </w:t>
      </w:r>
      <w:r w:rsidRPr="002C5745">
        <w:rPr>
          <w:rFonts w:ascii="Times New Roman" w:hAnsi="Times New Roman" w:cs="Times New Roman"/>
          <w:sz w:val="26"/>
          <w:szCs w:val="26"/>
          <w:lang w:val="lv-LV"/>
        </w:rPr>
        <w:t>norādīts: “Nokavējuma procenti ir maksa par naudas vai cita kapitāla lietojumu pēc tam, kad iestājies maksājuma (atvietojamas lietas došanas) pienākums. Tātad nokavējumu procentu maksāšana ir saistīta ar tiesību pārkāpumu – nokavējumu, taču to daba paliek tāda pati kā procentiem vispār: arī nokavējuma procentu uzdevums ir nodrošināt ienākumus, ko dod kapitāls, atrodoties normālā apritē, ekvivalenci mantiskajās attiecībās. Tāpēc nokavējuma procentus nedrīkst jaukt ar līgumsodu kā sankciju un it īpaši ar tādu līgumsodu, kas n</w:t>
      </w:r>
      <w:r w:rsidR="003E299D" w:rsidRPr="002C5745">
        <w:rPr>
          <w:rFonts w:ascii="Times New Roman" w:hAnsi="Times New Roman" w:cs="Times New Roman"/>
          <w:sz w:val="26"/>
          <w:szCs w:val="26"/>
          <w:lang w:val="lv-LV"/>
        </w:rPr>
        <w:t>osaukts par nokavējuma naudu.”</w:t>
      </w:r>
    </w:p>
    <w:p w14:paraId="724FBF9A" w14:textId="4D9D8693" w:rsidR="00CE15FA" w:rsidRPr="002C5745" w:rsidRDefault="0079353B" w:rsidP="00CE15FA">
      <w:pPr>
        <w:ind w:firstLine="720"/>
        <w:jc w:val="both"/>
        <w:rPr>
          <w:rFonts w:ascii="Times New Roman" w:hAnsi="Times New Roman" w:cs="Times New Roman"/>
          <w:sz w:val="26"/>
          <w:szCs w:val="26"/>
          <w:lang w:val="lv-LV"/>
        </w:rPr>
      </w:pPr>
      <w:r w:rsidRPr="002C5745">
        <w:rPr>
          <w:rFonts w:ascii="Times New Roman" w:hAnsi="Times New Roman" w:cs="Times New Roman"/>
          <w:sz w:val="26"/>
          <w:szCs w:val="26"/>
          <w:lang w:val="lv-LV"/>
        </w:rPr>
        <w:t>Tādējādi civiltiesībās nokavējuma procentu mērķis ir pamudināt parādnieku ātrāk nokārtot parādu, nevis sodīt, savukārt līgumsodam ir sankcijas raksturs. Līdzīgi ir arī nodokļu jomā – soda naudai ir sankcijas raksturs, savukārt nokavējuma nauda tiek noteikta kā maksa par nodokļa summas lietojumu pēc tam, kad iestājies nodokļa samaksas pienākums. Kā jau iepriekš Augstākās tiesas Senāts ir norādījis, nokavējuma naudai principā nav sodošs, bet budžetā savlaicīgi negūtos ieņēmumus kompensējošs raksturs (</w:t>
      </w:r>
      <w:r w:rsidRPr="002C5745">
        <w:rPr>
          <w:rFonts w:ascii="Times New Roman" w:hAnsi="Times New Roman" w:cs="Times New Roman"/>
          <w:i/>
          <w:iCs/>
          <w:sz w:val="26"/>
          <w:szCs w:val="26"/>
          <w:lang w:val="lv-LV"/>
        </w:rPr>
        <w:t xml:space="preserve">sk. </w:t>
      </w:r>
      <w:r w:rsidRPr="002C5745">
        <w:rPr>
          <w:rFonts w:ascii="Times New Roman" w:hAnsi="Times New Roman" w:cs="Times New Roman"/>
          <w:i/>
          <w:sz w:val="26"/>
          <w:szCs w:val="26"/>
          <w:lang w:val="lv-LV"/>
        </w:rPr>
        <w:t>Senāta 2013.</w:t>
      </w:r>
      <w:r w:rsidR="00EC689C">
        <w:rPr>
          <w:rFonts w:ascii="Times New Roman" w:hAnsi="Times New Roman" w:cs="Times New Roman"/>
          <w:i/>
          <w:sz w:val="26"/>
          <w:szCs w:val="26"/>
          <w:lang w:val="lv-LV"/>
        </w:rPr>
        <w:t> </w:t>
      </w:r>
      <w:r w:rsidRPr="002C5745">
        <w:rPr>
          <w:rFonts w:ascii="Times New Roman" w:hAnsi="Times New Roman" w:cs="Times New Roman"/>
          <w:i/>
          <w:sz w:val="26"/>
          <w:szCs w:val="26"/>
          <w:lang w:val="lv-LV"/>
        </w:rPr>
        <w:t>gada 22.</w:t>
      </w:r>
      <w:r w:rsidR="00EC689C">
        <w:rPr>
          <w:rFonts w:ascii="Times New Roman" w:hAnsi="Times New Roman" w:cs="Times New Roman"/>
          <w:i/>
          <w:sz w:val="26"/>
          <w:szCs w:val="26"/>
          <w:lang w:val="lv-LV"/>
        </w:rPr>
        <w:t> </w:t>
      </w:r>
      <w:r w:rsidRPr="002C5745">
        <w:rPr>
          <w:rFonts w:ascii="Times New Roman" w:hAnsi="Times New Roman" w:cs="Times New Roman"/>
          <w:i/>
          <w:sz w:val="26"/>
          <w:szCs w:val="26"/>
          <w:lang w:val="lv-LV"/>
        </w:rPr>
        <w:t>februāra sprieduma lietā SKA-30/2013 14.</w:t>
      </w:r>
      <w:r w:rsidR="00EC689C">
        <w:rPr>
          <w:rFonts w:ascii="Times New Roman" w:hAnsi="Times New Roman" w:cs="Times New Roman"/>
          <w:i/>
          <w:sz w:val="26"/>
          <w:szCs w:val="26"/>
          <w:lang w:val="lv-LV"/>
        </w:rPr>
        <w:t> </w:t>
      </w:r>
      <w:r w:rsidRPr="002C5745">
        <w:rPr>
          <w:rFonts w:ascii="Times New Roman" w:hAnsi="Times New Roman" w:cs="Times New Roman"/>
          <w:i/>
          <w:sz w:val="26"/>
          <w:szCs w:val="26"/>
          <w:lang w:val="lv-LV"/>
        </w:rPr>
        <w:t>punktu</w:t>
      </w:r>
      <w:r w:rsidRPr="002C5745">
        <w:rPr>
          <w:rFonts w:ascii="Times New Roman" w:hAnsi="Times New Roman" w:cs="Times New Roman"/>
          <w:i/>
          <w:iCs/>
          <w:sz w:val="26"/>
          <w:szCs w:val="26"/>
          <w:lang w:val="lv-LV"/>
        </w:rPr>
        <w:t xml:space="preserve"> un 2011.</w:t>
      </w:r>
      <w:r w:rsidR="00EC689C">
        <w:rPr>
          <w:rFonts w:ascii="Times New Roman" w:hAnsi="Times New Roman" w:cs="Times New Roman"/>
          <w:i/>
          <w:iCs/>
          <w:sz w:val="26"/>
          <w:szCs w:val="26"/>
          <w:lang w:val="lv-LV"/>
        </w:rPr>
        <w:t> </w:t>
      </w:r>
      <w:r w:rsidRPr="002C5745">
        <w:rPr>
          <w:rFonts w:ascii="Times New Roman" w:hAnsi="Times New Roman" w:cs="Times New Roman"/>
          <w:i/>
          <w:iCs/>
          <w:sz w:val="26"/>
          <w:szCs w:val="26"/>
          <w:lang w:val="lv-LV"/>
        </w:rPr>
        <w:t>gada 1.</w:t>
      </w:r>
      <w:r w:rsidR="00EC689C">
        <w:rPr>
          <w:rFonts w:ascii="Times New Roman" w:hAnsi="Times New Roman" w:cs="Times New Roman"/>
          <w:i/>
          <w:iCs/>
          <w:sz w:val="26"/>
          <w:szCs w:val="26"/>
          <w:lang w:val="lv-LV"/>
        </w:rPr>
        <w:t> </w:t>
      </w:r>
      <w:r w:rsidRPr="002C5745">
        <w:rPr>
          <w:rFonts w:ascii="Times New Roman" w:hAnsi="Times New Roman" w:cs="Times New Roman"/>
          <w:i/>
          <w:iCs/>
          <w:sz w:val="26"/>
          <w:szCs w:val="26"/>
          <w:lang w:val="lv-LV"/>
        </w:rPr>
        <w:t>jūnija sprieduma lietā Nr.</w:t>
      </w:r>
      <w:r w:rsidR="00EC689C">
        <w:rPr>
          <w:rFonts w:ascii="Times New Roman" w:hAnsi="Times New Roman" w:cs="Times New Roman"/>
          <w:i/>
          <w:iCs/>
          <w:sz w:val="26"/>
          <w:szCs w:val="26"/>
          <w:lang w:val="lv-LV"/>
        </w:rPr>
        <w:t> </w:t>
      </w:r>
      <w:r w:rsidRPr="002C5745">
        <w:rPr>
          <w:rFonts w:ascii="Times New Roman" w:hAnsi="Times New Roman" w:cs="Times New Roman"/>
          <w:i/>
          <w:iCs/>
          <w:sz w:val="26"/>
          <w:szCs w:val="26"/>
          <w:lang w:val="lv-LV"/>
        </w:rPr>
        <w:t>SKA-107/2011 15.</w:t>
      </w:r>
      <w:r w:rsidR="00EC689C">
        <w:rPr>
          <w:rFonts w:ascii="Times New Roman" w:hAnsi="Times New Roman" w:cs="Times New Roman"/>
          <w:i/>
          <w:iCs/>
          <w:sz w:val="26"/>
          <w:szCs w:val="26"/>
          <w:lang w:val="lv-LV"/>
        </w:rPr>
        <w:t> </w:t>
      </w:r>
      <w:r w:rsidRPr="002C5745">
        <w:rPr>
          <w:rFonts w:ascii="Times New Roman" w:hAnsi="Times New Roman" w:cs="Times New Roman"/>
          <w:i/>
          <w:iCs/>
          <w:sz w:val="26"/>
          <w:szCs w:val="26"/>
          <w:lang w:val="lv-LV"/>
        </w:rPr>
        <w:t>punktu</w:t>
      </w:r>
      <w:r w:rsidRPr="002C5745">
        <w:rPr>
          <w:rFonts w:ascii="Times New Roman" w:hAnsi="Times New Roman" w:cs="Times New Roman"/>
          <w:sz w:val="26"/>
          <w:szCs w:val="26"/>
          <w:lang w:val="lv-LV"/>
        </w:rPr>
        <w:t>).</w:t>
      </w:r>
    </w:p>
    <w:p w14:paraId="787664A3" w14:textId="0A7910F7" w:rsidR="00CE15FA" w:rsidRPr="002C5745" w:rsidRDefault="00CE15FA" w:rsidP="00CE15FA">
      <w:pPr>
        <w:ind w:firstLine="720"/>
        <w:jc w:val="both"/>
        <w:rPr>
          <w:rFonts w:ascii="Times New Roman" w:hAnsi="Times New Roman" w:cs="Times New Roman"/>
          <w:sz w:val="26"/>
          <w:szCs w:val="26"/>
          <w:lang w:val="lv-LV"/>
        </w:rPr>
      </w:pPr>
      <w:r w:rsidRPr="002C5745">
        <w:rPr>
          <w:rFonts w:ascii="Times New Roman" w:hAnsi="Times New Roman" w:cs="Times New Roman"/>
          <w:sz w:val="26"/>
          <w:szCs w:val="26"/>
          <w:lang w:val="lv-LV"/>
        </w:rPr>
        <w:t>Kā izriet no</w:t>
      </w:r>
      <w:r w:rsidR="001C6F8F" w:rsidRPr="002C5745">
        <w:rPr>
          <w:rFonts w:ascii="Times New Roman" w:hAnsi="Times New Roman" w:cs="Times New Roman"/>
          <w:sz w:val="26"/>
          <w:szCs w:val="26"/>
          <w:lang w:val="lv-LV"/>
        </w:rPr>
        <w:t xml:space="preserve"> </w:t>
      </w:r>
      <w:r w:rsidR="009F59F3">
        <w:rPr>
          <w:rFonts w:ascii="Times New Roman" w:hAnsi="Times New Roman" w:cs="Times New Roman"/>
          <w:sz w:val="26"/>
          <w:szCs w:val="26"/>
          <w:lang w:val="lv-LV"/>
        </w:rPr>
        <w:t>sekretariāta z</w:t>
      </w:r>
      <w:r w:rsidR="001C6F8F" w:rsidRPr="002C5745">
        <w:rPr>
          <w:rFonts w:ascii="Times New Roman" w:hAnsi="Times New Roman" w:cs="Times New Roman"/>
          <w:sz w:val="26"/>
          <w:szCs w:val="26"/>
          <w:lang w:val="lv-LV"/>
        </w:rPr>
        <w:t>i</w:t>
      </w:r>
      <w:r w:rsidRPr="002C5745">
        <w:rPr>
          <w:rFonts w:ascii="Times New Roman" w:hAnsi="Times New Roman" w:cs="Times New Roman"/>
          <w:sz w:val="26"/>
          <w:szCs w:val="26"/>
          <w:lang w:val="lv-LV"/>
        </w:rPr>
        <w:t>ņojuma</w:t>
      </w:r>
      <w:r w:rsidR="001C6F8F" w:rsidRPr="002C5745">
        <w:rPr>
          <w:rFonts w:ascii="Times New Roman" w:hAnsi="Times New Roman" w:cs="Times New Roman"/>
          <w:sz w:val="26"/>
          <w:szCs w:val="26"/>
          <w:lang w:val="lv-LV"/>
        </w:rPr>
        <w:t xml:space="preserve">, </w:t>
      </w:r>
      <w:r w:rsidR="00216B2A" w:rsidRPr="002C5745">
        <w:rPr>
          <w:rFonts w:ascii="Times New Roman" w:hAnsi="Times New Roman" w:cs="Times New Roman"/>
          <w:sz w:val="26"/>
          <w:szCs w:val="26"/>
          <w:lang w:val="lv-LV"/>
        </w:rPr>
        <w:t>Latvijas Tranzīta biznesa asociācija</w:t>
      </w:r>
      <w:r w:rsidR="001C6F8F" w:rsidRPr="002C5745">
        <w:rPr>
          <w:rFonts w:ascii="Times New Roman" w:hAnsi="Times New Roman" w:cs="Times New Roman"/>
          <w:sz w:val="26"/>
          <w:szCs w:val="26"/>
          <w:lang w:val="lv-LV"/>
        </w:rPr>
        <w:t>s ieskatā</w:t>
      </w:r>
      <w:r w:rsidRPr="002C5745">
        <w:rPr>
          <w:rFonts w:ascii="Times New Roman" w:hAnsi="Times New Roman" w:cs="Times New Roman"/>
          <w:sz w:val="26"/>
          <w:szCs w:val="26"/>
          <w:lang w:val="lv-LV"/>
        </w:rPr>
        <w:t xml:space="preserve"> </w:t>
      </w:r>
      <w:r w:rsidR="00216B2A" w:rsidRPr="002C5745">
        <w:rPr>
          <w:rFonts w:ascii="Times New Roman" w:hAnsi="Times New Roman" w:cs="Times New Roman"/>
          <w:sz w:val="26"/>
          <w:szCs w:val="26"/>
          <w:lang w:val="lv-LV"/>
        </w:rPr>
        <w:t>likuma “Par nodokļiem un nodevām” 29.</w:t>
      </w:r>
      <w:r w:rsidR="00EC689C">
        <w:rPr>
          <w:rFonts w:ascii="Times New Roman" w:hAnsi="Times New Roman" w:cs="Times New Roman"/>
          <w:sz w:val="26"/>
          <w:szCs w:val="26"/>
          <w:lang w:val="lv-LV"/>
        </w:rPr>
        <w:t> </w:t>
      </w:r>
      <w:r w:rsidR="00216B2A" w:rsidRPr="002C5745">
        <w:rPr>
          <w:rFonts w:ascii="Times New Roman" w:hAnsi="Times New Roman" w:cs="Times New Roman"/>
          <w:sz w:val="26"/>
          <w:szCs w:val="26"/>
          <w:lang w:val="lv-LV"/>
        </w:rPr>
        <w:t xml:space="preserve">panta otrajā daļā </w:t>
      </w:r>
      <w:r w:rsidR="001C6F8F" w:rsidRPr="002C5745">
        <w:rPr>
          <w:rFonts w:ascii="Times New Roman" w:hAnsi="Times New Roman" w:cs="Times New Roman"/>
          <w:sz w:val="26"/>
          <w:szCs w:val="26"/>
          <w:lang w:val="lv-LV"/>
        </w:rPr>
        <w:t>noteikt</w:t>
      </w:r>
      <w:r w:rsidRPr="002C5745">
        <w:rPr>
          <w:rFonts w:ascii="Times New Roman" w:hAnsi="Times New Roman" w:cs="Times New Roman"/>
          <w:sz w:val="26"/>
          <w:szCs w:val="26"/>
          <w:lang w:val="lv-LV"/>
        </w:rPr>
        <w:t>ā</w:t>
      </w:r>
      <w:r w:rsidR="00216B2A" w:rsidRPr="002C5745">
        <w:rPr>
          <w:rFonts w:ascii="Times New Roman" w:hAnsi="Times New Roman" w:cs="Times New Roman"/>
          <w:sz w:val="26"/>
          <w:szCs w:val="26"/>
          <w:lang w:val="lv-LV"/>
        </w:rPr>
        <w:t xml:space="preserve"> nokavējuma nauda</w:t>
      </w:r>
      <w:r w:rsidRPr="002C5745">
        <w:rPr>
          <w:rFonts w:ascii="Times New Roman" w:hAnsi="Times New Roman" w:cs="Times New Roman"/>
          <w:sz w:val="26"/>
          <w:szCs w:val="26"/>
          <w:lang w:val="lv-LV"/>
        </w:rPr>
        <w:t>s likme</w:t>
      </w:r>
      <w:r w:rsidR="001C6F8F" w:rsidRPr="002C5745">
        <w:rPr>
          <w:rFonts w:ascii="Times New Roman" w:hAnsi="Times New Roman" w:cs="Times New Roman"/>
          <w:sz w:val="26"/>
          <w:szCs w:val="26"/>
          <w:lang w:val="lv-LV"/>
        </w:rPr>
        <w:t xml:space="preserve"> </w:t>
      </w:r>
      <w:r w:rsidR="00D41913" w:rsidRPr="002C5745">
        <w:rPr>
          <w:rFonts w:ascii="Times New Roman" w:hAnsi="Times New Roman" w:cs="Times New Roman"/>
          <w:sz w:val="26"/>
          <w:szCs w:val="26"/>
          <w:lang w:val="lv-LV"/>
        </w:rPr>
        <w:t>(tas ir, 18,25  </w:t>
      </w:r>
      <w:r w:rsidRPr="002C5745">
        <w:rPr>
          <w:rFonts w:ascii="Times New Roman" w:hAnsi="Times New Roman" w:cs="Times New Roman"/>
          <w:sz w:val="26"/>
          <w:szCs w:val="26"/>
          <w:lang w:val="lv-LV"/>
        </w:rPr>
        <w:t>procenti</w:t>
      </w:r>
      <w:r w:rsidR="00D41913" w:rsidRPr="002C5745">
        <w:rPr>
          <w:rFonts w:ascii="Times New Roman" w:hAnsi="Times New Roman" w:cs="Times New Roman"/>
          <w:sz w:val="26"/>
          <w:szCs w:val="26"/>
          <w:lang w:val="lv-LV"/>
        </w:rPr>
        <w:t xml:space="preserve"> gadā</w:t>
      </w:r>
      <w:r w:rsidRPr="002C5745">
        <w:rPr>
          <w:rFonts w:ascii="Times New Roman" w:hAnsi="Times New Roman" w:cs="Times New Roman"/>
          <w:sz w:val="26"/>
          <w:szCs w:val="26"/>
          <w:lang w:val="lv-LV"/>
        </w:rPr>
        <w:t xml:space="preserve">) </w:t>
      </w:r>
      <w:r w:rsidR="001C6F8F" w:rsidRPr="002C5745">
        <w:rPr>
          <w:rFonts w:ascii="Times New Roman" w:hAnsi="Times New Roman" w:cs="Times New Roman"/>
          <w:sz w:val="26"/>
          <w:szCs w:val="26"/>
          <w:lang w:val="lv-LV"/>
        </w:rPr>
        <w:t xml:space="preserve">ir </w:t>
      </w:r>
      <w:r w:rsidRPr="002C5745">
        <w:rPr>
          <w:rFonts w:ascii="Times New Roman" w:hAnsi="Times New Roman" w:cs="Times New Roman"/>
          <w:sz w:val="26"/>
          <w:szCs w:val="26"/>
          <w:lang w:val="lv-LV"/>
        </w:rPr>
        <w:t xml:space="preserve">uzskatāma par </w:t>
      </w:r>
      <w:r w:rsidR="001C6F8F" w:rsidRPr="002C5745">
        <w:rPr>
          <w:rFonts w:ascii="Times New Roman" w:hAnsi="Times New Roman" w:cs="Times New Roman"/>
          <w:sz w:val="26"/>
          <w:szCs w:val="26"/>
          <w:lang w:val="lv-LV"/>
        </w:rPr>
        <w:t>nesamēr</w:t>
      </w:r>
      <w:r w:rsidRPr="002C5745">
        <w:rPr>
          <w:rFonts w:ascii="Times New Roman" w:hAnsi="Times New Roman" w:cs="Times New Roman"/>
          <w:sz w:val="26"/>
          <w:szCs w:val="26"/>
          <w:lang w:val="lv-LV"/>
        </w:rPr>
        <w:t>īgu, kas</w:t>
      </w:r>
      <w:r w:rsidR="001C6F8F" w:rsidRPr="002C5745">
        <w:rPr>
          <w:rFonts w:ascii="Times New Roman" w:hAnsi="Times New Roman" w:cs="Times New Roman"/>
          <w:sz w:val="26"/>
          <w:szCs w:val="26"/>
          <w:lang w:val="lv-LV"/>
        </w:rPr>
        <w:t xml:space="preserve"> liecin</w:t>
      </w:r>
      <w:r w:rsidR="00D41913" w:rsidRPr="002C5745">
        <w:rPr>
          <w:rFonts w:ascii="Times New Roman" w:hAnsi="Times New Roman" w:cs="Times New Roman"/>
          <w:sz w:val="26"/>
          <w:szCs w:val="26"/>
          <w:lang w:val="lv-LV"/>
        </w:rPr>
        <w:t>ot</w:t>
      </w:r>
      <w:r w:rsidR="001C6F8F" w:rsidRPr="002C5745">
        <w:rPr>
          <w:rFonts w:ascii="Times New Roman" w:hAnsi="Times New Roman" w:cs="Times New Roman"/>
          <w:sz w:val="26"/>
          <w:szCs w:val="26"/>
          <w:lang w:val="lv-LV"/>
        </w:rPr>
        <w:t xml:space="preserve"> par to, ka nokavējuma nauda Latvijas gadījumā tiek iekasēta nevis kā kompensējošs mehānisms par nesavlaicīg</w:t>
      </w:r>
      <w:r w:rsidR="009F59F3">
        <w:rPr>
          <w:rFonts w:ascii="Times New Roman" w:hAnsi="Times New Roman" w:cs="Times New Roman"/>
          <w:sz w:val="26"/>
          <w:szCs w:val="26"/>
          <w:lang w:val="lv-LV"/>
        </w:rPr>
        <w:t>i</w:t>
      </w:r>
      <w:r w:rsidR="001C6F8F" w:rsidRPr="002C5745">
        <w:rPr>
          <w:rFonts w:ascii="Times New Roman" w:hAnsi="Times New Roman" w:cs="Times New Roman"/>
          <w:sz w:val="26"/>
          <w:szCs w:val="26"/>
          <w:lang w:val="lv-LV"/>
        </w:rPr>
        <w:t xml:space="preserve"> samaksātu nodokļu parādu, bet gan tiek izmantota kā soda sankcijas </w:t>
      </w:r>
      <w:r w:rsidR="001C6F8F" w:rsidRPr="002C5745">
        <w:rPr>
          <w:rFonts w:ascii="Times New Roman" w:hAnsi="Times New Roman" w:cs="Times New Roman"/>
          <w:sz w:val="26"/>
          <w:szCs w:val="26"/>
          <w:lang w:val="lv-LV"/>
        </w:rPr>
        <w:lastRenderedPageBreak/>
        <w:t>instruments, ko nodokļu administrācija piemēro nodokļu maksājumu pārkāpumu gad</w:t>
      </w:r>
      <w:r w:rsidRPr="002C5745">
        <w:rPr>
          <w:rFonts w:ascii="Times New Roman" w:hAnsi="Times New Roman" w:cs="Times New Roman"/>
          <w:sz w:val="26"/>
          <w:szCs w:val="26"/>
          <w:lang w:val="lv-LV"/>
        </w:rPr>
        <w:t>ījumos.</w:t>
      </w:r>
    </w:p>
    <w:p w14:paraId="70FFBE6B" w14:textId="77777777" w:rsidR="001C6F8F" w:rsidRPr="002C5745" w:rsidRDefault="00E36908" w:rsidP="00E36908">
      <w:pPr>
        <w:ind w:firstLine="720"/>
        <w:jc w:val="both"/>
        <w:rPr>
          <w:rFonts w:ascii="Times New Roman" w:hAnsi="Times New Roman" w:cs="Times New Roman"/>
          <w:sz w:val="26"/>
          <w:szCs w:val="26"/>
          <w:lang w:val="lv-LV"/>
        </w:rPr>
      </w:pPr>
      <w:r w:rsidRPr="002C5745">
        <w:rPr>
          <w:rFonts w:ascii="Times New Roman" w:hAnsi="Times New Roman" w:cs="Times New Roman"/>
          <w:sz w:val="26"/>
          <w:szCs w:val="26"/>
          <w:lang w:val="lv-LV"/>
        </w:rPr>
        <w:t>Kā jau iepriekš minēts, nodokļu jomu regulējošajos normatīvajos aktos paredzētā nokavējuma nauda zināmā mērā ir</w:t>
      </w:r>
      <w:r w:rsidR="000F0B33" w:rsidRPr="002C5745">
        <w:rPr>
          <w:rFonts w:ascii="Times New Roman" w:hAnsi="Times New Roman" w:cs="Times New Roman"/>
          <w:sz w:val="26"/>
          <w:szCs w:val="26"/>
          <w:lang w:val="lv-LV"/>
        </w:rPr>
        <w:t xml:space="preserve"> attiecīgi salīdzināma ar tādu tiesību institūtu</w:t>
      </w:r>
      <w:r w:rsidRPr="002C5745">
        <w:rPr>
          <w:rFonts w:ascii="Times New Roman" w:hAnsi="Times New Roman" w:cs="Times New Roman"/>
          <w:sz w:val="26"/>
          <w:szCs w:val="26"/>
          <w:lang w:val="lv-LV"/>
        </w:rPr>
        <w:t xml:space="preserve"> civiltiesībās kā nokavējuma procenti.</w:t>
      </w:r>
    </w:p>
    <w:p w14:paraId="1E38FCCB" w14:textId="0166F8CF" w:rsidR="0057247C" w:rsidRPr="002C5745" w:rsidRDefault="00E7598A" w:rsidP="00E36908">
      <w:pPr>
        <w:ind w:firstLine="720"/>
        <w:jc w:val="both"/>
        <w:rPr>
          <w:rFonts w:ascii="Times New Roman" w:hAnsi="Times New Roman" w:cs="Times New Roman"/>
          <w:sz w:val="26"/>
          <w:szCs w:val="26"/>
          <w:lang w:val="lv-LV"/>
        </w:rPr>
      </w:pPr>
      <w:r w:rsidRPr="002C5745">
        <w:rPr>
          <w:rFonts w:ascii="Times New Roman" w:hAnsi="Times New Roman" w:cs="Times New Roman"/>
          <w:sz w:val="26"/>
          <w:szCs w:val="26"/>
          <w:lang w:val="lv-LV"/>
        </w:rPr>
        <w:t xml:space="preserve">Atbilstoši </w:t>
      </w:r>
      <w:r w:rsidR="00CE15FA" w:rsidRPr="002C5745">
        <w:rPr>
          <w:rFonts w:ascii="Times New Roman" w:hAnsi="Times New Roman" w:cs="Times New Roman"/>
          <w:sz w:val="26"/>
          <w:szCs w:val="26"/>
          <w:lang w:val="lv-LV"/>
        </w:rPr>
        <w:t xml:space="preserve">Civillikuma </w:t>
      </w:r>
      <w:r w:rsidRPr="002C5745">
        <w:rPr>
          <w:rFonts w:ascii="Times New Roman" w:hAnsi="Times New Roman" w:cs="Times New Roman"/>
          <w:sz w:val="26"/>
          <w:szCs w:val="26"/>
          <w:lang w:val="lv-LV"/>
        </w:rPr>
        <w:t>1757.</w:t>
      </w:r>
      <w:r w:rsidR="00EC689C">
        <w:rPr>
          <w:rFonts w:ascii="Times New Roman" w:hAnsi="Times New Roman" w:cs="Times New Roman"/>
          <w:sz w:val="26"/>
          <w:szCs w:val="26"/>
          <w:lang w:val="lv-LV"/>
        </w:rPr>
        <w:t> </w:t>
      </w:r>
      <w:r w:rsidRPr="002C5745">
        <w:rPr>
          <w:rFonts w:ascii="Times New Roman" w:hAnsi="Times New Roman" w:cs="Times New Roman"/>
          <w:sz w:val="26"/>
          <w:szCs w:val="26"/>
          <w:lang w:val="lv-LV"/>
        </w:rPr>
        <w:t>pantā noteiktajam, nolīgstot procentus, jānoteic to apmērs. Ja tas nav darīts, tad atzīstams, ka</w:t>
      </w:r>
      <w:r w:rsidR="009F59F3">
        <w:rPr>
          <w:rFonts w:ascii="Times New Roman" w:hAnsi="Times New Roman" w:cs="Times New Roman"/>
          <w:sz w:val="26"/>
          <w:szCs w:val="26"/>
          <w:lang w:val="lv-LV"/>
        </w:rPr>
        <w:t>,</w:t>
      </w:r>
      <w:r w:rsidRPr="002C5745">
        <w:rPr>
          <w:rFonts w:ascii="Times New Roman" w:hAnsi="Times New Roman" w:cs="Times New Roman"/>
          <w:sz w:val="26"/>
          <w:szCs w:val="26"/>
          <w:lang w:val="lv-LV"/>
        </w:rPr>
        <w:t xml:space="preserve"> klusējot pieņemti</w:t>
      </w:r>
      <w:r w:rsidR="009F59F3">
        <w:rPr>
          <w:rFonts w:ascii="Times New Roman" w:hAnsi="Times New Roman" w:cs="Times New Roman"/>
          <w:sz w:val="26"/>
          <w:szCs w:val="26"/>
          <w:lang w:val="lv-LV"/>
        </w:rPr>
        <w:t>,</w:t>
      </w:r>
      <w:r w:rsidRPr="002C5745">
        <w:rPr>
          <w:rFonts w:ascii="Times New Roman" w:hAnsi="Times New Roman" w:cs="Times New Roman"/>
          <w:sz w:val="26"/>
          <w:szCs w:val="26"/>
          <w:lang w:val="lv-LV"/>
        </w:rPr>
        <w:t xml:space="preserve"> likumiskie procenti, tas ir, seši procenti no simta gadā</w:t>
      </w:r>
      <w:r w:rsidR="00C208F5" w:rsidRPr="002C5745">
        <w:rPr>
          <w:rFonts w:ascii="Times New Roman" w:hAnsi="Times New Roman" w:cs="Times New Roman"/>
          <w:sz w:val="26"/>
          <w:szCs w:val="26"/>
          <w:lang w:val="lv-LV"/>
        </w:rPr>
        <w:t>.</w:t>
      </w:r>
      <w:r w:rsidR="00C208F5" w:rsidRPr="002C5745">
        <w:rPr>
          <w:rStyle w:val="FootnoteReference"/>
          <w:rFonts w:ascii="Times New Roman" w:hAnsi="Times New Roman" w:cs="Times New Roman"/>
          <w:sz w:val="26"/>
          <w:szCs w:val="26"/>
          <w:lang w:val="lv-LV"/>
        </w:rPr>
        <w:footnoteReference w:id="37"/>
      </w:r>
      <w:r w:rsidR="00F867AA" w:rsidRPr="002C5745">
        <w:rPr>
          <w:rFonts w:ascii="Times New Roman" w:hAnsi="Times New Roman" w:cs="Times New Roman"/>
          <w:sz w:val="26"/>
          <w:szCs w:val="26"/>
          <w:lang w:val="lv-LV"/>
        </w:rPr>
        <w:t xml:space="preserve"> </w:t>
      </w:r>
      <w:r w:rsidR="00C208F5" w:rsidRPr="002C5745">
        <w:rPr>
          <w:rFonts w:ascii="Times New Roman" w:hAnsi="Times New Roman" w:cs="Times New Roman"/>
          <w:sz w:val="26"/>
          <w:szCs w:val="26"/>
          <w:lang w:val="lv-LV"/>
        </w:rPr>
        <w:t>Augstāka likumiskā nokavējuma procentu likme ir noteikta attiecībā uz tirdzniecības darījumiem, kur Civillikuma 1765.</w:t>
      </w:r>
      <w:r w:rsidR="00EC689C">
        <w:rPr>
          <w:rFonts w:ascii="Times New Roman" w:hAnsi="Times New Roman" w:cs="Times New Roman"/>
          <w:sz w:val="26"/>
          <w:szCs w:val="26"/>
          <w:lang w:val="lv-LV"/>
        </w:rPr>
        <w:t> </w:t>
      </w:r>
      <w:r w:rsidR="00C208F5" w:rsidRPr="002C5745">
        <w:rPr>
          <w:rFonts w:ascii="Times New Roman" w:hAnsi="Times New Roman" w:cs="Times New Roman"/>
          <w:sz w:val="26"/>
          <w:szCs w:val="26"/>
          <w:lang w:val="lv-LV"/>
        </w:rPr>
        <w:t xml:space="preserve">panta </w:t>
      </w:r>
      <w:r w:rsidR="0057247C" w:rsidRPr="002C5745">
        <w:rPr>
          <w:rFonts w:ascii="Times New Roman" w:hAnsi="Times New Roman" w:cs="Times New Roman"/>
          <w:sz w:val="26"/>
          <w:szCs w:val="26"/>
          <w:lang w:val="lv-LV"/>
        </w:rPr>
        <w:t>otrā</w:t>
      </w:r>
      <w:r w:rsidR="00C208F5" w:rsidRPr="002C5745">
        <w:rPr>
          <w:rFonts w:ascii="Times New Roman" w:hAnsi="Times New Roman" w:cs="Times New Roman"/>
          <w:sz w:val="26"/>
          <w:szCs w:val="26"/>
          <w:lang w:val="lv-LV"/>
        </w:rPr>
        <w:t xml:space="preserve"> daļa nosaka, ka </w:t>
      </w:r>
      <w:r w:rsidR="0057247C" w:rsidRPr="002C5745">
        <w:rPr>
          <w:rFonts w:ascii="Times New Roman" w:hAnsi="Times New Roman" w:cs="Times New Roman"/>
          <w:sz w:val="26"/>
          <w:szCs w:val="26"/>
          <w:lang w:val="lv-LV"/>
        </w:rPr>
        <w:t>l</w:t>
      </w:r>
      <w:r w:rsidR="00C208F5" w:rsidRPr="002C5745">
        <w:rPr>
          <w:rFonts w:ascii="Times New Roman" w:hAnsi="Times New Roman" w:cs="Times New Roman"/>
          <w:sz w:val="26"/>
          <w:szCs w:val="26"/>
          <w:lang w:val="lv-LV"/>
        </w:rPr>
        <w:t>ikumisko procentu apmērs par tāda naudas parāda samaksas nokavējumu, kas kā atlīdzība nolīgta līgumā par preces piegādi, par pirkumu vai pakalpojuma sniegšanu, ir astoņi procentpunkti virs procentu pamatlikmes (1765.p.3.d.) gadā</w:t>
      </w:r>
      <w:r w:rsidR="0057247C" w:rsidRPr="002C5745">
        <w:rPr>
          <w:rFonts w:ascii="Times New Roman" w:hAnsi="Times New Roman" w:cs="Times New Roman"/>
          <w:sz w:val="26"/>
          <w:szCs w:val="26"/>
          <w:lang w:val="lv-LV"/>
        </w:rPr>
        <w:t>.</w:t>
      </w:r>
      <w:r w:rsidR="00F92D35" w:rsidRPr="002C5745">
        <w:rPr>
          <w:rFonts w:ascii="Times New Roman" w:hAnsi="Times New Roman" w:cs="Times New Roman"/>
          <w:sz w:val="26"/>
          <w:szCs w:val="26"/>
          <w:lang w:val="lv-LV"/>
        </w:rPr>
        <w:t xml:space="preserve"> Šajā gadījumā ar p</w:t>
      </w:r>
      <w:r w:rsidR="0057247C" w:rsidRPr="002C5745">
        <w:rPr>
          <w:rFonts w:ascii="Times New Roman" w:hAnsi="Times New Roman" w:cs="Times New Roman"/>
          <w:sz w:val="26"/>
          <w:szCs w:val="26"/>
          <w:lang w:val="lv-LV"/>
        </w:rPr>
        <w:t xml:space="preserve">rocentu </w:t>
      </w:r>
      <w:r w:rsidR="00F92D35" w:rsidRPr="002C5745">
        <w:rPr>
          <w:rFonts w:ascii="Times New Roman" w:hAnsi="Times New Roman" w:cs="Times New Roman"/>
          <w:sz w:val="26"/>
          <w:szCs w:val="26"/>
          <w:lang w:val="lv-LV"/>
        </w:rPr>
        <w:t>pamatlikmi tiek saprasta</w:t>
      </w:r>
      <w:r w:rsidR="0057247C" w:rsidRPr="002C5745">
        <w:rPr>
          <w:rFonts w:ascii="Times New Roman" w:hAnsi="Times New Roman" w:cs="Times New Roman"/>
          <w:b/>
          <w:sz w:val="26"/>
          <w:szCs w:val="26"/>
          <w:lang w:val="lv-LV"/>
        </w:rPr>
        <w:t xml:space="preserve"> </w:t>
      </w:r>
      <w:r w:rsidR="0057247C" w:rsidRPr="002C5745">
        <w:rPr>
          <w:rFonts w:ascii="Times New Roman" w:hAnsi="Times New Roman" w:cs="Times New Roman"/>
          <w:sz w:val="26"/>
          <w:szCs w:val="26"/>
          <w:lang w:val="lv-LV"/>
        </w:rPr>
        <w:t>galējā procentu likme, ko Eiropas Centrālā banka piemērojusi savās pirms attiecīgā pusgada pirmās kalendāra dienas veiktajās pēdējās galvenajās refinansēšanas operācijās. Attiecīgā pusgada pirmajā kalendāra dienā spēkā esošo procentu pamatlikmi piemēro sešus turpmākos mēnešus</w:t>
      </w:r>
      <w:r w:rsidR="00F92D35" w:rsidRPr="002C5745">
        <w:rPr>
          <w:rStyle w:val="FootnoteReference"/>
          <w:rFonts w:ascii="Times New Roman" w:hAnsi="Times New Roman" w:cs="Times New Roman"/>
          <w:sz w:val="26"/>
          <w:szCs w:val="26"/>
          <w:lang w:val="lv-LV"/>
        </w:rPr>
        <w:footnoteReference w:id="38"/>
      </w:r>
      <w:r w:rsidR="0057247C" w:rsidRPr="002C5745">
        <w:rPr>
          <w:rFonts w:ascii="Times New Roman" w:hAnsi="Times New Roman" w:cs="Times New Roman"/>
          <w:sz w:val="26"/>
          <w:szCs w:val="26"/>
          <w:lang w:val="lv-LV"/>
        </w:rPr>
        <w:t>.</w:t>
      </w:r>
      <w:r w:rsidR="009C021F" w:rsidRPr="002C5745">
        <w:rPr>
          <w:rFonts w:ascii="Times New Roman" w:hAnsi="Times New Roman" w:cs="Times New Roman"/>
          <w:sz w:val="26"/>
          <w:szCs w:val="26"/>
          <w:lang w:val="lv-LV"/>
        </w:rPr>
        <w:t xml:space="preserve"> Uz 2018.</w:t>
      </w:r>
      <w:r w:rsidR="00EC689C">
        <w:rPr>
          <w:rFonts w:ascii="Times New Roman" w:hAnsi="Times New Roman" w:cs="Times New Roman"/>
          <w:sz w:val="26"/>
          <w:szCs w:val="26"/>
          <w:lang w:val="lv-LV"/>
        </w:rPr>
        <w:t> </w:t>
      </w:r>
      <w:r w:rsidR="009C021F" w:rsidRPr="002C5745">
        <w:rPr>
          <w:rFonts w:ascii="Times New Roman" w:hAnsi="Times New Roman" w:cs="Times New Roman"/>
          <w:sz w:val="26"/>
          <w:szCs w:val="26"/>
          <w:lang w:val="lv-LV"/>
        </w:rPr>
        <w:t>gada 1.</w:t>
      </w:r>
      <w:r w:rsidR="00EC689C">
        <w:rPr>
          <w:rFonts w:ascii="Times New Roman" w:hAnsi="Times New Roman" w:cs="Times New Roman"/>
          <w:sz w:val="26"/>
          <w:szCs w:val="26"/>
          <w:lang w:val="lv-LV"/>
        </w:rPr>
        <w:t> </w:t>
      </w:r>
      <w:r w:rsidR="009C021F" w:rsidRPr="002C5745">
        <w:rPr>
          <w:rFonts w:ascii="Times New Roman" w:hAnsi="Times New Roman" w:cs="Times New Roman"/>
          <w:sz w:val="26"/>
          <w:szCs w:val="26"/>
          <w:lang w:val="lv-LV"/>
        </w:rPr>
        <w:t>janvāri tā ir 0,00 procenti gadā</w:t>
      </w:r>
      <w:r w:rsidR="009C021F" w:rsidRPr="002C5745">
        <w:rPr>
          <w:rStyle w:val="FootnoteReference"/>
          <w:rFonts w:ascii="Times New Roman" w:hAnsi="Times New Roman" w:cs="Times New Roman"/>
          <w:sz w:val="26"/>
          <w:szCs w:val="26"/>
          <w:lang w:val="lv-LV"/>
        </w:rPr>
        <w:footnoteReference w:id="39"/>
      </w:r>
      <w:r w:rsidR="009C021F" w:rsidRPr="002C5745">
        <w:rPr>
          <w:rFonts w:ascii="Times New Roman" w:hAnsi="Times New Roman" w:cs="Times New Roman"/>
          <w:sz w:val="26"/>
          <w:szCs w:val="26"/>
          <w:lang w:val="lv-LV"/>
        </w:rPr>
        <w:t>.</w:t>
      </w:r>
    </w:p>
    <w:p w14:paraId="0B46BD35" w14:textId="6D961F96" w:rsidR="00E36908" w:rsidRPr="002C5745" w:rsidRDefault="002D464B" w:rsidP="00F51B00">
      <w:pPr>
        <w:ind w:firstLine="720"/>
        <w:jc w:val="both"/>
        <w:rPr>
          <w:rFonts w:ascii="Times New Roman" w:hAnsi="Times New Roman" w:cs="Times New Roman"/>
          <w:sz w:val="26"/>
          <w:szCs w:val="26"/>
          <w:lang w:val="lv-LV"/>
        </w:rPr>
      </w:pPr>
      <w:r w:rsidRPr="002C5745">
        <w:rPr>
          <w:rFonts w:ascii="Times New Roman" w:hAnsi="Times New Roman" w:cs="Times New Roman"/>
          <w:sz w:val="26"/>
          <w:szCs w:val="26"/>
          <w:lang w:val="lv-LV"/>
        </w:rPr>
        <w:t>Savukārt, n</w:t>
      </w:r>
      <w:r w:rsidR="00F51B00" w:rsidRPr="002C5745">
        <w:rPr>
          <w:rFonts w:ascii="Times New Roman" w:hAnsi="Times New Roman" w:cs="Times New Roman"/>
          <w:sz w:val="26"/>
          <w:szCs w:val="26"/>
          <w:lang w:val="lv-LV"/>
        </w:rPr>
        <w:t>olīgstot procentus, jāņem vērā Civillikuma 1764.</w:t>
      </w:r>
      <w:r w:rsidR="00EC689C">
        <w:rPr>
          <w:rFonts w:ascii="Times New Roman" w:hAnsi="Times New Roman" w:cs="Times New Roman"/>
          <w:sz w:val="26"/>
          <w:szCs w:val="26"/>
          <w:lang w:val="lv-LV"/>
        </w:rPr>
        <w:t> </w:t>
      </w:r>
      <w:r w:rsidR="00F51B00" w:rsidRPr="002C5745">
        <w:rPr>
          <w:rFonts w:ascii="Times New Roman" w:hAnsi="Times New Roman" w:cs="Times New Roman"/>
          <w:sz w:val="26"/>
          <w:szCs w:val="26"/>
          <w:lang w:val="lv-LV"/>
        </w:rPr>
        <w:t>pants, kurā noteikts, ka visādos mantiskos darījumos un aktos, kas nodibina pienākumu maksāt procentus, atļauts nolīgt procentus, kuru apmēru var noteikt līdzēji</w:t>
      </w:r>
      <w:r w:rsidR="009F59F3">
        <w:rPr>
          <w:rFonts w:ascii="Times New Roman" w:hAnsi="Times New Roman" w:cs="Times New Roman"/>
          <w:sz w:val="26"/>
          <w:szCs w:val="26"/>
          <w:lang w:val="lv-LV"/>
        </w:rPr>
        <w:t>,</w:t>
      </w:r>
      <w:r w:rsidR="00F51B00" w:rsidRPr="002C5745">
        <w:rPr>
          <w:rFonts w:ascii="Times New Roman" w:hAnsi="Times New Roman" w:cs="Times New Roman"/>
          <w:sz w:val="26"/>
          <w:szCs w:val="26"/>
          <w:lang w:val="lv-LV"/>
        </w:rPr>
        <w:t xml:space="preserve"> savstarpēji vienojoties, bet vienpusējos aktos - to izdevējs pēc sava ieskata, ciktāl likums neparedz aprobežojumus šajā ziņā. Par prettiesiskiem uzskatāmi nesamērīgi un godīgai darījumu praksei neatbilstoši procenti.</w:t>
      </w:r>
    </w:p>
    <w:p w14:paraId="33D55C57" w14:textId="490BE0A0" w:rsidR="00B430A9" w:rsidRPr="002C5745" w:rsidRDefault="00277140" w:rsidP="00B430A9">
      <w:pPr>
        <w:ind w:firstLine="720"/>
        <w:jc w:val="both"/>
        <w:rPr>
          <w:rFonts w:ascii="Times New Roman" w:hAnsi="Times New Roman" w:cs="Times New Roman"/>
          <w:sz w:val="26"/>
          <w:szCs w:val="26"/>
          <w:lang w:val="lv-LV"/>
        </w:rPr>
      </w:pPr>
      <w:r w:rsidRPr="002C5745">
        <w:rPr>
          <w:rFonts w:ascii="Times New Roman" w:hAnsi="Times New Roman" w:cs="Times New Roman"/>
          <w:sz w:val="26"/>
          <w:szCs w:val="26"/>
          <w:lang w:val="lv-LV"/>
        </w:rPr>
        <w:t>Minētais n</w:t>
      </w:r>
      <w:r w:rsidR="00B82721" w:rsidRPr="002C5745">
        <w:rPr>
          <w:rFonts w:ascii="Times New Roman" w:hAnsi="Times New Roman" w:cs="Times New Roman"/>
          <w:sz w:val="26"/>
          <w:szCs w:val="26"/>
          <w:lang w:val="lv-LV"/>
        </w:rPr>
        <w:t>osacījums, ka par prettiesiskiem uzskatāmi nesamērīgi un godīgai darījumu praksei neat</w:t>
      </w:r>
      <w:r w:rsidR="00537CB5" w:rsidRPr="002C5745">
        <w:rPr>
          <w:rFonts w:ascii="Times New Roman" w:hAnsi="Times New Roman" w:cs="Times New Roman"/>
          <w:sz w:val="26"/>
          <w:szCs w:val="26"/>
          <w:lang w:val="lv-LV"/>
        </w:rPr>
        <w:t>bilstoši procenti, Civilliku</w:t>
      </w:r>
      <w:r w:rsidRPr="002C5745">
        <w:rPr>
          <w:rFonts w:ascii="Times New Roman" w:hAnsi="Times New Roman" w:cs="Times New Roman"/>
          <w:sz w:val="26"/>
          <w:szCs w:val="26"/>
          <w:lang w:val="lv-LV"/>
        </w:rPr>
        <w:t>mā tika iekļauts ar 2013.</w:t>
      </w:r>
      <w:r w:rsidR="00EC689C">
        <w:rPr>
          <w:rFonts w:ascii="Times New Roman" w:hAnsi="Times New Roman" w:cs="Times New Roman"/>
          <w:sz w:val="26"/>
          <w:szCs w:val="26"/>
          <w:lang w:val="lv-LV"/>
        </w:rPr>
        <w:t> </w:t>
      </w:r>
      <w:r w:rsidRPr="002C5745">
        <w:rPr>
          <w:rFonts w:ascii="Times New Roman" w:hAnsi="Times New Roman" w:cs="Times New Roman"/>
          <w:sz w:val="26"/>
          <w:szCs w:val="26"/>
          <w:lang w:val="lv-LV"/>
        </w:rPr>
        <w:t>gada 20.</w:t>
      </w:r>
      <w:r w:rsidR="00EC689C">
        <w:rPr>
          <w:rFonts w:ascii="Times New Roman" w:hAnsi="Times New Roman" w:cs="Times New Roman"/>
          <w:sz w:val="26"/>
          <w:szCs w:val="26"/>
          <w:lang w:val="lv-LV"/>
        </w:rPr>
        <w:t> </w:t>
      </w:r>
      <w:r w:rsidRPr="002C5745">
        <w:rPr>
          <w:rFonts w:ascii="Times New Roman" w:hAnsi="Times New Roman" w:cs="Times New Roman"/>
          <w:sz w:val="26"/>
          <w:szCs w:val="26"/>
          <w:lang w:val="lv-LV"/>
        </w:rPr>
        <w:t>jūnija likumu, kas stājās spēkā 2014.</w:t>
      </w:r>
      <w:r w:rsidR="00EC689C">
        <w:rPr>
          <w:rFonts w:ascii="Times New Roman" w:hAnsi="Times New Roman" w:cs="Times New Roman"/>
          <w:sz w:val="26"/>
          <w:szCs w:val="26"/>
          <w:lang w:val="lv-LV"/>
        </w:rPr>
        <w:t> </w:t>
      </w:r>
      <w:r w:rsidRPr="002C5745">
        <w:rPr>
          <w:rFonts w:ascii="Times New Roman" w:hAnsi="Times New Roman" w:cs="Times New Roman"/>
          <w:sz w:val="26"/>
          <w:szCs w:val="26"/>
          <w:lang w:val="lv-LV"/>
        </w:rPr>
        <w:t>gada 1.</w:t>
      </w:r>
      <w:r w:rsidR="00EC689C">
        <w:rPr>
          <w:rFonts w:ascii="Times New Roman" w:hAnsi="Times New Roman" w:cs="Times New Roman"/>
          <w:sz w:val="26"/>
          <w:szCs w:val="26"/>
          <w:lang w:val="lv-LV"/>
        </w:rPr>
        <w:t> </w:t>
      </w:r>
      <w:r w:rsidRPr="002C5745">
        <w:rPr>
          <w:rFonts w:ascii="Times New Roman" w:hAnsi="Times New Roman" w:cs="Times New Roman"/>
          <w:sz w:val="26"/>
          <w:szCs w:val="26"/>
          <w:lang w:val="lv-LV"/>
        </w:rPr>
        <w:t>janvārī.</w:t>
      </w:r>
      <w:r w:rsidR="00B430A9" w:rsidRPr="002C5745">
        <w:rPr>
          <w:rFonts w:ascii="Times New Roman" w:hAnsi="Times New Roman" w:cs="Times New Roman"/>
          <w:sz w:val="26"/>
          <w:szCs w:val="26"/>
          <w:lang w:val="lv-LV"/>
        </w:rPr>
        <w:t xml:space="preserve"> </w:t>
      </w:r>
    </w:p>
    <w:p w14:paraId="1B445764" w14:textId="47814F3D" w:rsidR="00B430A9" w:rsidRPr="002C5745" w:rsidRDefault="00B430A9" w:rsidP="00B430A9">
      <w:pPr>
        <w:ind w:firstLine="720"/>
        <w:jc w:val="both"/>
        <w:rPr>
          <w:rFonts w:ascii="Times New Roman" w:hAnsi="Times New Roman" w:cs="Times New Roman"/>
          <w:sz w:val="26"/>
          <w:szCs w:val="26"/>
          <w:lang w:val="lv-LV"/>
        </w:rPr>
      </w:pPr>
      <w:r w:rsidRPr="002C5745">
        <w:rPr>
          <w:rFonts w:ascii="Times New Roman" w:hAnsi="Times New Roman" w:cs="Times New Roman"/>
          <w:sz w:val="26"/>
          <w:szCs w:val="26"/>
          <w:lang w:val="lv-LV"/>
        </w:rPr>
        <w:t>Kā izriet no likumprojekta “Grozījumi Civillikumā” anotācijas</w:t>
      </w:r>
      <w:r w:rsidRPr="002C5745">
        <w:rPr>
          <w:rStyle w:val="FootnoteReference"/>
          <w:rFonts w:ascii="Times New Roman" w:hAnsi="Times New Roman" w:cs="Times New Roman"/>
          <w:sz w:val="26"/>
          <w:szCs w:val="26"/>
          <w:lang w:val="lv-LV"/>
        </w:rPr>
        <w:footnoteReference w:id="40"/>
      </w:r>
      <w:r w:rsidRPr="002C5745">
        <w:rPr>
          <w:rFonts w:ascii="Times New Roman" w:hAnsi="Times New Roman" w:cs="Times New Roman"/>
          <w:sz w:val="26"/>
          <w:szCs w:val="26"/>
          <w:lang w:val="lv-LV"/>
        </w:rPr>
        <w:t>, UNIDROIT starptautisko komerclīgumu principos</w:t>
      </w:r>
      <w:r w:rsidRPr="002C5745">
        <w:rPr>
          <w:rStyle w:val="FootnoteReference"/>
          <w:rFonts w:ascii="Times New Roman" w:hAnsi="Times New Roman" w:cs="Times New Roman"/>
          <w:sz w:val="26"/>
          <w:szCs w:val="26"/>
          <w:lang w:val="lv-LV"/>
        </w:rPr>
        <w:footnoteReference w:id="41"/>
      </w:r>
      <w:r w:rsidRPr="002C5745">
        <w:rPr>
          <w:rFonts w:ascii="Times New Roman" w:hAnsi="Times New Roman" w:cs="Times New Roman"/>
          <w:sz w:val="26"/>
          <w:szCs w:val="26"/>
          <w:lang w:val="lv-LV"/>
        </w:rPr>
        <w:t>, Eiropas līgumu tiesību principos</w:t>
      </w:r>
      <w:r w:rsidRPr="002C5745">
        <w:rPr>
          <w:rStyle w:val="FootnoteReference"/>
          <w:rFonts w:ascii="Times New Roman" w:hAnsi="Times New Roman" w:cs="Times New Roman"/>
          <w:sz w:val="26"/>
          <w:szCs w:val="26"/>
          <w:lang w:val="lv-LV"/>
        </w:rPr>
        <w:footnoteReference w:id="42"/>
      </w:r>
      <w:r w:rsidRPr="002C5745">
        <w:rPr>
          <w:rFonts w:ascii="Times New Roman" w:hAnsi="Times New Roman" w:cs="Times New Roman"/>
          <w:sz w:val="26"/>
          <w:szCs w:val="26"/>
          <w:lang w:val="lv-LV"/>
        </w:rPr>
        <w:t xml:space="preserve"> u.c. dokumentos par kritēriju zaudējumu atlīdzībai par kavējumu visai labvēlīgi kreditoram piedāvāta vidējā banku īstermiņa kredītu likme sākotnējiem aizņēmējiem.</w:t>
      </w:r>
    </w:p>
    <w:p w14:paraId="27D94C61" w14:textId="77777777" w:rsidR="004E61DA" w:rsidRPr="002C5745" w:rsidRDefault="00DC2D5F" w:rsidP="004E61DA">
      <w:pPr>
        <w:pStyle w:val="tv2131"/>
        <w:spacing w:line="240" w:lineRule="auto"/>
        <w:ind w:firstLine="720"/>
        <w:jc w:val="both"/>
        <w:rPr>
          <w:rFonts w:eastAsia="Times New Roman"/>
          <w:color w:val="auto"/>
          <w:sz w:val="26"/>
          <w:szCs w:val="26"/>
        </w:rPr>
      </w:pPr>
      <w:r w:rsidRPr="002C5745">
        <w:rPr>
          <w:color w:val="auto"/>
          <w:sz w:val="26"/>
          <w:szCs w:val="26"/>
        </w:rPr>
        <w:t xml:space="preserve">Ņemot vērā, ka viena no nokavējuma naudas funkcijām ir </w:t>
      </w:r>
      <w:r w:rsidRPr="002C5745">
        <w:rPr>
          <w:rFonts w:eastAsia="Times New Roman"/>
          <w:color w:val="auto"/>
          <w:sz w:val="26"/>
          <w:szCs w:val="26"/>
        </w:rPr>
        <w:t>motivēt nodokļu maksātāju godprātīgi pildīt likumā noteikto pienākumu un likumā noteiktajā termiņā un pilnā apmērā nomaksāt nodokļus un nodevas, savukārt nokavēto nodokļu maksājumu gadījumā - pamudināt nodokļu maksātāju pēc iespējas savlaicīgi un brīvprātīgi nokārtot nodokļu parāda saistības pret valsti</w:t>
      </w:r>
      <w:r w:rsidR="004E61DA" w:rsidRPr="002C5745">
        <w:rPr>
          <w:rFonts w:eastAsia="Times New Roman"/>
          <w:color w:val="auto"/>
          <w:sz w:val="26"/>
          <w:szCs w:val="26"/>
        </w:rPr>
        <w:t>, nodokļu tiesībās nokavējuma naudas likmei būtu jābūt nedaudz lielākai kā kredītiestāžu piedāvātajai īste</w:t>
      </w:r>
      <w:r w:rsidR="00B31D06" w:rsidRPr="002C5745">
        <w:rPr>
          <w:rFonts w:eastAsia="Times New Roman"/>
          <w:color w:val="auto"/>
          <w:sz w:val="26"/>
          <w:szCs w:val="26"/>
        </w:rPr>
        <w:t>r</w:t>
      </w:r>
      <w:r w:rsidR="004E61DA" w:rsidRPr="002C5745">
        <w:rPr>
          <w:rFonts w:eastAsia="Times New Roman"/>
          <w:color w:val="auto"/>
          <w:sz w:val="26"/>
          <w:szCs w:val="26"/>
        </w:rPr>
        <w:t xml:space="preserve">miņa kredītu likmei sākotnējiem aizņēmējiem, lai tādējādi </w:t>
      </w:r>
      <w:r w:rsidR="004E61DA" w:rsidRPr="002C5745">
        <w:rPr>
          <w:color w:val="auto"/>
          <w:sz w:val="26"/>
          <w:szCs w:val="26"/>
        </w:rPr>
        <w:t>nodokļu maksātājiem</w:t>
      </w:r>
      <w:r w:rsidR="004E61DA" w:rsidRPr="002C5745">
        <w:rPr>
          <w:rFonts w:eastAsia="Times New Roman"/>
          <w:color w:val="auto"/>
          <w:sz w:val="26"/>
          <w:szCs w:val="26"/>
        </w:rPr>
        <w:t xml:space="preserve">, kuriem ir laba kredītvēsture, būtu izdevīgāk nevis veidot nodokļu parādus, bet aizņemties līdzekļus no citiem avotiem, piemēram, </w:t>
      </w:r>
      <w:r w:rsidR="004E61DA" w:rsidRPr="002C5745">
        <w:rPr>
          <w:color w:val="auto"/>
          <w:sz w:val="26"/>
          <w:szCs w:val="26"/>
        </w:rPr>
        <w:t xml:space="preserve">kredītiestādēs </w:t>
      </w:r>
      <w:r w:rsidR="004E61DA" w:rsidRPr="002C5745">
        <w:rPr>
          <w:rFonts w:eastAsia="Times New Roman"/>
          <w:color w:val="auto"/>
          <w:sz w:val="26"/>
          <w:szCs w:val="26"/>
        </w:rPr>
        <w:t xml:space="preserve">ilgtermiņa vai īstermiņa </w:t>
      </w:r>
      <w:r w:rsidR="004E61DA" w:rsidRPr="002C5745">
        <w:rPr>
          <w:color w:val="auto"/>
          <w:sz w:val="26"/>
          <w:szCs w:val="26"/>
        </w:rPr>
        <w:t>kredītu veidā</w:t>
      </w:r>
      <w:r w:rsidR="004E61DA" w:rsidRPr="002C5745">
        <w:rPr>
          <w:rFonts w:eastAsia="Times New Roman"/>
          <w:color w:val="auto"/>
          <w:sz w:val="26"/>
          <w:szCs w:val="26"/>
        </w:rPr>
        <w:t>.</w:t>
      </w:r>
    </w:p>
    <w:p w14:paraId="5653EFCA" w14:textId="72F4F3BE" w:rsidR="00B82974" w:rsidRPr="002C5745" w:rsidRDefault="004E61DA" w:rsidP="00B82974">
      <w:pPr>
        <w:ind w:firstLine="720"/>
        <w:jc w:val="both"/>
        <w:rPr>
          <w:rFonts w:ascii="Times New Roman" w:hAnsi="Times New Roman" w:cs="Times New Roman"/>
          <w:sz w:val="26"/>
          <w:szCs w:val="26"/>
          <w:lang w:val="lv-LV"/>
        </w:rPr>
      </w:pPr>
      <w:r w:rsidRPr="002C5745">
        <w:rPr>
          <w:rFonts w:ascii="Times New Roman" w:hAnsi="Times New Roman" w:cs="Times New Roman"/>
          <w:sz w:val="26"/>
          <w:szCs w:val="26"/>
          <w:lang w:val="lv-LV"/>
        </w:rPr>
        <w:lastRenderedPageBreak/>
        <w:t xml:space="preserve">Tādējādi, izvērtējot </w:t>
      </w:r>
      <w:r w:rsidR="00D72F9A" w:rsidRPr="002C5745">
        <w:rPr>
          <w:rFonts w:ascii="Times New Roman" w:hAnsi="Times New Roman" w:cs="Times New Roman"/>
          <w:sz w:val="26"/>
          <w:szCs w:val="26"/>
          <w:lang w:val="lv-LV"/>
        </w:rPr>
        <w:t>likuma “Par nodokļiem un nodevā</w:t>
      </w:r>
      <w:r w:rsidRPr="002C5745">
        <w:rPr>
          <w:rFonts w:ascii="Times New Roman" w:hAnsi="Times New Roman" w:cs="Times New Roman"/>
          <w:sz w:val="26"/>
          <w:szCs w:val="26"/>
          <w:lang w:val="lv-LV"/>
        </w:rPr>
        <w:t>m” 29.</w:t>
      </w:r>
      <w:r w:rsidR="00EC689C">
        <w:rPr>
          <w:rFonts w:ascii="Times New Roman" w:hAnsi="Times New Roman" w:cs="Times New Roman"/>
          <w:sz w:val="26"/>
          <w:szCs w:val="26"/>
          <w:lang w:val="lv-LV"/>
        </w:rPr>
        <w:t> </w:t>
      </w:r>
      <w:r w:rsidRPr="002C5745">
        <w:rPr>
          <w:rFonts w:ascii="Times New Roman" w:hAnsi="Times New Roman" w:cs="Times New Roman"/>
          <w:sz w:val="26"/>
          <w:szCs w:val="26"/>
          <w:lang w:val="lv-LV"/>
        </w:rPr>
        <w:t>panta otrajā daļā noteikto</w:t>
      </w:r>
      <w:r w:rsidR="00D72F9A" w:rsidRPr="002C5745">
        <w:rPr>
          <w:rFonts w:ascii="Times New Roman" w:hAnsi="Times New Roman" w:cs="Times New Roman"/>
          <w:sz w:val="26"/>
          <w:szCs w:val="26"/>
          <w:lang w:val="lv-LV"/>
        </w:rPr>
        <w:t xml:space="preserve"> nokavējuma naudas likm</w:t>
      </w:r>
      <w:r w:rsidRPr="002C5745">
        <w:rPr>
          <w:rFonts w:ascii="Times New Roman" w:hAnsi="Times New Roman" w:cs="Times New Roman"/>
          <w:sz w:val="26"/>
          <w:szCs w:val="26"/>
          <w:lang w:val="lv-LV"/>
        </w:rPr>
        <w:t xml:space="preserve">i, ir </w:t>
      </w:r>
      <w:r w:rsidR="005D3FFA" w:rsidRPr="002C5745">
        <w:rPr>
          <w:rFonts w:ascii="Times New Roman" w:hAnsi="Times New Roman" w:cs="Times New Roman"/>
          <w:sz w:val="26"/>
          <w:szCs w:val="26"/>
          <w:lang w:val="lv-LV"/>
        </w:rPr>
        <w:t>izvērt</w:t>
      </w:r>
      <w:r w:rsidRPr="002C5745">
        <w:rPr>
          <w:rFonts w:ascii="Times New Roman" w:hAnsi="Times New Roman" w:cs="Times New Roman"/>
          <w:sz w:val="26"/>
          <w:szCs w:val="26"/>
          <w:lang w:val="lv-LV"/>
        </w:rPr>
        <w:t xml:space="preserve">ējama </w:t>
      </w:r>
      <w:r w:rsidR="00394594" w:rsidRPr="002C5745">
        <w:rPr>
          <w:rFonts w:ascii="Times New Roman" w:eastAsia="Times New Roman" w:hAnsi="Times New Roman" w:cs="Times New Roman"/>
          <w:sz w:val="26"/>
          <w:szCs w:val="26"/>
          <w:lang w:val="lv-LV"/>
        </w:rPr>
        <w:t xml:space="preserve">kredītiestāžu </w:t>
      </w:r>
      <w:r w:rsidR="00394594" w:rsidRPr="002C5745">
        <w:rPr>
          <w:rFonts w:ascii="Times New Roman" w:hAnsi="Times New Roman" w:cs="Times New Roman"/>
          <w:sz w:val="26"/>
          <w:szCs w:val="26"/>
          <w:lang w:val="lv-LV"/>
        </w:rPr>
        <w:t xml:space="preserve">vidējā </w:t>
      </w:r>
      <w:r w:rsidR="005D3FFA" w:rsidRPr="002C5745">
        <w:rPr>
          <w:rFonts w:ascii="Times New Roman" w:hAnsi="Times New Roman" w:cs="Times New Roman"/>
          <w:sz w:val="26"/>
          <w:szCs w:val="26"/>
          <w:lang w:val="lv-LV"/>
        </w:rPr>
        <w:t>īstermiņa kredītu likme sākotnējiem aizņēm</w:t>
      </w:r>
      <w:r w:rsidR="00D72F9A" w:rsidRPr="002C5745">
        <w:rPr>
          <w:rFonts w:ascii="Times New Roman" w:hAnsi="Times New Roman" w:cs="Times New Roman"/>
          <w:sz w:val="26"/>
          <w:szCs w:val="26"/>
          <w:lang w:val="lv-LV"/>
        </w:rPr>
        <w:t>ējiem.</w:t>
      </w:r>
    </w:p>
    <w:p w14:paraId="317C6C3A" w14:textId="50663E46" w:rsidR="00EC689C" w:rsidRDefault="00DD1ED9" w:rsidP="00B82974">
      <w:pPr>
        <w:ind w:firstLine="720"/>
        <w:jc w:val="both"/>
        <w:rPr>
          <w:rFonts w:ascii="Times New Roman" w:hAnsi="Times New Roman" w:cs="Times New Roman"/>
          <w:sz w:val="26"/>
          <w:szCs w:val="26"/>
          <w:lang w:val="lv-LV"/>
        </w:rPr>
      </w:pPr>
      <w:r w:rsidRPr="002C5745">
        <w:rPr>
          <w:rFonts w:ascii="Times New Roman" w:hAnsi="Times New Roman" w:cs="Times New Roman"/>
          <w:sz w:val="26"/>
          <w:szCs w:val="26"/>
          <w:lang w:val="lv-LV"/>
        </w:rPr>
        <w:t xml:space="preserve">Izvērtējot </w:t>
      </w:r>
      <w:r w:rsidR="00394594" w:rsidRPr="002C5745">
        <w:rPr>
          <w:rFonts w:ascii="Times New Roman" w:eastAsia="Times New Roman" w:hAnsi="Times New Roman" w:cs="Times New Roman"/>
          <w:sz w:val="26"/>
          <w:szCs w:val="26"/>
          <w:lang w:val="lv-LV"/>
        </w:rPr>
        <w:t xml:space="preserve">kredītiestāžu </w:t>
      </w:r>
      <w:r w:rsidRPr="002C5745">
        <w:rPr>
          <w:rFonts w:ascii="Times New Roman" w:hAnsi="Times New Roman" w:cs="Times New Roman"/>
          <w:sz w:val="26"/>
          <w:szCs w:val="26"/>
          <w:lang w:val="lv-LV"/>
        </w:rPr>
        <w:t>piedāvātās</w:t>
      </w:r>
      <w:r w:rsidR="00802B12" w:rsidRPr="002C5745">
        <w:rPr>
          <w:rFonts w:ascii="Times New Roman" w:hAnsi="Times New Roman" w:cs="Times New Roman"/>
          <w:sz w:val="26"/>
          <w:szCs w:val="26"/>
          <w:lang w:val="lv-LV"/>
        </w:rPr>
        <w:t xml:space="preserve"> </w:t>
      </w:r>
      <w:r w:rsidR="00FE6B34" w:rsidRPr="002C5745">
        <w:rPr>
          <w:rFonts w:ascii="Times New Roman" w:hAnsi="Times New Roman" w:cs="Times New Roman"/>
          <w:sz w:val="26"/>
          <w:szCs w:val="26"/>
          <w:lang w:val="lv-LV"/>
        </w:rPr>
        <w:t xml:space="preserve">patēriņu </w:t>
      </w:r>
      <w:r w:rsidR="00802B12" w:rsidRPr="002C5745">
        <w:rPr>
          <w:rFonts w:ascii="Times New Roman" w:hAnsi="Times New Roman" w:cs="Times New Roman"/>
          <w:sz w:val="26"/>
          <w:szCs w:val="26"/>
          <w:lang w:val="lv-LV"/>
        </w:rPr>
        <w:t>kredītu</w:t>
      </w:r>
      <w:r w:rsidR="0021728A" w:rsidRPr="002C5745">
        <w:rPr>
          <w:rFonts w:ascii="Times New Roman" w:hAnsi="Times New Roman" w:cs="Times New Roman"/>
          <w:sz w:val="26"/>
          <w:szCs w:val="26"/>
          <w:lang w:val="lv-LV"/>
        </w:rPr>
        <w:t xml:space="preserve"> </w:t>
      </w:r>
      <w:r w:rsidR="00802B12" w:rsidRPr="002C5745">
        <w:rPr>
          <w:rFonts w:ascii="Times New Roman" w:hAnsi="Times New Roman" w:cs="Times New Roman"/>
          <w:sz w:val="26"/>
          <w:szCs w:val="26"/>
          <w:lang w:val="lv-LV"/>
        </w:rPr>
        <w:t>likmes</w:t>
      </w:r>
      <w:r w:rsidRPr="002C5745">
        <w:rPr>
          <w:rFonts w:ascii="Times New Roman" w:hAnsi="Times New Roman" w:cs="Times New Roman"/>
          <w:sz w:val="26"/>
          <w:szCs w:val="26"/>
          <w:lang w:val="lv-LV"/>
        </w:rPr>
        <w:t xml:space="preserve"> privātpersonām, konstatējams</w:t>
      </w:r>
      <w:r w:rsidR="00CE3FBA" w:rsidRPr="002C5745">
        <w:rPr>
          <w:rFonts w:ascii="Times New Roman" w:hAnsi="Times New Roman" w:cs="Times New Roman"/>
          <w:sz w:val="26"/>
          <w:szCs w:val="26"/>
          <w:lang w:val="lv-LV"/>
        </w:rPr>
        <w:t xml:space="preserve">, ka </w:t>
      </w:r>
      <w:r w:rsidR="00394594" w:rsidRPr="002C5745">
        <w:rPr>
          <w:rFonts w:ascii="Times New Roman" w:hAnsi="Times New Roman" w:cs="Times New Roman"/>
          <w:sz w:val="26"/>
          <w:szCs w:val="26"/>
          <w:lang w:val="lv-LV"/>
        </w:rPr>
        <w:t xml:space="preserve">to </w:t>
      </w:r>
      <w:r w:rsidR="00CE3FBA" w:rsidRPr="002C5745">
        <w:rPr>
          <w:rFonts w:ascii="Times New Roman" w:hAnsi="Times New Roman" w:cs="Times New Roman"/>
          <w:sz w:val="26"/>
          <w:szCs w:val="26"/>
          <w:lang w:val="lv-LV"/>
        </w:rPr>
        <w:t>procentu likme</w:t>
      </w:r>
      <w:r w:rsidR="00394594" w:rsidRPr="002C5745">
        <w:rPr>
          <w:rFonts w:ascii="Times New Roman" w:hAnsi="Times New Roman" w:cs="Times New Roman"/>
          <w:sz w:val="26"/>
          <w:szCs w:val="26"/>
          <w:lang w:val="lv-LV"/>
        </w:rPr>
        <w:t>s</w:t>
      </w:r>
      <w:r w:rsidR="00CE3FBA" w:rsidRPr="002C5745">
        <w:rPr>
          <w:rFonts w:ascii="Times New Roman" w:hAnsi="Times New Roman" w:cs="Times New Roman"/>
          <w:sz w:val="26"/>
          <w:szCs w:val="26"/>
          <w:lang w:val="lv-LV"/>
        </w:rPr>
        <w:t xml:space="preserve"> nav noteikts konkrēts, fiksēts lielums, bet gan ir atkarīg</w:t>
      </w:r>
      <w:r w:rsidR="009F5602" w:rsidRPr="002C5745">
        <w:rPr>
          <w:rFonts w:ascii="Times New Roman" w:hAnsi="Times New Roman" w:cs="Times New Roman"/>
          <w:sz w:val="26"/>
          <w:szCs w:val="26"/>
          <w:lang w:val="lv-LV"/>
        </w:rPr>
        <w:t>a</w:t>
      </w:r>
      <w:r w:rsidR="00394594" w:rsidRPr="002C5745">
        <w:rPr>
          <w:rFonts w:ascii="Times New Roman" w:hAnsi="Times New Roman" w:cs="Times New Roman"/>
          <w:sz w:val="26"/>
          <w:szCs w:val="26"/>
          <w:lang w:val="lv-LV"/>
        </w:rPr>
        <w:t>s</w:t>
      </w:r>
      <w:r w:rsidR="00CE3FBA" w:rsidRPr="002C5745">
        <w:rPr>
          <w:rFonts w:ascii="Times New Roman" w:hAnsi="Times New Roman" w:cs="Times New Roman"/>
          <w:sz w:val="26"/>
          <w:szCs w:val="26"/>
          <w:lang w:val="lv-LV"/>
        </w:rPr>
        <w:t xml:space="preserve"> no banku veiktā privātpersonas izvērtējuma.</w:t>
      </w:r>
      <w:r w:rsidR="009F5602" w:rsidRPr="002C5745">
        <w:rPr>
          <w:rFonts w:ascii="Times New Roman" w:hAnsi="Times New Roman" w:cs="Times New Roman"/>
          <w:sz w:val="26"/>
          <w:szCs w:val="26"/>
          <w:lang w:val="lv-LV"/>
        </w:rPr>
        <w:t xml:space="preserve"> Tādējādi īstermiņa kredītu likme sākotnējiem aizņēmējiem var būt </w:t>
      </w:r>
      <w:r w:rsidR="00394594" w:rsidRPr="002C5745">
        <w:rPr>
          <w:rFonts w:ascii="Times New Roman" w:hAnsi="Times New Roman" w:cs="Times New Roman"/>
          <w:sz w:val="26"/>
          <w:szCs w:val="26"/>
          <w:lang w:val="lv-LV"/>
        </w:rPr>
        <w:t xml:space="preserve">arī </w:t>
      </w:r>
      <w:r w:rsidR="009F5602" w:rsidRPr="002C5745">
        <w:rPr>
          <w:rFonts w:ascii="Times New Roman" w:hAnsi="Times New Roman" w:cs="Times New Roman"/>
          <w:sz w:val="26"/>
          <w:szCs w:val="26"/>
          <w:lang w:val="lv-LV"/>
        </w:rPr>
        <w:t>daudz augstāka par konkrēto banku mājaslapās publicēto likmi.</w:t>
      </w:r>
    </w:p>
    <w:p w14:paraId="7D6FD805" w14:textId="77777777" w:rsidR="0002708D" w:rsidRPr="00EC689C" w:rsidRDefault="0002708D" w:rsidP="00B82974">
      <w:pPr>
        <w:ind w:firstLine="720"/>
        <w:jc w:val="both"/>
        <w:rPr>
          <w:rFonts w:ascii="Times New Roman" w:hAnsi="Times New Roman" w:cs="Times New Roman"/>
          <w:sz w:val="12"/>
          <w:szCs w:val="12"/>
          <w:lang w:val="lv-LV"/>
        </w:rPr>
      </w:pPr>
    </w:p>
    <w:tbl>
      <w:tblPr>
        <w:tblStyle w:val="TableGrid"/>
        <w:tblW w:w="0" w:type="auto"/>
        <w:tblLook w:val="04A0" w:firstRow="1" w:lastRow="0" w:firstColumn="1" w:lastColumn="0" w:noHBand="0" w:noVBand="1"/>
      </w:tblPr>
      <w:tblGrid>
        <w:gridCol w:w="2463"/>
        <w:gridCol w:w="4087"/>
        <w:gridCol w:w="2512"/>
      </w:tblGrid>
      <w:tr w:rsidR="00D62DC1" w:rsidRPr="002C5745" w14:paraId="28D5C35F" w14:textId="77777777" w:rsidTr="00394594">
        <w:tc>
          <w:tcPr>
            <w:tcW w:w="2547" w:type="dxa"/>
          </w:tcPr>
          <w:p w14:paraId="74E935E1" w14:textId="65CAF863" w:rsidR="00D62DC1" w:rsidRPr="00880EC7" w:rsidRDefault="00D62DC1" w:rsidP="00802B12">
            <w:pPr>
              <w:jc w:val="center"/>
              <w:rPr>
                <w:rFonts w:ascii="Times New Roman" w:hAnsi="Times New Roman" w:cs="Times New Roman"/>
                <w:lang w:val="lv-LV"/>
              </w:rPr>
            </w:pPr>
            <w:r w:rsidRPr="00880EC7">
              <w:rPr>
                <w:rFonts w:ascii="Times New Roman" w:hAnsi="Times New Roman" w:cs="Times New Roman"/>
                <w:lang w:val="lv-LV"/>
              </w:rPr>
              <w:t>Kredītiestādes nosaukums</w:t>
            </w:r>
          </w:p>
        </w:tc>
        <w:tc>
          <w:tcPr>
            <w:tcW w:w="4252" w:type="dxa"/>
          </w:tcPr>
          <w:p w14:paraId="31C4EDB4" w14:textId="77777777" w:rsidR="00D62DC1" w:rsidRPr="00880EC7" w:rsidRDefault="00D62DC1" w:rsidP="0062356F">
            <w:pPr>
              <w:jc w:val="center"/>
              <w:rPr>
                <w:rFonts w:ascii="Times New Roman" w:hAnsi="Times New Roman" w:cs="Times New Roman"/>
                <w:lang w:val="lv-LV"/>
              </w:rPr>
            </w:pPr>
            <w:r w:rsidRPr="00880EC7">
              <w:rPr>
                <w:rFonts w:ascii="Times New Roman" w:hAnsi="Times New Roman" w:cs="Times New Roman"/>
                <w:lang w:val="lv-LV"/>
              </w:rPr>
              <w:t>Procentu likme</w:t>
            </w:r>
            <w:r w:rsidR="00714017" w:rsidRPr="00880EC7">
              <w:rPr>
                <w:rFonts w:ascii="Times New Roman" w:hAnsi="Times New Roman" w:cs="Times New Roman"/>
                <w:lang w:val="lv-LV"/>
              </w:rPr>
              <w:t xml:space="preserve"> patēriņa kredītiem</w:t>
            </w:r>
          </w:p>
        </w:tc>
        <w:tc>
          <w:tcPr>
            <w:tcW w:w="2596" w:type="dxa"/>
          </w:tcPr>
          <w:p w14:paraId="6ADFDAB2" w14:textId="77777777" w:rsidR="00D62DC1" w:rsidRPr="00880EC7" w:rsidRDefault="00D62DC1" w:rsidP="0062356F">
            <w:pPr>
              <w:jc w:val="center"/>
              <w:rPr>
                <w:rFonts w:ascii="Times New Roman" w:hAnsi="Times New Roman" w:cs="Times New Roman"/>
                <w:b/>
                <w:lang w:val="lv-LV"/>
              </w:rPr>
            </w:pPr>
            <w:r w:rsidRPr="00880EC7">
              <w:rPr>
                <w:rStyle w:val="Strong"/>
                <w:rFonts w:ascii="Times New Roman" w:hAnsi="Times New Roman" w:cs="Times New Roman"/>
                <w:b w:val="0"/>
                <w:lang w:val="lv-LV"/>
              </w:rPr>
              <w:t>Noformēšana</w:t>
            </w:r>
            <w:r w:rsidRPr="00880EC7">
              <w:rPr>
                <w:rFonts w:ascii="Times New Roman" w:hAnsi="Times New Roman" w:cs="Times New Roman"/>
                <w:b/>
                <w:bCs/>
                <w:lang w:val="lv-LV"/>
              </w:rPr>
              <w:br/>
            </w:r>
            <w:r w:rsidRPr="00880EC7">
              <w:rPr>
                <w:rStyle w:val="Strong"/>
                <w:rFonts w:ascii="Times New Roman" w:hAnsi="Times New Roman" w:cs="Times New Roman"/>
                <w:b w:val="0"/>
                <w:lang w:val="lv-LV"/>
              </w:rPr>
              <w:t>(% no summas)</w:t>
            </w:r>
          </w:p>
        </w:tc>
      </w:tr>
      <w:tr w:rsidR="00D62DC1" w:rsidRPr="002C5745" w14:paraId="1DC5D385" w14:textId="77777777" w:rsidTr="00394594">
        <w:tc>
          <w:tcPr>
            <w:tcW w:w="2547" w:type="dxa"/>
          </w:tcPr>
          <w:p w14:paraId="2BB4CBC9" w14:textId="77777777" w:rsidR="00D62DC1" w:rsidRPr="00880EC7" w:rsidRDefault="00D62DC1" w:rsidP="00DD1ED9">
            <w:pPr>
              <w:jc w:val="both"/>
              <w:rPr>
                <w:rFonts w:ascii="Times New Roman" w:hAnsi="Times New Roman" w:cs="Times New Roman"/>
                <w:lang w:val="lv-LV"/>
              </w:rPr>
            </w:pPr>
            <w:r w:rsidRPr="00880EC7">
              <w:rPr>
                <w:rFonts w:ascii="Times New Roman" w:eastAsia="Times New Roman" w:hAnsi="Times New Roman" w:cs="Times New Roman"/>
                <w:lang w:val="lv-LV" w:eastAsia="lv-LV"/>
              </w:rPr>
              <w:t>AS</w:t>
            </w:r>
            <w:r w:rsidRPr="00880EC7">
              <w:rPr>
                <w:rFonts w:ascii="Times New Roman" w:hAnsi="Times New Roman" w:cs="Times New Roman"/>
                <w:lang w:val="lv-LV"/>
              </w:rPr>
              <w:t xml:space="preserve"> “Swedbank”</w:t>
            </w:r>
            <w:r w:rsidR="00C55C80" w:rsidRPr="00880EC7">
              <w:rPr>
                <w:rStyle w:val="FootnoteReference"/>
                <w:rFonts w:ascii="Times New Roman" w:hAnsi="Times New Roman" w:cs="Times New Roman"/>
                <w:lang w:val="lv-LV"/>
              </w:rPr>
              <w:t xml:space="preserve"> </w:t>
            </w:r>
            <w:r w:rsidR="00C55C80" w:rsidRPr="00880EC7">
              <w:rPr>
                <w:rStyle w:val="FootnoteReference"/>
                <w:rFonts w:ascii="Times New Roman" w:hAnsi="Times New Roman" w:cs="Times New Roman"/>
                <w:lang w:val="lv-LV"/>
              </w:rPr>
              <w:footnoteReference w:id="43"/>
            </w:r>
          </w:p>
        </w:tc>
        <w:tc>
          <w:tcPr>
            <w:tcW w:w="4252" w:type="dxa"/>
          </w:tcPr>
          <w:p w14:paraId="51FAA14E" w14:textId="77777777" w:rsidR="00D62DC1" w:rsidRPr="00880EC7" w:rsidRDefault="00D62DC1" w:rsidP="00C55C80">
            <w:pPr>
              <w:jc w:val="both"/>
              <w:rPr>
                <w:rFonts w:ascii="Times New Roman" w:hAnsi="Times New Roman" w:cs="Times New Roman"/>
                <w:lang w:val="lv-LV"/>
              </w:rPr>
            </w:pPr>
            <w:r w:rsidRPr="00880EC7">
              <w:rPr>
                <w:rFonts w:ascii="Times New Roman" w:hAnsi="Times New Roman" w:cs="Times New Roman"/>
                <w:lang w:val="lv-LV"/>
              </w:rPr>
              <w:t>No 16% gadā (procentu likme tiek noteikta katram klientam individuāli un procentu maksājums tiek aprēķināts no neatmaksātās kredīta summas).</w:t>
            </w:r>
          </w:p>
        </w:tc>
        <w:tc>
          <w:tcPr>
            <w:tcW w:w="2596" w:type="dxa"/>
          </w:tcPr>
          <w:p w14:paraId="170B0B86" w14:textId="77777777" w:rsidR="00D62DC1" w:rsidRPr="00880EC7" w:rsidRDefault="00D62DC1" w:rsidP="00C55C80">
            <w:pPr>
              <w:jc w:val="both"/>
              <w:rPr>
                <w:rFonts w:ascii="Times New Roman" w:hAnsi="Times New Roman" w:cs="Times New Roman"/>
                <w:lang w:val="lv-LV"/>
              </w:rPr>
            </w:pPr>
            <w:r w:rsidRPr="00880EC7">
              <w:rPr>
                <w:rFonts w:ascii="Times New Roman" w:hAnsi="Times New Roman" w:cs="Times New Roman"/>
              </w:rPr>
              <w:t>2%</w:t>
            </w:r>
            <w:r w:rsidR="00C55C80" w:rsidRPr="00880EC7">
              <w:rPr>
                <w:rFonts w:ascii="Times New Roman" w:hAnsi="Times New Roman" w:cs="Times New Roman"/>
              </w:rPr>
              <w:t xml:space="preserve"> </w:t>
            </w:r>
            <w:r w:rsidRPr="00880EC7">
              <w:rPr>
                <w:rFonts w:ascii="Times New Roman" w:hAnsi="Times New Roman" w:cs="Times New Roman"/>
              </w:rPr>
              <w:t xml:space="preserve">(min. 25 </w:t>
            </w:r>
            <w:r w:rsidRPr="00880EC7">
              <w:rPr>
                <w:rFonts w:ascii="Times New Roman" w:hAnsi="Times New Roman" w:cs="Times New Roman"/>
                <w:i/>
              </w:rPr>
              <w:t>euro</w:t>
            </w:r>
            <w:r w:rsidRPr="00880EC7">
              <w:rPr>
                <w:rFonts w:ascii="Times New Roman" w:hAnsi="Times New Roman" w:cs="Times New Roman"/>
              </w:rPr>
              <w:t>)</w:t>
            </w:r>
          </w:p>
        </w:tc>
      </w:tr>
      <w:tr w:rsidR="00D62DC1" w:rsidRPr="002C5745" w14:paraId="0097CE3E" w14:textId="77777777" w:rsidTr="00394594">
        <w:tc>
          <w:tcPr>
            <w:tcW w:w="2547" w:type="dxa"/>
          </w:tcPr>
          <w:p w14:paraId="495065DD" w14:textId="77777777" w:rsidR="00D62DC1" w:rsidRPr="00880EC7" w:rsidRDefault="00D62DC1" w:rsidP="00D62DC1">
            <w:pPr>
              <w:rPr>
                <w:rFonts w:ascii="Times New Roman" w:hAnsi="Times New Roman" w:cs="Times New Roman"/>
                <w:lang w:val="lv-LV"/>
              </w:rPr>
            </w:pPr>
            <w:r w:rsidRPr="00880EC7">
              <w:rPr>
                <w:rFonts w:ascii="Times New Roman" w:eastAsia="Times New Roman" w:hAnsi="Times New Roman" w:cs="Times New Roman"/>
                <w:lang w:val="lv-LV" w:eastAsia="lv-LV"/>
              </w:rPr>
              <w:t>AS</w:t>
            </w:r>
            <w:r w:rsidRPr="00880EC7">
              <w:rPr>
                <w:rFonts w:ascii="Times New Roman" w:hAnsi="Times New Roman" w:cs="Times New Roman"/>
                <w:lang w:val="lv-LV"/>
              </w:rPr>
              <w:t xml:space="preserve"> “Citadele banka”</w:t>
            </w:r>
            <w:r w:rsidR="00C55C80" w:rsidRPr="00880EC7">
              <w:rPr>
                <w:rStyle w:val="FootnoteReference"/>
                <w:rFonts w:ascii="Times New Roman" w:hAnsi="Times New Roman" w:cs="Times New Roman"/>
                <w:lang w:val="lv-LV"/>
              </w:rPr>
              <w:footnoteReference w:id="44"/>
            </w:r>
          </w:p>
        </w:tc>
        <w:tc>
          <w:tcPr>
            <w:tcW w:w="4252" w:type="dxa"/>
          </w:tcPr>
          <w:p w14:paraId="2C60B33E" w14:textId="77777777" w:rsidR="00D62DC1" w:rsidRPr="00880EC7" w:rsidRDefault="00D62DC1" w:rsidP="00C55C80">
            <w:pPr>
              <w:rPr>
                <w:rFonts w:ascii="Times New Roman" w:hAnsi="Times New Roman" w:cs="Times New Roman"/>
                <w:lang w:val="lv-LV"/>
              </w:rPr>
            </w:pPr>
            <w:r w:rsidRPr="00880EC7">
              <w:rPr>
                <w:rFonts w:ascii="Times New Roman" w:hAnsi="Times New Roman" w:cs="Times New Roman"/>
                <w:lang w:val="lv-LV"/>
              </w:rPr>
              <w:t>Sākot ar 9 % gadā</w:t>
            </w:r>
          </w:p>
        </w:tc>
        <w:tc>
          <w:tcPr>
            <w:tcW w:w="2596" w:type="dxa"/>
          </w:tcPr>
          <w:p w14:paraId="14C910D7" w14:textId="77777777" w:rsidR="00D62DC1" w:rsidRPr="00880EC7" w:rsidRDefault="00D62DC1" w:rsidP="00C55C80">
            <w:pPr>
              <w:jc w:val="both"/>
              <w:rPr>
                <w:rFonts w:ascii="Times New Roman" w:hAnsi="Times New Roman" w:cs="Times New Roman"/>
                <w:lang w:val="lv-LV"/>
              </w:rPr>
            </w:pPr>
            <w:r w:rsidRPr="00880EC7">
              <w:rPr>
                <w:rFonts w:ascii="Times New Roman" w:hAnsi="Times New Roman" w:cs="Times New Roman"/>
                <w:spacing w:val="2"/>
                <w:lang w:val="lv-LV"/>
              </w:rPr>
              <w:t>2% no līguma summas</w:t>
            </w:r>
            <w:r w:rsidR="00C55C80" w:rsidRPr="00880EC7">
              <w:rPr>
                <w:rFonts w:ascii="Times New Roman" w:hAnsi="Times New Roman" w:cs="Times New Roman"/>
                <w:spacing w:val="2"/>
                <w:lang w:val="lv-LV"/>
              </w:rPr>
              <w:t xml:space="preserve"> </w:t>
            </w:r>
            <w:r w:rsidRPr="00880EC7">
              <w:rPr>
                <w:rFonts w:ascii="Times New Roman" w:hAnsi="Times New Roman" w:cs="Times New Roman"/>
                <w:spacing w:val="2"/>
                <w:lang w:val="lv-LV"/>
              </w:rPr>
              <w:t>(min. 25 </w:t>
            </w:r>
            <w:r w:rsidRPr="00880EC7">
              <w:rPr>
                <w:rFonts w:ascii="Times New Roman" w:hAnsi="Times New Roman" w:cs="Times New Roman"/>
                <w:i/>
                <w:spacing w:val="2"/>
                <w:lang w:val="lv-LV"/>
              </w:rPr>
              <w:t>euro</w:t>
            </w:r>
            <w:r w:rsidRPr="00880EC7">
              <w:rPr>
                <w:rFonts w:ascii="Times New Roman" w:hAnsi="Times New Roman" w:cs="Times New Roman"/>
                <w:spacing w:val="2"/>
                <w:lang w:val="lv-LV"/>
              </w:rPr>
              <w:t>)</w:t>
            </w:r>
          </w:p>
        </w:tc>
      </w:tr>
      <w:tr w:rsidR="00D62DC1" w:rsidRPr="002C5745" w14:paraId="1A488416" w14:textId="77777777" w:rsidTr="00394594">
        <w:tc>
          <w:tcPr>
            <w:tcW w:w="2547" w:type="dxa"/>
          </w:tcPr>
          <w:p w14:paraId="5ACFD499" w14:textId="77777777" w:rsidR="00D62DC1" w:rsidRPr="00880EC7" w:rsidRDefault="00D62DC1" w:rsidP="00D62DC1">
            <w:pPr>
              <w:rPr>
                <w:rFonts w:ascii="Times New Roman" w:hAnsi="Times New Roman" w:cs="Times New Roman"/>
                <w:lang w:val="lv-LV" w:eastAsia="lv-LV"/>
              </w:rPr>
            </w:pPr>
            <w:r w:rsidRPr="00880EC7">
              <w:rPr>
                <w:rFonts w:ascii="Times New Roman" w:hAnsi="Times New Roman" w:cs="Times New Roman"/>
                <w:lang w:val="lv-LV" w:eastAsia="lv-LV"/>
              </w:rPr>
              <w:t>AS “SEB banka”</w:t>
            </w:r>
            <w:r w:rsidR="00C55C80" w:rsidRPr="00880EC7">
              <w:rPr>
                <w:rStyle w:val="FootnoteReference"/>
                <w:rFonts w:ascii="Times New Roman" w:hAnsi="Times New Roman" w:cs="Times New Roman"/>
                <w:color w:val="000000"/>
                <w:lang w:val="lv-LV"/>
              </w:rPr>
              <w:t xml:space="preserve"> </w:t>
            </w:r>
            <w:r w:rsidR="00C55C80" w:rsidRPr="00880EC7">
              <w:rPr>
                <w:rStyle w:val="FootnoteReference"/>
                <w:rFonts w:ascii="Times New Roman" w:hAnsi="Times New Roman" w:cs="Times New Roman"/>
                <w:color w:val="000000"/>
                <w:lang w:val="lv-LV"/>
              </w:rPr>
              <w:footnoteReference w:id="45"/>
            </w:r>
          </w:p>
        </w:tc>
        <w:tc>
          <w:tcPr>
            <w:tcW w:w="4252" w:type="dxa"/>
          </w:tcPr>
          <w:p w14:paraId="721BD4A3" w14:textId="77777777" w:rsidR="00D62DC1" w:rsidRPr="00880EC7" w:rsidRDefault="00D62DC1" w:rsidP="00D62DC1">
            <w:pPr>
              <w:rPr>
                <w:rFonts w:ascii="Times New Roman" w:hAnsi="Times New Roman" w:cs="Times New Roman"/>
                <w:color w:val="000000"/>
                <w:lang w:val="lv-LV"/>
              </w:rPr>
            </w:pPr>
            <w:r w:rsidRPr="00880EC7">
              <w:rPr>
                <w:rFonts w:ascii="Times New Roman" w:hAnsi="Times New Roman" w:cs="Times New Roman"/>
                <w:color w:val="000000"/>
                <w:lang w:val="lv-LV"/>
              </w:rPr>
              <w:t>Patēriņa kredīts ar fiksētu procentu likmi:</w:t>
            </w:r>
          </w:p>
          <w:p w14:paraId="30B95B77" w14:textId="77777777" w:rsidR="00D62DC1" w:rsidRPr="00880EC7" w:rsidRDefault="00D62DC1" w:rsidP="00F7401F">
            <w:pPr>
              <w:ind w:left="455"/>
              <w:jc w:val="both"/>
              <w:rPr>
                <w:rFonts w:ascii="Times New Roman" w:hAnsi="Times New Roman" w:cs="Times New Roman"/>
                <w:color w:val="000000"/>
                <w:lang w:val="lv-LV"/>
              </w:rPr>
            </w:pPr>
            <w:r w:rsidRPr="00880EC7">
              <w:rPr>
                <w:rFonts w:ascii="Times New Roman" w:hAnsi="Times New Roman" w:cs="Times New Roman"/>
                <w:color w:val="000000"/>
                <w:lang w:val="lv-LV"/>
              </w:rPr>
              <w:t>15% – standarta likme</w:t>
            </w:r>
          </w:p>
          <w:p w14:paraId="51F6AD96" w14:textId="77777777" w:rsidR="00D62DC1" w:rsidRPr="00880EC7" w:rsidRDefault="00D62DC1" w:rsidP="00F7401F">
            <w:pPr>
              <w:ind w:left="455"/>
              <w:jc w:val="both"/>
              <w:rPr>
                <w:rFonts w:ascii="Times New Roman" w:hAnsi="Times New Roman" w:cs="Times New Roman"/>
                <w:color w:val="000000"/>
                <w:lang w:val="lv-LV"/>
              </w:rPr>
            </w:pPr>
            <w:r w:rsidRPr="00880EC7">
              <w:rPr>
                <w:rFonts w:ascii="Times New Roman" w:hAnsi="Times New Roman" w:cs="Times New Roman"/>
                <w:color w:val="000000"/>
                <w:lang w:val="lv-LV"/>
              </w:rPr>
              <w:t>12% – sudraba līmeņa klientiem</w:t>
            </w:r>
          </w:p>
          <w:p w14:paraId="7F6E26A9" w14:textId="77777777" w:rsidR="00D62DC1" w:rsidRPr="00880EC7" w:rsidRDefault="00D62DC1" w:rsidP="00F7401F">
            <w:pPr>
              <w:ind w:left="455"/>
              <w:jc w:val="both"/>
              <w:rPr>
                <w:rFonts w:ascii="Times New Roman" w:hAnsi="Times New Roman" w:cs="Times New Roman"/>
                <w:color w:val="000000"/>
                <w:lang w:val="lv-LV"/>
              </w:rPr>
            </w:pPr>
            <w:r w:rsidRPr="00880EC7">
              <w:rPr>
                <w:rFonts w:ascii="Times New Roman" w:hAnsi="Times New Roman" w:cs="Times New Roman"/>
                <w:color w:val="000000"/>
                <w:lang w:val="lv-LV"/>
              </w:rPr>
              <w:t xml:space="preserve">10% </w:t>
            </w:r>
            <w:r w:rsidR="00F7401F" w:rsidRPr="00880EC7">
              <w:rPr>
                <w:rFonts w:ascii="Times New Roman" w:hAnsi="Times New Roman" w:cs="Times New Roman"/>
                <w:color w:val="000000"/>
                <w:lang w:val="lv-LV"/>
              </w:rPr>
              <w:t xml:space="preserve">– </w:t>
            </w:r>
            <w:r w:rsidRPr="00880EC7">
              <w:rPr>
                <w:rFonts w:ascii="Times New Roman" w:hAnsi="Times New Roman" w:cs="Times New Roman"/>
                <w:color w:val="000000"/>
                <w:lang w:val="lv-LV"/>
              </w:rPr>
              <w:t>transportlīdzekļa iegādei (vieglais automobilis, motocikls, tricikls, kvadricikls vai mopēds)</w:t>
            </w:r>
          </w:p>
          <w:p w14:paraId="3FCE1310" w14:textId="77777777" w:rsidR="00D62DC1" w:rsidRPr="00880EC7" w:rsidRDefault="00D62DC1" w:rsidP="00F7401F">
            <w:pPr>
              <w:ind w:left="455"/>
              <w:jc w:val="both"/>
              <w:rPr>
                <w:rFonts w:ascii="Times New Roman" w:hAnsi="Times New Roman" w:cs="Times New Roman"/>
                <w:lang w:val="lv-LV"/>
              </w:rPr>
            </w:pPr>
            <w:r w:rsidRPr="00880EC7">
              <w:rPr>
                <w:rFonts w:ascii="Times New Roman" w:hAnsi="Times New Roman" w:cs="Times New Roman"/>
                <w:color w:val="000000"/>
                <w:lang w:val="lv-LV"/>
              </w:rPr>
              <w:t>9% – zelta līmeņa klientiem</w:t>
            </w:r>
          </w:p>
        </w:tc>
        <w:tc>
          <w:tcPr>
            <w:tcW w:w="2596" w:type="dxa"/>
          </w:tcPr>
          <w:p w14:paraId="5FBE156B" w14:textId="77777777" w:rsidR="00D62DC1" w:rsidRPr="00880EC7" w:rsidRDefault="00C55C80" w:rsidP="00C55C80">
            <w:pPr>
              <w:jc w:val="both"/>
              <w:rPr>
                <w:rFonts w:ascii="Times New Roman" w:hAnsi="Times New Roman" w:cs="Times New Roman"/>
                <w:lang w:val="lv-LV"/>
              </w:rPr>
            </w:pPr>
            <w:r w:rsidRPr="00880EC7">
              <w:rPr>
                <w:rFonts w:ascii="Times New Roman" w:hAnsi="Times New Roman" w:cs="Times New Roman"/>
                <w:color w:val="000000"/>
                <w:lang w:val="lv-LV"/>
              </w:rPr>
              <w:t>2% no piešķirtās summas (min. 50</w:t>
            </w:r>
            <w:r w:rsidR="00D62DC1" w:rsidRPr="00880EC7">
              <w:rPr>
                <w:rFonts w:ascii="Times New Roman" w:hAnsi="Times New Roman" w:cs="Times New Roman"/>
                <w:color w:val="000000"/>
                <w:lang w:val="lv-LV"/>
              </w:rPr>
              <w:t> </w:t>
            </w:r>
            <w:r w:rsidRPr="00880EC7">
              <w:rPr>
                <w:rFonts w:ascii="Times New Roman" w:hAnsi="Times New Roman" w:cs="Times New Roman"/>
                <w:i/>
              </w:rPr>
              <w:t>euro)</w:t>
            </w:r>
          </w:p>
        </w:tc>
      </w:tr>
      <w:tr w:rsidR="00C55C80" w:rsidRPr="002C5745" w14:paraId="457004F2" w14:textId="77777777" w:rsidTr="00394594">
        <w:tc>
          <w:tcPr>
            <w:tcW w:w="2547" w:type="dxa"/>
          </w:tcPr>
          <w:p w14:paraId="6B000E24" w14:textId="70E04813" w:rsidR="00D62DC1" w:rsidRPr="007F3744" w:rsidRDefault="00D62DC1" w:rsidP="007F3744">
            <w:pPr>
              <w:rPr>
                <w:rFonts w:ascii="Times New Roman" w:eastAsia="Times New Roman" w:hAnsi="Times New Roman" w:cs="Times New Roman"/>
                <w:lang w:val="lv-LV" w:eastAsia="lv-LV"/>
              </w:rPr>
            </w:pPr>
            <w:r w:rsidRPr="007F3744">
              <w:rPr>
                <w:rFonts w:ascii="Times New Roman" w:eastAsia="Times New Roman" w:hAnsi="Times New Roman" w:cs="Times New Roman"/>
                <w:lang w:val="lv-LV" w:eastAsia="lv-LV"/>
              </w:rPr>
              <w:t>AS “N</w:t>
            </w:r>
            <w:r w:rsidR="007F3744">
              <w:rPr>
                <w:rFonts w:ascii="Times New Roman" w:eastAsia="Times New Roman" w:hAnsi="Times New Roman" w:cs="Times New Roman"/>
                <w:lang w:val="lv-LV" w:eastAsia="lv-LV"/>
              </w:rPr>
              <w:t>orvik Banka</w:t>
            </w:r>
            <w:r w:rsidRPr="007F3744">
              <w:rPr>
                <w:rFonts w:ascii="Times New Roman" w:eastAsia="Times New Roman" w:hAnsi="Times New Roman" w:cs="Times New Roman"/>
                <w:lang w:val="lv-LV" w:eastAsia="lv-LV"/>
              </w:rPr>
              <w:t>”</w:t>
            </w:r>
            <w:r w:rsidR="00C55C80" w:rsidRPr="007F3744">
              <w:rPr>
                <w:rStyle w:val="FootnoteReference"/>
                <w:rFonts w:ascii="Times New Roman" w:eastAsia="Times New Roman" w:hAnsi="Times New Roman" w:cs="Times New Roman"/>
                <w:lang w:val="lv-LV" w:eastAsia="lv-LV"/>
              </w:rPr>
              <w:footnoteReference w:id="46"/>
            </w:r>
          </w:p>
        </w:tc>
        <w:tc>
          <w:tcPr>
            <w:tcW w:w="4252" w:type="dxa"/>
          </w:tcPr>
          <w:p w14:paraId="7C2B6639" w14:textId="3C9F3D8D" w:rsidR="00D62DC1" w:rsidRPr="007F3744" w:rsidRDefault="00C55C80" w:rsidP="00B82974">
            <w:pPr>
              <w:jc w:val="both"/>
              <w:rPr>
                <w:rFonts w:ascii="Times New Roman" w:hAnsi="Times New Roman" w:cs="Times New Roman"/>
                <w:lang w:val="lv-LV"/>
              </w:rPr>
            </w:pPr>
            <w:r w:rsidRPr="007F3744">
              <w:rPr>
                <w:rFonts w:ascii="Times New Roman" w:hAnsi="Times New Roman" w:cs="Times New Roman"/>
                <w:lang w:val="lv-LV"/>
              </w:rPr>
              <w:t>Individuāla procentu likme</w:t>
            </w:r>
            <w:r w:rsidR="009F59F3" w:rsidRPr="007F3744">
              <w:rPr>
                <w:rFonts w:ascii="Times New Roman" w:hAnsi="Times New Roman" w:cs="Times New Roman"/>
                <w:lang w:val="lv-LV"/>
              </w:rPr>
              <w:t>,</w:t>
            </w:r>
            <w:r w:rsidRPr="007F3744">
              <w:rPr>
                <w:rFonts w:ascii="Times New Roman" w:hAnsi="Times New Roman" w:cs="Times New Roman"/>
                <w:lang w:val="lv-LV"/>
              </w:rPr>
              <w:t xml:space="preserve"> sākot no 12% gadā</w:t>
            </w:r>
          </w:p>
        </w:tc>
        <w:tc>
          <w:tcPr>
            <w:tcW w:w="2596" w:type="dxa"/>
          </w:tcPr>
          <w:p w14:paraId="27FD8F52" w14:textId="77777777" w:rsidR="00D62DC1" w:rsidRPr="007F3744" w:rsidRDefault="00C55C80" w:rsidP="00C91C9B">
            <w:pPr>
              <w:jc w:val="both"/>
              <w:rPr>
                <w:rFonts w:ascii="Times New Roman" w:hAnsi="Times New Roman" w:cs="Times New Roman"/>
                <w:lang w:val="lv-LV"/>
              </w:rPr>
            </w:pPr>
            <w:r w:rsidRPr="007F3744">
              <w:rPr>
                <w:rFonts w:ascii="Times New Roman" w:hAnsi="Times New Roman" w:cs="Times New Roman"/>
                <w:lang w:val="lv-LV"/>
              </w:rPr>
              <w:t>2% no kredīta summas (min.</w:t>
            </w:r>
            <w:r w:rsidR="00C91C9B" w:rsidRPr="007F3744">
              <w:rPr>
                <w:rFonts w:ascii="Times New Roman" w:hAnsi="Times New Roman" w:cs="Times New Roman"/>
                <w:lang w:val="lv-LV"/>
              </w:rPr>
              <w:t> </w:t>
            </w:r>
            <w:r w:rsidRPr="007F3744">
              <w:rPr>
                <w:rFonts w:ascii="Times New Roman" w:hAnsi="Times New Roman" w:cs="Times New Roman"/>
                <w:lang w:val="lv-LV"/>
              </w:rPr>
              <w:t xml:space="preserve">15,00 </w:t>
            </w:r>
            <w:r w:rsidRPr="007F3744">
              <w:rPr>
                <w:rFonts w:ascii="Times New Roman" w:hAnsi="Times New Roman" w:cs="Times New Roman"/>
                <w:i/>
                <w:lang w:val="lv-LV"/>
              </w:rPr>
              <w:t>euro</w:t>
            </w:r>
            <w:r w:rsidRPr="007F3744">
              <w:rPr>
                <w:rFonts w:ascii="Times New Roman" w:hAnsi="Times New Roman" w:cs="Times New Roman"/>
                <w:lang w:val="lv-LV"/>
              </w:rPr>
              <w:t>)</w:t>
            </w:r>
          </w:p>
        </w:tc>
      </w:tr>
    </w:tbl>
    <w:p w14:paraId="42E357A5" w14:textId="77777777" w:rsidR="007F3744" w:rsidRPr="00EC689C" w:rsidRDefault="007F3744" w:rsidP="00B82974">
      <w:pPr>
        <w:ind w:firstLine="720"/>
        <w:jc w:val="both"/>
        <w:rPr>
          <w:rFonts w:ascii="Times New Roman" w:hAnsi="Times New Roman" w:cs="Times New Roman"/>
          <w:sz w:val="12"/>
          <w:szCs w:val="12"/>
          <w:lang w:val="lv-LV"/>
        </w:rPr>
      </w:pPr>
    </w:p>
    <w:p w14:paraId="757A8EAE" w14:textId="302A27D2" w:rsidR="005D3FFA" w:rsidRPr="002C5745" w:rsidRDefault="00714017" w:rsidP="00B82974">
      <w:pPr>
        <w:ind w:firstLine="720"/>
        <w:jc w:val="both"/>
        <w:rPr>
          <w:rFonts w:ascii="Times New Roman" w:hAnsi="Times New Roman" w:cs="Times New Roman"/>
          <w:sz w:val="26"/>
          <w:szCs w:val="26"/>
          <w:lang w:val="lv-LV"/>
        </w:rPr>
      </w:pPr>
      <w:r w:rsidRPr="002C5745">
        <w:rPr>
          <w:rFonts w:ascii="Times New Roman" w:hAnsi="Times New Roman" w:cs="Times New Roman"/>
          <w:sz w:val="26"/>
          <w:szCs w:val="26"/>
          <w:lang w:val="lv-LV"/>
        </w:rPr>
        <w:t>No tabulā atspoguļotās informācijas izriet, ka likuma “Par nodokļiem un nodevām” 29.</w:t>
      </w:r>
      <w:r w:rsidR="00EC689C">
        <w:rPr>
          <w:rFonts w:ascii="Times New Roman" w:hAnsi="Times New Roman" w:cs="Times New Roman"/>
          <w:sz w:val="26"/>
          <w:szCs w:val="26"/>
          <w:lang w:val="lv-LV"/>
        </w:rPr>
        <w:t> </w:t>
      </w:r>
      <w:r w:rsidRPr="002C5745">
        <w:rPr>
          <w:rFonts w:ascii="Times New Roman" w:hAnsi="Times New Roman" w:cs="Times New Roman"/>
          <w:sz w:val="26"/>
          <w:szCs w:val="26"/>
          <w:lang w:val="lv-LV"/>
        </w:rPr>
        <w:t xml:space="preserve">panta otrajā daļā noteiktā nokavējuma naudas likme </w:t>
      </w:r>
      <w:r w:rsidR="001D1FD7">
        <w:rPr>
          <w:rFonts w:ascii="Times New Roman" w:hAnsi="Times New Roman" w:cs="Times New Roman"/>
          <w:sz w:val="26"/>
          <w:szCs w:val="26"/>
          <w:lang w:val="lv-LV"/>
        </w:rPr>
        <w:t>(kas gadā ir 18,25</w:t>
      </w:r>
      <w:r w:rsidR="00EC689C">
        <w:rPr>
          <w:rFonts w:ascii="Times New Roman" w:hAnsi="Times New Roman" w:cs="Times New Roman"/>
          <w:sz w:val="26"/>
          <w:szCs w:val="26"/>
          <w:lang w:val="lv-LV"/>
        </w:rPr>
        <w:t> </w:t>
      </w:r>
      <w:r w:rsidR="001D1FD7">
        <w:rPr>
          <w:rFonts w:ascii="Times New Roman" w:hAnsi="Times New Roman" w:cs="Times New Roman"/>
          <w:sz w:val="26"/>
          <w:szCs w:val="26"/>
          <w:lang w:val="lv-LV"/>
        </w:rPr>
        <w:t xml:space="preserve">%) </w:t>
      </w:r>
      <w:r w:rsidRPr="002C5745">
        <w:rPr>
          <w:rFonts w:ascii="Times New Roman" w:hAnsi="Times New Roman" w:cs="Times New Roman"/>
          <w:sz w:val="26"/>
          <w:szCs w:val="26"/>
          <w:lang w:val="lv-LV"/>
        </w:rPr>
        <w:t xml:space="preserve">ir nedaudz augstāka par kredītiestāžu piedāvāto </w:t>
      </w:r>
      <w:r w:rsidR="00EC689C">
        <w:rPr>
          <w:rFonts w:ascii="Times New Roman" w:hAnsi="Times New Roman" w:cs="Times New Roman"/>
          <w:sz w:val="26"/>
          <w:szCs w:val="26"/>
          <w:u w:val="single"/>
          <w:lang w:val="lv-LV"/>
        </w:rPr>
        <w:t>minimālo</w:t>
      </w:r>
      <w:r w:rsidR="00EC689C">
        <w:rPr>
          <w:rFonts w:ascii="Times New Roman" w:hAnsi="Times New Roman" w:cs="Times New Roman"/>
          <w:sz w:val="26"/>
          <w:szCs w:val="26"/>
          <w:lang w:val="lv-LV"/>
        </w:rPr>
        <w:t xml:space="preserve"> procenta likmi patēriņa kredītiem.</w:t>
      </w:r>
    </w:p>
    <w:p w14:paraId="79C09016" w14:textId="77777777" w:rsidR="00714017" w:rsidRPr="002C5745" w:rsidRDefault="00714017" w:rsidP="00714017">
      <w:pPr>
        <w:ind w:firstLine="720"/>
        <w:jc w:val="both"/>
        <w:rPr>
          <w:rFonts w:ascii="Times New Roman" w:eastAsia="Times New Roman" w:hAnsi="Times New Roman" w:cs="Times New Roman"/>
          <w:sz w:val="26"/>
          <w:szCs w:val="26"/>
          <w:lang w:val="lv-LV"/>
        </w:rPr>
      </w:pPr>
      <w:r w:rsidRPr="002C5745">
        <w:rPr>
          <w:rFonts w:ascii="Times New Roman" w:hAnsi="Times New Roman" w:cs="Times New Roman"/>
          <w:sz w:val="26"/>
          <w:szCs w:val="26"/>
          <w:lang w:val="lv-LV"/>
        </w:rPr>
        <w:t>Tādējādi, secināms, ka minētajā pantā noteikto nokavējuma naudas likmi nav nepieciešams samazināt, ņemot vērā, ka pretējā gadījumā pastāv risks, ka nodokļu maksātāji apzināti izvēlēsies naudas līdzekļus novirzīt citiem mērķiem nevis nodokļu samaksai.</w:t>
      </w:r>
    </w:p>
    <w:p w14:paraId="6B6484F7" w14:textId="77777777" w:rsidR="00C177AD" w:rsidRPr="002C5745" w:rsidRDefault="00C177AD" w:rsidP="00B82974">
      <w:pPr>
        <w:ind w:firstLine="720"/>
        <w:jc w:val="both"/>
        <w:rPr>
          <w:rFonts w:ascii="Times New Roman" w:hAnsi="Times New Roman" w:cs="Times New Roman"/>
          <w:sz w:val="26"/>
          <w:szCs w:val="26"/>
          <w:lang w:val="lv-LV"/>
        </w:rPr>
      </w:pPr>
    </w:p>
    <w:p w14:paraId="0A4DE401" w14:textId="77777777" w:rsidR="004438FD" w:rsidRPr="002C5745" w:rsidRDefault="006B0FD0" w:rsidP="006B0FD0">
      <w:pPr>
        <w:pStyle w:val="Heading2"/>
        <w:jc w:val="center"/>
        <w:rPr>
          <w:rFonts w:ascii="Times New Roman" w:hAnsi="Times New Roman" w:cs="Times New Roman"/>
          <w:b/>
          <w:color w:val="auto"/>
          <w:lang w:val="lv-LV"/>
        </w:rPr>
      </w:pPr>
      <w:r w:rsidRPr="002C5745">
        <w:rPr>
          <w:rFonts w:ascii="Times New Roman" w:hAnsi="Times New Roman" w:cs="Times New Roman"/>
          <w:b/>
          <w:color w:val="auto"/>
          <w:lang w:val="lv-LV"/>
        </w:rPr>
        <w:t>2.5.  </w:t>
      </w:r>
      <w:r w:rsidR="004438FD" w:rsidRPr="002C5745">
        <w:rPr>
          <w:rFonts w:ascii="Times New Roman" w:hAnsi="Times New Roman" w:cs="Times New Roman"/>
          <w:b/>
          <w:color w:val="auto"/>
          <w:lang w:val="lv-LV"/>
        </w:rPr>
        <w:t>Vai nokavējuma nauda ir tranzīta kravu pārvadājumu traucējošs faktors?</w:t>
      </w:r>
    </w:p>
    <w:p w14:paraId="6930BFF8" w14:textId="670597C8" w:rsidR="00DB25CE" w:rsidRPr="002C5745" w:rsidRDefault="00DB25CE" w:rsidP="00DB25CE">
      <w:pPr>
        <w:ind w:firstLine="720"/>
        <w:jc w:val="both"/>
        <w:rPr>
          <w:rFonts w:ascii="Times New Roman" w:hAnsi="Times New Roman" w:cs="Times New Roman"/>
          <w:sz w:val="26"/>
          <w:szCs w:val="26"/>
          <w:lang w:val="lv-LV"/>
        </w:rPr>
      </w:pPr>
      <w:r w:rsidRPr="002C5745">
        <w:rPr>
          <w:rFonts w:ascii="Times New Roman" w:eastAsia="Times New Roman" w:hAnsi="Times New Roman" w:cs="Times New Roman"/>
          <w:sz w:val="26"/>
          <w:szCs w:val="26"/>
          <w:lang w:val="lv-LV" w:eastAsia="lv-LV"/>
        </w:rPr>
        <w:t>Saskaņā ar Muitas likuma 4.</w:t>
      </w:r>
      <w:r w:rsidR="00EC689C">
        <w:rPr>
          <w:rFonts w:ascii="Times New Roman" w:eastAsia="Times New Roman" w:hAnsi="Times New Roman" w:cs="Times New Roman"/>
          <w:sz w:val="26"/>
          <w:szCs w:val="26"/>
          <w:lang w:val="lv-LV" w:eastAsia="lv-LV"/>
        </w:rPr>
        <w:t> </w:t>
      </w:r>
      <w:r w:rsidRPr="002C5745">
        <w:rPr>
          <w:rFonts w:ascii="Times New Roman" w:eastAsia="Times New Roman" w:hAnsi="Times New Roman" w:cs="Times New Roman"/>
          <w:sz w:val="26"/>
          <w:szCs w:val="26"/>
          <w:lang w:val="lv-LV" w:eastAsia="lv-LV"/>
        </w:rPr>
        <w:t>panta 4.</w:t>
      </w:r>
      <w:r w:rsidR="00EC689C">
        <w:rPr>
          <w:rFonts w:ascii="Times New Roman" w:eastAsia="Times New Roman" w:hAnsi="Times New Roman" w:cs="Times New Roman"/>
          <w:sz w:val="26"/>
          <w:szCs w:val="26"/>
          <w:lang w:val="lv-LV" w:eastAsia="lv-LV"/>
        </w:rPr>
        <w:t> </w:t>
      </w:r>
      <w:r w:rsidRPr="002C5745">
        <w:rPr>
          <w:rFonts w:ascii="Times New Roman" w:eastAsia="Times New Roman" w:hAnsi="Times New Roman" w:cs="Times New Roman"/>
          <w:sz w:val="26"/>
          <w:szCs w:val="26"/>
          <w:lang w:val="lv-LV" w:eastAsia="lv-LV"/>
        </w:rPr>
        <w:t xml:space="preserve">punktu </w:t>
      </w:r>
      <w:r w:rsidRPr="002C5745">
        <w:rPr>
          <w:rFonts w:ascii="Times New Roman" w:hAnsi="Times New Roman" w:cs="Times New Roman"/>
          <w:bCs/>
          <w:sz w:val="26"/>
          <w:szCs w:val="26"/>
          <w:lang w:val="lv-LV"/>
        </w:rPr>
        <w:t>muitas maksājumi</w:t>
      </w:r>
      <w:r w:rsidRPr="002C5745">
        <w:rPr>
          <w:rFonts w:ascii="Times New Roman" w:hAnsi="Times New Roman" w:cs="Times New Roman"/>
          <w:sz w:val="26"/>
          <w:szCs w:val="26"/>
          <w:lang w:val="lv-LV"/>
        </w:rPr>
        <w:t xml:space="preserve"> ir Eiropas Parlamenta un Padomes 2013.</w:t>
      </w:r>
      <w:r w:rsidR="00EC689C">
        <w:rPr>
          <w:rFonts w:ascii="Times New Roman" w:hAnsi="Times New Roman" w:cs="Times New Roman"/>
          <w:sz w:val="26"/>
          <w:szCs w:val="26"/>
          <w:lang w:val="lv-LV"/>
        </w:rPr>
        <w:t> </w:t>
      </w:r>
      <w:r w:rsidRPr="002C5745">
        <w:rPr>
          <w:rFonts w:ascii="Times New Roman" w:hAnsi="Times New Roman" w:cs="Times New Roman"/>
          <w:sz w:val="26"/>
          <w:szCs w:val="26"/>
          <w:lang w:val="lv-LV"/>
        </w:rPr>
        <w:t>gada 9.</w:t>
      </w:r>
      <w:r w:rsidR="00EC689C">
        <w:rPr>
          <w:rFonts w:ascii="Times New Roman" w:hAnsi="Times New Roman" w:cs="Times New Roman"/>
          <w:sz w:val="26"/>
          <w:szCs w:val="26"/>
          <w:lang w:val="lv-LV"/>
        </w:rPr>
        <w:t> </w:t>
      </w:r>
      <w:r w:rsidRPr="002C5745">
        <w:rPr>
          <w:rFonts w:ascii="Times New Roman" w:hAnsi="Times New Roman" w:cs="Times New Roman"/>
          <w:sz w:val="26"/>
          <w:szCs w:val="26"/>
          <w:lang w:val="lv-LV"/>
        </w:rPr>
        <w:t>oktobra regulas (ES) Nr.</w:t>
      </w:r>
      <w:r w:rsidR="00463C7B">
        <w:rPr>
          <w:rFonts w:ascii="Times New Roman" w:hAnsi="Times New Roman" w:cs="Times New Roman"/>
          <w:sz w:val="26"/>
          <w:szCs w:val="26"/>
          <w:lang w:val="lv-LV"/>
        </w:rPr>
        <w:t> </w:t>
      </w:r>
      <w:r w:rsidRPr="002C5745">
        <w:rPr>
          <w:rFonts w:ascii="Times New Roman" w:hAnsi="Times New Roman" w:cs="Times New Roman"/>
          <w:sz w:val="26"/>
          <w:szCs w:val="26"/>
          <w:lang w:val="lv-LV"/>
        </w:rPr>
        <w:t>952/2013</w:t>
      </w:r>
      <w:r w:rsidR="00ED5B54">
        <w:rPr>
          <w:rFonts w:ascii="Times New Roman" w:hAnsi="Times New Roman" w:cs="Times New Roman"/>
          <w:sz w:val="26"/>
          <w:szCs w:val="26"/>
          <w:lang w:val="lv-LV"/>
        </w:rPr>
        <w:t>, ar ko izveido Savienības Muitas kodeksu</w:t>
      </w:r>
      <w:r w:rsidRPr="002C5745">
        <w:rPr>
          <w:rFonts w:ascii="Times New Roman" w:hAnsi="Times New Roman" w:cs="Times New Roman"/>
          <w:sz w:val="26"/>
          <w:szCs w:val="26"/>
          <w:lang w:val="lv-LV"/>
        </w:rPr>
        <w:t xml:space="preserve"> (turpmāk – regula Nr.</w:t>
      </w:r>
      <w:r w:rsidR="00EC689C">
        <w:rPr>
          <w:rFonts w:ascii="Times New Roman" w:hAnsi="Times New Roman" w:cs="Times New Roman"/>
          <w:sz w:val="26"/>
          <w:szCs w:val="26"/>
          <w:lang w:val="lv-LV"/>
        </w:rPr>
        <w:t> </w:t>
      </w:r>
      <w:r w:rsidRPr="002C5745">
        <w:rPr>
          <w:rFonts w:ascii="Times New Roman" w:hAnsi="Times New Roman" w:cs="Times New Roman"/>
          <w:sz w:val="26"/>
          <w:szCs w:val="26"/>
          <w:lang w:val="lv-LV"/>
        </w:rPr>
        <w:t>952/2013)</w:t>
      </w:r>
      <w:r w:rsidR="00ED5B54">
        <w:rPr>
          <w:rFonts w:ascii="Times New Roman" w:hAnsi="Times New Roman" w:cs="Times New Roman"/>
          <w:sz w:val="26"/>
          <w:szCs w:val="26"/>
          <w:lang w:val="lv-LV"/>
        </w:rPr>
        <w:t>,</w:t>
      </w:r>
      <w:r w:rsidRPr="002C5745">
        <w:rPr>
          <w:rFonts w:ascii="Times New Roman" w:hAnsi="Times New Roman" w:cs="Times New Roman"/>
          <w:sz w:val="26"/>
          <w:szCs w:val="26"/>
          <w:lang w:val="lv-LV"/>
        </w:rPr>
        <w:t xml:space="preserve"> 5.</w:t>
      </w:r>
      <w:r w:rsidR="00EC689C">
        <w:rPr>
          <w:rFonts w:ascii="Times New Roman" w:hAnsi="Times New Roman" w:cs="Times New Roman"/>
          <w:sz w:val="26"/>
          <w:szCs w:val="26"/>
          <w:lang w:val="lv-LV"/>
        </w:rPr>
        <w:t> </w:t>
      </w:r>
      <w:r w:rsidRPr="002C5745">
        <w:rPr>
          <w:rFonts w:ascii="Times New Roman" w:hAnsi="Times New Roman" w:cs="Times New Roman"/>
          <w:sz w:val="26"/>
          <w:szCs w:val="26"/>
          <w:lang w:val="lv-LV"/>
        </w:rPr>
        <w:t>panta 20.</w:t>
      </w:r>
      <w:r w:rsidR="00EC689C">
        <w:rPr>
          <w:rFonts w:ascii="Times New Roman" w:hAnsi="Times New Roman" w:cs="Times New Roman"/>
          <w:sz w:val="26"/>
          <w:szCs w:val="26"/>
          <w:lang w:val="lv-LV"/>
        </w:rPr>
        <w:t> </w:t>
      </w:r>
      <w:r w:rsidRPr="002C5745">
        <w:rPr>
          <w:rFonts w:ascii="Times New Roman" w:hAnsi="Times New Roman" w:cs="Times New Roman"/>
          <w:sz w:val="26"/>
          <w:szCs w:val="26"/>
          <w:lang w:val="lv-LV"/>
        </w:rPr>
        <w:t>punktā noteiktais ievedmuitas nodoklis un 21.</w:t>
      </w:r>
      <w:r w:rsidR="00EC689C">
        <w:rPr>
          <w:rFonts w:ascii="Times New Roman" w:hAnsi="Times New Roman" w:cs="Times New Roman"/>
          <w:sz w:val="26"/>
          <w:szCs w:val="26"/>
          <w:lang w:val="lv-LV"/>
        </w:rPr>
        <w:t> </w:t>
      </w:r>
      <w:r w:rsidRPr="002C5745">
        <w:rPr>
          <w:rFonts w:ascii="Times New Roman" w:hAnsi="Times New Roman" w:cs="Times New Roman"/>
          <w:sz w:val="26"/>
          <w:szCs w:val="26"/>
          <w:lang w:val="lv-LV"/>
        </w:rPr>
        <w:t>punktā noteiktais izvedmuitas</w:t>
      </w:r>
      <w:r w:rsidR="00ED5B54">
        <w:rPr>
          <w:rFonts w:ascii="Times New Roman" w:hAnsi="Times New Roman" w:cs="Times New Roman"/>
          <w:sz w:val="26"/>
          <w:szCs w:val="26"/>
          <w:lang w:val="lv-LV"/>
        </w:rPr>
        <w:t xml:space="preserve"> nodoklis</w:t>
      </w:r>
      <w:r w:rsidRPr="002C5745">
        <w:rPr>
          <w:rFonts w:ascii="Times New Roman" w:hAnsi="Times New Roman" w:cs="Times New Roman"/>
          <w:sz w:val="26"/>
          <w:szCs w:val="26"/>
          <w:lang w:val="lv-LV"/>
        </w:rPr>
        <w:t xml:space="preserve"> un ar tiem saistītie maksājumi, kā arī pievienotās vērtības nodoklis un akcīzes nodoklis, kurus piemēro, preces importējot Latvijas Republikas muitas teritorijā</w:t>
      </w:r>
      <w:r w:rsidR="001D1FD7">
        <w:rPr>
          <w:rFonts w:ascii="Times New Roman" w:hAnsi="Times New Roman" w:cs="Times New Roman"/>
          <w:sz w:val="26"/>
          <w:szCs w:val="26"/>
          <w:lang w:val="lv-LV"/>
        </w:rPr>
        <w:t>.</w:t>
      </w:r>
    </w:p>
    <w:p w14:paraId="0E41837C" w14:textId="7D50667C" w:rsidR="001D2C7C" w:rsidRPr="002C5745" w:rsidRDefault="001D2C7C" w:rsidP="00DB25CE">
      <w:pPr>
        <w:ind w:firstLine="720"/>
        <w:jc w:val="both"/>
        <w:rPr>
          <w:rFonts w:ascii="Times New Roman" w:hAnsi="Times New Roman" w:cs="Times New Roman"/>
          <w:sz w:val="26"/>
          <w:szCs w:val="26"/>
          <w:lang w:val="lv-LV"/>
        </w:rPr>
      </w:pPr>
      <w:r w:rsidRPr="002C5745">
        <w:rPr>
          <w:rFonts w:ascii="Times New Roman" w:eastAsia="Times New Roman" w:hAnsi="Times New Roman" w:cs="Times New Roman"/>
          <w:sz w:val="26"/>
          <w:szCs w:val="26"/>
          <w:lang w:val="lv-LV" w:eastAsia="lv-LV"/>
        </w:rPr>
        <w:t xml:space="preserve">Ievedmuitas un izvedmuitas nodokļa aprēķināšanas un samaksas kārtība, kā arī nosacījumi samaksas termiņa atlikšanai ir noteikti </w:t>
      </w:r>
      <w:r w:rsidRPr="002C5745">
        <w:rPr>
          <w:rFonts w:ascii="Times New Roman" w:hAnsi="Times New Roman" w:cs="Times New Roman"/>
          <w:sz w:val="26"/>
          <w:szCs w:val="26"/>
          <w:lang w:val="lv-LV"/>
        </w:rPr>
        <w:t>regulā Nr.</w:t>
      </w:r>
      <w:r w:rsidR="00EC689C">
        <w:rPr>
          <w:rFonts w:ascii="Times New Roman" w:hAnsi="Times New Roman" w:cs="Times New Roman"/>
          <w:sz w:val="26"/>
          <w:szCs w:val="26"/>
          <w:lang w:val="lv-LV"/>
        </w:rPr>
        <w:t> </w:t>
      </w:r>
      <w:r w:rsidRPr="002C5745">
        <w:rPr>
          <w:rFonts w:ascii="Times New Roman" w:hAnsi="Times New Roman" w:cs="Times New Roman"/>
          <w:sz w:val="26"/>
          <w:szCs w:val="26"/>
          <w:lang w:val="lv-LV"/>
        </w:rPr>
        <w:t xml:space="preserve">952/2013. </w:t>
      </w:r>
    </w:p>
    <w:p w14:paraId="025DDF3A" w14:textId="57F6DC18" w:rsidR="001D2C7C" w:rsidRPr="002C5745" w:rsidRDefault="001D2C7C" w:rsidP="001D2C7C">
      <w:pPr>
        <w:ind w:firstLine="720"/>
        <w:jc w:val="both"/>
        <w:rPr>
          <w:rFonts w:ascii="Times New Roman" w:hAnsi="Times New Roman" w:cs="Times New Roman"/>
          <w:color w:val="000000"/>
          <w:sz w:val="26"/>
          <w:szCs w:val="26"/>
          <w:lang w:val="lv-LV"/>
        </w:rPr>
      </w:pPr>
      <w:r w:rsidRPr="002C5745">
        <w:rPr>
          <w:rFonts w:ascii="Times New Roman" w:hAnsi="Times New Roman" w:cs="Times New Roman"/>
          <w:color w:val="000000"/>
          <w:sz w:val="26"/>
          <w:szCs w:val="26"/>
          <w:lang w:val="lv-LV"/>
        </w:rPr>
        <w:lastRenderedPageBreak/>
        <w:t xml:space="preserve">Saskaņā ar </w:t>
      </w:r>
      <w:r w:rsidR="002437E6">
        <w:rPr>
          <w:rFonts w:ascii="Times New Roman" w:hAnsi="Times New Roman" w:cs="Times New Roman"/>
          <w:color w:val="000000"/>
          <w:sz w:val="26"/>
          <w:szCs w:val="26"/>
          <w:lang w:val="lv-LV"/>
        </w:rPr>
        <w:t>VID</w:t>
      </w:r>
      <w:r w:rsidRPr="002C5745">
        <w:rPr>
          <w:rFonts w:ascii="Times New Roman" w:hAnsi="Times New Roman" w:cs="Times New Roman"/>
          <w:color w:val="000000"/>
          <w:sz w:val="26"/>
          <w:szCs w:val="26"/>
          <w:lang w:val="lv-LV"/>
        </w:rPr>
        <w:t xml:space="preserve"> sniegto informāciju 2016. un 2017.</w:t>
      </w:r>
      <w:r w:rsidR="00EC689C">
        <w:rPr>
          <w:rFonts w:ascii="Times New Roman" w:hAnsi="Times New Roman" w:cs="Times New Roman"/>
          <w:color w:val="000000"/>
          <w:sz w:val="26"/>
          <w:szCs w:val="26"/>
          <w:lang w:val="lv-LV"/>
        </w:rPr>
        <w:t> </w:t>
      </w:r>
      <w:r w:rsidRPr="002C5745">
        <w:rPr>
          <w:rFonts w:ascii="Times New Roman" w:hAnsi="Times New Roman" w:cs="Times New Roman"/>
          <w:color w:val="000000"/>
          <w:sz w:val="26"/>
          <w:szCs w:val="26"/>
          <w:lang w:val="lv-LV"/>
        </w:rPr>
        <w:t xml:space="preserve">gadā nav piešķirts neviens samaksas termiņa pagarinājums muitas nodokļa samaksai. </w:t>
      </w:r>
    </w:p>
    <w:p w14:paraId="664969DE" w14:textId="46C9B21F" w:rsidR="008A3CDD" w:rsidRPr="002C5745" w:rsidRDefault="001D2C7C" w:rsidP="00DB25CE">
      <w:pPr>
        <w:ind w:firstLine="720"/>
        <w:jc w:val="both"/>
        <w:rPr>
          <w:rFonts w:ascii="Times New Roman" w:hAnsi="Times New Roman" w:cs="Times New Roman"/>
          <w:sz w:val="26"/>
          <w:szCs w:val="26"/>
          <w:lang w:val="lv-LV"/>
        </w:rPr>
      </w:pPr>
      <w:r w:rsidRPr="002C5745">
        <w:rPr>
          <w:rFonts w:ascii="Times New Roman" w:hAnsi="Times New Roman" w:cs="Times New Roman"/>
          <w:sz w:val="26"/>
          <w:szCs w:val="26"/>
          <w:lang w:val="lv-LV"/>
        </w:rPr>
        <w:t xml:space="preserve">Savukārt </w:t>
      </w:r>
      <w:r w:rsidR="006D4BE4" w:rsidRPr="002C5745">
        <w:rPr>
          <w:rFonts w:ascii="Times New Roman" w:hAnsi="Times New Roman" w:cs="Times New Roman"/>
          <w:sz w:val="26"/>
          <w:szCs w:val="26"/>
          <w:lang w:val="lv-LV"/>
        </w:rPr>
        <w:t>ar ievedmuitas un izvedmuitas nodokli saistītie maksājum</w:t>
      </w:r>
      <w:r w:rsidR="009F59F3">
        <w:rPr>
          <w:rFonts w:ascii="Times New Roman" w:hAnsi="Times New Roman" w:cs="Times New Roman"/>
          <w:sz w:val="26"/>
          <w:szCs w:val="26"/>
          <w:lang w:val="lv-LV"/>
        </w:rPr>
        <w:t>i</w:t>
      </w:r>
      <w:r w:rsidR="006D4BE4" w:rsidRPr="002C5745">
        <w:rPr>
          <w:rFonts w:ascii="Times New Roman" w:hAnsi="Times New Roman" w:cs="Times New Roman"/>
          <w:sz w:val="26"/>
          <w:szCs w:val="26"/>
          <w:lang w:val="lv-LV"/>
        </w:rPr>
        <w:t xml:space="preserve">, kā arī </w:t>
      </w:r>
      <w:r w:rsidRPr="002C5745">
        <w:rPr>
          <w:rFonts w:ascii="Times New Roman" w:hAnsi="Times New Roman" w:cs="Times New Roman"/>
          <w:sz w:val="26"/>
          <w:szCs w:val="26"/>
          <w:lang w:val="lv-LV"/>
        </w:rPr>
        <w:t>pievienotās vērtības nodokļa un akcīzes nodokļa</w:t>
      </w:r>
      <w:r w:rsidR="009F59F3">
        <w:rPr>
          <w:rFonts w:ascii="Times New Roman" w:hAnsi="Times New Roman" w:cs="Times New Roman"/>
          <w:sz w:val="26"/>
          <w:szCs w:val="26"/>
          <w:lang w:val="lv-LV"/>
        </w:rPr>
        <w:t xml:space="preserve"> maksājumi</w:t>
      </w:r>
      <w:r w:rsidRPr="002C5745">
        <w:rPr>
          <w:rFonts w:ascii="Times New Roman" w:hAnsi="Times New Roman" w:cs="Times New Roman"/>
          <w:sz w:val="26"/>
          <w:szCs w:val="26"/>
          <w:lang w:val="lv-LV"/>
        </w:rPr>
        <w:t>, kurus piemēro, preces importējot Latvijas Republikas muitas teritorijā</w:t>
      </w:r>
      <w:r w:rsidR="006D4BE4" w:rsidRPr="002C5745">
        <w:rPr>
          <w:rFonts w:ascii="Times New Roman" w:hAnsi="Times New Roman" w:cs="Times New Roman"/>
          <w:sz w:val="26"/>
          <w:szCs w:val="26"/>
          <w:lang w:val="lv-LV"/>
        </w:rPr>
        <w:t xml:space="preserve"> (turpmāk – muitas maksājumi)</w:t>
      </w:r>
      <w:r w:rsidRPr="002C5745">
        <w:rPr>
          <w:rFonts w:ascii="Times New Roman" w:hAnsi="Times New Roman" w:cs="Times New Roman"/>
          <w:sz w:val="26"/>
          <w:szCs w:val="26"/>
          <w:lang w:val="lv-LV"/>
        </w:rPr>
        <w:t xml:space="preserve">, </w:t>
      </w:r>
      <w:r w:rsidR="008A3CDD" w:rsidRPr="002C5745">
        <w:rPr>
          <w:rFonts w:ascii="Times New Roman" w:hAnsi="Times New Roman" w:cs="Times New Roman"/>
          <w:sz w:val="26"/>
          <w:szCs w:val="26"/>
          <w:lang w:val="lv-LV"/>
        </w:rPr>
        <w:t>samaksas termiņa atlikšanas kārtība ir noteikta likumā “Par nodokļiem un nodevām”.</w:t>
      </w:r>
    </w:p>
    <w:p w14:paraId="296F5387" w14:textId="25A81BF1" w:rsidR="001D2C7C" w:rsidRDefault="008A3CDD" w:rsidP="00DB25CE">
      <w:pPr>
        <w:ind w:firstLine="720"/>
        <w:jc w:val="both"/>
        <w:rPr>
          <w:rFonts w:ascii="Times New Roman" w:hAnsi="Times New Roman" w:cs="Times New Roman"/>
          <w:sz w:val="26"/>
          <w:szCs w:val="26"/>
          <w:lang w:val="lv-LV"/>
        </w:rPr>
      </w:pPr>
      <w:r w:rsidRPr="002C5745">
        <w:rPr>
          <w:rFonts w:ascii="Times New Roman" w:hAnsi="Times New Roman" w:cs="Times New Roman"/>
          <w:sz w:val="26"/>
          <w:szCs w:val="26"/>
          <w:lang w:val="lv-LV"/>
        </w:rPr>
        <w:t xml:space="preserve">Saskaņā ar </w:t>
      </w:r>
      <w:r w:rsidR="002437E6">
        <w:rPr>
          <w:rFonts w:ascii="Times New Roman" w:hAnsi="Times New Roman" w:cs="Times New Roman"/>
          <w:sz w:val="26"/>
          <w:szCs w:val="26"/>
          <w:lang w:val="lv-LV"/>
        </w:rPr>
        <w:t>VID</w:t>
      </w:r>
      <w:r w:rsidR="006D4BE4" w:rsidRPr="002C5745">
        <w:rPr>
          <w:rFonts w:ascii="Times New Roman" w:hAnsi="Times New Roman" w:cs="Times New Roman"/>
          <w:sz w:val="26"/>
          <w:szCs w:val="26"/>
          <w:lang w:val="lv-LV"/>
        </w:rPr>
        <w:t xml:space="preserve"> sniegto informāciju 2016.</w:t>
      </w:r>
      <w:r w:rsidR="00EC689C">
        <w:rPr>
          <w:rFonts w:ascii="Times New Roman" w:hAnsi="Times New Roman" w:cs="Times New Roman"/>
          <w:sz w:val="26"/>
          <w:szCs w:val="26"/>
          <w:lang w:val="lv-LV"/>
        </w:rPr>
        <w:t> </w:t>
      </w:r>
      <w:r w:rsidR="006D4BE4" w:rsidRPr="002C5745">
        <w:rPr>
          <w:rFonts w:ascii="Times New Roman" w:hAnsi="Times New Roman" w:cs="Times New Roman"/>
          <w:sz w:val="26"/>
          <w:szCs w:val="26"/>
          <w:lang w:val="lv-LV"/>
        </w:rPr>
        <w:t>gadā saņemti 39 nodokļu maksātāju iesniegumi muitas maksājumu samaksas termiņa pagarinājumam un attiecīgi piešķirti 31 samaksas termiņa pagarinājums, savukārt 2017.</w:t>
      </w:r>
      <w:r w:rsidR="00EC689C">
        <w:rPr>
          <w:rFonts w:ascii="Times New Roman" w:hAnsi="Times New Roman" w:cs="Times New Roman"/>
          <w:sz w:val="26"/>
          <w:szCs w:val="26"/>
          <w:lang w:val="lv-LV"/>
        </w:rPr>
        <w:t> </w:t>
      </w:r>
      <w:r w:rsidR="006D4BE4" w:rsidRPr="002C5745">
        <w:rPr>
          <w:rFonts w:ascii="Times New Roman" w:hAnsi="Times New Roman" w:cs="Times New Roman"/>
          <w:sz w:val="26"/>
          <w:szCs w:val="26"/>
          <w:lang w:val="lv-LV"/>
        </w:rPr>
        <w:t>gadā saņemts 31 nodokļu maksātāju iesniegums un attiecīgi piešķirti 17 samaksas termiņa pagarinājumi.</w:t>
      </w:r>
    </w:p>
    <w:p w14:paraId="38CE568D" w14:textId="77777777" w:rsidR="00880EC7" w:rsidRPr="0002708D" w:rsidRDefault="00880EC7" w:rsidP="00DB25CE">
      <w:pPr>
        <w:ind w:firstLine="720"/>
        <w:jc w:val="both"/>
        <w:rPr>
          <w:rFonts w:ascii="Times New Roman" w:hAnsi="Times New Roman" w:cs="Times New Roman"/>
          <w:sz w:val="12"/>
          <w:szCs w:val="1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62"/>
        <w:gridCol w:w="1704"/>
        <w:gridCol w:w="1985"/>
      </w:tblGrid>
      <w:tr w:rsidR="006D4BE4" w:rsidRPr="00880EC7" w14:paraId="1D69E9F7" w14:textId="77777777" w:rsidTr="00892259">
        <w:trPr>
          <w:trHeight w:val="261"/>
        </w:trPr>
        <w:tc>
          <w:tcPr>
            <w:tcW w:w="5662" w:type="dxa"/>
            <w:shd w:val="clear" w:color="auto" w:fill="auto"/>
            <w:tcMar>
              <w:top w:w="15" w:type="dxa"/>
              <w:left w:w="15" w:type="dxa"/>
              <w:bottom w:w="0" w:type="dxa"/>
              <w:right w:w="15" w:type="dxa"/>
            </w:tcMar>
            <w:vAlign w:val="bottom"/>
            <w:hideMark/>
          </w:tcPr>
          <w:p w14:paraId="2EE41F69" w14:textId="77777777" w:rsidR="006D4BE4" w:rsidRPr="00880EC7" w:rsidRDefault="006D4BE4" w:rsidP="00892259">
            <w:pPr>
              <w:spacing w:line="252" w:lineRule="auto"/>
              <w:ind w:right="126"/>
              <w:jc w:val="right"/>
              <w:rPr>
                <w:rFonts w:ascii="Times New Roman" w:hAnsi="Times New Roman"/>
                <w:lang w:val="lv-LV"/>
              </w:rPr>
            </w:pPr>
          </w:p>
        </w:tc>
        <w:tc>
          <w:tcPr>
            <w:tcW w:w="1704" w:type="dxa"/>
            <w:shd w:val="clear" w:color="auto" w:fill="auto"/>
            <w:tcMar>
              <w:top w:w="15" w:type="dxa"/>
              <w:left w:w="15" w:type="dxa"/>
              <w:bottom w:w="0" w:type="dxa"/>
              <w:right w:w="15" w:type="dxa"/>
            </w:tcMar>
            <w:vAlign w:val="center"/>
            <w:hideMark/>
          </w:tcPr>
          <w:p w14:paraId="0095CFEC" w14:textId="5869543D" w:rsidR="006D4BE4" w:rsidRPr="00880EC7" w:rsidRDefault="006D4BE4" w:rsidP="0002708D">
            <w:pPr>
              <w:spacing w:line="252" w:lineRule="auto"/>
              <w:ind w:right="129"/>
              <w:jc w:val="center"/>
              <w:rPr>
                <w:rFonts w:ascii="Times New Roman" w:hAnsi="Times New Roman"/>
                <w:lang w:val="lv-LV"/>
              </w:rPr>
            </w:pPr>
            <w:r w:rsidRPr="00880EC7">
              <w:rPr>
                <w:rFonts w:ascii="Times New Roman" w:hAnsi="Times New Roman"/>
                <w:lang w:val="lv-LV"/>
              </w:rPr>
              <w:t>2016.</w:t>
            </w:r>
            <w:r w:rsidR="00EC689C">
              <w:rPr>
                <w:rFonts w:ascii="Times New Roman" w:hAnsi="Times New Roman"/>
                <w:lang w:val="lv-LV"/>
              </w:rPr>
              <w:t> </w:t>
            </w:r>
            <w:r w:rsidRPr="00880EC7">
              <w:rPr>
                <w:rFonts w:ascii="Times New Roman" w:hAnsi="Times New Roman"/>
                <w:lang w:val="lv-LV"/>
              </w:rPr>
              <w:t>gads</w:t>
            </w:r>
          </w:p>
        </w:tc>
        <w:tc>
          <w:tcPr>
            <w:tcW w:w="1985" w:type="dxa"/>
            <w:shd w:val="clear" w:color="auto" w:fill="auto"/>
            <w:tcMar>
              <w:top w:w="15" w:type="dxa"/>
              <w:left w:w="15" w:type="dxa"/>
              <w:bottom w:w="0" w:type="dxa"/>
              <w:right w:w="15" w:type="dxa"/>
            </w:tcMar>
            <w:vAlign w:val="center"/>
            <w:hideMark/>
          </w:tcPr>
          <w:p w14:paraId="0E563CDF" w14:textId="2529262A" w:rsidR="006D4BE4" w:rsidRPr="00880EC7" w:rsidRDefault="006D4BE4" w:rsidP="0002708D">
            <w:pPr>
              <w:spacing w:line="252" w:lineRule="auto"/>
              <w:ind w:right="125"/>
              <w:jc w:val="center"/>
              <w:rPr>
                <w:rFonts w:ascii="Times New Roman" w:hAnsi="Times New Roman"/>
                <w:lang w:val="lv-LV"/>
              </w:rPr>
            </w:pPr>
            <w:r w:rsidRPr="00880EC7">
              <w:rPr>
                <w:rFonts w:ascii="Times New Roman" w:hAnsi="Times New Roman"/>
                <w:lang w:val="lv-LV"/>
              </w:rPr>
              <w:t>2017.</w:t>
            </w:r>
            <w:r w:rsidR="00EC689C">
              <w:rPr>
                <w:rFonts w:ascii="Times New Roman" w:hAnsi="Times New Roman"/>
                <w:lang w:val="lv-LV"/>
              </w:rPr>
              <w:t> </w:t>
            </w:r>
            <w:r w:rsidRPr="00880EC7">
              <w:rPr>
                <w:rFonts w:ascii="Times New Roman" w:hAnsi="Times New Roman"/>
                <w:lang w:val="lv-LV"/>
              </w:rPr>
              <w:t>gads</w:t>
            </w:r>
          </w:p>
        </w:tc>
      </w:tr>
      <w:tr w:rsidR="006D4BE4" w:rsidRPr="00880EC7" w14:paraId="1321544B" w14:textId="77777777" w:rsidTr="00892259">
        <w:trPr>
          <w:trHeight w:val="261"/>
        </w:trPr>
        <w:tc>
          <w:tcPr>
            <w:tcW w:w="5662" w:type="dxa"/>
            <w:shd w:val="clear" w:color="auto" w:fill="auto"/>
            <w:tcMar>
              <w:top w:w="15" w:type="dxa"/>
              <w:left w:w="15" w:type="dxa"/>
              <w:bottom w:w="0" w:type="dxa"/>
              <w:right w:w="15" w:type="dxa"/>
            </w:tcMar>
            <w:vAlign w:val="bottom"/>
            <w:hideMark/>
          </w:tcPr>
          <w:p w14:paraId="03417B7E" w14:textId="77777777" w:rsidR="006D4BE4" w:rsidRPr="00880EC7" w:rsidRDefault="006D4BE4" w:rsidP="00892259">
            <w:pPr>
              <w:spacing w:line="252" w:lineRule="auto"/>
              <w:ind w:right="126"/>
              <w:jc w:val="center"/>
              <w:rPr>
                <w:rFonts w:ascii="Times New Roman" w:hAnsi="Times New Roman"/>
                <w:lang w:val="lv-LV"/>
              </w:rPr>
            </w:pPr>
            <w:r w:rsidRPr="00880EC7">
              <w:rPr>
                <w:rFonts w:ascii="Times New Roman" w:hAnsi="Times New Roman"/>
                <w:lang w:val="lv-LV"/>
              </w:rPr>
              <w:t>Saņemti nodokļu maksātāju iesniegumi</w:t>
            </w:r>
          </w:p>
        </w:tc>
        <w:tc>
          <w:tcPr>
            <w:tcW w:w="1704" w:type="dxa"/>
            <w:shd w:val="clear" w:color="auto" w:fill="auto"/>
            <w:tcMar>
              <w:top w:w="15" w:type="dxa"/>
              <w:left w:w="15" w:type="dxa"/>
              <w:bottom w:w="0" w:type="dxa"/>
              <w:right w:w="15" w:type="dxa"/>
            </w:tcMar>
            <w:vAlign w:val="center"/>
            <w:hideMark/>
          </w:tcPr>
          <w:p w14:paraId="022B48F0" w14:textId="77777777" w:rsidR="006D4BE4" w:rsidRPr="00880EC7" w:rsidRDefault="006D4BE4" w:rsidP="00892259">
            <w:pPr>
              <w:spacing w:line="252" w:lineRule="auto"/>
              <w:ind w:right="129"/>
              <w:jc w:val="right"/>
              <w:rPr>
                <w:rFonts w:ascii="Times New Roman" w:hAnsi="Times New Roman"/>
                <w:lang w:val="lv-LV"/>
              </w:rPr>
            </w:pPr>
            <w:r w:rsidRPr="00880EC7">
              <w:rPr>
                <w:rFonts w:ascii="Times New Roman" w:hAnsi="Times New Roman"/>
                <w:lang w:val="lv-LV"/>
              </w:rPr>
              <w:t>39</w:t>
            </w:r>
          </w:p>
        </w:tc>
        <w:tc>
          <w:tcPr>
            <w:tcW w:w="1985" w:type="dxa"/>
            <w:shd w:val="clear" w:color="auto" w:fill="auto"/>
            <w:tcMar>
              <w:top w:w="15" w:type="dxa"/>
              <w:left w:w="15" w:type="dxa"/>
              <w:bottom w:w="0" w:type="dxa"/>
              <w:right w:w="15" w:type="dxa"/>
            </w:tcMar>
            <w:vAlign w:val="center"/>
            <w:hideMark/>
          </w:tcPr>
          <w:p w14:paraId="5199C4D7" w14:textId="77777777" w:rsidR="006D4BE4" w:rsidRPr="00880EC7" w:rsidRDefault="006D4BE4" w:rsidP="00892259">
            <w:pPr>
              <w:spacing w:line="252" w:lineRule="auto"/>
              <w:ind w:right="125"/>
              <w:jc w:val="right"/>
              <w:rPr>
                <w:rFonts w:ascii="Times New Roman" w:hAnsi="Times New Roman"/>
                <w:lang w:val="lv-LV"/>
              </w:rPr>
            </w:pPr>
            <w:r w:rsidRPr="00880EC7">
              <w:rPr>
                <w:rFonts w:ascii="Times New Roman" w:hAnsi="Times New Roman"/>
                <w:lang w:val="lv-LV"/>
              </w:rPr>
              <w:t>31</w:t>
            </w:r>
          </w:p>
        </w:tc>
      </w:tr>
      <w:tr w:rsidR="006D4BE4" w:rsidRPr="00880EC7" w14:paraId="56D1B97F" w14:textId="77777777" w:rsidTr="00892259">
        <w:trPr>
          <w:trHeight w:val="510"/>
        </w:trPr>
        <w:tc>
          <w:tcPr>
            <w:tcW w:w="5662" w:type="dxa"/>
            <w:shd w:val="clear" w:color="auto" w:fill="auto"/>
            <w:tcMar>
              <w:top w:w="15" w:type="dxa"/>
              <w:left w:w="15" w:type="dxa"/>
              <w:bottom w:w="0" w:type="dxa"/>
              <w:right w:w="15" w:type="dxa"/>
            </w:tcMar>
            <w:vAlign w:val="bottom"/>
            <w:hideMark/>
          </w:tcPr>
          <w:p w14:paraId="00AB6FDB" w14:textId="77777777" w:rsidR="006D4BE4" w:rsidRPr="00880EC7" w:rsidRDefault="006D4BE4" w:rsidP="00892259">
            <w:pPr>
              <w:spacing w:line="252" w:lineRule="auto"/>
              <w:ind w:right="126"/>
              <w:jc w:val="center"/>
              <w:rPr>
                <w:rFonts w:ascii="Times New Roman" w:hAnsi="Times New Roman"/>
                <w:lang w:val="lv-LV"/>
              </w:rPr>
            </w:pPr>
            <w:r w:rsidRPr="00880EC7">
              <w:rPr>
                <w:rFonts w:ascii="Times New Roman" w:hAnsi="Times New Roman"/>
                <w:lang w:val="lv-LV"/>
              </w:rPr>
              <w:t>Piešķirtie samaksas termiņa pagarinājumi</w:t>
            </w:r>
          </w:p>
        </w:tc>
        <w:tc>
          <w:tcPr>
            <w:tcW w:w="1704" w:type="dxa"/>
            <w:shd w:val="clear" w:color="auto" w:fill="auto"/>
            <w:tcMar>
              <w:top w:w="15" w:type="dxa"/>
              <w:left w:w="15" w:type="dxa"/>
              <w:bottom w:w="0" w:type="dxa"/>
              <w:right w:w="15" w:type="dxa"/>
            </w:tcMar>
            <w:vAlign w:val="center"/>
            <w:hideMark/>
          </w:tcPr>
          <w:p w14:paraId="4BEED749" w14:textId="77777777" w:rsidR="006D4BE4" w:rsidRPr="00880EC7" w:rsidRDefault="006D4BE4" w:rsidP="00892259">
            <w:pPr>
              <w:spacing w:line="252" w:lineRule="auto"/>
              <w:ind w:right="129"/>
              <w:jc w:val="right"/>
              <w:rPr>
                <w:rFonts w:ascii="Times New Roman" w:hAnsi="Times New Roman"/>
                <w:lang w:val="lv-LV"/>
              </w:rPr>
            </w:pPr>
            <w:r w:rsidRPr="00880EC7">
              <w:rPr>
                <w:rFonts w:ascii="Times New Roman" w:hAnsi="Times New Roman"/>
                <w:lang w:val="lv-LV"/>
              </w:rPr>
              <w:t>31</w:t>
            </w:r>
          </w:p>
        </w:tc>
        <w:tc>
          <w:tcPr>
            <w:tcW w:w="1985" w:type="dxa"/>
            <w:shd w:val="clear" w:color="auto" w:fill="auto"/>
            <w:tcMar>
              <w:top w:w="15" w:type="dxa"/>
              <w:left w:w="15" w:type="dxa"/>
              <w:bottom w:w="0" w:type="dxa"/>
              <w:right w:w="15" w:type="dxa"/>
            </w:tcMar>
            <w:vAlign w:val="center"/>
            <w:hideMark/>
          </w:tcPr>
          <w:p w14:paraId="24C5E43D" w14:textId="77777777" w:rsidR="006D4BE4" w:rsidRPr="00880EC7" w:rsidRDefault="006D4BE4" w:rsidP="00892259">
            <w:pPr>
              <w:spacing w:line="252" w:lineRule="auto"/>
              <w:ind w:right="125"/>
              <w:jc w:val="right"/>
              <w:rPr>
                <w:rFonts w:ascii="Times New Roman" w:hAnsi="Times New Roman"/>
                <w:lang w:val="lv-LV"/>
              </w:rPr>
            </w:pPr>
            <w:r w:rsidRPr="00880EC7">
              <w:rPr>
                <w:rFonts w:ascii="Times New Roman" w:hAnsi="Times New Roman"/>
                <w:lang w:val="lv-LV"/>
              </w:rPr>
              <w:t>17</w:t>
            </w:r>
          </w:p>
        </w:tc>
      </w:tr>
      <w:tr w:rsidR="006D4BE4" w:rsidRPr="00880EC7" w14:paraId="35ABA70A" w14:textId="77777777" w:rsidTr="00892259">
        <w:trPr>
          <w:trHeight w:val="261"/>
        </w:trPr>
        <w:tc>
          <w:tcPr>
            <w:tcW w:w="5662" w:type="dxa"/>
            <w:shd w:val="clear" w:color="auto" w:fill="auto"/>
            <w:tcMar>
              <w:top w:w="15" w:type="dxa"/>
              <w:left w:w="15" w:type="dxa"/>
              <w:bottom w:w="0" w:type="dxa"/>
              <w:right w:w="15" w:type="dxa"/>
            </w:tcMar>
            <w:vAlign w:val="bottom"/>
            <w:hideMark/>
          </w:tcPr>
          <w:p w14:paraId="46C625F6" w14:textId="77777777" w:rsidR="006D4BE4" w:rsidRPr="00880EC7" w:rsidRDefault="008744B2" w:rsidP="008744B2">
            <w:pPr>
              <w:spacing w:line="252" w:lineRule="auto"/>
              <w:ind w:right="126"/>
              <w:jc w:val="center"/>
              <w:rPr>
                <w:rFonts w:ascii="Times New Roman" w:hAnsi="Times New Roman"/>
                <w:lang w:val="lv-LV"/>
              </w:rPr>
            </w:pPr>
            <w:r w:rsidRPr="00880EC7">
              <w:rPr>
                <w:rFonts w:ascii="Times New Roman" w:hAnsi="Times New Roman"/>
                <w:lang w:val="lv-LV"/>
              </w:rPr>
              <w:t>Kopējā summa, kurai piešķirts termiņa pagarinājums</w:t>
            </w:r>
            <w:r w:rsidR="006D4BE4" w:rsidRPr="00880EC7">
              <w:rPr>
                <w:rFonts w:ascii="Times New Roman" w:hAnsi="Times New Roman"/>
                <w:lang w:val="lv-LV"/>
              </w:rPr>
              <w:t xml:space="preserve">, </w:t>
            </w:r>
            <w:r w:rsidRPr="00880EC7">
              <w:rPr>
                <w:rFonts w:ascii="Times New Roman" w:hAnsi="Times New Roman"/>
                <w:i/>
                <w:lang w:val="lv-LV"/>
              </w:rPr>
              <w:t>euro</w:t>
            </w:r>
          </w:p>
        </w:tc>
        <w:tc>
          <w:tcPr>
            <w:tcW w:w="1704" w:type="dxa"/>
            <w:shd w:val="clear" w:color="auto" w:fill="auto"/>
            <w:tcMar>
              <w:top w:w="15" w:type="dxa"/>
              <w:left w:w="15" w:type="dxa"/>
              <w:bottom w:w="0" w:type="dxa"/>
              <w:right w:w="15" w:type="dxa"/>
            </w:tcMar>
            <w:vAlign w:val="center"/>
            <w:hideMark/>
          </w:tcPr>
          <w:p w14:paraId="3AAB2CA1" w14:textId="77777777" w:rsidR="006D4BE4" w:rsidRPr="00880EC7" w:rsidRDefault="006D4BE4" w:rsidP="00892259">
            <w:pPr>
              <w:spacing w:line="252" w:lineRule="auto"/>
              <w:ind w:right="129"/>
              <w:jc w:val="right"/>
              <w:rPr>
                <w:rFonts w:ascii="Times New Roman" w:hAnsi="Times New Roman"/>
                <w:lang w:val="lv-LV"/>
              </w:rPr>
            </w:pPr>
            <w:r w:rsidRPr="00880EC7">
              <w:rPr>
                <w:rFonts w:ascii="Times New Roman" w:hAnsi="Times New Roman"/>
                <w:lang w:val="lv-LV"/>
              </w:rPr>
              <w:t>365547,63</w:t>
            </w:r>
          </w:p>
        </w:tc>
        <w:tc>
          <w:tcPr>
            <w:tcW w:w="1985" w:type="dxa"/>
            <w:shd w:val="clear" w:color="auto" w:fill="auto"/>
            <w:tcMar>
              <w:top w:w="15" w:type="dxa"/>
              <w:left w:w="15" w:type="dxa"/>
              <w:bottom w:w="0" w:type="dxa"/>
              <w:right w:w="15" w:type="dxa"/>
            </w:tcMar>
            <w:vAlign w:val="center"/>
            <w:hideMark/>
          </w:tcPr>
          <w:p w14:paraId="53DBE34B" w14:textId="77777777" w:rsidR="006D4BE4" w:rsidRPr="00880EC7" w:rsidRDefault="006D4BE4" w:rsidP="00892259">
            <w:pPr>
              <w:spacing w:line="252" w:lineRule="auto"/>
              <w:ind w:right="125"/>
              <w:jc w:val="right"/>
              <w:rPr>
                <w:rFonts w:ascii="Times New Roman" w:hAnsi="Times New Roman"/>
                <w:lang w:val="lv-LV"/>
              </w:rPr>
            </w:pPr>
            <w:r w:rsidRPr="00880EC7">
              <w:rPr>
                <w:rFonts w:ascii="Times New Roman" w:hAnsi="Times New Roman"/>
                <w:lang w:val="lv-LV"/>
              </w:rPr>
              <w:t>133715,73</w:t>
            </w:r>
          </w:p>
        </w:tc>
      </w:tr>
      <w:tr w:rsidR="006D4BE4" w:rsidRPr="00880EC7" w14:paraId="74864E88" w14:textId="77777777" w:rsidTr="00892259">
        <w:trPr>
          <w:trHeight w:val="261"/>
        </w:trPr>
        <w:tc>
          <w:tcPr>
            <w:tcW w:w="5662" w:type="dxa"/>
            <w:shd w:val="clear" w:color="auto" w:fill="auto"/>
            <w:tcMar>
              <w:top w:w="15" w:type="dxa"/>
              <w:left w:w="15" w:type="dxa"/>
              <w:bottom w:w="0" w:type="dxa"/>
              <w:right w:w="15" w:type="dxa"/>
            </w:tcMar>
            <w:vAlign w:val="bottom"/>
            <w:hideMark/>
          </w:tcPr>
          <w:p w14:paraId="1533E89A" w14:textId="77777777" w:rsidR="006D4BE4" w:rsidRPr="00880EC7" w:rsidRDefault="006D4BE4" w:rsidP="00892259">
            <w:pPr>
              <w:spacing w:line="252" w:lineRule="auto"/>
              <w:ind w:right="126"/>
              <w:jc w:val="center"/>
              <w:rPr>
                <w:rFonts w:ascii="Times New Roman" w:hAnsi="Times New Roman"/>
                <w:lang w:val="lv-LV"/>
              </w:rPr>
            </w:pPr>
            <w:r w:rsidRPr="00880EC7">
              <w:rPr>
                <w:rFonts w:ascii="Times New Roman" w:hAnsi="Times New Roman"/>
                <w:lang w:val="lv-LV"/>
              </w:rPr>
              <w:t xml:space="preserve">Pamatparāda kopsumma, kurai piešķirts </w:t>
            </w:r>
            <w:r w:rsidR="008744B2" w:rsidRPr="00880EC7">
              <w:rPr>
                <w:rFonts w:ascii="Times New Roman" w:hAnsi="Times New Roman"/>
                <w:lang w:val="lv-LV"/>
              </w:rPr>
              <w:t xml:space="preserve">termiņa pagarinājums, </w:t>
            </w:r>
            <w:r w:rsidR="008744B2" w:rsidRPr="00880EC7">
              <w:rPr>
                <w:rFonts w:ascii="Times New Roman" w:hAnsi="Times New Roman"/>
                <w:i/>
                <w:lang w:val="lv-LV"/>
              </w:rPr>
              <w:t>euro</w:t>
            </w:r>
          </w:p>
        </w:tc>
        <w:tc>
          <w:tcPr>
            <w:tcW w:w="1704" w:type="dxa"/>
            <w:shd w:val="clear" w:color="auto" w:fill="auto"/>
            <w:tcMar>
              <w:top w:w="15" w:type="dxa"/>
              <w:left w:w="15" w:type="dxa"/>
              <w:bottom w:w="0" w:type="dxa"/>
              <w:right w:w="15" w:type="dxa"/>
            </w:tcMar>
            <w:vAlign w:val="center"/>
            <w:hideMark/>
          </w:tcPr>
          <w:p w14:paraId="036F17BE" w14:textId="77777777" w:rsidR="006D4BE4" w:rsidRPr="00880EC7" w:rsidRDefault="006D4BE4" w:rsidP="00892259">
            <w:pPr>
              <w:spacing w:line="252" w:lineRule="auto"/>
              <w:ind w:right="129"/>
              <w:jc w:val="right"/>
              <w:rPr>
                <w:rFonts w:ascii="Times New Roman" w:hAnsi="Times New Roman"/>
                <w:lang w:val="lv-LV"/>
              </w:rPr>
            </w:pPr>
            <w:r w:rsidRPr="00880EC7">
              <w:rPr>
                <w:rFonts w:ascii="Times New Roman" w:hAnsi="Times New Roman"/>
                <w:lang w:val="lv-LV"/>
              </w:rPr>
              <w:t>325443,92</w:t>
            </w:r>
          </w:p>
        </w:tc>
        <w:tc>
          <w:tcPr>
            <w:tcW w:w="1985" w:type="dxa"/>
            <w:shd w:val="clear" w:color="auto" w:fill="auto"/>
            <w:tcMar>
              <w:top w:w="15" w:type="dxa"/>
              <w:left w:w="15" w:type="dxa"/>
              <w:bottom w:w="0" w:type="dxa"/>
              <w:right w:w="15" w:type="dxa"/>
            </w:tcMar>
            <w:vAlign w:val="center"/>
            <w:hideMark/>
          </w:tcPr>
          <w:p w14:paraId="57EE858D" w14:textId="77777777" w:rsidR="006D4BE4" w:rsidRPr="00880EC7" w:rsidRDefault="006D4BE4" w:rsidP="00892259">
            <w:pPr>
              <w:spacing w:line="252" w:lineRule="auto"/>
              <w:ind w:right="125"/>
              <w:jc w:val="right"/>
              <w:rPr>
                <w:rFonts w:ascii="Times New Roman" w:hAnsi="Times New Roman"/>
                <w:lang w:val="lv-LV"/>
              </w:rPr>
            </w:pPr>
            <w:r w:rsidRPr="00880EC7">
              <w:rPr>
                <w:rFonts w:ascii="Times New Roman" w:hAnsi="Times New Roman"/>
                <w:lang w:val="lv-LV"/>
              </w:rPr>
              <w:t>108931,76</w:t>
            </w:r>
          </w:p>
        </w:tc>
      </w:tr>
      <w:tr w:rsidR="006D4BE4" w:rsidRPr="00880EC7" w14:paraId="1D9504D5" w14:textId="77777777" w:rsidTr="00892259">
        <w:trPr>
          <w:trHeight w:val="261"/>
        </w:trPr>
        <w:tc>
          <w:tcPr>
            <w:tcW w:w="5662" w:type="dxa"/>
            <w:shd w:val="clear" w:color="auto" w:fill="auto"/>
            <w:tcMar>
              <w:top w:w="15" w:type="dxa"/>
              <w:left w:w="15" w:type="dxa"/>
              <w:bottom w:w="0" w:type="dxa"/>
              <w:right w:w="15" w:type="dxa"/>
            </w:tcMar>
            <w:vAlign w:val="bottom"/>
            <w:hideMark/>
          </w:tcPr>
          <w:p w14:paraId="5F7FAF37" w14:textId="77777777" w:rsidR="006D4BE4" w:rsidRPr="00880EC7" w:rsidRDefault="006D4BE4" w:rsidP="00892259">
            <w:pPr>
              <w:spacing w:line="252" w:lineRule="auto"/>
              <w:ind w:right="126"/>
              <w:jc w:val="center"/>
              <w:rPr>
                <w:rFonts w:ascii="Times New Roman" w:hAnsi="Times New Roman"/>
                <w:lang w:val="lv-LV"/>
              </w:rPr>
            </w:pPr>
            <w:r w:rsidRPr="00880EC7">
              <w:rPr>
                <w:rFonts w:ascii="Times New Roman" w:hAnsi="Times New Roman"/>
                <w:lang w:val="lv-LV"/>
              </w:rPr>
              <w:t xml:space="preserve">Nokavējuma naudas kopsumma, kurai piešķirts </w:t>
            </w:r>
            <w:r w:rsidR="008744B2" w:rsidRPr="00880EC7">
              <w:rPr>
                <w:rFonts w:ascii="Times New Roman" w:hAnsi="Times New Roman"/>
                <w:lang w:val="lv-LV"/>
              </w:rPr>
              <w:t xml:space="preserve">termiņa pagarinājums, </w:t>
            </w:r>
            <w:r w:rsidR="008744B2" w:rsidRPr="00880EC7">
              <w:rPr>
                <w:rFonts w:ascii="Times New Roman" w:hAnsi="Times New Roman"/>
                <w:i/>
                <w:lang w:val="lv-LV"/>
              </w:rPr>
              <w:t>euro</w:t>
            </w:r>
          </w:p>
        </w:tc>
        <w:tc>
          <w:tcPr>
            <w:tcW w:w="1704" w:type="dxa"/>
            <w:shd w:val="clear" w:color="auto" w:fill="auto"/>
            <w:tcMar>
              <w:top w:w="15" w:type="dxa"/>
              <w:left w:w="15" w:type="dxa"/>
              <w:bottom w:w="0" w:type="dxa"/>
              <w:right w:w="15" w:type="dxa"/>
            </w:tcMar>
            <w:vAlign w:val="center"/>
            <w:hideMark/>
          </w:tcPr>
          <w:p w14:paraId="4071BBE7" w14:textId="14AD3DBC" w:rsidR="006D4BE4" w:rsidRPr="00880EC7" w:rsidRDefault="00922132" w:rsidP="00892259">
            <w:pPr>
              <w:spacing w:line="252" w:lineRule="auto"/>
              <w:ind w:right="129"/>
              <w:jc w:val="right"/>
              <w:rPr>
                <w:rFonts w:ascii="Times New Roman" w:hAnsi="Times New Roman"/>
                <w:lang w:val="lv-LV"/>
              </w:rPr>
            </w:pPr>
            <w:r>
              <w:rPr>
                <w:rFonts w:ascii="Times New Roman" w:hAnsi="Times New Roman"/>
                <w:lang w:val="lv-LV"/>
              </w:rPr>
              <w:t>40103,71</w:t>
            </w:r>
          </w:p>
        </w:tc>
        <w:tc>
          <w:tcPr>
            <w:tcW w:w="1985" w:type="dxa"/>
            <w:shd w:val="clear" w:color="auto" w:fill="auto"/>
            <w:tcMar>
              <w:top w:w="15" w:type="dxa"/>
              <w:left w:w="15" w:type="dxa"/>
              <w:bottom w:w="0" w:type="dxa"/>
              <w:right w:w="15" w:type="dxa"/>
            </w:tcMar>
            <w:vAlign w:val="center"/>
            <w:hideMark/>
          </w:tcPr>
          <w:p w14:paraId="66426E79" w14:textId="77777777" w:rsidR="006D4BE4" w:rsidRPr="00880EC7" w:rsidRDefault="006D4BE4" w:rsidP="00892259">
            <w:pPr>
              <w:spacing w:line="252" w:lineRule="auto"/>
              <w:ind w:right="125"/>
              <w:jc w:val="right"/>
              <w:rPr>
                <w:rFonts w:ascii="Times New Roman" w:hAnsi="Times New Roman"/>
                <w:lang w:val="lv-LV"/>
              </w:rPr>
            </w:pPr>
            <w:r w:rsidRPr="00880EC7">
              <w:rPr>
                <w:rFonts w:ascii="Times New Roman" w:hAnsi="Times New Roman"/>
                <w:lang w:val="lv-LV"/>
              </w:rPr>
              <w:t>24783,97</w:t>
            </w:r>
          </w:p>
        </w:tc>
      </w:tr>
      <w:tr w:rsidR="006D4BE4" w:rsidRPr="00880EC7" w14:paraId="074F59D8" w14:textId="77777777" w:rsidTr="00892259">
        <w:trPr>
          <w:trHeight w:val="261"/>
        </w:trPr>
        <w:tc>
          <w:tcPr>
            <w:tcW w:w="5662" w:type="dxa"/>
            <w:shd w:val="clear" w:color="auto" w:fill="auto"/>
            <w:tcMar>
              <w:top w:w="15" w:type="dxa"/>
              <w:left w:w="15" w:type="dxa"/>
              <w:bottom w:w="0" w:type="dxa"/>
              <w:right w:w="15" w:type="dxa"/>
            </w:tcMar>
            <w:vAlign w:val="bottom"/>
          </w:tcPr>
          <w:p w14:paraId="78E70FEE" w14:textId="77777777" w:rsidR="006D4BE4" w:rsidRPr="00880EC7" w:rsidRDefault="008744B2" w:rsidP="008744B2">
            <w:pPr>
              <w:spacing w:line="252" w:lineRule="auto"/>
              <w:ind w:right="126"/>
              <w:jc w:val="center"/>
              <w:rPr>
                <w:rFonts w:ascii="Times New Roman" w:hAnsi="Times New Roman"/>
                <w:lang w:val="lv-LV"/>
              </w:rPr>
            </w:pPr>
            <w:r w:rsidRPr="00880EC7">
              <w:rPr>
                <w:rFonts w:ascii="Times New Roman" w:hAnsi="Times New Roman"/>
                <w:lang w:val="lv-LV"/>
              </w:rPr>
              <w:t>A</w:t>
            </w:r>
            <w:r w:rsidR="006D4BE4" w:rsidRPr="00880EC7">
              <w:rPr>
                <w:rFonts w:ascii="Times New Roman" w:hAnsi="Times New Roman"/>
                <w:lang w:val="lv-LV"/>
              </w:rPr>
              <w:t>tbilstoši</w:t>
            </w:r>
            <w:r w:rsidRPr="00880EC7">
              <w:rPr>
                <w:rFonts w:ascii="Times New Roman" w:hAnsi="Times New Roman"/>
                <w:lang w:val="lv-LV"/>
              </w:rPr>
              <w:t xml:space="preserve"> termiņa pagarinājuma</w:t>
            </w:r>
            <w:r w:rsidR="006D4BE4" w:rsidRPr="00880EC7">
              <w:rPr>
                <w:rFonts w:ascii="Times New Roman" w:hAnsi="Times New Roman"/>
                <w:lang w:val="lv-LV"/>
              </w:rPr>
              <w:t xml:space="preserve"> sākotnējam grafikam aprēķinātā nokavējuma nauda, </w:t>
            </w:r>
            <w:r w:rsidRPr="00880EC7">
              <w:rPr>
                <w:rFonts w:ascii="Times New Roman" w:hAnsi="Times New Roman"/>
                <w:i/>
                <w:lang w:val="lv-LV"/>
              </w:rPr>
              <w:t>euro</w:t>
            </w:r>
          </w:p>
        </w:tc>
        <w:tc>
          <w:tcPr>
            <w:tcW w:w="1704" w:type="dxa"/>
            <w:shd w:val="clear" w:color="auto" w:fill="auto"/>
            <w:tcMar>
              <w:top w:w="15" w:type="dxa"/>
              <w:left w:w="15" w:type="dxa"/>
              <w:bottom w:w="0" w:type="dxa"/>
              <w:right w:w="15" w:type="dxa"/>
            </w:tcMar>
            <w:vAlign w:val="center"/>
          </w:tcPr>
          <w:p w14:paraId="535B1246" w14:textId="77777777" w:rsidR="006D4BE4" w:rsidRPr="00880EC7" w:rsidRDefault="006D4BE4" w:rsidP="00892259">
            <w:pPr>
              <w:spacing w:line="252" w:lineRule="auto"/>
              <w:ind w:right="129"/>
              <w:jc w:val="right"/>
              <w:rPr>
                <w:rFonts w:ascii="Times New Roman" w:hAnsi="Times New Roman"/>
                <w:lang w:val="lv-LV"/>
              </w:rPr>
            </w:pPr>
            <w:r w:rsidRPr="00880EC7">
              <w:rPr>
                <w:rFonts w:ascii="Times New Roman" w:hAnsi="Times New Roman"/>
                <w:lang w:val="lv-LV"/>
              </w:rPr>
              <w:t>23176,35</w:t>
            </w:r>
          </w:p>
        </w:tc>
        <w:tc>
          <w:tcPr>
            <w:tcW w:w="1985" w:type="dxa"/>
            <w:shd w:val="clear" w:color="auto" w:fill="auto"/>
            <w:tcMar>
              <w:top w:w="15" w:type="dxa"/>
              <w:left w:w="15" w:type="dxa"/>
              <w:bottom w:w="0" w:type="dxa"/>
              <w:right w:w="15" w:type="dxa"/>
            </w:tcMar>
            <w:vAlign w:val="center"/>
          </w:tcPr>
          <w:p w14:paraId="67D8E829" w14:textId="77777777" w:rsidR="006D4BE4" w:rsidRPr="00880EC7" w:rsidRDefault="006D4BE4" w:rsidP="00892259">
            <w:pPr>
              <w:spacing w:line="252" w:lineRule="auto"/>
              <w:ind w:right="125"/>
              <w:jc w:val="right"/>
              <w:rPr>
                <w:rFonts w:ascii="Times New Roman" w:hAnsi="Times New Roman"/>
                <w:lang w:val="lv-LV"/>
              </w:rPr>
            </w:pPr>
            <w:r w:rsidRPr="00880EC7">
              <w:rPr>
                <w:rFonts w:ascii="Times New Roman" w:hAnsi="Times New Roman"/>
                <w:lang w:val="lv-LV"/>
              </w:rPr>
              <w:t>10486,69</w:t>
            </w:r>
          </w:p>
        </w:tc>
      </w:tr>
    </w:tbl>
    <w:p w14:paraId="0A366AFF" w14:textId="77777777" w:rsidR="008744B2" w:rsidRPr="0002708D" w:rsidRDefault="008744B2" w:rsidP="002A1450">
      <w:pPr>
        <w:ind w:firstLine="720"/>
        <w:jc w:val="both"/>
        <w:rPr>
          <w:rFonts w:ascii="Times New Roman" w:hAnsi="Times New Roman" w:cs="Times New Roman"/>
          <w:sz w:val="12"/>
          <w:szCs w:val="12"/>
          <w:lang w:val="lv-LV"/>
        </w:rPr>
      </w:pPr>
    </w:p>
    <w:p w14:paraId="64B35C9A" w14:textId="66C56717" w:rsidR="00B9144A" w:rsidRPr="00AE4079" w:rsidRDefault="00B9144A" w:rsidP="002A1450">
      <w:pPr>
        <w:ind w:firstLine="720"/>
        <w:jc w:val="both"/>
        <w:rPr>
          <w:rFonts w:ascii="Times New Roman" w:hAnsi="Times New Roman" w:cs="Times New Roman"/>
          <w:sz w:val="26"/>
          <w:szCs w:val="26"/>
          <w:lang w:val="lv-LV"/>
        </w:rPr>
      </w:pPr>
      <w:r w:rsidRPr="002C5745">
        <w:rPr>
          <w:rFonts w:ascii="Times New Roman" w:hAnsi="Times New Roman" w:cs="Times New Roman"/>
          <w:sz w:val="26"/>
          <w:szCs w:val="26"/>
          <w:lang w:val="lv-LV"/>
        </w:rPr>
        <w:t xml:space="preserve">Saskaņā ar </w:t>
      </w:r>
      <w:r w:rsidR="002437E6">
        <w:rPr>
          <w:rFonts w:ascii="Times New Roman" w:hAnsi="Times New Roman" w:cs="Times New Roman"/>
          <w:sz w:val="26"/>
          <w:szCs w:val="26"/>
          <w:lang w:val="lv-LV"/>
        </w:rPr>
        <w:t>VID</w:t>
      </w:r>
      <w:r w:rsidRPr="002C5745">
        <w:rPr>
          <w:rFonts w:ascii="Times New Roman" w:hAnsi="Times New Roman" w:cs="Times New Roman"/>
          <w:sz w:val="26"/>
          <w:szCs w:val="26"/>
          <w:lang w:val="lv-LV"/>
        </w:rPr>
        <w:t xml:space="preserve"> sniegto informāciju 2017.</w:t>
      </w:r>
      <w:r w:rsidR="00EC689C">
        <w:rPr>
          <w:rFonts w:ascii="Times New Roman" w:hAnsi="Times New Roman" w:cs="Times New Roman"/>
          <w:sz w:val="26"/>
          <w:szCs w:val="26"/>
          <w:lang w:val="lv-LV"/>
        </w:rPr>
        <w:t> </w:t>
      </w:r>
      <w:r w:rsidRPr="002C5745">
        <w:rPr>
          <w:rFonts w:ascii="Times New Roman" w:hAnsi="Times New Roman" w:cs="Times New Roman"/>
          <w:sz w:val="26"/>
          <w:szCs w:val="26"/>
          <w:lang w:val="lv-LV"/>
        </w:rPr>
        <w:t xml:space="preserve">gadā TIR karnetes </w:t>
      </w:r>
      <w:r w:rsidRPr="00AE4079">
        <w:rPr>
          <w:rFonts w:ascii="Times New Roman" w:hAnsi="Times New Roman" w:cs="Times New Roman"/>
          <w:sz w:val="26"/>
          <w:szCs w:val="26"/>
          <w:lang w:val="lv-LV"/>
        </w:rPr>
        <w:t>turētāji (pārvadātāji) ir 263, bet tranzīta deklarācijā (T1) Savienības tranzīta izmantotāji (principāli) ir 162.</w:t>
      </w:r>
    </w:p>
    <w:p w14:paraId="4FF460FA" w14:textId="3214CE9A" w:rsidR="00271B9B" w:rsidRPr="00AE4079" w:rsidRDefault="008744B2" w:rsidP="002A1450">
      <w:pPr>
        <w:ind w:firstLine="720"/>
        <w:jc w:val="both"/>
        <w:rPr>
          <w:rFonts w:ascii="Times New Roman" w:hAnsi="Times New Roman" w:cs="Times New Roman"/>
          <w:sz w:val="26"/>
          <w:szCs w:val="26"/>
          <w:lang w:val="lv-LV"/>
        </w:rPr>
      </w:pPr>
      <w:r w:rsidRPr="00AE4079">
        <w:rPr>
          <w:rFonts w:ascii="Times New Roman" w:hAnsi="Times New Roman" w:cs="Times New Roman"/>
          <w:sz w:val="26"/>
          <w:szCs w:val="26"/>
          <w:lang w:val="lv-LV"/>
        </w:rPr>
        <w:t>Izvērt</w:t>
      </w:r>
      <w:r w:rsidR="00271B9B" w:rsidRPr="00AE4079">
        <w:rPr>
          <w:rFonts w:ascii="Times New Roman" w:hAnsi="Times New Roman" w:cs="Times New Roman"/>
          <w:sz w:val="26"/>
          <w:szCs w:val="26"/>
          <w:lang w:val="lv-LV"/>
        </w:rPr>
        <w:t>ējot, kāda ir situācija ar Savienības tranzīta procedūras izmantotājiem (principāliem) nodokļu nomaksas jomā,</w:t>
      </w:r>
      <w:r w:rsidRPr="00AE4079">
        <w:rPr>
          <w:rFonts w:ascii="Times New Roman" w:hAnsi="Times New Roman" w:cs="Times New Roman"/>
          <w:sz w:val="26"/>
          <w:szCs w:val="26"/>
          <w:lang w:val="lv-LV"/>
        </w:rPr>
        <w:t xml:space="preserve"> secināms, ka uz 2018.</w:t>
      </w:r>
      <w:r w:rsidR="00EC689C">
        <w:rPr>
          <w:rFonts w:ascii="Times New Roman" w:hAnsi="Times New Roman" w:cs="Times New Roman"/>
          <w:sz w:val="26"/>
          <w:szCs w:val="26"/>
          <w:lang w:val="lv-LV"/>
        </w:rPr>
        <w:t> </w:t>
      </w:r>
      <w:r w:rsidRPr="00AE4079">
        <w:rPr>
          <w:rFonts w:ascii="Times New Roman" w:hAnsi="Times New Roman" w:cs="Times New Roman"/>
          <w:sz w:val="26"/>
          <w:szCs w:val="26"/>
          <w:lang w:val="lv-LV"/>
        </w:rPr>
        <w:t xml:space="preserve">gada </w:t>
      </w:r>
      <w:r w:rsidR="00FC2CD8" w:rsidRPr="00AE4079">
        <w:rPr>
          <w:rFonts w:ascii="Times New Roman" w:hAnsi="Times New Roman" w:cs="Times New Roman"/>
          <w:sz w:val="26"/>
          <w:szCs w:val="26"/>
          <w:lang w:val="lv-LV"/>
        </w:rPr>
        <w:t>26.</w:t>
      </w:r>
      <w:r w:rsidR="00EC689C">
        <w:rPr>
          <w:rFonts w:ascii="Times New Roman" w:hAnsi="Times New Roman" w:cs="Times New Roman"/>
          <w:sz w:val="26"/>
          <w:szCs w:val="26"/>
          <w:lang w:val="lv-LV"/>
        </w:rPr>
        <w:t> </w:t>
      </w:r>
      <w:r w:rsidR="00FC2CD8" w:rsidRPr="00AE4079">
        <w:rPr>
          <w:rFonts w:ascii="Times New Roman" w:hAnsi="Times New Roman" w:cs="Times New Roman"/>
          <w:sz w:val="26"/>
          <w:szCs w:val="26"/>
          <w:lang w:val="lv-LV"/>
        </w:rPr>
        <w:t xml:space="preserve">februāri </w:t>
      </w:r>
      <w:r w:rsidR="00271B9B" w:rsidRPr="00AE4079">
        <w:rPr>
          <w:rFonts w:ascii="Times New Roman" w:hAnsi="Times New Roman" w:cs="Times New Roman"/>
          <w:sz w:val="26"/>
          <w:szCs w:val="26"/>
          <w:lang w:val="lv-LV"/>
        </w:rPr>
        <w:t>no 162</w:t>
      </w:r>
      <w:r w:rsidR="00EC689C">
        <w:rPr>
          <w:rFonts w:ascii="Times New Roman" w:hAnsi="Times New Roman" w:cs="Times New Roman"/>
          <w:sz w:val="26"/>
          <w:szCs w:val="26"/>
          <w:lang w:val="lv-LV"/>
        </w:rPr>
        <w:t> </w:t>
      </w:r>
      <w:r w:rsidR="00271B9B" w:rsidRPr="00AE4079">
        <w:rPr>
          <w:rFonts w:ascii="Times New Roman" w:hAnsi="Times New Roman" w:cs="Times New Roman"/>
          <w:sz w:val="26"/>
          <w:szCs w:val="26"/>
          <w:lang w:val="lv-LV"/>
        </w:rPr>
        <w:t xml:space="preserve">principāliem 27 (jeb 17 %) principāliem ir </w:t>
      </w:r>
      <w:r w:rsidR="002437E6">
        <w:rPr>
          <w:rFonts w:ascii="Times New Roman" w:hAnsi="Times New Roman" w:cs="Times New Roman"/>
          <w:sz w:val="26"/>
          <w:szCs w:val="26"/>
          <w:lang w:val="lv-LV"/>
        </w:rPr>
        <w:t>VID</w:t>
      </w:r>
      <w:r w:rsidR="00271B9B" w:rsidRPr="00AE4079">
        <w:rPr>
          <w:rFonts w:ascii="Times New Roman" w:hAnsi="Times New Roman" w:cs="Times New Roman"/>
          <w:sz w:val="26"/>
          <w:szCs w:val="26"/>
          <w:lang w:val="lv-LV"/>
        </w:rPr>
        <w:t xml:space="preserve"> administrēto nodokļu (nodevu) parāds (no tiem, 5 principāliem ir piešķirts nodokļu atbalsta pasākums).</w:t>
      </w:r>
    </w:p>
    <w:p w14:paraId="6D393946" w14:textId="15681CBD" w:rsidR="00271B9B" w:rsidRPr="00AE4079" w:rsidRDefault="00271B9B" w:rsidP="002A1450">
      <w:pPr>
        <w:ind w:firstLine="720"/>
        <w:jc w:val="both"/>
        <w:rPr>
          <w:rFonts w:ascii="Times New Roman" w:hAnsi="Times New Roman" w:cs="Times New Roman"/>
          <w:sz w:val="26"/>
          <w:szCs w:val="26"/>
          <w:lang w:val="lv-LV"/>
        </w:rPr>
      </w:pPr>
      <w:r w:rsidRPr="00AE4079">
        <w:rPr>
          <w:rFonts w:ascii="Times New Roman" w:hAnsi="Times New Roman" w:cs="Times New Roman"/>
          <w:sz w:val="26"/>
          <w:szCs w:val="26"/>
          <w:lang w:val="lv-LV"/>
        </w:rPr>
        <w:t>Tādējādi secināms, ka likuma “Par nodokļiem un nodevām” 29.</w:t>
      </w:r>
      <w:r w:rsidR="00515466">
        <w:rPr>
          <w:rFonts w:ascii="Times New Roman" w:hAnsi="Times New Roman" w:cs="Times New Roman"/>
          <w:sz w:val="26"/>
          <w:szCs w:val="26"/>
          <w:lang w:val="lv-LV"/>
        </w:rPr>
        <w:t> </w:t>
      </w:r>
      <w:r w:rsidRPr="00AE4079">
        <w:rPr>
          <w:rFonts w:ascii="Times New Roman" w:hAnsi="Times New Roman" w:cs="Times New Roman"/>
          <w:sz w:val="26"/>
          <w:szCs w:val="26"/>
          <w:lang w:val="lv-LV"/>
        </w:rPr>
        <w:t>panta otrajā daļā noteiktā nokavējuma naudas likme nav uzskatāma par tranzīta kravu pārvadājumu traucējoš</w:t>
      </w:r>
      <w:r w:rsidR="009F59F3">
        <w:rPr>
          <w:rFonts w:ascii="Times New Roman" w:hAnsi="Times New Roman" w:cs="Times New Roman"/>
          <w:sz w:val="26"/>
          <w:szCs w:val="26"/>
          <w:lang w:val="lv-LV"/>
        </w:rPr>
        <w:t>u</w:t>
      </w:r>
      <w:r w:rsidRPr="00AE4079">
        <w:rPr>
          <w:rFonts w:ascii="Times New Roman" w:hAnsi="Times New Roman" w:cs="Times New Roman"/>
          <w:sz w:val="26"/>
          <w:szCs w:val="26"/>
          <w:lang w:val="lv-LV"/>
        </w:rPr>
        <w:t xml:space="preserve"> faktoru.</w:t>
      </w:r>
    </w:p>
    <w:p w14:paraId="47572632" w14:textId="77777777" w:rsidR="00271B9B" w:rsidRPr="00AE4079" w:rsidRDefault="00271B9B" w:rsidP="002A1450">
      <w:pPr>
        <w:ind w:firstLine="720"/>
        <w:jc w:val="both"/>
        <w:rPr>
          <w:rFonts w:ascii="Times New Roman" w:hAnsi="Times New Roman" w:cs="Times New Roman"/>
          <w:sz w:val="26"/>
          <w:szCs w:val="26"/>
          <w:lang w:val="lv-LV"/>
        </w:rPr>
      </w:pPr>
    </w:p>
    <w:p w14:paraId="75611810" w14:textId="77777777" w:rsidR="00D7694C" w:rsidRPr="00515466" w:rsidRDefault="00270BB3" w:rsidP="00270BB3">
      <w:pPr>
        <w:pStyle w:val="Heading3"/>
        <w:jc w:val="center"/>
        <w:rPr>
          <w:rFonts w:ascii="Times New Roman" w:hAnsi="Times New Roman" w:cs="Times New Roman"/>
          <w:b/>
          <w:color w:val="auto"/>
          <w:sz w:val="26"/>
          <w:szCs w:val="26"/>
          <w:lang w:val="lv-LV"/>
        </w:rPr>
      </w:pPr>
      <w:r w:rsidRPr="00515466">
        <w:rPr>
          <w:rFonts w:ascii="Times New Roman" w:hAnsi="Times New Roman" w:cs="Times New Roman"/>
          <w:b/>
          <w:color w:val="auto"/>
          <w:sz w:val="26"/>
          <w:szCs w:val="26"/>
          <w:lang w:val="lv-LV"/>
        </w:rPr>
        <w:t>3</w:t>
      </w:r>
      <w:r w:rsidR="005D7553" w:rsidRPr="00515466">
        <w:rPr>
          <w:rFonts w:ascii="Times New Roman" w:hAnsi="Times New Roman" w:cs="Times New Roman"/>
          <w:b/>
          <w:color w:val="auto"/>
          <w:sz w:val="26"/>
          <w:szCs w:val="26"/>
          <w:lang w:val="lv-LV"/>
        </w:rPr>
        <w:t>.  Piedāvātie risinājumi</w:t>
      </w:r>
    </w:p>
    <w:p w14:paraId="2C854389" w14:textId="77777777" w:rsidR="00600D22" w:rsidRDefault="00E14613" w:rsidP="00515466">
      <w:pPr>
        <w:ind w:firstLine="720"/>
        <w:jc w:val="both"/>
        <w:rPr>
          <w:rFonts w:ascii="Times New Roman" w:hAnsi="Times New Roman" w:cs="Times New Roman"/>
          <w:sz w:val="26"/>
          <w:szCs w:val="26"/>
          <w:lang w:val="lv-LV"/>
        </w:rPr>
      </w:pPr>
      <w:r w:rsidRPr="00515466">
        <w:rPr>
          <w:rFonts w:ascii="Times New Roman" w:hAnsi="Times New Roman" w:cs="Times New Roman"/>
          <w:sz w:val="26"/>
          <w:szCs w:val="26"/>
          <w:lang w:val="lv-LV"/>
        </w:rPr>
        <w:t>Latvijas Ostu, tranzīta un loģistikas padomes 2018.</w:t>
      </w:r>
      <w:r w:rsidR="00515466" w:rsidRPr="00515466">
        <w:rPr>
          <w:rFonts w:ascii="Times New Roman" w:hAnsi="Times New Roman" w:cs="Times New Roman"/>
          <w:sz w:val="26"/>
          <w:szCs w:val="26"/>
          <w:lang w:val="lv-LV"/>
        </w:rPr>
        <w:t> </w:t>
      </w:r>
      <w:r w:rsidRPr="00515466">
        <w:rPr>
          <w:rFonts w:ascii="Times New Roman" w:hAnsi="Times New Roman" w:cs="Times New Roman"/>
          <w:sz w:val="26"/>
          <w:szCs w:val="26"/>
          <w:lang w:val="lv-LV"/>
        </w:rPr>
        <w:t>gada 14.</w:t>
      </w:r>
      <w:r w:rsidR="00515466" w:rsidRPr="00515466">
        <w:rPr>
          <w:rFonts w:ascii="Times New Roman" w:hAnsi="Times New Roman" w:cs="Times New Roman"/>
          <w:sz w:val="26"/>
          <w:szCs w:val="26"/>
          <w:lang w:val="lv-LV"/>
        </w:rPr>
        <w:t> </w:t>
      </w:r>
      <w:r w:rsidRPr="00515466">
        <w:rPr>
          <w:rFonts w:ascii="Times New Roman" w:hAnsi="Times New Roman" w:cs="Times New Roman"/>
          <w:sz w:val="26"/>
          <w:szCs w:val="26"/>
          <w:lang w:val="lv-LV"/>
        </w:rPr>
        <w:t xml:space="preserve">februāra sēdē </w:t>
      </w:r>
      <w:r w:rsidR="00515466" w:rsidRPr="00515466">
        <w:rPr>
          <w:rFonts w:ascii="Times New Roman" w:hAnsi="Times New Roman" w:cs="Times New Roman"/>
          <w:sz w:val="26"/>
          <w:szCs w:val="26"/>
          <w:lang w:val="lv-LV"/>
        </w:rPr>
        <w:t>Finanšu ministrija, ievērojot minētās padomes 2017.</w:t>
      </w:r>
      <w:r w:rsidR="00515466">
        <w:rPr>
          <w:rFonts w:ascii="Times New Roman" w:hAnsi="Times New Roman" w:cs="Times New Roman"/>
          <w:sz w:val="26"/>
          <w:szCs w:val="26"/>
          <w:lang w:val="lv-LV"/>
        </w:rPr>
        <w:t> </w:t>
      </w:r>
      <w:r w:rsidR="00515466" w:rsidRPr="00515466">
        <w:rPr>
          <w:rFonts w:ascii="Times New Roman" w:hAnsi="Times New Roman" w:cs="Times New Roman"/>
          <w:sz w:val="26"/>
          <w:szCs w:val="26"/>
          <w:lang w:val="lv-LV"/>
        </w:rPr>
        <w:t>gada 7.</w:t>
      </w:r>
      <w:r w:rsidR="00515466">
        <w:rPr>
          <w:rFonts w:ascii="Times New Roman" w:hAnsi="Times New Roman" w:cs="Times New Roman"/>
          <w:sz w:val="26"/>
          <w:szCs w:val="26"/>
          <w:lang w:val="lv-LV"/>
        </w:rPr>
        <w:t> </w:t>
      </w:r>
      <w:r w:rsidR="00515466" w:rsidRPr="00515466">
        <w:rPr>
          <w:rFonts w:ascii="Times New Roman" w:hAnsi="Times New Roman" w:cs="Times New Roman"/>
          <w:sz w:val="26"/>
          <w:szCs w:val="26"/>
          <w:lang w:val="lv-LV"/>
        </w:rPr>
        <w:t>jūnija sēdes lēmumu aicināt Finanšu ministriju 2018.gada I ceturksnī sniegt ziņojumu Latvijas Ostu, tranzīta un loģistikas padomes sēdē par Ministru kabineta uzdevuma izpildi saistībā ar nokavējuma naudu regulējuma izvērtēšanu praksē un attiecīgiem priekšlikumiem Ministru kabinetam par piedāvāto risinājumu attiecībā uz nokavējuma naudas likmes apmēru un tās piemērošanu (skatīt protokola Nr.</w:t>
      </w:r>
      <w:r w:rsidR="00515466">
        <w:rPr>
          <w:rFonts w:ascii="Times New Roman" w:hAnsi="Times New Roman" w:cs="Times New Roman"/>
          <w:sz w:val="26"/>
          <w:szCs w:val="26"/>
          <w:lang w:val="lv-LV"/>
        </w:rPr>
        <w:t> </w:t>
      </w:r>
      <w:r w:rsidR="00515466" w:rsidRPr="00515466">
        <w:rPr>
          <w:rFonts w:ascii="Times New Roman" w:hAnsi="Times New Roman" w:cs="Times New Roman"/>
          <w:sz w:val="26"/>
          <w:szCs w:val="26"/>
          <w:lang w:val="lv-LV"/>
        </w:rPr>
        <w:t>3, 2.2.4.4.</w:t>
      </w:r>
      <w:r w:rsidR="00515466">
        <w:rPr>
          <w:rFonts w:ascii="Times New Roman" w:hAnsi="Times New Roman" w:cs="Times New Roman"/>
          <w:sz w:val="26"/>
          <w:szCs w:val="26"/>
          <w:lang w:val="lv-LV"/>
        </w:rPr>
        <w:t> </w:t>
      </w:r>
      <w:r w:rsidR="00515466" w:rsidRPr="00515466">
        <w:rPr>
          <w:rFonts w:ascii="Times New Roman" w:hAnsi="Times New Roman" w:cs="Times New Roman"/>
          <w:sz w:val="26"/>
          <w:szCs w:val="26"/>
          <w:lang w:val="lv-LV"/>
        </w:rPr>
        <w:t>punktu), sniedza ziņojumu par nokavējuma naudas regulējumu, norādot, ka izvērtējot likumā “Par nodokļiem un nodevām” 29.</w:t>
      </w:r>
      <w:r w:rsidR="00515466">
        <w:rPr>
          <w:rFonts w:ascii="Times New Roman" w:hAnsi="Times New Roman" w:cs="Times New Roman"/>
          <w:sz w:val="26"/>
          <w:szCs w:val="26"/>
          <w:lang w:val="lv-LV"/>
        </w:rPr>
        <w:t> </w:t>
      </w:r>
      <w:r w:rsidR="00515466" w:rsidRPr="00515466">
        <w:rPr>
          <w:rFonts w:ascii="Times New Roman" w:hAnsi="Times New Roman" w:cs="Times New Roman"/>
          <w:sz w:val="26"/>
          <w:szCs w:val="26"/>
          <w:lang w:val="lv-LV"/>
        </w:rPr>
        <w:t xml:space="preserve">panta otrajā daļā noteikto nokavējuma naudas likmi un tā piemērošanu kopsakarā ar minētajā likumā paredzētajiem citiem tiesiskajiem risinājumiem nokavējuma naudas mazināšanas iespējai, Finanšu ministrija nekonstatē, ka būtu nepieciešamas izmaiņas nokavējuma naudas regulējumā. Proti, attiecībā uz nodokļu maksātājiem, kas savlaicīgi vienojas ar nodokļu administrāciju par labprātīgu nodokļu parādu saistību izpildi, likums “Par nodokļiem un nodevām” paredz samazinātu nokavējuma naudas likmes piemērošanu, savukārt nokavējuma naudas likme - 0,05 </w:t>
      </w:r>
      <w:r w:rsidR="00515466" w:rsidRPr="00515466">
        <w:rPr>
          <w:rFonts w:ascii="Times New Roman" w:hAnsi="Times New Roman" w:cs="Times New Roman"/>
          <w:sz w:val="26"/>
          <w:szCs w:val="26"/>
          <w:lang w:val="lv-LV"/>
        </w:rPr>
        <w:lastRenderedPageBreak/>
        <w:t xml:space="preserve">procenti par katru nokavēto dienu tiek piemērota attiecībā uz nodokļu maksātājiem, kas nesadarbojas ar nodokļu administrāciju, vai kuri neatbilst nosacījumiem, kas izpildāmi samazinātas nokavējuma naudas piemērošanai. </w:t>
      </w:r>
    </w:p>
    <w:p w14:paraId="45B856C2" w14:textId="3D1367E3" w:rsidR="00515466" w:rsidRPr="00515466" w:rsidRDefault="00600D22" w:rsidP="00515466">
      <w:pPr>
        <w:ind w:firstLine="720"/>
        <w:jc w:val="both"/>
        <w:rPr>
          <w:rFonts w:ascii="Times New Roman" w:hAnsi="Times New Roman" w:cs="Times New Roman"/>
          <w:sz w:val="26"/>
          <w:szCs w:val="26"/>
          <w:lang w:val="lv-LV"/>
        </w:rPr>
      </w:pPr>
      <w:r>
        <w:rPr>
          <w:rFonts w:ascii="Times New Roman" w:hAnsi="Times New Roman" w:cs="Times New Roman"/>
          <w:sz w:val="26"/>
          <w:szCs w:val="26"/>
          <w:lang w:val="lv-LV"/>
        </w:rPr>
        <w:t xml:space="preserve">Tāpat </w:t>
      </w:r>
      <w:r w:rsidR="00515466" w:rsidRPr="00515466">
        <w:rPr>
          <w:rFonts w:ascii="Times New Roman" w:hAnsi="Times New Roman" w:cs="Times New Roman"/>
          <w:sz w:val="26"/>
          <w:szCs w:val="26"/>
          <w:lang w:val="lv-LV"/>
        </w:rPr>
        <w:t>Finanšu ministrija atkārtoti arī vērsa Latvijas Ostu, tranzīta un loģistikas padomes uzmanību, lai objektīvi salīdzinātu nokavējuma naudas regulējumus, ir nepieciešams salīdzināt ne tikai Latvijā noteikto nokavējuma naudas likmi ar citu Eiropas Savienības dalībvalstu noteiktajām nokavējuma naudas likmēm, bet arī izvērtēt, vai citās Eiropas Savienības dalībvalstīs tiek paredzēti tiesiskie risinājumi nokavējuma naudas samazināšanai.</w:t>
      </w:r>
    </w:p>
    <w:p w14:paraId="00247BE9" w14:textId="6672306B" w:rsidR="00E14613" w:rsidRPr="00515466" w:rsidRDefault="00E14613" w:rsidP="00515466">
      <w:pPr>
        <w:ind w:firstLine="709"/>
        <w:jc w:val="both"/>
        <w:rPr>
          <w:rFonts w:ascii="Times New Roman" w:hAnsi="Times New Roman" w:cs="Times New Roman"/>
          <w:b/>
          <w:sz w:val="26"/>
          <w:szCs w:val="26"/>
          <w:lang w:val="lv-LV"/>
        </w:rPr>
      </w:pPr>
      <w:r w:rsidRPr="00515466">
        <w:rPr>
          <w:rFonts w:ascii="Times New Roman" w:hAnsi="Times New Roman" w:cs="Times New Roman"/>
          <w:sz w:val="26"/>
          <w:szCs w:val="26"/>
          <w:lang w:val="lv-LV"/>
        </w:rPr>
        <w:t xml:space="preserve">Minēto informāciju Latvijas Ostu, tranzīta un loģistikas padome ir pieņēmusi zināšanai, neparedzot Finanšu ministrijai </w:t>
      </w:r>
      <w:r w:rsidR="00B8561E" w:rsidRPr="00515466">
        <w:rPr>
          <w:rFonts w:ascii="Times New Roman" w:hAnsi="Times New Roman" w:cs="Times New Roman"/>
          <w:sz w:val="26"/>
          <w:szCs w:val="26"/>
          <w:lang w:val="lv-LV"/>
        </w:rPr>
        <w:t xml:space="preserve">saistībā ar šo nevienu jaunu uzdevumu (tajā skaitā neparedzot </w:t>
      </w:r>
      <w:r w:rsidRPr="00515466">
        <w:rPr>
          <w:rFonts w:ascii="Times New Roman" w:hAnsi="Times New Roman" w:cs="Times New Roman"/>
          <w:sz w:val="26"/>
          <w:szCs w:val="26"/>
          <w:lang w:val="lv-LV"/>
        </w:rPr>
        <w:t>atkārtoti izvērtēt nokavējuma naudas regulējumu (skatīt 2018.</w:t>
      </w:r>
      <w:r w:rsidR="00515466" w:rsidRPr="00515466">
        <w:rPr>
          <w:rFonts w:ascii="Times New Roman" w:hAnsi="Times New Roman" w:cs="Times New Roman"/>
          <w:sz w:val="26"/>
          <w:szCs w:val="26"/>
          <w:lang w:val="lv-LV"/>
        </w:rPr>
        <w:t> </w:t>
      </w:r>
      <w:r w:rsidRPr="00515466">
        <w:rPr>
          <w:rFonts w:ascii="Times New Roman" w:hAnsi="Times New Roman" w:cs="Times New Roman"/>
          <w:sz w:val="26"/>
          <w:szCs w:val="26"/>
          <w:lang w:val="lv-LV"/>
        </w:rPr>
        <w:t>gada 14.</w:t>
      </w:r>
      <w:r w:rsidR="00515466" w:rsidRPr="00515466">
        <w:rPr>
          <w:rFonts w:ascii="Times New Roman" w:hAnsi="Times New Roman" w:cs="Times New Roman"/>
          <w:sz w:val="26"/>
          <w:szCs w:val="26"/>
          <w:lang w:val="lv-LV"/>
        </w:rPr>
        <w:t> </w:t>
      </w:r>
      <w:r w:rsidRPr="00515466">
        <w:rPr>
          <w:rFonts w:ascii="Times New Roman" w:hAnsi="Times New Roman" w:cs="Times New Roman"/>
          <w:sz w:val="26"/>
          <w:szCs w:val="26"/>
          <w:lang w:val="lv-LV"/>
        </w:rPr>
        <w:t>februāra sēdes protokola Nr.1 6.</w:t>
      </w:r>
      <w:r w:rsidR="00515466" w:rsidRPr="00515466">
        <w:rPr>
          <w:rFonts w:ascii="Times New Roman" w:hAnsi="Times New Roman" w:cs="Times New Roman"/>
          <w:sz w:val="26"/>
          <w:szCs w:val="26"/>
          <w:lang w:val="lv-LV"/>
        </w:rPr>
        <w:t> </w:t>
      </w:r>
      <w:r w:rsidRPr="00515466">
        <w:rPr>
          <w:rFonts w:ascii="Times New Roman" w:hAnsi="Times New Roman" w:cs="Times New Roman"/>
          <w:sz w:val="26"/>
          <w:szCs w:val="26"/>
          <w:lang w:val="lv-LV"/>
        </w:rPr>
        <w:t>punktu)</w:t>
      </w:r>
      <w:r w:rsidR="000A0227" w:rsidRPr="00515466">
        <w:rPr>
          <w:rFonts w:ascii="Times New Roman" w:hAnsi="Times New Roman" w:cs="Times New Roman"/>
          <w:sz w:val="26"/>
          <w:szCs w:val="26"/>
          <w:lang w:val="lv-LV"/>
        </w:rPr>
        <w:t>)</w:t>
      </w:r>
      <w:r w:rsidRPr="00515466">
        <w:rPr>
          <w:rFonts w:ascii="Times New Roman" w:hAnsi="Times New Roman" w:cs="Times New Roman"/>
          <w:sz w:val="26"/>
          <w:szCs w:val="26"/>
          <w:lang w:val="lv-LV"/>
        </w:rPr>
        <w:t>.</w:t>
      </w:r>
      <w:r w:rsidR="00B8561E" w:rsidRPr="00515466">
        <w:rPr>
          <w:rFonts w:ascii="Times New Roman" w:hAnsi="Times New Roman" w:cs="Times New Roman"/>
          <w:sz w:val="26"/>
          <w:szCs w:val="26"/>
          <w:lang w:val="lv-LV"/>
        </w:rPr>
        <w:t xml:space="preserve"> Līdz ar to uzskatām, ka ir akceptēta Finanšu ministrijas Latvijas Ostu, tranzīta un loģistikas padomes konkrētajā (pēdējā notikušajā) sēdē</w:t>
      </w:r>
      <w:r w:rsidR="00ED5B54" w:rsidRPr="00515466">
        <w:rPr>
          <w:rFonts w:ascii="Times New Roman" w:hAnsi="Times New Roman" w:cs="Times New Roman"/>
          <w:sz w:val="26"/>
          <w:szCs w:val="26"/>
          <w:lang w:val="lv-LV"/>
        </w:rPr>
        <w:t xml:space="preserve"> sniegtā argumentācija un nostāja</w:t>
      </w:r>
      <w:r w:rsidR="00B8561E" w:rsidRPr="00515466">
        <w:rPr>
          <w:rFonts w:ascii="Times New Roman" w:hAnsi="Times New Roman" w:cs="Times New Roman"/>
          <w:sz w:val="26"/>
          <w:szCs w:val="26"/>
          <w:lang w:val="lv-LV"/>
        </w:rPr>
        <w:t>.</w:t>
      </w:r>
    </w:p>
    <w:p w14:paraId="12B24209" w14:textId="6E8E00AA" w:rsidR="00463C7B" w:rsidRPr="00515466" w:rsidRDefault="00846039" w:rsidP="00AE4079">
      <w:pPr>
        <w:ind w:firstLine="720"/>
        <w:jc w:val="both"/>
        <w:rPr>
          <w:rFonts w:ascii="Times New Roman" w:hAnsi="Times New Roman" w:cs="Times New Roman"/>
          <w:b/>
          <w:sz w:val="26"/>
          <w:szCs w:val="26"/>
          <w:lang w:val="lv-LV"/>
        </w:rPr>
      </w:pPr>
      <w:r w:rsidRPr="00515466">
        <w:rPr>
          <w:rFonts w:ascii="Times New Roman" w:hAnsi="Times New Roman" w:cs="Times New Roman"/>
          <w:sz w:val="26"/>
          <w:szCs w:val="26"/>
          <w:lang w:val="lv-LV"/>
        </w:rPr>
        <w:t>Tādējādi, ievērojot minēto, kā arī a</w:t>
      </w:r>
      <w:r w:rsidR="00D7694C" w:rsidRPr="00515466">
        <w:rPr>
          <w:rFonts w:ascii="Times New Roman" w:hAnsi="Times New Roman" w:cs="Times New Roman"/>
          <w:sz w:val="26"/>
          <w:szCs w:val="26"/>
          <w:lang w:val="lv-LV"/>
        </w:rPr>
        <w:t xml:space="preserve">tbilstoši </w:t>
      </w:r>
      <w:r w:rsidRPr="00515466">
        <w:rPr>
          <w:rFonts w:ascii="Times New Roman" w:hAnsi="Times New Roman" w:cs="Times New Roman"/>
          <w:sz w:val="26"/>
          <w:szCs w:val="26"/>
          <w:lang w:val="lv-LV"/>
        </w:rPr>
        <w:t>informatīvajā ziņojumā</w:t>
      </w:r>
      <w:r w:rsidR="00D7694C" w:rsidRPr="00515466">
        <w:rPr>
          <w:rFonts w:ascii="Times New Roman" w:hAnsi="Times New Roman" w:cs="Times New Roman"/>
          <w:sz w:val="26"/>
          <w:szCs w:val="26"/>
          <w:lang w:val="lv-LV"/>
        </w:rPr>
        <w:t xml:space="preserve"> sniegtajai informācijai</w:t>
      </w:r>
      <w:r w:rsidR="00D7694C" w:rsidRPr="00515466">
        <w:rPr>
          <w:rFonts w:ascii="Times New Roman" w:hAnsi="Times New Roman" w:cs="Times New Roman"/>
          <w:b/>
          <w:sz w:val="26"/>
          <w:szCs w:val="26"/>
          <w:lang w:val="lv-LV"/>
        </w:rPr>
        <w:t xml:space="preserve"> Finanšu ministrija ierosina</w:t>
      </w:r>
      <w:r w:rsidR="00463C7B" w:rsidRPr="00515466">
        <w:rPr>
          <w:rFonts w:ascii="Times New Roman" w:hAnsi="Times New Roman" w:cs="Times New Roman"/>
          <w:b/>
          <w:sz w:val="26"/>
          <w:szCs w:val="26"/>
          <w:lang w:val="lv-LV"/>
        </w:rPr>
        <w:t xml:space="preserve"> nev</w:t>
      </w:r>
      <w:r w:rsidR="00ED5B54" w:rsidRPr="00515466">
        <w:rPr>
          <w:rFonts w:ascii="Times New Roman" w:hAnsi="Times New Roman" w:cs="Times New Roman"/>
          <w:b/>
          <w:sz w:val="26"/>
          <w:szCs w:val="26"/>
          <w:lang w:val="lv-LV"/>
        </w:rPr>
        <w:t>irzīt</w:t>
      </w:r>
      <w:r w:rsidR="00463C7B" w:rsidRPr="00515466">
        <w:rPr>
          <w:rFonts w:ascii="Times New Roman" w:hAnsi="Times New Roman" w:cs="Times New Roman"/>
          <w:b/>
          <w:sz w:val="26"/>
          <w:szCs w:val="26"/>
          <w:lang w:val="lv-LV"/>
        </w:rPr>
        <w:t xml:space="preserve"> izmaiņas likuma “Par nodokļiem un nodevām” 29.</w:t>
      </w:r>
      <w:r w:rsidR="00515466" w:rsidRPr="00515466">
        <w:rPr>
          <w:rFonts w:ascii="Times New Roman" w:hAnsi="Times New Roman" w:cs="Times New Roman"/>
          <w:b/>
          <w:sz w:val="26"/>
          <w:szCs w:val="26"/>
          <w:lang w:val="lv-LV"/>
        </w:rPr>
        <w:t> p</w:t>
      </w:r>
      <w:r w:rsidR="00463C7B" w:rsidRPr="00515466">
        <w:rPr>
          <w:rFonts w:ascii="Times New Roman" w:hAnsi="Times New Roman" w:cs="Times New Roman"/>
          <w:b/>
          <w:sz w:val="26"/>
          <w:szCs w:val="26"/>
          <w:lang w:val="lv-LV"/>
        </w:rPr>
        <w:t>anta otrās daļas regulējumā attiecībā uz nokavējuma naudas likmes apmēra samazināšanu.</w:t>
      </w:r>
    </w:p>
    <w:p w14:paraId="5B9C0313" w14:textId="77777777" w:rsidR="00AE4079" w:rsidRPr="00515466" w:rsidRDefault="00AE4079" w:rsidP="00AE4079">
      <w:pPr>
        <w:ind w:firstLine="720"/>
        <w:jc w:val="both"/>
        <w:rPr>
          <w:rFonts w:ascii="Times New Roman" w:hAnsi="Times New Roman" w:cs="Times New Roman"/>
          <w:b/>
          <w:sz w:val="26"/>
          <w:szCs w:val="26"/>
          <w:lang w:val="lv-LV"/>
        </w:rPr>
      </w:pPr>
    </w:p>
    <w:p w14:paraId="1E7EC66B" w14:textId="77777777" w:rsidR="00AE4079" w:rsidRPr="00AE4079" w:rsidRDefault="00AE4079" w:rsidP="00AE4079">
      <w:pPr>
        <w:ind w:firstLine="720"/>
        <w:jc w:val="both"/>
        <w:rPr>
          <w:rFonts w:ascii="Times New Roman" w:hAnsi="Times New Roman" w:cs="Times New Roman"/>
          <w:b/>
          <w:sz w:val="26"/>
          <w:szCs w:val="26"/>
          <w:lang w:val="lv-LV"/>
        </w:rPr>
      </w:pPr>
    </w:p>
    <w:p w14:paraId="008EC3E7" w14:textId="77777777" w:rsidR="00AE4079" w:rsidRPr="00AE4079" w:rsidRDefault="00AE4079" w:rsidP="00AE4079">
      <w:pPr>
        <w:tabs>
          <w:tab w:val="right" w:pos="9356"/>
        </w:tabs>
        <w:rPr>
          <w:rFonts w:ascii="Times New Roman" w:hAnsi="Times New Roman" w:cs="Times New Roman"/>
          <w:sz w:val="26"/>
          <w:szCs w:val="26"/>
          <w:lang w:val="lv-LV"/>
        </w:rPr>
      </w:pPr>
      <w:r w:rsidRPr="00AE4079">
        <w:rPr>
          <w:rFonts w:ascii="Times New Roman" w:hAnsi="Times New Roman" w:cs="Times New Roman"/>
          <w:sz w:val="26"/>
          <w:szCs w:val="26"/>
          <w:lang w:val="lv-LV"/>
        </w:rPr>
        <w:t>Finanšu ministre</w:t>
      </w:r>
      <w:r w:rsidRPr="00AE4079">
        <w:rPr>
          <w:rFonts w:ascii="Times New Roman" w:hAnsi="Times New Roman" w:cs="Times New Roman"/>
          <w:sz w:val="26"/>
          <w:szCs w:val="26"/>
          <w:lang w:val="lv-LV"/>
        </w:rPr>
        <w:tab/>
        <w:t>D.Reizniece-Ozola</w:t>
      </w:r>
    </w:p>
    <w:p w14:paraId="7FFE1DE6" w14:textId="77777777" w:rsidR="00AE4079" w:rsidRPr="00AE4079" w:rsidRDefault="00AE4079" w:rsidP="00AE4079">
      <w:pPr>
        <w:pStyle w:val="NormalWeb"/>
        <w:spacing w:before="0"/>
        <w:ind w:firstLine="720"/>
        <w:jc w:val="both"/>
        <w:rPr>
          <w:sz w:val="26"/>
          <w:szCs w:val="26"/>
        </w:rPr>
      </w:pPr>
    </w:p>
    <w:p w14:paraId="460DF805" w14:textId="77777777" w:rsidR="00AE4079" w:rsidRPr="00AE4079" w:rsidRDefault="00AE4079" w:rsidP="00AE4079">
      <w:pPr>
        <w:ind w:firstLine="720"/>
        <w:jc w:val="both"/>
        <w:rPr>
          <w:rFonts w:ascii="Times New Roman" w:hAnsi="Times New Roman" w:cs="Times New Roman"/>
          <w:sz w:val="26"/>
          <w:szCs w:val="26"/>
          <w:lang w:val="lv-LV"/>
        </w:rPr>
      </w:pPr>
    </w:p>
    <w:p w14:paraId="7EF32ED4" w14:textId="6222364D" w:rsidR="00AE4079" w:rsidRDefault="00AE4079" w:rsidP="00AE4079">
      <w:pPr>
        <w:ind w:firstLine="720"/>
        <w:jc w:val="both"/>
        <w:rPr>
          <w:rFonts w:ascii="Times New Roman" w:hAnsi="Times New Roman" w:cs="Times New Roman"/>
          <w:sz w:val="26"/>
          <w:szCs w:val="26"/>
          <w:lang w:val="lv-LV"/>
        </w:rPr>
      </w:pPr>
    </w:p>
    <w:p w14:paraId="558A05B5" w14:textId="6C066335" w:rsidR="00600D22" w:rsidRDefault="00600D22" w:rsidP="00AE4079">
      <w:pPr>
        <w:ind w:firstLine="720"/>
        <w:jc w:val="both"/>
        <w:rPr>
          <w:rFonts w:ascii="Times New Roman" w:hAnsi="Times New Roman" w:cs="Times New Roman"/>
          <w:sz w:val="26"/>
          <w:szCs w:val="26"/>
          <w:lang w:val="lv-LV"/>
        </w:rPr>
      </w:pPr>
    </w:p>
    <w:p w14:paraId="4C18E981" w14:textId="31B462DD" w:rsidR="00600D22" w:rsidRDefault="00600D22" w:rsidP="00AE4079">
      <w:pPr>
        <w:ind w:firstLine="720"/>
        <w:jc w:val="both"/>
        <w:rPr>
          <w:rFonts w:ascii="Times New Roman" w:hAnsi="Times New Roman" w:cs="Times New Roman"/>
          <w:sz w:val="26"/>
          <w:szCs w:val="26"/>
          <w:lang w:val="lv-LV"/>
        </w:rPr>
      </w:pPr>
    </w:p>
    <w:p w14:paraId="70418C80" w14:textId="4637A3B4" w:rsidR="00600D22" w:rsidRDefault="00600D22" w:rsidP="00AE4079">
      <w:pPr>
        <w:ind w:firstLine="720"/>
        <w:jc w:val="both"/>
        <w:rPr>
          <w:rFonts w:ascii="Times New Roman" w:hAnsi="Times New Roman" w:cs="Times New Roman"/>
          <w:sz w:val="26"/>
          <w:szCs w:val="26"/>
          <w:lang w:val="lv-LV"/>
        </w:rPr>
      </w:pPr>
    </w:p>
    <w:p w14:paraId="5F9017DD" w14:textId="118E2941" w:rsidR="00600D22" w:rsidRDefault="00600D22" w:rsidP="00AE4079">
      <w:pPr>
        <w:ind w:firstLine="720"/>
        <w:jc w:val="both"/>
        <w:rPr>
          <w:rFonts w:ascii="Times New Roman" w:hAnsi="Times New Roman" w:cs="Times New Roman"/>
          <w:sz w:val="26"/>
          <w:szCs w:val="26"/>
          <w:lang w:val="lv-LV"/>
        </w:rPr>
      </w:pPr>
    </w:p>
    <w:p w14:paraId="15D15ABD" w14:textId="339A2F7F" w:rsidR="00600D22" w:rsidRDefault="00600D22" w:rsidP="00AE4079">
      <w:pPr>
        <w:ind w:firstLine="720"/>
        <w:jc w:val="both"/>
        <w:rPr>
          <w:rFonts w:ascii="Times New Roman" w:hAnsi="Times New Roman" w:cs="Times New Roman"/>
          <w:sz w:val="26"/>
          <w:szCs w:val="26"/>
          <w:lang w:val="lv-LV"/>
        </w:rPr>
      </w:pPr>
    </w:p>
    <w:p w14:paraId="3D1CE936" w14:textId="77777777" w:rsidR="00600D22" w:rsidRPr="00AE4079" w:rsidRDefault="00600D22" w:rsidP="00AE4079">
      <w:pPr>
        <w:ind w:firstLine="720"/>
        <w:jc w:val="both"/>
        <w:rPr>
          <w:rFonts w:ascii="Times New Roman" w:hAnsi="Times New Roman" w:cs="Times New Roman"/>
          <w:sz w:val="26"/>
          <w:szCs w:val="26"/>
          <w:lang w:val="lv-LV"/>
        </w:rPr>
      </w:pPr>
    </w:p>
    <w:p w14:paraId="5258834F" w14:textId="77777777" w:rsidR="00AE4079" w:rsidRPr="00AE4079" w:rsidRDefault="00AE4079" w:rsidP="00AE4079">
      <w:pPr>
        <w:ind w:firstLine="720"/>
        <w:jc w:val="both"/>
        <w:rPr>
          <w:rFonts w:ascii="Times New Roman" w:hAnsi="Times New Roman" w:cs="Times New Roman"/>
          <w:sz w:val="26"/>
          <w:szCs w:val="26"/>
          <w:lang w:val="lv-LV"/>
        </w:rPr>
      </w:pPr>
      <w:bookmarkStart w:id="0" w:name="_GoBack"/>
      <w:bookmarkEnd w:id="0"/>
    </w:p>
    <w:p w14:paraId="73D3E44D" w14:textId="77777777" w:rsidR="00AE4079" w:rsidRPr="002536F6" w:rsidRDefault="00AE4079" w:rsidP="00AE4079">
      <w:pPr>
        <w:jc w:val="both"/>
        <w:rPr>
          <w:rFonts w:ascii="Times New Roman" w:hAnsi="Times New Roman" w:cs="Times New Roman"/>
          <w:sz w:val="20"/>
          <w:szCs w:val="20"/>
          <w:lang w:val="lv-LV"/>
        </w:rPr>
      </w:pPr>
      <w:r w:rsidRPr="002536F6">
        <w:rPr>
          <w:rFonts w:ascii="Times New Roman" w:hAnsi="Times New Roman" w:cs="Times New Roman"/>
          <w:sz w:val="20"/>
          <w:szCs w:val="20"/>
          <w:lang w:val="lv-LV"/>
        </w:rPr>
        <w:t>Šēfere 67083942</w:t>
      </w:r>
    </w:p>
    <w:p w14:paraId="22EA44DA" w14:textId="77777777" w:rsidR="00AE4079" w:rsidRPr="00AE4079" w:rsidRDefault="005540B9" w:rsidP="00AE4079">
      <w:pPr>
        <w:jc w:val="both"/>
        <w:rPr>
          <w:rFonts w:ascii="Times New Roman" w:hAnsi="Times New Roman" w:cs="Times New Roman"/>
          <w:lang w:val="lv-LV"/>
        </w:rPr>
      </w:pPr>
      <w:hyperlink r:id="rId9" w:history="1">
        <w:r w:rsidR="00AE4079" w:rsidRPr="002536F6">
          <w:rPr>
            <w:rStyle w:val="Hyperlink"/>
            <w:rFonts w:ascii="Times New Roman" w:hAnsi="Times New Roman" w:cs="Times New Roman"/>
            <w:sz w:val="20"/>
            <w:szCs w:val="20"/>
            <w:lang w:val="lv-LV"/>
          </w:rPr>
          <w:t>evita.sefere@fm.gov.lv</w:t>
        </w:r>
      </w:hyperlink>
    </w:p>
    <w:sectPr w:rsidR="00AE4079" w:rsidRPr="00AE4079" w:rsidSect="0002708D">
      <w:headerReference w:type="default" r:id="rId10"/>
      <w:footerReference w:type="default" r:id="rId11"/>
      <w:footerReference w:type="first" r:id="rId12"/>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8C8D5" w14:textId="77777777" w:rsidR="005540B9" w:rsidRDefault="005540B9" w:rsidP="00154C89">
      <w:r>
        <w:separator/>
      </w:r>
    </w:p>
  </w:endnote>
  <w:endnote w:type="continuationSeparator" w:id="0">
    <w:p w14:paraId="780E5AFA" w14:textId="77777777" w:rsidR="005540B9" w:rsidRDefault="005540B9" w:rsidP="00154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CB258" w14:textId="27AF4F9B" w:rsidR="001004F8" w:rsidRPr="001004F8" w:rsidRDefault="001004F8" w:rsidP="001004F8">
    <w:pPr>
      <w:pStyle w:val="Footer"/>
      <w:rPr>
        <w:rFonts w:ascii="Times New Roman" w:hAnsi="Times New Roman" w:cs="Times New Roman"/>
        <w:sz w:val="20"/>
        <w:szCs w:val="20"/>
      </w:rPr>
    </w:pPr>
    <w:r w:rsidRPr="001004F8">
      <w:rPr>
        <w:rFonts w:ascii="Times New Roman" w:hAnsi="Times New Roman" w:cs="Times New Roman"/>
        <w:sz w:val="20"/>
        <w:szCs w:val="20"/>
      </w:rPr>
      <w:fldChar w:fldCharType="begin"/>
    </w:r>
    <w:r w:rsidRPr="001004F8">
      <w:rPr>
        <w:rFonts w:ascii="Times New Roman" w:hAnsi="Times New Roman" w:cs="Times New Roman"/>
        <w:sz w:val="20"/>
        <w:szCs w:val="20"/>
      </w:rPr>
      <w:instrText xml:space="preserve"> FILENAME   \* MERGEFORMAT </w:instrText>
    </w:r>
    <w:r w:rsidRPr="001004F8">
      <w:rPr>
        <w:rFonts w:ascii="Times New Roman" w:hAnsi="Times New Roman" w:cs="Times New Roman"/>
        <w:sz w:val="20"/>
        <w:szCs w:val="20"/>
      </w:rPr>
      <w:fldChar w:fldCharType="separate"/>
    </w:r>
    <w:r w:rsidR="004B775E">
      <w:rPr>
        <w:rFonts w:ascii="Times New Roman" w:hAnsi="Times New Roman" w:cs="Times New Roman"/>
        <w:noProof/>
        <w:sz w:val="20"/>
        <w:szCs w:val="20"/>
      </w:rPr>
      <w:t>FMZino_0</w:t>
    </w:r>
    <w:r w:rsidR="003D4311">
      <w:rPr>
        <w:rFonts w:ascii="Times New Roman" w:hAnsi="Times New Roman" w:cs="Times New Roman"/>
        <w:noProof/>
        <w:sz w:val="20"/>
        <w:szCs w:val="20"/>
      </w:rPr>
      <w:t>4</w:t>
    </w:r>
    <w:r w:rsidR="004B775E">
      <w:rPr>
        <w:rFonts w:ascii="Times New Roman" w:hAnsi="Times New Roman" w:cs="Times New Roman"/>
        <w:noProof/>
        <w:sz w:val="20"/>
        <w:szCs w:val="20"/>
      </w:rPr>
      <w:t>0418.docx</w:t>
    </w:r>
    <w:r w:rsidRPr="001004F8">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21F39" w14:textId="22F33EC6" w:rsidR="001004F8" w:rsidRPr="00BE5236" w:rsidRDefault="001004F8">
    <w:pPr>
      <w:pStyle w:val="Footer"/>
      <w:rPr>
        <w:rFonts w:ascii="Times New Roman" w:hAnsi="Times New Roman" w:cs="Times New Roman"/>
        <w:sz w:val="20"/>
        <w:szCs w:val="20"/>
      </w:rPr>
    </w:pPr>
    <w:r w:rsidRPr="00BE5236">
      <w:rPr>
        <w:rFonts w:ascii="Times New Roman" w:hAnsi="Times New Roman" w:cs="Times New Roman"/>
        <w:sz w:val="20"/>
        <w:szCs w:val="20"/>
      </w:rPr>
      <w:fldChar w:fldCharType="begin"/>
    </w:r>
    <w:r w:rsidRPr="00BE5236">
      <w:rPr>
        <w:rFonts w:ascii="Times New Roman" w:hAnsi="Times New Roman" w:cs="Times New Roman"/>
        <w:sz w:val="20"/>
        <w:szCs w:val="20"/>
      </w:rPr>
      <w:instrText xml:space="preserve"> FILENAME   \* MERGEFORMAT </w:instrText>
    </w:r>
    <w:r w:rsidRPr="00BE5236">
      <w:rPr>
        <w:rFonts w:ascii="Times New Roman" w:hAnsi="Times New Roman" w:cs="Times New Roman"/>
        <w:sz w:val="20"/>
        <w:szCs w:val="20"/>
      </w:rPr>
      <w:fldChar w:fldCharType="separate"/>
    </w:r>
    <w:r w:rsidR="004B775E">
      <w:rPr>
        <w:rFonts w:ascii="Times New Roman" w:hAnsi="Times New Roman" w:cs="Times New Roman"/>
        <w:noProof/>
        <w:sz w:val="20"/>
        <w:szCs w:val="20"/>
      </w:rPr>
      <w:t>FMZino_050418.docx</w:t>
    </w:r>
    <w:r w:rsidRPr="00BE5236">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60B00" w14:textId="77777777" w:rsidR="005540B9" w:rsidRDefault="005540B9" w:rsidP="00154C89">
      <w:r>
        <w:separator/>
      </w:r>
    </w:p>
  </w:footnote>
  <w:footnote w:type="continuationSeparator" w:id="0">
    <w:p w14:paraId="013D6F0C" w14:textId="77777777" w:rsidR="005540B9" w:rsidRDefault="005540B9" w:rsidP="00154C89">
      <w:r>
        <w:continuationSeparator/>
      </w:r>
    </w:p>
  </w:footnote>
  <w:footnote w:id="1">
    <w:p w14:paraId="6F88C625" w14:textId="7AA933DB" w:rsidR="001004F8" w:rsidRPr="005F7D2D" w:rsidRDefault="001004F8" w:rsidP="0088281D">
      <w:pPr>
        <w:pStyle w:val="FootnoteText"/>
        <w:jc w:val="both"/>
        <w:rPr>
          <w:rFonts w:ascii="Times New Roman" w:hAnsi="Times New Roman" w:cs="Times New Roman"/>
          <w:sz w:val="18"/>
          <w:szCs w:val="18"/>
          <w:lang w:val="lv-LV"/>
        </w:rPr>
      </w:pPr>
      <w:r w:rsidRPr="005F7D2D">
        <w:rPr>
          <w:rStyle w:val="FootnoteReference"/>
          <w:rFonts w:ascii="Times New Roman" w:hAnsi="Times New Roman" w:cs="Times New Roman"/>
          <w:sz w:val="18"/>
          <w:szCs w:val="18"/>
          <w:lang w:val="lv-LV"/>
        </w:rPr>
        <w:footnoteRef/>
      </w:r>
      <w:r w:rsidRPr="005F7D2D">
        <w:rPr>
          <w:rFonts w:ascii="Times New Roman" w:hAnsi="Times New Roman" w:cs="Times New Roman"/>
          <w:sz w:val="18"/>
          <w:szCs w:val="18"/>
          <w:lang w:val="lv-LV"/>
        </w:rPr>
        <w:t xml:space="preserve"> L.Kavale un A.Joppe. Nodokļu politikas un administrēšanas pamati. Rīga: Latvijas Universitāte, 2008, 6</w:t>
      </w:r>
      <w:r w:rsidR="00725EF6">
        <w:rPr>
          <w:rFonts w:ascii="Times New Roman" w:hAnsi="Times New Roman" w:cs="Times New Roman"/>
          <w:sz w:val="18"/>
          <w:szCs w:val="18"/>
          <w:lang w:val="lv-LV"/>
        </w:rPr>
        <w:t>.</w:t>
      </w:r>
      <w:r w:rsidRPr="005F7D2D">
        <w:rPr>
          <w:rFonts w:ascii="Times New Roman" w:hAnsi="Times New Roman" w:cs="Times New Roman"/>
          <w:sz w:val="18"/>
          <w:szCs w:val="18"/>
          <w:lang w:val="lv-LV"/>
        </w:rPr>
        <w:t xml:space="preserve"> lpp.</w:t>
      </w:r>
    </w:p>
  </w:footnote>
  <w:footnote w:id="2">
    <w:p w14:paraId="6D266077" w14:textId="6BFC6708" w:rsidR="001004F8" w:rsidRPr="005F7D2D" w:rsidRDefault="001004F8" w:rsidP="0088281D">
      <w:pPr>
        <w:pStyle w:val="FootnoteText"/>
        <w:jc w:val="both"/>
        <w:rPr>
          <w:rFonts w:ascii="Times New Roman" w:hAnsi="Times New Roman" w:cs="Times New Roman"/>
          <w:sz w:val="18"/>
          <w:szCs w:val="18"/>
          <w:lang w:val="lv-LV"/>
        </w:rPr>
      </w:pPr>
      <w:r w:rsidRPr="005F7D2D">
        <w:rPr>
          <w:rStyle w:val="FootnoteReference"/>
          <w:rFonts w:ascii="Times New Roman" w:hAnsi="Times New Roman" w:cs="Times New Roman"/>
          <w:sz w:val="18"/>
          <w:szCs w:val="18"/>
          <w:lang w:val="lv-LV"/>
        </w:rPr>
        <w:footnoteRef/>
      </w:r>
      <w:r w:rsidRPr="005F7D2D">
        <w:rPr>
          <w:rFonts w:ascii="Times New Roman" w:hAnsi="Times New Roman" w:cs="Times New Roman"/>
          <w:sz w:val="18"/>
          <w:szCs w:val="18"/>
          <w:lang w:val="lv-LV"/>
        </w:rPr>
        <w:t xml:space="preserve"> V.Andrējeva, K.Ketners. Valsts ieņēmumu teorijas pamati. Rīga: Rīgas Tehniskā universitāte, 2008., 4</w:t>
      </w:r>
      <w:r w:rsidR="00725EF6">
        <w:rPr>
          <w:rFonts w:ascii="Times New Roman" w:hAnsi="Times New Roman" w:cs="Times New Roman"/>
          <w:sz w:val="18"/>
          <w:szCs w:val="18"/>
          <w:lang w:val="lv-LV"/>
        </w:rPr>
        <w:t>.</w:t>
      </w:r>
      <w:r w:rsidRPr="005F7D2D">
        <w:rPr>
          <w:rFonts w:ascii="Times New Roman" w:hAnsi="Times New Roman" w:cs="Times New Roman"/>
          <w:sz w:val="18"/>
          <w:szCs w:val="18"/>
          <w:lang w:val="lv-LV"/>
        </w:rPr>
        <w:t xml:space="preserve"> lpp.</w:t>
      </w:r>
    </w:p>
  </w:footnote>
  <w:footnote w:id="3">
    <w:p w14:paraId="744FAC24" w14:textId="196D21FA" w:rsidR="001004F8" w:rsidRPr="005F7D2D" w:rsidRDefault="001004F8" w:rsidP="0088281D">
      <w:pPr>
        <w:pStyle w:val="FootnoteText"/>
        <w:jc w:val="both"/>
        <w:rPr>
          <w:rFonts w:ascii="Times New Roman" w:hAnsi="Times New Roman" w:cs="Times New Roman"/>
          <w:sz w:val="18"/>
          <w:szCs w:val="18"/>
          <w:lang w:val="lv-LV"/>
        </w:rPr>
      </w:pPr>
      <w:r w:rsidRPr="005F7D2D">
        <w:rPr>
          <w:rStyle w:val="FootnoteReference"/>
          <w:rFonts w:ascii="Times New Roman" w:hAnsi="Times New Roman" w:cs="Times New Roman"/>
          <w:sz w:val="18"/>
          <w:szCs w:val="18"/>
          <w:lang w:val="lv-LV"/>
        </w:rPr>
        <w:footnoteRef/>
      </w:r>
      <w:r w:rsidRPr="005F7D2D">
        <w:rPr>
          <w:rFonts w:ascii="Times New Roman" w:hAnsi="Times New Roman" w:cs="Times New Roman"/>
          <w:sz w:val="18"/>
          <w:szCs w:val="18"/>
          <w:lang w:val="lv-LV"/>
        </w:rPr>
        <w:t xml:space="preserve"> L.Kavale un A.Joppe. Nodokļu politikas un administrēšanas pamati. Rīga: Latvijas Universitāte, 2008, 8</w:t>
      </w:r>
      <w:r w:rsidR="00725EF6">
        <w:rPr>
          <w:rFonts w:ascii="Times New Roman" w:hAnsi="Times New Roman" w:cs="Times New Roman"/>
          <w:sz w:val="18"/>
          <w:szCs w:val="18"/>
          <w:lang w:val="lv-LV"/>
        </w:rPr>
        <w:t>.</w:t>
      </w:r>
      <w:r w:rsidRPr="005F7D2D">
        <w:rPr>
          <w:rFonts w:ascii="Times New Roman" w:hAnsi="Times New Roman" w:cs="Times New Roman"/>
          <w:sz w:val="18"/>
          <w:szCs w:val="18"/>
          <w:lang w:val="lv-LV"/>
        </w:rPr>
        <w:t xml:space="preserve"> lpp.</w:t>
      </w:r>
    </w:p>
  </w:footnote>
  <w:footnote w:id="4">
    <w:p w14:paraId="20158988" w14:textId="4350DC49" w:rsidR="001004F8" w:rsidRPr="005F7D2D" w:rsidRDefault="001004F8" w:rsidP="0088281D">
      <w:pPr>
        <w:pStyle w:val="FootnoteText"/>
        <w:jc w:val="both"/>
        <w:rPr>
          <w:rFonts w:ascii="Times New Roman" w:hAnsi="Times New Roman" w:cs="Times New Roman"/>
          <w:sz w:val="18"/>
          <w:szCs w:val="18"/>
          <w:lang w:val="lv-LV"/>
        </w:rPr>
      </w:pPr>
      <w:r w:rsidRPr="005F7D2D">
        <w:rPr>
          <w:rStyle w:val="FootnoteReference"/>
          <w:rFonts w:ascii="Times New Roman" w:hAnsi="Times New Roman" w:cs="Times New Roman"/>
          <w:sz w:val="18"/>
          <w:szCs w:val="18"/>
          <w:lang w:val="lv-LV"/>
        </w:rPr>
        <w:footnoteRef/>
      </w:r>
      <w:r w:rsidRPr="005F7D2D">
        <w:rPr>
          <w:rFonts w:ascii="Times New Roman" w:hAnsi="Times New Roman" w:cs="Times New Roman"/>
          <w:sz w:val="18"/>
          <w:szCs w:val="18"/>
          <w:lang w:val="lv-LV"/>
        </w:rPr>
        <w:t xml:space="preserve"> V.Andrējeva, K.Ketners. Valsts ieņēmumu teorijas pamati. Rīga: Rīgas Tehniskā universitāte, 2008., 43</w:t>
      </w:r>
      <w:r w:rsidR="00725EF6">
        <w:rPr>
          <w:rFonts w:ascii="Times New Roman" w:hAnsi="Times New Roman" w:cs="Times New Roman"/>
          <w:sz w:val="18"/>
          <w:szCs w:val="18"/>
          <w:lang w:val="lv-LV"/>
        </w:rPr>
        <w:t>.</w:t>
      </w:r>
      <w:r w:rsidRPr="005F7D2D">
        <w:rPr>
          <w:rFonts w:ascii="Times New Roman" w:hAnsi="Times New Roman" w:cs="Times New Roman"/>
          <w:sz w:val="18"/>
          <w:szCs w:val="18"/>
          <w:lang w:val="lv-LV"/>
        </w:rPr>
        <w:t xml:space="preserve"> lpp.</w:t>
      </w:r>
    </w:p>
  </w:footnote>
  <w:footnote w:id="5">
    <w:p w14:paraId="7549EF62" w14:textId="4EABDB88" w:rsidR="001004F8" w:rsidRPr="005F7D2D" w:rsidRDefault="001004F8" w:rsidP="0088281D">
      <w:pPr>
        <w:pStyle w:val="FootnoteText"/>
        <w:jc w:val="both"/>
        <w:rPr>
          <w:rFonts w:ascii="Times New Roman" w:hAnsi="Times New Roman" w:cs="Times New Roman"/>
          <w:sz w:val="18"/>
          <w:szCs w:val="18"/>
          <w:lang w:val="lv-LV"/>
        </w:rPr>
      </w:pPr>
      <w:r w:rsidRPr="005F7D2D">
        <w:rPr>
          <w:rStyle w:val="FootnoteReference"/>
          <w:rFonts w:ascii="Times New Roman" w:hAnsi="Times New Roman" w:cs="Times New Roman"/>
          <w:sz w:val="18"/>
          <w:szCs w:val="18"/>
          <w:lang w:val="lv-LV"/>
        </w:rPr>
        <w:footnoteRef/>
      </w:r>
      <w:r w:rsidRPr="005F7D2D">
        <w:rPr>
          <w:rFonts w:ascii="Times New Roman" w:hAnsi="Times New Roman" w:cs="Times New Roman"/>
          <w:sz w:val="18"/>
          <w:szCs w:val="18"/>
          <w:lang w:val="lv-LV"/>
        </w:rPr>
        <w:t xml:space="preserve"> Likuma “Par nodokļiem un nodevām” 15.</w:t>
      </w:r>
      <w:r w:rsidR="00725EF6">
        <w:rPr>
          <w:rFonts w:ascii="Times New Roman" w:hAnsi="Times New Roman" w:cs="Times New Roman"/>
          <w:sz w:val="18"/>
          <w:szCs w:val="18"/>
          <w:lang w:val="lv-LV"/>
        </w:rPr>
        <w:t> </w:t>
      </w:r>
      <w:r w:rsidRPr="005F7D2D">
        <w:rPr>
          <w:rFonts w:ascii="Times New Roman" w:hAnsi="Times New Roman" w:cs="Times New Roman"/>
          <w:sz w:val="18"/>
          <w:szCs w:val="18"/>
          <w:lang w:val="lv-LV"/>
        </w:rPr>
        <w:t>panta pirmās daļas 1. un 2.</w:t>
      </w:r>
      <w:r w:rsidR="00725EF6">
        <w:rPr>
          <w:rFonts w:ascii="Times New Roman" w:hAnsi="Times New Roman" w:cs="Times New Roman"/>
          <w:sz w:val="18"/>
          <w:szCs w:val="18"/>
          <w:lang w:val="lv-LV"/>
        </w:rPr>
        <w:t> </w:t>
      </w:r>
      <w:r w:rsidRPr="005F7D2D">
        <w:rPr>
          <w:rFonts w:ascii="Times New Roman" w:hAnsi="Times New Roman" w:cs="Times New Roman"/>
          <w:sz w:val="18"/>
          <w:szCs w:val="18"/>
          <w:lang w:val="lv-LV"/>
        </w:rPr>
        <w:t>punkts</w:t>
      </w:r>
    </w:p>
  </w:footnote>
  <w:footnote w:id="6">
    <w:p w14:paraId="30717FA8" w14:textId="5AD3C071" w:rsidR="001004F8" w:rsidRPr="005F7D2D" w:rsidRDefault="001004F8" w:rsidP="0088281D">
      <w:pPr>
        <w:pStyle w:val="FootnoteText"/>
        <w:jc w:val="both"/>
        <w:rPr>
          <w:rFonts w:ascii="Times New Roman" w:hAnsi="Times New Roman" w:cs="Times New Roman"/>
          <w:sz w:val="18"/>
          <w:szCs w:val="18"/>
          <w:lang w:val="lv-LV"/>
        </w:rPr>
      </w:pPr>
      <w:r w:rsidRPr="005F7D2D">
        <w:rPr>
          <w:rStyle w:val="FootnoteReference"/>
          <w:rFonts w:ascii="Times New Roman" w:hAnsi="Times New Roman" w:cs="Times New Roman"/>
          <w:sz w:val="18"/>
          <w:szCs w:val="18"/>
          <w:lang w:val="lv-LV"/>
        </w:rPr>
        <w:footnoteRef/>
      </w:r>
      <w:r w:rsidRPr="005F7D2D">
        <w:rPr>
          <w:rFonts w:ascii="Times New Roman" w:hAnsi="Times New Roman" w:cs="Times New Roman"/>
          <w:sz w:val="18"/>
          <w:szCs w:val="18"/>
          <w:lang w:val="lv-LV"/>
        </w:rPr>
        <w:t xml:space="preserve"> V.Andrējeva, K.Ketners. Valsts ieņēmumu teorijas pamati. Rīga: Rīgas Tehniskā universitāte, 2008., 43</w:t>
      </w:r>
      <w:r w:rsidR="00725EF6">
        <w:rPr>
          <w:rFonts w:ascii="Times New Roman" w:hAnsi="Times New Roman" w:cs="Times New Roman"/>
          <w:sz w:val="18"/>
          <w:szCs w:val="18"/>
          <w:lang w:val="lv-LV"/>
        </w:rPr>
        <w:t>.</w:t>
      </w:r>
      <w:r w:rsidRPr="005F7D2D">
        <w:rPr>
          <w:rFonts w:ascii="Times New Roman" w:hAnsi="Times New Roman" w:cs="Times New Roman"/>
          <w:sz w:val="18"/>
          <w:szCs w:val="18"/>
          <w:lang w:val="lv-LV"/>
        </w:rPr>
        <w:t xml:space="preserve"> lpp.</w:t>
      </w:r>
    </w:p>
  </w:footnote>
  <w:footnote w:id="7">
    <w:p w14:paraId="32ADD714" w14:textId="1C5022F7" w:rsidR="001004F8" w:rsidRPr="005F7D2D" w:rsidRDefault="001004F8" w:rsidP="0088281D">
      <w:pPr>
        <w:pStyle w:val="FootnoteText"/>
        <w:jc w:val="both"/>
        <w:rPr>
          <w:rFonts w:ascii="Times New Roman" w:hAnsi="Times New Roman" w:cs="Times New Roman"/>
          <w:sz w:val="18"/>
          <w:szCs w:val="18"/>
          <w:lang w:val="lv-LV"/>
        </w:rPr>
      </w:pPr>
      <w:r w:rsidRPr="005F7D2D">
        <w:rPr>
          <w:rStyle w:val="FootnoteReference"/>
          <w:rFonts w:ascii="Times New Roman" w:hAnsi="Times New Roman" w:cs="Times New Roman"/>
          <w:sz w:val="18"/>
          <w:szCs w:val="18"/>
          <w:lang w:val="lv-LV"/>
        </w:rPr>
        <w:footnoteRef/>
      </w:r>
      <w:r w:rsidRPr="005F7D2D">
        <w:rPr>
          <w:rFonts w:ascii="Times New Roman" w:hAnsi="Times New Roman" w:cs="Times New Roman"/>
          <w:sz w:val="18"/>
          <w:szCs w:val="18"/>
          <w:lang w:val="lv-LV"/>
        </w:rPr>
        <w:t xml:space="preserve"> Likuma “Par nodokļiem un nodevām” 24.</w:t>
      </w:r>
      <w:r w:rsidR="00725EF6">
        <w:rPr>
          <w:rFonts w:ascii="Times New Roman" w:hAnsi="Times New Roman" w:cs="Times New Roman"/>
          <w:sz w:val="18"/>
          <w:szCs w:val="18"/>
          <w:lang w:val="lv-LV"/>
        </w:rPr>
        <w:t> </w:t>
      </w:r>
      <w:r w:rsidRPr="005F7D2D">
        <w:rPr>
          <w:rFonts w:ascii="Times New Roman" w:hAnsi="Times New Roman" w:cs="Times New Roman"/>
          <w:sz w:val="18"/>
          <w:szCs w:val="18"/>
          <w:lang w:val="lv-LV"/>
        </w:rPr>
        <w:t>panta septītā daļa</w:t>
      </w:r>
    </w:p>
  </w:footnote>
  <w:footnote w:id="8">
    <w:p w14:paraId="5220FAFF" w14:textId="77777777" w:rsidR="001004F8" w:rsidRPr="005F7D2D" w:rsidRDefault="001004F8" w:rsidP="0088281D">
      <w:pPr>
        <w:pStyle w:val="Header"/>
        <w:jc w:val="both"/>
        <w:rPr>
          <w:rFonts w:ascii="Times New Roman" w:hAnsi="Times New Roman" w:cs="Times New Roman"/>
          <w:sz w:val="18"/>
          <w:szCs w:val="18"/>
          <w:lang w:val="lv-LV"/>
        </w:rPr>
      </w:pPr>
      <w:r w:rsidRPr="005F7D2D">
        <w:rPr>
          <w:rStyle w:val="FootnoteReference"/>
          <w:rFonts w:ascii="Times New Roman" w:hAnsi="Times New Roman" w:cs="Times New Roman"/>
          <w:sz w:val="18"/>
          <w:szCs w:val="18"/>
          <w:lang w:val="lv-LV"/>
        </w:rPr>
        <w:footnoteRef/>
      </w:r>
      <w:r w:rsidRPr="005F7D2D">
        <w:rPr>
          <w:rFonts w:ascii="Times New Roman" w:hAnsi="Times New Roman" w:cs="Times New Roman"/>
          <w:sz w:val="18"/>
          <w:szCs w:val="18"/>
          <w:lang w:val="lv-LV"/>
        </w:rPr>
        <w:t xml:space="preserve"> Pieņemto lēmumu skaits ir lielāks kā iesniegto iesniegumu skaits, jo šeit jāņem vērā, ka ne vienmēr nodokļu maksātāji iesniedz iesniegumu, norādot korektu likuma “Par nodokļiem un nodevām” 24. panta pirmās daļas punktu</w:t>
      </w:r>
    </w:p>
  </w:footnote>
  <w:footnote w:id="9">
    <w:p w14:paraId="5649F595" w14:textId="32C6C495" w:rsidR="001004F8" w:rsidRPr="005F7D2D" w:rsidRDefault="001004F8" w:rsidP="0088281D">
      <w:pPr>
        <w:pStyle w:val="FootnoteText"/>
        <w:jc w:val="both"/>
        <w:rPr>
          <w:rFonts w:ascii="Times New Roman" w:hAnsi="Times New Roman" w:cs="Times New Roman"/>
          <w:sz w:val="18"/>
          <w:szCs w:val="18"/>
          <w:lang w:val="lv-LV"/>
        </w:rPr>
      </w:pPr>
      <w:r w:rsidRPr="005F7D2D">
        <w:rPr>
          <w:rStyle w:val="FootnoteReference"/>
          <w:rFonts w:ascii="Times New Roman" w:hAnsi="Times New Roman" w:cs="Times New Roman"/>
          <w:sz w:val="18"/>
          <w:szCs w:val="18"/>
          <w:lang w:val="lv-LV"/>
        </w:rPr>
        <w:footnoteRef/>
      </w:r>
      <w:r w:rsidRPr="005F7D2D">
        <w:rPr>
          <w:rFonts w:ascii="Times New Roman" w:hAnsi="Times New Roman" w:cs="Times New Roman"/>
          <w:sz w:val="18"/>
          <w:szCs w:val="18"/>
          <w:lang w:val="lv-LV"/>
        </w:rPr>
        <w:t xml:space="preserve"> Likuma “Par nodokļiem un nodevām” 24.</w:t>
      </w:r>
      <w:r w:rsidR="00725EF6">
        <w:rPr>
          <w:rFonts w:ascii="Times New Roman" w:hAnsi="Times New Roman" w:cs="Times New Roman"/>
          <w:sz w:val="18"/>
          <w:szCs w:val="18"/>
          <w:lang w:val="lv-LV"/>
        </w:rPr>
        <w:t> </w:t>
      </w:r>
      <w:r w:rsidRPr="005F7D2D">
        <w:rPr>
          <w:rFonts w:ascii="Times New Roman" w:hAnsi="Times New Roman" w:cs="Times New Roman"/>
          <w:sz w:val="18"/>
          <w:szCs w:val="18"/>
          <w:lang w:val="lv-LV"/>
        </w:rPr>
        <w:t>panta septītā daļa</w:t>
      </w:r>
    </w:p>
  </w:footnote>
  <w:footnote w:id="10">
    <w:p w14:paraId="6E5F3303" w14:textId="21EFB950" w:rsidR="001004F8" w:rsidRPr="005F7D2D" w:rsidRDefault="001004F8" w:rsidP="0088281D">
      <w:pPr>
        <w:pStyle w:val="FootnoteText"/>
        <w:jc w:val="both"/>
        <w:rPr>
          <w:rFonts w:ascii="Times New Roman" w:hAnsi="Times New Roman" w:cs="Times New Roman"/>
          <w:sz w:val="18"/>
          <w:szCs w:val="18"/>
          <w:lang w:val="lv-LV"/>
        </w:rPr>
      </w:pPr>
      <w:r w:rsidRPr="005F7D2D">
        <w:rPr>
          <w:rStyle w:val="FootnoteReference"/>
          <w:rFonts w:ascii="Times New Roman" w:hAnsi="Times New Roman" w:cs="Times New Roman"/>
          <w:sz w:val="18"/>
          <w:szCs w:val="18"/>
          <w:lang w:val="lv-LV"/>
        </w:rPr>
        <w:footnoteRef/>
      </w:r>
      <w:r w:rsidRPr="005F7D2D">
        <w:rPr>
          <w:rFonts w:ascii="Times New Roman" w:hAnsi="Times New Roman" w:cs="Times New Roman"/>
          <w:sz w:val="18"/>
          <w:szCs w:val="18"/>
          <w:lang w:val="lv-LV"/>
        </w:rPr>
        <w:t xml:space="preserve"> Likuma “Par nodokļiem un nodevām” 24.</w:t>
      </w:r>
      <w:r w:rsidR="00725EF6">
        <w:rPr>
          <w:rFonts w:ascii="Times New Roman" w:hAnsi="Times New Roman" w:cs="Times New Roman"/>
          <w:sz w:val="18"/>
          <w:szCs w:val="18"/>
          <w:lang w:val="lv-LV"/>
        </w:rPr>
        <w:t> </w:t>
      </w:r>
      <w:r w:rsidRPr="005F7D2D">
        <w:rPr>
          <w:rFonts w:ascii="Times New Roman" w:hAnsi="Times New Roman" w:cs="Times New Roman"/>
          <w:sz w:val="18"/>
          <w:szCs w:val="18"/>
          <w:lang w:val="lv-LV"/>
        </w:rPr>
        <w:t>panta 9.</w:t>
      </w:r>
      <w:r w:rsidRPr="005F7D2D">
        <w:rPr>
          <w:rFonts w:ascii="Times New Roman" w:hAnsi="Times New Roman" w:cs="Times New Roman"/>
          <w:sz w:val="18"/>
          <w:szCs w:val="18"/>
          <w:vertAlign w:val="superscript"/>
          <w:lang w:val="lv-LV"/>
        </w:rPr>
        <w:t>1 </w:t>
      </w:r>
      <w:r w:rsidRPr="005F7D2D">
        <w:rPr>
          <w:rFonts w:ascii="Times New Roman" w:hAnsi="Times New Roman" w:cs="Times New Roman"/>
          <w:sz w:val="18"/>
          <w:szCs w:val="18"/>
          <w:lang w:val="lv-LV"/>
        </w:rPr>
        <w:t>daļa</w:t>
      </w:r>
    </w:p>
  </w:footnote>
  <w:footnote w:id="11">
    <w:p w14:paraId="5534EAC8" w14:textId="76F72612" w:rsidR="001004F8" w:rsidRPr="005F7D2D" w:rsidRDefault="001004F8" w:rsidP="0088281D">
      <w:pPr>
        <w:pStyle w:val="FootnoteText"/>
        <w:jc w:val="both"/>
        <w:rPr>
          <w:rFonts w:ascii="Times New Roman" w:hAnsi="Times New Roman" w:cs="Times New Roman"/>
          <w:sz w:val="18"/>
          <w:szCs w:val="18"/>
          <w:lang w:val="lv-LV"/>
        </w:rPr>
      </w:pPr>
      <w:r w:rsidRPr="005F7D2D">
        <w:rPr>
          <w:rStyle w:val="FootnoteReference"/>
          <w:rFonts w:ascii="Times New Roman" w:hAnsi="Times New Roman" w:cs="Times New Roman"/>
          <w:sz w:val="18"/>
          <w:szCs w:val="18"/>
          <w:lang w:val="lv-LV"/>
        </w:rPr>
        <w:footnoteRef/>
      </w:r>
      <w:r w:rsidRPr="005F7D2D">
        <w:rPr>
          <w:rFonts w:ascii="Times New Roman" w:hAnsi="Times New Roman" w:cs="Times New Roman"/>
          <w:sz w:val="18"/>
          <w:szCs w:val="18"/>
          <w:lang w:val="lv-LV"/>
        </w:rPr>
        <w:t xml:space="preserve"> Lēmumus pēc likuma “Par nodokļiem un nodevām” 24.</w:t>
      </w:r>
      <w:r w:rsidR="00725EF6">
        <w:rPr>
          <w:rFonts w:ascii="Times New Roman" w:hAnsi="Times New Roman" w:cs="Times New Roman"/>
          <w:sz w:val="18"/>
          <w:szCs w:val="18"/>
          <w:lang w:val="lv-LV"/>
        </w:rPr>
        <w:t> </w:t>
      </w:r>
      <w:r w:rsidRPr="005F7D2D">
        <w:rPr>
          <w:rFonts w:ascii="Times New Roman" w:hAnsi="Times New Roman" w:cs="Times New Roman"/>
          <w:sz w:val="18"/>
          <w:szCs w:val="18"/>
          <w:lang w:val="lv-LV"/>
        </w:rPr>
        <w:t>panta pirmās daļas 1.</w:t>
      </w:r>
      <w:r w:rsidR="00725EF6">
        <w:rPr>
          <w:rFonts w:ascii="Times New Roman" w:hAnsi="Times New Roman" w:cs="Times New Roman"/>
          <w:sz w:val="18"/>
          <w:szCs w:val="18"/>
          <w:lang w:val="lv-LV"/>
        </w:rPr>
        <w:t> </w:t>
      </w:r>
      <w:r w:rsidRPr="005F7D2D">
        <w:rPr>
          <w:rFonts w:ascii="Times New Roman" w:hAnsi="Times New Roman" w:cs="Times New Roman"/>
          <w:sz w:val="18"/>
          <w:szCs w:val="18"/>
          <w:lang w:val="lv-LV"/>
        </w:rPr>
        <w:t>punkta nav iespējams atlasīt, jo ar identiskiem identifikatoriem tiek piešķirti visi termiņa pagarinājumi, izņemot termiņa pagarinājumus pēc likuma “Par nodokļiem un nodevām” 24.</w:t>
      </w:r>
      <w:r w:rsidR="00725EF6">
        <w:rPr>
          <w:rFonts w:ascii="Times New Roman" w:hAnsi="Times New Roman" w:cs="Times New Roman"/>
          <w:sz w:val="18"/>
          <w:szCs w:val="18"/>
          <w:lang w:val="lv-LV"/>
        </w:rPr>
        <w:t> </w:t>
      </w:r>
      <w:r w:rsidRPr="005F7D2D">
        <w:rPr>
          <w:rFonts w:ascii="Times New Roman" w:hAnsi="Times New Roman" w:cs="Times New Roman"/>
          <w:sz w:val="18"/>
          <w:szCs w:val="18"/>
          <w:lang w:val="lv-LV"/>
        </w:rPr>
        <w:t>panta pirmās daļas 3., 4., 9. un 10.</w:t>
      </w:r>
      <w:r w:rsidR="00725EF6">
        <w:rPr>
          <w:rFonts w:ascii="Times New Roman" w:hAnsi="Times New Roman" w:cs="Times New Roman"/>
          <w:sz w:val="18"/>
          <w:szCs w:val="18"/>
          <w:lang w:val="lv-LV"/>
        </w:rPr>
        <w:t> </w:t>
      </w:r>
      <w:r w:rsidRPr="005F7D2D">
        <w:rPr>
          <w:rFonts w:ascii="Times New Roman" w:hAnsi="Times New Roman" w:cs="Times New Roman"/>
          <w:sz w:val="18"/>
          <w:szCs w:val="18"/>
          <w:lang w:val="lv-LV"/>
        </w:rPr>
        <w:t>punkta</w:t>
      </w:r>
    </w:p>
  </w:footnote>
  <w:footnote w:id="12">
    <w:p w14:paraId="633BD164" w14:textId="551CF0F0" w:rsidR="001004F8" w:rsidRPr="005F7D2D" w:rsidRDefault="001004F8" w:rsidP="0088281D">
      <w:pPr>
        <w:pStyle w:val="FootnoteText"/>
        <w:jc w:val="both"/>
        <w:rPr>
          <w:rFonts w:ascii="Times New Roman" w:hAnsi="Times New Roman" w:cs="Times New Roman"/>
          <w:sz w:val="18"/>
          <w:szCs w:val="18"/>
          <w:lang w:val="lv-LV"/>
        </w:rPr>
      </w:pPr>
      <w:r w:rsidRPr="005F7D2D">
        <w:rPr>
          <w:rStyle w:val="FootnoteReference"/>
          <w:rFonts w:ascii="Times New Roman" w:hAnsi="Times New Roman" w:cs="Times New Roman"/>
          <w:sz w:val="18"/>
          <w:szCs w:val="18"/>
          <w:lang w:val="lv-LV"/>
        </w:rPr>
        <w:footnoteRef/>
      </w:r>
      <w:r w:rsidRPr="005F7D2D">
        <w:rPr>
          <w:rFonts w:ascii="Times New Roman" w:hAnsi="Times New Roman" w:cs="Times New Roman"/>
          <w:sz w:val="18"/>
          <w:szCs w:val="18"/>
          <w:lang w:val="lv-LV"/>
        </w:rPr>
        <w:t xml:space="preserve"> </w:t>
      </w:r>
      <w:r w:rsidRPr="005F7D2D">
        <w:rPr>
          <w:rFonts w:ascii="Times New Roman" w:hAnsi="Times New Roman" w:cs="Times New Roman"/>
          <w:iCs/>
          <w:sz w:val="18"/>
          <w:szCs w:val="18"/>
          <w:lang w:val="lv-LV"/>
        </w:rPr>
        <w:t>Nodokļu informatīvajā sistēmā  nav iespējams atlasīt statistisko informāciju</w:t>
      </w:r>
      <w:r>
        <w:rPr>
          <w:rFonts w:ascii="Times New Roman" w:hAnsi="Times New Roman" w:cs="Times New Roman"/>
          <w:iCs/>
          <w:sz w:val="18"/>
          <w:szCs w:val="18"/>
          <w:lang w:val="lv-LV"/>
        </w:rPr>
        <w:t>,</w:t>
      </w:r>
      <w:r w:rsidRPr="005F7D2D">
        <w:rPr>
          <w:rFonts w:ascii="Times New Roman" w:hAnsi="Times New Roman" w:cs="Times New Roman"/>
          <w:iCs/>
          <w:sz w:val="18"/>
          <w:szCs w:val="18"/>
          <w:lang w:val="lv-LV"/>
        </w:rPr>
        <w:t xml:space="preserve"> par kādu summu piešķirts samaksas termiņa pagarinājums saskaņā ar likuma “Par nodokļiem un nodevām” 24.</w:t>
      </w:r>
      <w:r w:rsidR="00725EF6">
        <w:rPr>
          <w:rFonts w:ascii="Times New Roman" w:hAnsi="Times New Roman" w:cs="Times New Roman"/>
          <w:iCs/>
          <w:sz w:val="18"/>
          <w:szCs w:val="18"/>
          <w:lang w:val="lv-LV"/>
        </w:rPr>
        <w:t> </w:t>
      </w:r>
      <w:r w:rsidRPr="005F7D2D">
        <w:rPr>
          <w:rFonts w:ascii="Times New Roman" w:hAnsi="Times New Roman" w:cs="Times New Roman"/>
          <w:iCs/>
          <w:sz w:val="18"/>
          <w:szCs w:val="18"/>
          <w:lang w:val="lv-LV"/>
        </w:rPr>
        <w:t>panta 1.</w:t>
      </w:r>
      <w:r w:rsidRPr="005F7D2D">
        <w:rPr>
          <w:rFonts w:ascii="Times New Roman" w:hAnsi="Times New Roman" w:cs="Times New Roman"/>
          <w:iCs/>
          <w:sz w:val="18"/>
          <w:szCs w:val="18"/>
          <w:vertAlign w:val="superscript"/>
          <w:lang w:val="lv-LV"/>
        </w:rPr>
        <w:t>3</w:t>
      </w:r>
      <w:r w:rsidR="00725EF6">
        <w:rPr>
          <w:rFonts w:ascii="Times New Roman" w:hAnsi="Times New Roman" w:cs="Times New Roman"/>
          <w:iCs/>
          <w:sz w:val="18"/>
          <w:szCs w:val="18"/>
          <w:lang w:val="lv-LV"/>
        </w:rPr>
        <w:t> </w:t>
      </w:r>
      <w:r w:rsidRPr="005F7D2D">
        <w:rPr>
          <w:rFonts w:ascii="Times New Roman" w:hAnsi="Times New Roman" w:cs="Times New Roman"/>
          <w:iCs/>
          <w:sz w:val="18"/>
          <w:szCs w:val="18"/>
          <w:lang w:val="lv-LV"/>
        </w:rPr>
        <w:t>daļu (šos datus var iegūt</w:t>
      </w:r>
      <w:r>
        <w:rPr>
          <w:rFonts w:ascii="Times New Roman" w:hAnsi="Times New Roman" w:cs="Times New Roman"/>
          <w:iCs/>
          <w:sz w:val="18"/>
          <w:szCs w:val="18"/>
          <w:lang w:val="lv-LV"/>
        </w:rPr>
        <w:t>,</w:t>
      </w:r>
      <w:r w:rsidRPr="005F7D2D">
        <w:rPr>
          <w:rFonts w:ascii="Times New Roman" w:hAnsi="Times New Roman" w:cs="Times New Roman"/>
          <w:iCs/>
          <w:sz w:val="18"/>
          <w:szCs w:val="18"/>
          <w:lang w:val="lv-LV"/>
        </w:rPr>
        <w:t xml:space="preserve"> tikai veicot katra iesnieguma manuālu apstrādi)</w:t>
      </w:r>
    </w:p>
  </w:footnote>
  <w:footnote w:id="13">
    <w:p w14:paraId="08DCDD19" w14:textId="77777777" w:rsidR="001004F8" w:rsidRPr="005E0E24" w:rsidRDefault="001004F8" w:rsidP="0088281D">
      <w:pPr>
        <w:pStyle w:val="FootnoteText"/>
        <w:jc w:val="both"/>
        <w:rPr>
          <w:rFonts w:ascii="Times New Roman" w:hAnsi="Times New Roman" w:cs="Times New Roman"/>
          <w:lang w:val="lv-LV"/>
        </w:rPr>
      </w:pPr>
      <w:r w:rsidRPr="005E0E24">
        <w:rPr>
          <w:rStyle w:val="FootnoteReference"/>
          <w:rFonts w:ascii="Times New Roman" w:hAnsi="Times New Roman" w:cs="Times New Roman"/>
          <w:lang w:val="lv-LV"/>
        </w:rPr>
        <w:footnoteRef/>
      </w:r>
      <w:r w:rsidRPr="005E0E24">
        <w:rPr>
          <w:rFonts w:ascii="Times New Roman" w:hAnsi="Times New Roman" w:cs="Times New Roman"/>
          <w:lang w:val="lv-LV"/>
        </w:rPr>
        <w:t xml:space="preserve"> Summas noapaļotas līdz simts </w:t>
      </w:r>
      <w:r w:rsidRPr="005E0E24">
        <w:rPr>
          <w:rFonts w:ascii="Times New Roman" w:hAnsi="Times New Roman" w:cs="Times New Roman"/>
          <w:i/>
          <w:lang w:val="lv-LV"/>
        </w:rPr>
        <w:t>euro</w:t>
      </w:r>
    </w:p>
  </w:footnote>
  <w:footnote w:id="14">
    <w:p w14:paraId="648E82BC" w14:textId="309270C3" w:rsidR="001004F8" w:rsidRPr="00DF19EF" w:rsidRDefault="001004F8">
      <w:pPr>
        <w:pStyle w:val="FootnoteText"/>
        <w:rPr>
          <w:lang w:val="lv-LV"/>
        </w:rPr>
      </w:pPr>
      <w:r w:rsidRPr="005E0E24">
        <w:rPr>
          <w:rStyle w:val="FootnoteReference"/>
          <w:rFonts w:ascii="Times New Roman" w:hAnsi="Times New Roman" w:cs="Times New Roman"/>
        </w:rPr>
        <w:footnoteRef/>
      </w:r>
      <w:r w:rsidRPr="005E0E24">
        <w:rPr>
          <w:rFonts w:ascii="Times New Roman" w:hAnsi="Times New Roman" w:cs="Times New Roman"/>
        </w:rPr>
        <w:t xml:space="preserve"> </w:t>
      </w:r>
      <w:r w:rsidRPr="005E0E24">
        <w:rPr>
          <w:rFonts w:ascii="Times New Roman" w:hAnsi="Times New Roman" w:cs="Times New Roman"/>
          <w:iCs/>
          <w:lang w:val="lv-LV"/>
        </w:rPr>
        <w:t>Horns N. Ievads tiesību zinātnē un filozofijā. Likums un Tiesības, decembris, 2000, 354.</w:t>
      </w:r>
      <w:r w:rsidR="005E0E24">
        <w:rPr>
          <w:rFonts w:ascii="Times New Roman" w:hAnsi="Times New Roman" w:cs="Times New Roman"/>
          <w:iCs/>
          <w:lang w:val="lv-LV"/>
        </w:rPr>
        <w:t xml:space="preserve"> </w:t>
      </w:r>
      <w:r w:rsidRPr="005E0E24">
        <w:rPr>
          <w:rFonts w:ascii="Times New Roman" w:hAnsi="Times New Roman" w:cs="Times New Roman"/>
          <w:iCs/>
          <w:lang w:val="lv-LV"/>
        </w:rPr>
        <w:t>lpp</w:t>
      </w:r>
      <w:r w:rsidRPr="005E0E24">
        <w:rPr>
          <w:rFonts w:ascii="Times New Roman" w:hAnsi="Times New Roman" w:cs="Times New Roman"/>
          <w:lang w:val="lv-LV"/>
        </w:rPr>
        <w:t>.</w:t>
      </w:r>
    </w:p>
  </w:footnote>
  <w:footnote w:id="15">
    <w:p w14:paraId="1C1AAD8C" w14:textId="77777777" w:rsidR="001004F8" w:rsidRPr="005F7D2D" w:rsidRDefault="001004F8" w:rsidP="0088281D">
      <w:pPr>
        <w:pStyle w:val="FootnoteText"/>
        <w:jc w:val="both"/>
        <w:rPr>
          <w:rFonts w:ascii="Times New Roman" w:hAnsi="Times New Roman" w:cs="Times New Roman"/>
          <w:sz w:val="18"/>
          <w:szCs w:val="18"/>
          <w:lang w:val="lv-LV"/>
        </w:rPr>
      </w:pPr>
      <w:r w:rsidRPr="005F7D2D">
        <w:rPr>
          <w:rStyle w:val="FootnoteReference"/>
          <w:rFonts w:ascii="Times New Roman" w:hAnsi="Times New Roman" w:cs="Times New Roman"/>
          <w:sz w:val="18"/>
          <w:szCs w:val="18"/>
          <w:lang w:val="lv-LV"/>
        </w:rPr>
        <w:footnoteRef/>
      </w:r>
      <w:r w:rsidRPr="005F7D2D">
        <w:rPr>
          <w:rFonts w:ascii="Times New Roman" w:hAnsi="Times New Roman" w:cs="Times New Roman"/>
          <w:sz w:val="18"/>
          <w:szCs w:val="18"/>
          <w:lang w:val="lv-LV"/>
        </w:rPr>
        <w:t xml:space="preserve"> Likuma “Par nodokļiem un nodevām” 24. panta 1.</w:t>
      </w:r>
      <w:r w:rsidRPr="005F7D2D">
        <w:rPr>
          <w:rFonts w:ascii="Times New Roman" w:hAnsi="Times New Roman" w:cs="Times New Roman"/>
          <w:sz w:val="18"/>
          <w:szCs w:val="18"/>
          <w:vertAlign w:val="superscript"/>
          <w:lang w:val="lv-LV"/>
        </w:rPr>
        <w:t>1</w:t>
      </w:r>
      <w:r w:rsidRPr="005F7D2D">
        <w:rPr>
          <w:rFonts w:ascii="Times New Roman" w:hAnsi="Times New Roman" w:cs="Times New Roman"/>
          <w:sz w:val="18"/>
          <w:szCs w:val="18"/>
          <w:lang w:val="lv-LV"/>
        </w:rPr>
        <w:t> daļa</w:t>
      </w:r>
    </w:p>
  </w:footnote>
  <w:footnote w:id="16">
    <w:p w14:paraId="4680A6CE" w14:textId="77777777" w:rsidR="001004F8" w:rsidRPr="005F7D2D" w:rsidRDefault="001004F8" w:rsidP="0088281D">
      <w:pPr>
        <w:pStyle w:val="FootnoteText"/>
        <w:jc w:val="both"/>
        <w:rPr>
          <w:rFonts w:ascii="Times New Roman" w:hAnsi="Times New Roman" w:cs="Times New Roman"/>
          <w:sz w:val="18"/>
          <w:szCs w:val="18"/>
          <w:lang w:val="lv-LV"/>
        </w:rPr>
      </w:pPr>
      <w:r w:rsidRPr="005F7D2D">
        <w:rPr>
          <w:rStyle w:val="FootnoteReference"/>
          <w:rFonts w:ascii="Times New Roman" w:hAnsi="Times New Roman" w:cs="Times New Roman"/>
          <w:sz w:val="18"/>
          <w:szCs w:val="18"/>
          <w:lang w:val="lv-LV"/>
        </w:rPr>
        <w:footnoteRef/>
      </w:r>
      <w:r w:rsidRPr="005F7D2D">
        <w:rPr>
          <w:rFonts w:ascii="Times New Roman" w:hAnsi="Times New Roman" w:cs="Times New Roman"/>
          <w:sz w:val="18"/>
          <w:szCs w:val="18"/>
          <w:lang w:val="lv-LV"/>
        </w:rPr>
        <w:t xml:space="preserve"> Likuma “Par nodokļiem un nodevām” 29. panta otrā daļa</w:t>
      </w:r>
    </w:p>
  </w:footnote>
  <w:footnote w:id="17">
    <w:p w14:paraId="508C0999" w14:textId="1D3A96FE" w:rsidR="001004F8" w:rsidRPr="005F7D2D" w:rsidRDefault="001004F8" w:rsidP="0088281D">
      <w:pPr>
        <w:pStyle w:val="FootnoteText"/>
        <w:jc w:val="both"/>
        <w:rPr>
          <w:rFonts w:ascii="Times New Roman" w:hAnsi="Times New Roman" w:cs="Times New Roman"/>
          <w:sz w:val="18"/>
          <w:szCs w:val="18"/>
          <w:lang w:val="lv-LV"/>
        </w:rPr>
      </w:pPr>
      <w:r w:rsidRPr="005F7D2D">
        <w:rPr>
          <w:rStyle w:val="FootnoteReference"/>
          <w:rFonts w:ascii="Times New Roman" w:hAnsi="Times New Roman" w:cs="Times New Roman"/>
          <w:sz w:val="18"/>
          <w:szCs w:val="18"/>
          <w:lang w:val="lv-LV"/>
        </w:rPr>
        <w:footnoteRef/>
      </w:r>
      <w:r w:rsidRPr="005F7D2D">
        <w:rPr>
          <w:rFonts w:ascii="Times New Roman" w:hAnsi="Times New Roman" w:cs="Times New Roman"/>
          <w:sz w:val="18"/>
          <w:szCs w:val="18"/>
          <w:lang w:val="lv-LV"/>
        </w:rPr>
        <w:t xml:space="preserve"> Li</w:t>
      </w:r>
      <w:r w:rsidR="005E0E24">
        <w:rPr>
          <w:rFonts w:ascii="Times New Roman" w:hAnsi="Times New Roman" w:cs="Times New Roman"/>
          <w:sz w:val="18"/>
          <w:szCs w:val="18"/>
          <w:lang w:val="lv-LV"/>
        </w:rPr>
        <w:t xml:space="preserve">kuma “Par nodokļiem un nodevām” </w:t>
      </w:r>
      <w:r w:rsidRPr="005F7D2D">
        <w:rPr>
          <w:rFonts w:ascii="Times New Roman" w:hAnsi="Times New Roman" w:cs="Times New Roman"/>
          <w:sz w:val="18"/>
          <w:szCs w:val="18"/>
          <w:lang w:val="lv-LV"/>
        </w:rPr>
        <w:t>29.</w:t>
      </w:r>
      <w:r w:rsidR="005E0E24">
        <w:rPr>
          <w:rFonts w:ascii="Times New Roman" w:hAnsi="Times New Roman" w:cs="Times New Roman"/>
          <w:sz w:val="18"/>
          <w:szCs w:val="18"/>
          <w:lang w:val="lv-LV"/>
        </w:rPr>
        <w:t> </w:t>
      </w:r>
      <w:r w:rsidRPr="005F7D2D">
        <w:rPr>
          <w:rFonts w:ascii="Times New Roman" w:hAnsi="Times New Roman" w:cs="Times New Roman"/>
          <w:sz w:val="18"/>
          <w:szCs w:val="18"/>
          <w:lang w:val="lv-LV"/>
        </w:rPr>
        <w:t>panta septītā daļa</w:t>
      </w:r>
    </w:p>
  </w:footnote>
  <w:footnote w:id="18">
    <w:p w14:paraId="2759077A" w14:textId="18DF6252" w:rsidR="001004F8" w:rsidRPr="005F7D2D" w:rsidRDefault="001004F8" w:rsidP="0088281D">
      <w:pPr>
        <w:pStyle w:val="FootnoteText"/>
        <w:jc w:val="both"/>
        <w:rPr>
          <w:rFonts w:ascii="Times New Roman" w:hAnsi="Times New Roman" w:cs="Times New Roman"/>
          <w:sz w:val="18"/>
          <w:szCs w:val="18"/>
          <w:lang w:val="lv-LV"/>
        </w:rPr>
      </w:pPr>
      <w:r w:rsidRPr="005F7D2D">
        <w:rPr>
          <w:rStyle w:val="FootnoteReference"/>
          <w:rFonts w:ascii="Times New Roman" w:hAnsi="Times New Roman" w:cs="Times New Roman"/>
          <w:sz w:val="18"/>
          <w:szCs w:val="18"/>
          <w:lang w:val="lv-LV"/>
        </w:rPr>
        <w:footnoteRef/>
      </w:r>
      <w:r w:rsidRPr="005F7D2D">
        <w:rPr>
          <w:rFonts w:ascii="Times New Roman" w:hAnsi="Times New Roman" w:cs="Times New Roman"/>
          <w:sz w:val="18"/>
          <w:szCs w:val="18"/>
          <w:lang w:val="lv-LV"/>
        </w:rPr>
        <w:t xml:space="preserve"> Civillikuma 1763.</w:t>
      </w:r>
      <w:r w:rsidR="005E0E24">
        <w:rPr>
          <w:rFonts w:ascii="Times New Roman" w:hAnsi="Times New Roman" w:cs="Times New Roman"/>
          <w:sz w:val="18"/>
          <w:szCs w:val="18"/>
          <w:lang w:val="lv-LV"/>
        </w:rPr>
        <w:t> </w:t>
      </w:r>
      <w:r w:rsidRPr="005F7D2D">
        <w:rPr>
          <w:rFonts w:ascii="Times New Roman" w:hAnsi="Times New Roman" w:cs="Times New Roman"/>
          <w:sz w:val="18"/>
          <w:szCs w:val="18"/>
          <w:lang w:val="lv-LV"/>
        </w:rPr>
        <w:t>panta 1.</w:t>
      </w:r>
      <w:r w:rsidR="005E0E24">
        <w:rPr>
          <w:rFonts w:ascii="Times New Roman" w:hAnsi="Times New Roman" w:cs="Times New Roman"/>
          <w:sz w:val="18"/>
          <w:szCs w:val="18"/>
          <w:lang w:val="lv-LV"/>
        </w:rPr>
        <w:t> </w:t>
      </w:r>
      <w:r w:rsidRPr="005F7D2D">
        <w:rPr>
          <w:rFonts w:ascii="Times New Roman" w:hAnsi="Times New Roman" w:cs="Times New Roman"/>
          <w:sz w:val="18"/>
          <w:szCs w:val="18"/>
          <w:lang w:val="lv-LV"/>
        </w:rPr>
        <w:t>punkts</w:t>
      </w:r>
    </w:p>
  </w:footnote>
  <w:footnote w:id="19">
    <w:p w14:paraId="1D80A572" w14:textId="3DCE6B21" w:rsidR="001004F8" w:rsidRPr="005F7D2D" w:rsidRDefault="001004F8" w:rsidP="0088281D">
      <w:pPr>
        <w:pStyle w:val="FootnoteText"/>
        <w:jc w:val="both"/>
        <w:rPr>
          <w:rFonts w:ascii="Times New Roman" w:hAnsi="Times New Roman" w:cs="Times New Roman"/>
          <w:sz w:val="18"/>
          <w:szCs w:val="18"/>
          <w:lang w:val="lv-LV"/>
        </w:rPr>
      </w:pPr>
      <w:r w:rsidRPr="005F7D2D">
        <w:rPr>
          <w:rStyle w:val="FootnoteReference"/>
          <w:rFonts w:ascii="Times New Roman" w:hAnsi="Times New Roman" w:cs="Times New Roman"/>
          <w:sz w:val="18"/>
          <w:szCs w:val="18"/>
          <w:lang w:val="lv-LV"/>
        </w:rPr>
        <w:footnoteRef/>
      </w:r>
      <w:r w:rsidRPr="005F7D2D">
        <w:rPr>
          <w:rFonts w:ascii="Times New Roman" w:hAnsi="Times New Roman" w:cs="Times New Roman"/>
          <w:sz w:val="18"/>
          <w:szCs w:val="18"/>
          <w:lang w:val="lv-LV"/>
        </w:rPr>
        <w:t xml:space="preserve"> Likuma “Par nodokļiem un nodevām” 24.</w:t>
      </w:r>
      <w:r w:rsidR="005E0E24">
        <w:rPr>
          <w:rFonts w:ascii="Times New Roman" w:hAnsi="Times New Roman" w:cs="Times New Roman"/>
          <w:sz w:val="18"/>
          <w:szCs w:val="18"/>
          <w:lang w:val="lv-LV"/>
        </w:rPr>
        <w:t> </w:t>
      </w:r>
      <w:r w:rsidRPr="005F7D2D">
        <w:rPr>
          <w:rFonts w:ascii="Times New Roman" w:hAnsi="Times New Roman" w:cs="Times New Roman"/>
          <w:sz w:val="18"/>
          <w:szCs w:val="18"/>
          <w:lang w:val="lv-LV"/>
        </w:rPr>
        <w:t>panta pirmās daļas 1.</w:t>
      </w:r>
      <w:r w:rsidR="005E0E24">
        <w:rPr>
          <w:rFonts w:ascii="Times New Roman" w:hAnsi="Times New Roman" w:cs="Times New Roman"/>
          <w:sz w:val="18"/>
          <w:szCs w:val="18"/>
          <w:lang w:val="lv-LV"/>
        </w:rPr>
        <w:t> </w:t>
      </w:r>
      <w:r w:rsidRPr="005F7D2D">
        <w:rPr>
          <w:rFonts w:ascii="Times New Roman" w:hAnsi="Times New Roman" w:cs="Times New Roman"/>
          <w:sz w:val="18"/>
          <w:szCs w:val="18"/>
          <w:lang w:val="lv-LV"/>
        </w:rPr>
        <w:t>punkts</w:t>
      </w:r>
    </w:p>
  </w:footnote>
  <w:footnote w:id="20">
    <w:p w14:paraId="6B57BCE2" w14:textId="7C6B1D9B" w:rsidR="001004F8" w:rsidRPr="005F7D2D" w:rsidRDefault="001004F8" w:rsidP="0088281D">
      <w:pPr>
        <w:pStyle w:val="FootnoteText"/>
        <w:jc w:val="both"/>
        <w:rPr>
          <w:rFonts w:ascii="Times New Roman" w:hAnsi="Times New Roman" w:cs="Times New Roman"/>
          <w:sz w:val="18"/>
          <w:szCs w:val="18"/>
          <w:lang w:val="lv-LV"/>
        </w:rPr>
      </w:pPr>
      <w:r w:rsidRPr="005F7D2D">
        <w:rPr>
          <w:rStyle w:val="FootnoteReference"/>
          <w:rFonts w:ascii="Times New Roman" w:hAnsi="Times New Roman" w:cs="Times New Roman"/>
          <w:sz w:val="18"/>
          <w:szCs w:val="18"/>
          <w:lang w:val="lv-LV"/>
        </w:rPr>
        <w:footnoteRef/>
      </w:r>
      <w:r w:rsidRPr="005F7D2D">
        <w:rPr>
          <w:rFonts w:ascii="Times New Roman" w:hAnsi="Times New Roman" w:cs="Times New Roman"/>
          <w:sz w:val="18"/>
          <w:szCs w:val="18"/>
          <w:lang w:val="lv-LV"/>
        </w:rPr>
        <w:t xml:space="preserve"> Likuma “Par nodokļiem un nodevām” 18.</w:t>
      </w:r>
      <w:r w:rsidR="005E0E24">
        <w:rPr>
          <w:rFonts w:ascii="Times New Roman" w:hAnsi="Times New Roman" w:cs="Times New Roman"/>
          <w:sz w:val="18"/>
          <w:szCs w:val="18"/>
          <w:lang w:val="lv-LV"/>
        </w:rPr>
        <w:t> </w:t>
      </w:r>
      <w:r w:rsidRPr="005F7D2D">
        <w:rPr>
          <w:rFonts w:ascii="Times New Roman" w:hAnsi="Times New Roman" w:cs="Times New Roman"/>
          <w:sz w:val="18"/>
          <w:szCs w:val="18"/>
          <w:lang w:val="lv-LV"/>
        </w:rPr>
        <w:t>panta pirmās daļas 11.</w:t>
      </w:r>
      <w:r w:rsidR="005E0E24">
        <w:rPr>
          <w:rFonts w:ascii="Times New Roman" w:hAnsi="Times New Roman" w:cs="Times New Roman"/>
          <w:sz w:val="18"/>
          <w:szCs w:val="18"/>
          <w:lang w:val="lv-LV"/>
        </w:rPr>
        <w:t> </w:t>
      </w:r>
      <w:r w:rsidRPr="005F7D2D">
        <w:rPr>
          <w:rFonts w:ascii="Times New Roman" w:hAnsi="Times New Roman" w:cs="Times New Roman"/>
          <w:sz w:val="18"/>
          <w:szCs w:val="18"/>
          <w:lang w:val="lv-LV"/>
        </w:rPr>
        <w:t>punkts</w:t>
      </w:r>
    </w:p>
  </w:footnote>
  <w:footnote w:id="21">
    <w:p w14:paraId="1FF62C54" w14:textId="7BC9C943" w:rsidR="001004F8" w:rsidRPr="005F7D2D" w:rsidRDefault="001004F8" w:rsidP="0088281D">
      <w:pPr>
        <w:pStyle w:val="FootnoteText"/>
        <w:jc w:val="both"/>
        <w:rPr>
          <w:rFonts w:ascii="Times New Roman" w:hAnsi="Times New Roman" w:cs="Times New Roman"/>
          <w:sz w:val="18"/>
          <w:szCs w:val="18"/>
          <w:lang w:val="lv-LV"/>
        </w:rPr>
      </w:pPr>
      <w:r w:rsidRPr="005F7D2D">
        <w:rPr>
          <w:rStyle w:val="FootnoteReference"/>
          <w:rFonts w:ascii="Times New Roman" w:hAnsi="Times New Roman" w:cs="Times New Roman"/>
          <w:sz w:val="18"/>
          <w:szCs w:val="18"/>
          <w:lang w:val="lv-LV"/>
        </w:rPr>
        <w:footnoteRef/>
      </w:r>
      <w:r w:rsidRPr="005F7D2D">
        <w:rPr>
          <w:rFonts w:ascii="Times New Roman" w:hAnsi="Times New Roman" w:cs="Times New Roman"/>
          <w:sz w:val="18"/>
          <w:szCs w:val="18"/>
          <w:lang w:val="lv-LV"/>
        </w:rPr>
        <w:t xml:space="preserve"> Minētais termiņš ir attiecināms uz nodokļu maksātājiem, kuru nokavētos nodokļu maksājumus </w:t>
      </w:r>
      <w:r>
        <w:rPr>
          <w:rFonts w:ascii="Times New Roman" w:hAnsi="Times New Roman" w:cs="Times New Roman"/>
          <w:sz w:val="18"/>
          <w:szCs w:val="18"/>
          <w:lang w:val="lv-LV"/>
        </w:rPr>
        <w:t>VID</w:t>
      </w:r>
      <w:r w:rsidRPr="005F7D2D">
        <w:rPr>
          <w:rFonts w:ascii="Times New Roman" w:hAnsi="Times New Roman" w:cs="Times New Roman"/>
          <w:sz w:val="18"/>
          <w:szCs w:val="18"/>
          <w:lang w:val="lv-LV"/>
        </w:rPr>
        <w:t xml:space="preserve"> piedzen nekavējoties. Savukārt, ņemot vērā, ka likumā “Par nodokļiem un nodevām” nav noteikts konkrēts dienu skaits, kuru ietvaros </w:t>
      </w:r>
      <w:r>
        <w:rPr>
          <w:rFonts w:ascii="Times New Roman" w:hAnsi="Times New Roman" w:cs="Times New Roman"/>
          <w:sz w:val="18"/>
          <w:szCs w:val="18"/>
          <w:lang w:val="lv-LV"/>
        </w:rPr>
        <w:t>VID</w:t>
      </w:r>
      <w:r w:rsidRPr="005F7D2D">
        <w:rPr>
          <w:rFonts w:ascii="Times New Roman" w:hAnsi="Times New Roman" w:cs="Times New Roman"/>
          <w:sz w:val="18"/>
          <w:szCs w:val="18"/>
          <w:lang w:val="lv-LV"/>
        </w:rPr>
        <w:t xml:space="preserve"> lēmums par nokavēto nodokļu maksājumu piedziņu būtu jāpieņem, minētais lēmums atsevišķos gadījumos var tikt pieņemts arī pēc vairākiem mēnešiem no nodokļu maksājumu samaksas iestāšanās dienas. Šajā gadījumā nodokļu maksātājam ir dots pat vairāk kā septiņu mēnešu ilgs periods vienoties ar nodokļu administrāciju par labprātīgu nokavēto nodokļu maksājumu samaksu</w:t>
      </w:r>
    </w:p>
  </w:footnote>
  <w:footnote w:id="22">
    <w:p w14:paraId="420F60AB" w14:textId="6E0F2722" w:rsidR="001004F8" w:rsidRPr="005F7D2D" w:rsidRDefault="001004F8" w:rsidP="0088281D">
      <w:pPr>
        <w:pStyle w:val="FootnoteText"/>
        <w:jc w:val="both"/>
        <w:rPr>
          <w:rFonts w:ascii="Times New Roman" w:hAnsi="Times New Roman" w:cs="Times New Roman"/>
          <w:sz w:val="18"/>
          <w:szCs w:val="18"/>
          <w:lang w:val="lv-LV"/>
        </w:rPr>
      </w:pPr>
      <w:r w:rsidRPr="005F7D2D">
        <w:rPr>
          <w:rStyle w:val="FootnoteReference"/>
          <w:rFonts w:ascii="Times New Roman" w:hAnsi="Times New Roman" w:cs="Times New Roman"/>
          <w:sz w:val="18"/>
          <w:szCs w:val="18"/>
          <w:lang w:val="lv-LV"/>
        </w:rPr>
        <w:footnoteRef/>
      </w:r>
      <w:r w:rsidRPr="005F7D2D">
        <w:rPr>
          <w:rFonts w:ascii="Times New Roman" w:hAnsi="Times New Roman" w:cs="Times New Roman"/>
          <w:sz w:val="18"/>
          <w:szCs w:val="18"/>
          <w:lang w:val="lv-LV"/>
        </w:rPr>
        <w:t xml:space="preserve"> Informācija pieejama: https://www.gov.uk/government/publications/rates-and-allowances-hmrc-interest-rates-for-late-and-early-payments/rates-and-a</w:t>
      </w:r>
      <w:r w:rsidR="005E0E24">
        <w:rPr>
          <w:rFonts w:ascii="Times New Roman" w:hAnsi="Times New Roman" w:cs="Times New Roman"/>
          <w:sz w:val="18"/>
          <w:szCs w:val="18"/>
          <w:lang w:val="lv-LV"/>
        </w:rPr>
        <w:t>llowances-hmrc-interest-rates (S</w:t>
      </w:r>
      <w:r w:rsidRPr="005F7D2D">
        <w:rPr>
          <w:rFonts w:ascii="Times New Roman" w:hAnsi="Times New Roman" w:cs="Times New Roman"/>
          <w:sz w:val="18"/>
          <w:szCs w:val="18"/>
          <w:lang w:val="lv-LV"/>
        </w:rPr>
        <w:t>katīts</w:t>
      </w:r>
      <w:r w:rsidR="005E0E24">
        <w:rPr>
          <w:rFonts w:ascii="Times New Roman" w:hAnsi="Times New Roman" w:cs="Times New Roman"/>
          <w:sz w:val="18"/>
          <w:szCs w:val="18"/>
          <w:lang w:val="lv-LV"/>
        </w:rPr>
        <w:t>:</w:t>
      </w:r>
      <w:r w:rsidRPr="005F7D2D">
        <w:rPr>
          <w:rFonts w:ascii="Times New Roman" w:hAnsi="Times New Roman" w:cs="Times New Roman"/>
          <w:sz w:val="18"/>
          <w:szCs w:val="18"/>
          <w:lang w:val="lv-LV"/>
        </w:rPr>
        <w:t xml:space="preserve"> 2018.</w:t>
      </w:r>
      <w:r w:rsidR="005E0E24">
        <w:rPr>
          <w:rFonts w:ascii="Times New Roman" w:hAnsi="Times New Roman" w:cs="Times New Roman"/>
          <w:sz w:val="18"/>
          <w:szCs w:val="18"/>
          <w:lang w:val="lv-LV"/>
        </w:rPr>
        <w:t> </w:t>
      </w:r>
      <w:r w:rsidRPr="005F7D2D">
        <w:rPr>
          <w:rFonts w:ascii="Times New Roman" w:hAnsi="Times New Roman" w:cs="Times New Roman"/>
          <w:sz w:val="18"/>
          <w:szCs w:val="18"/>
          <w:lang w:val="lv-LV"/>
        </w:rPr>
        <w:t>gada 28.</w:t>
      </w:r>
      <w:r w:rsidR="005E0E24">
        <w:rPr>
          <w:rFonts w:ascii="Times New Roman" w:hAnsi="Times New Roman" w:cs="Times New Roman"/>
          <w:sz w:val="18"/>
          <w:szCs w:val="18"/>
          <w:lang w:val="lv-LV"/>
        </w:rPr>
        <w:t> </w:t>
      </w:r>
      <w:r w:rsidRPr="005F7D2D">
        <w:rPr>
          <w:rFonts w:ascii="Times New Roman" w:hAnsi="Times New Roman" w:cs="Times New Roman"/>
          <w:sz w:val="18"/>
          <w:szCs w:val="18"/>
          <w:lang w:val="lv-LV"/>
        </w:rPr>
        <w:t>februārī)</w:t>
      </w:r>
    </w:p>
  </w:footnote>
  <w:footnote w:id="23">
    <w:p w14:paraId="62FC44E7" w14:textId="659FE32A" w:rsidR="001004F8" w:rsidRPr="005F7D2D" w:rsidRDefault="001004F8" w:rsidP="0088281D">
      <w:pPr>
        <w:pStyle w:val="FootnoteText"/>
        <w:jc w:val="both"/>
        <w:rPr>
          <w:rFonts w:ascii="Times New Roman" w:hAnsi="Times New Roman" w:cs="Times New Roman"/>
          <w:sz w:val="18"/>
          <w:szCs w:val="18"/>
          <w:lang w:val="lv-LV"/>
        </w:rPr>
      </w:pPr>
      <w:r w:rsidRPr="005F7D2D">
        <w:rPr>
          <w:rStyle w:val="FootnoteReference"/>
          <w:rFonts w:ascii="Times New Roman" w:hAnsi="Times New Roman" w:cs="Times New Roman"/>
          <w:sz w:val="18"/>
          <w:szCs w:val="18"/>
          <w:lang w:val="lv-LV"/>
        </w:rPr>
        <w:footnoteRef/>
      </w:r>
      <w:r w:rsidRPr="005F7D2D">
        <w:rPr>
          <w:rFonts w:ascii="Times New Roman" w:hAnsi="Times New Roman" w:cs="Times New Roman"/>
          <w:sz w:val="18"/>
          <w:szCs w:val="18"/>
          <w:lang w:val="lv-LV"/>
        </w:rPr>
        <w:t xml:space="preserve"> Informācija pieejama: https://www.pwc.com/us/en/hr-international-assignment-serv</w:t>
      </w:r>
      <w:r w:rsidR="005E0E24">
        <w:rPr>
          <w:rFonts w:ascii="Times New Roman" w:hAnsi="Times New Roman" w:cs="Times New Roman"/>
          <w:sz w:val="18"/>
          <w:szCs w:val="18"/>
          <w:lang w:val="lv-LV"/>
        </w:rPr>
        <w:t>ices/assets/austria-folio.pdf (Sk</w:t>
      </w:r>
      <w:r w:rsidRPr="005F7D2D">
        <w:rPr>
          <w:rFonts w:ascii="Times New Roman" w:hAnsi="Times New Roman" w:cs="Times New Roman"/>
          <w:sz w:val="18"/>
          <w:szCs w:val="18"/>
          <w:lang w:val="lv-LV"/>
        </w:rPr>
        <w:t>atīts</w:t>
      </w:r>
      <w:r w:rsidR="005E0E24">
        <w:rPr>
          <w:rFonts w:ascii="Times New Roman" w:hAnsi="Times New Roman" w:cs="Times New Roman"/>
          <w:sz w:val="18"/>
          <w:szCs w:val="18"/>
          <w:lang w:val="lv-LV"/>
        </w:rPr>
        <w:t>:</w:t>
      </w:r>
      <w:r w:rsidRPr="005F7D2D">
        <w:rPr>
          <w:rFonts w:ascii="Times New Roman" w:hAnsi="Times New Roman" w:cs="Times New Roman"/>
          <w:sz w:val="18"/>
          <w:szCs w:val="18"/>
          <w:lang w:val="lv-LV"/>
        </w:rPr>
        <w:t xml:space="preserve"> 2018.</w:t>
      </w:r>
      <w:r w:rsidR="005E0E24">
        <w:rPr>
          <w:rFonts w:ascii="Times New Roman" w:hAnsi="Times New Roman" w:cs="Times New Roman"/>
          <w:sz w:val="18"/>
          <w:szCs w:val="18"/>
          <w:lang w:val="lv-LV"/>
        </w:rPr>
        <w:t> </w:t>
      </w:r>
      <w:r w:rsidRPr="005F7D2D">
        <w:rPr>
          <w:rFonts w:ascii="Times New Roman" w:hAnsi="Times New Roman" w:cs="Times New Roman"/>
          <w:sz w:val="18"/>
          <w:szCs w:val="18"/>
          <w:lang w:val="lv-LV"/>
        </w:rPr>
        <w:t>gada 1.</w:t>
      </w:r>
      <w:r w:rsidR="005E0E24">
        <w:rPr>
          <w:rFonts w:ascii="Times New Roman" w:hAnsi="Times New Roman" w:cs="Times New Roman"/>
          <w:sz w:val="18"/>
          <w:szCs w:val="18"/>
          <w:lang w:val="lv-LV"/>
        </w:rPr>
        <w:t> </w:t>
      </w:r>
      <w:r w:rsidRPr="005F7D2D">
        <w:rPr>
          <w:rFonts w:ascii="Times New Roman" w:hAnsi="Times New Roman" w:cs="Times New Roman"/>
          <w:sz w:val="18"/>
          <w:szCs w:val="18"/>
          <w:lang w:val="lv-LV"/>
        </w:rPr>
        <w:t>martā)</w:t>
      </w:r>
    </w:p>
  </w:footnote>
  <w:footnote w:id="24">
    <w:p w14:paraId="02EC4862" w14:textId="7FFDAC15" w:rsidR="001004F8" w:rsidRPr="005F7D2D" w:rsidRDefault="001004F8" w:rsidP="0088281D">
      <w:pPr>
        <w:pStyle w:val="FootnoteText"/>
        <w:jc w:val="both"/>
        <w:rPr>
          <w:rFonts w:ascii="Times New Roman" w:hAnsi="Times New Roman" w:cs="Times New Roman"/>
          <w:sz w:val="18"/>
          <w:szCs w:val="18"/>
          <w:lang w:val="lv-LV"/>
        </w:rPr>
      </w:pPr>
      <w:r w:rsidRPr="005F7D2D">
        <w:rPr>
          <w:rStyle w:val="FootnoteReference"/>
          <w:rFonts w:ascii="Times New Roman" w:hAnsi="Times New Roman" w:cs="Times New Roman"/>
          <w:sz w:val="18"/>
          <w:szCs w:val="18"/>
          <w:lang w:val="lv-LV"/>
        </w:rPr>
        <w:footnoteRef/>
      </w:r>
      <w:r w:rsidRPr="005F7D2D">
        <w:rPr>
          <w:rFonts w:ascii="Times New Roman" w:hAnsi="Times New Roman" w:cs="Times New Roman"/>
          <w:sz w:val="18"/>
          <w:szCs w:val="18"/>
          <w:lang w:val="lv-LV"/>
        </w:rPr>
        <w:t> Informācija pieejama:  https://www.pwc.be/en/news-publications/news/tax-reform.html un https://www2.deloitte.com/content/dam/Deloitte/global/Documents/Tax/dttl-tax-belgiumguide-2017.pdf (</w:t>
      </w:r>
      <w:r w:rsidR="005E0E24">
        <w:rPr>
          <w:rFonts w:ascii="Times New Roman" w:hAnsi="Times New Roman" w:cs="Times New Roman"/>
          <w:sz w:val="18"/>
          <w:szCs w:val="18"/>
          <w:lang w:val="lv-LV"/>
        </w:rPr>
        <w:t>S</w:t>
      </w:r>
      <w:r w:rsidRPr="005F7D2D">
        <w:rPr>
          <w:rFonts w:ascii="Times New Roman" w:hAnsi="Times New Roman" w:cs="Times New Roman"/>
          <w:sz w:val="18"/>
          <w:szCs w:val="18"/>
          <w:lang w:val="lv-LV"/>
        </w:rPr>
        <w:t>katīts</w:t>
      </w:r>
      <w:r w:rsidR="005E0E24">
        <w:rPr>
          <w:rFonts w:ascii="Times New Roman" w:hAnsi="Times New Roman" w:cs="Times New Roman"/>
          <w:sz w:val="18"/>
          <w:szCs w:val="18"/>
          <w:lang w:val="lv-LV"/>
        </w:rPr>
        <w:t>:</w:t>
      </w:r>
      <w:r w:rsidRPr="005F7D2D">
        <w:rPr>
          <w:rFonts w:ascii="Times New Roman" w:hAnsi="Times New Roman" w:cs="Times New Roman"/>
          <w:sz w:val="18"/>
          <w:szCs w:val="18"/>
          <w:lang w:val="lv-LV"/>
        </w:rPr>
        <w:t xml:space="preserve"> 2018.</w:t>
      </w:r>
      <w:r w:rsidR="005E0E24">
        <w:rPr>
          <w:rFonts w:ascii="Times New Roman" w:hAnsi="Times New Roman" w:cs="Times New Roman"/>
          <w:sz w:val="18"/>
          <w:szCs w:val="18"/>
          <w:lang w:val="lv-LV"/>
        </w:rPr>
        <w:t> </w:t>
      </w:r>
      <w:r w:rsidRPr="005F7D2D">
        <w:rPr>
          <w:rFonts w:ascii="Times New Roman" w:hAnsi="Times New Roman" w:cs="Times New Roman"/>
          <w:sz w:val="18"/>
          <w:szCs w:val="18"/>
          <w:lang w:val="lv-LV"/>
        </w:rPr>
        <w:t>gada 1.</w:t>
      </w:r>
      <w:r w:rsidR="005E0E24">
        <w:rPr>
          <w:rFonts w:ascii="Times New Roman" w:hAnsi="Times New Roman" w:cs="Times New Roman"/>
          <w:sz w:val="18"/>
          <w:szCs w:val="18"/>
          <w:lang w:val="lv-LV"/>
        </w:rPr>
        <w:t> </w:t>
      </w:r>
      <w:r w:rsidRPr="005F7D2D">
        <w:rPr>
          <w:rFonts w:ascii="Times New Roman" w:hAnsi="Times New Roman" w:cs="Times New Roman"/>
          <w:sz w:val="18"/>
          <w:szCs w:val="18"/>
          <w:lang w:val="lv-LV"/>
        </w:rPr>
        <w:t>martā)</w:t>
      </w:r>
    </w:p>
  </w:footnote>
  <w:footnote w:id="25">
    <w:p w14:paraId="3DA191BF" w14:textId="519CA2E7" w:rsidR="001004F8" w:rsidRPr="005F7D2D" w:rsidRDefault="001004F8" w:rsidP="0088281D">
      <w:pPr>
        <w:pStyle w:val="FootnoteText"/>
        <w:jc w:val="both"/>
        <w:rPr>
          <w:rFonts w:ascii="Times New Roman" w:hAnsi="Times New Roman" w:cs="Times New Roman"/>
          <w:sz w:val="18"/>
          <w:szCs w:val="18"/>
          <w:lang w:val="lv-LV"/>
        </w:rPr>
      </w:pPr>
      <w:r w:rsidRPr="005F7D2D">
        <w:rPr>
          <w:rStyle w:val="FootnoteReference"/>
          <w:rFonts w:ascii="Times New Roman" w:hAnsi="Times New Roman" w:cs="Times New Roman"/>
          <w:sz w:val="18"/>
          <w:szCs w:val="18"/>
          <w:lang w:val="lv-LV"/>
        </w:rPr>
        <w:footnoteRef/>
      </w:r>
      <w:r w:rsidRPr="005F7D2D">
        <w:rPr>
          <w:rFonts w:ascii="Times New Roman" w:hAnsi="Times New Roman" w:cs="Times New Roman"/>
          <w:sz w:val="18"/>
          <w:szCs w:val="18"/>
          <w:lang w:val="lv-LV"/>
        </w:rPr>
        <w:t xml:space="preserve"> Informācija pieejama: http://www.cfe-eutax.org/taxation/administration-of-</w:t>
      </w:r>
      <w:r w:rsidR="005E0E24">
        <w:rPr>
          <w:rFonts w:ascii="Times New Roman" w:hAnsi="Times New Roman" w:cs="Times New Roman"/>
          <w:sz w:val="18"/>
          <w:szCs w:val="18"/>
          <w:lang w:val="lv-LV"/>
        </w:rPr>
        <w:t>taxes/czech-republic/EN (S</w:t>
      </w:r>
      <w:r w:rsidRPr="005F7D2D">
        <w:rPr>
          <w:rFonts w:ascii="Times New Roman" w:hAnsi="Times New Roman" w:cs="Times New Roman"/>
          <w:sz w:val="18"/>
          <w:szCs w:val="18"/>
          <w:lang w:val="lv-LV"/>
        </w:rPr>
        <w:t>katīts</w:t>
      </w:r>
      <w:r w:rsidR="005E0E24">
        <w:rPr>
          <w:rFonts w:ascii="Times New Roman" w:hAnsi="Times New Roman" w:cs="Times New Roman"/>
          <w:sz w:val="18"/>
          <w:szCs w:val="18"/>
          <w:lang w:val="lv-LV"/>
        </w:rPr>
        <w:t>:</w:t>
      </w:r>
      <w:r w:rsidRPr="005F7D2D">
        <w:rPr>
          <w:rFonts w:ascii="Times New Roman" w:hAnsi="Times New Roman" w:cs="Times New Roman"/>
          <w:sz w:val="18"/>
          <w:szCs w:val="18"/>
          <w:lang w:val="lv-LV"/>
        </w:rPr>
        <w:t xml:space="preserve"> 2018.</w:t>
      </w:r>
      <w:r w:rsidR="005E0E24">
        <w:rPr>
          <w:rFonts w:ascii="Times New Roman" w:hAnsi="Times New Roman" w:cs="Times New Roman"/>
          <w:sz w:val="18"/>
          <w:szCs w:val="18"/>
          <w:lang w:val="lv-LV"/>
        </w:rPr>
        <w:t> </w:t>
      </w:r>
      <w:r w:rsidRPr="005F7D2D">
        <w:rPr>
          <w:rFonts w:ascii="Times New Roman" w:hAnsi="Times New Roman" w:cs="Times New Roman"/>
          <w:sz w:val="18"/>
          <w:szCs w:val="18"/>
          <w:lang w:val="lv-LV"/>
        </w:rPr>
        <w:t>gada 1.martā)</w:t>
      </w:r>
    </w:p>
  </w:footnote>
  <w:footnote w:id="26">
    <w:p w14:paraId="7A61246D" w14:textId="002EC6BB" w:rsidR="001004F8" w:rsidRPr="005F7D2D" w:rsidRDefault="001004F8" w:rsidP="0088281D">
      <w:pPr>
        <w:pStyle w:val="FootnoteText"/>
        <w:jc w:val="both"/>
        <w:rPr>
          <w:rFonts w:ascii="Times New Roman" w:hAnsi="Times New Roman" w:cs="Times New Roman"/>
          <w:sz w:val="18"/>
          <w:szCs w:val="18"/>
          <w:lang w:val="lv-LV"/>
        </w:rPr>
      </w:pPr>
      <w:r w:rsidRPr="005F7D2D">
        <w:rPr>
          <w:rStyle w:val="FootnoteReference"/>
          <w:rFonts w:ascii="Times New Roman" w:hAnsi="Times New Roman" w:cs="Times New Roman"/>
          <w:sz w:val="18"/>
          <w:szCs w:val="18"/>
          <w:lang w:val="lv-LV"/>
        </w:rPr>
        <w:footnoteRef/>
      </w:r>
      <w:r w:rsidRPr="005F7D2D">
        <w:rPr>
          <w:rFonts w:ascii="Times New Roman" w:hAnsi="Times New Roman" w:cs="Times New Roman"/>
          <w:sz w:val="18"/>
          <w:szCs w:val="18"/>
          <w:lang w:val="lv-LV"/>
        </w:rPr>
        <w:t xml:space="preserve"> Informācija pieejama:  http://taxsummaries.pwc.com/ID/Denmark-Corporate-Tax-administration (</w:t>
      </w:r>
      <w:r w:rsidR="005E0E24">
        <w:rPr>
          <w:rFonts w:ascii="Times New Roman" w:hAnsi="Times New Roman" w:cs="Times New Roman"/>
          <w:sz w:val="18"/>
          <w:szCs w:val="18"/>
          <w:lang w:val="lv-LV"/>
        </w:rPr>
        <w:t>S</w:t>
      </w:r>
      <w:r w:rsidRPr="005F7D2D">
        <w:rPr>
          <w:rFonts w:ascii="Times New Roman" w:hAnsi="Times New Roman" w:cs="Times New Roman"/>
          <w:sz w:val="18"/>
          <w:szCs w:val="18"/>
          <w:lang w:val="lv-LV"/>
        </w:rPr>
        <w:t>katīts</w:t>
      </w:r>
      <w:r w:rsidR="005E0E24">
        <w:rPr>
          <w:rFonts w:ascii="Times New Roman" w:hAnsi="Times New Roman" w:cs="Times New Roman"/>
          <w:sz w:val="18"/>
          <w:szCs w:val="18"/>
          <w:lang w:val="lv-LV"/>
        </w:rPr>
        <w:t>:</w:t>
      </w:r>
      <w:r w:rsidRPr="005F7D2D">
        <w:rPr>
          <w:rFonts w:ascii="Times New Roman" w:hAnsi="Times New Roman" w:cs="Times New Roman"/>
          <w:sz w:val="18"/>
          <w:szCs w:val="18"/>
          <w:lang w:val="lv-LV"/>
        </w:rPr>
        <w:t xml:space="preserve"> 2018.</w:t>
      </w:r>
      <w:r w:rsidR="005E0E24">
        <w:rPr>
          <w:rFonts w:ascii="Times New Roman" w:hAnsi="Times New Roman" w:cs="Times New Roman"/>
          <w:sz w:val="18"/>
          <w:szCs w:val="18"/>
          <w:lang w:val="lv-LV"/>
        </w:rPr>
        <w:t> </w:t>
      </w:r>
      <w:r w:rsidRPr="005F7D2D">
        <w:rPr>
          <w:rFonts w:ascii="Times New Roman" w:hAnsi="Times New Roman" w:cs="Times New Roman"/>
          <w:sz w:val="18"/>
          <w:szCs w:val="18"/>
          <w:lang w:val="lv-LV"/>
        </w:rPr>
        <w:t>gada 1.</w:t>
      </w:r>
      <w:r w:rsidR="005E0E24">
        <w:rPr>
          <w:rFonts w:ascii="Times New Roman" w:hAnsi="Times New Roman" w:cs="Times New Roman"/>
          <w:sz w:val="18"/>
          <w:szCs w:val="18"/>
          <w:lang w:val="lv-LV"/>
        </w:rPr>
        <w:t> </w:t>
      </w:r>
      <w:r w:rsidRPr="005F7D2D">
        <w:rPr>
          <w:rFonts w:ascii="Times New Roman" w:hAnsi="Times New Roman" w:cs="Times New Roman"/>
          <w:sz w:val="18"/>
          <w:szCs w:val="18"/>
          <w:lang w:val="lv-LV"/>
        </w:rPr>
        <w:t>martā)</w:t>
      </w:r>
    </w:p>
  </w:footnote>
  <w:footnote w:id="27">
    <w:p w14:paraId="7BBF6AD8" w14:textId="71654D55" w:rsidR="001004F8" w:rsidRPr="005F7D2D" w:rsidRDefault="001004F8" w:rsidP="0088281D">
      <w:pPr>
        <w:pStyle w:val="FootnoteText"/>
        <w:jc w:val="both"/>
        <w:rPr>
          <w:rFonts w:ascii="Times New Roman" w:hAnsi="Times New Roman" w:cs="Times New Roman"/>
          <w:sz w:val="18"/>
          <w:szCs w:val="18"/>
          <w:lang w:val="lv-LV"/>
        </w:rPr>
      </w:pPr>
      <w:r w:rsidRPr="005F7D2D">
        <w:rPr>
          <w:rStyle w:val="FootnoteReference"/>
          <w:rFonts w:ascii="Times New Roman" w:hAnsi="Times New Roman" w:cs="Times New Roman"/>
          <w:sz w:val="18"/>
          <w:szCs w:val="18"/>
          <w:lang w:val="lv-LV"/>
        </w:rPr>
        <w:footnoteRef/>
      </w:r>
      <w:r w:rsidRPr="005F7D2D">
        <w:rPr>
          <w:rFonts w:ascii="Times New Roman" w:hAnsi="Times New Roman" w:cs="Times New Roman"/>
          <w:sz w:val="18"/>
          <w:szCs w:val="18"/>
          <w:lang w:val="lv-LV"/>
        </w:rPr>
        <w:t xml:space="preserve"> Informācija pieejama: http://taxsummaries.pwc.com/ID/France-Corporate-Tax-adminis</w:t>
      </w:r>
      <w:r w:rsidR="005E0E24">
        <w:rPr>
          <w:rFonts w:ascii="Times New Roman" w:hAnsi="Times New Roman" w:cs="Times New Roman"/>
          <w:sz w:val="18"/>
          <w:szCs w:val="18"/>
          <w:lang w:val="lv-LV"/>
        </w:rPr>
        <w:t>tration (S</w:t>
      </w:r>
      <w:r w:rsidRPr="005F7D2D">
        <w:rPr>
          <w:rFonts w:ascii="Times New Roman" w:hAnsi="Times New Roman" w:cs="Times New Roman"/>
          <w:sz w:val="18"/>
          <w:szCs w:val="18"/>
          <w:lang w:val="lv-LV"/>
        </w:rPr>
        <w:t>katīts</w:t>
      </w:r>
      <w:r w:rsidR="005E0E24">
        <w:rPr>
          <w:rFonts w:ascii="Times New Roman" w:hAnsi="Times New Roman" w:cs="Times New Roman"/>
          <w:sz w:val="18"/>
          <w:szCs w:val="18"/>
          <w:lang w:val="lv-LV"/>
        </w:rPr>
        <w:t>:</w:t>
      </w:r>
      <w:r w:rsidRPr="005F7D2D">
        <w:rPr>
          <w:rFonts w:ascii="Times New Roman" w:hAnsi="Times New Roman" w:cs="Times New Roman"/>
          <w:sz w:val="18"/>
          <w:szCs w:val="18"/>
          <w:lang w:val="lv-LV"/>
        </w:rPr>
        <w:t xml:space="preserve"> 2018.</w:t>
      </w:r>
      <w:r w:rsidR="005E0E24">
        <w:rPr>
          <w:rFonts w:ascii="Times New Roman" w:hAnsi="Times New Roman" w:cs="Times New Roman"/>
          <w:sz w:val="18"/>
          <w:szCs w:val="18"/>
          <w:lang w:val="lv-LV"/>
        </w:rPr>
        <w:t> </w:t>
      </w:r>
      <w:r w:rsidRPr="005F7D2D">
        <w:rPr>
          <w:rFonts w:ascii="Times New Roman" w:hAnsi="Times New Roman" w:cs="Times New Roman"/>
          <w:sz w:val="18"/>
          <w:szCs w:val="18"/>
          <w:lang w:val="lv-LV"/>
        </w:rPr>
        <w:t>gada 1.</w:t>
      </w:r>
      <w:r w:rsidR="005E0E24">
        <w:rPr>
          <w:rFonts w:ascii="Times New Roman" w:hAnsi="Times New Roman" w:cs="Times New Roman"/>
          <w:sz w:val="18"/>
          <w:szCs w:val="18"/>
          <w:lang w:val="lv-LV"/>
        </w:rPr>
        <w:t> </w:t>
      </w:r>
      <w:r w:rsidRPr="005F7D2D">
        <w:rPr>
          <w:rFonts w:ascii="Times New Roman" w:hAnsi="Times New Roman" w:cs="Times New Roman"/>
          <w:sz w:val="18"/>
          <w:szCs w:val="18"/>
          <w:lang w:val="lv-LV"/>
        </w:rPr>
        <w:t>martā)</w:t>
      </w:r>
    </w:p>
  </w:footnote>
  <w:footnote w:id="28">
    <w:p w14:paraId="7972ED68" w14:textId="638D15B9" w:rsidR="001004F8" w:rsidRPr="005F7D2D" w:rsidRDefault="001004F8" w:rsidP="0088281D">
      <w:pPr>
        <w:pStyle w:val="FootnoteText"/>
        <w:jc w:val="both"/>
        <w:rPr>
          <w:rFonts w:ascii="Times New Roman" w:hAnsi="Times New Roman" w:cs="Times New Roman"/>
          <w:sz w:val="18"/>
          <w:szCs w:val="18"/>
          <w:lang w:val="lv-LV"/>
        </w:rPr>
      </w:pPr>
      <w:r w:rsidRPr="005F7D2D">
        <w:rPr>
          <w:rStyle w:val="FootnoteReference"/>
          <w:rFonts w:ascii="Times New Roman" w:hAnsi="Times New Roman" w:cs="Times New Roman"/>
          <w:sz w:val="18"/>
          <w:szCs w:val="18"/>
          <w:lang w:val="lv-LV"/>
        </w:rPr>
        <w:footnoteRef/>
      </w:r>
      <w:r w:rsidRPr="005F7D2D">
        <w:rPr>
          <w:rFonts w:ascii="Times New Roman" w:hAnsi="Times New Roman" w:cs="Times New Roman"/>
          <w:sz w:val="18"/>
          <w:szCs w:val="18"/>
          <w:lang w:val="lv-LV"/>
        </w:rPr>
        <w:t xml:space="preserve"> Informācija pieejama:  http://taxsummaries.pwc.com/ID/Italy</w:t>
      </w:r>
      <w:r w:rsidR="005E0E24">
        <w:rPr>
          <w:rFonts w:ascii="Times New Roman" w:hAnsi="Times New Roman" w:cs="Times New Roman"/>
          <w:sz w:val="18"/>
          <w:szCs w:val="18"/>
          <w:lang w:val="lv-LV"/>
        </w:rPr>
        <w:t xml:space="preserve">-Corporate-Tax-administration (Skatīts: </w:t>
      </w:r>
      <w:r w:rsidRPr="005F7D2D">
        <w:rPr>
          <w:rFonts w:ascii="Times New Roman" w:hAnsi="Times New Roman" w:cs="Times New Roman"/>
          <w:sz w:val="18"/>
          <w:szCs w:val="18"/>
          <w:lang w:val="lv-LV"/>
        </w:rPr>
        <w:t>2018.</w:t>
      </w:r>
      <w:r w:rsidR="005E0E24">
        <w:rPr>
          <w:rFonts w:ascii="Times New Roman" w:hAnsi="Times New Roman" w:cs="Times New Roman"/>
          <w:sz w:val="18"/>
          <w:szCs w:val="18"/>
          <w:lang w:val="lv-LV"/>
        </w:rPr>
        <w:t> </w:t>
      </w:r>
      <w:r w:rsidRPr="005F7D2D">
        <w:rPr>
          <w:rFonts w:ascii="Times New Roman" w:hAnsi="Times New Roman" w:cs="Times New Roman"/>
          <w:sz w:val="18"/>
          <w:szCs w:val="18"/>
          <w:lang w:val="lv-LV"/>
        </w:rPr>
        <w:t>gada 1.</w:t>
      </w:r>
      <w:r w:rsidR="005E0E24">
        <w:rPr>
          <w:rFonts w:ascii="Times New Roman" w:hAnsi="Times New Roman" w:cs="Times New Roman"/>
          <w:sz w:val="18"/>
          <w:szCs w:val="18"/>
          <w:lang w:val="lv-LV"/>
        </w:rPr>
        <w:t> </w:t>
      </w:r>
      <w:r w:rsidRPr="005F7D2D">
        <w:rPr>
          <w:rFonts w:ascii="Times New Roman" w:hAnsi="Times New Roman" w:cs="Times New Roman"/>
          <w:sz w:val="18"/>
          <w:szCs w:val="18"/>
          <w:lang w:val="lv-LV"/>
        </w:rPr>
        <w:t>martā)</w:t>
      </w:r>
    </w:p>
  </w:footnote>
  <w:footnote w:id="29">
    <w:p w14:paraId="490AA23F" w14:textId="77777777" w:rsidR="001004F8" w:rsidRPr="005F7D2D" w:rsidRDefault="001004F8">
      <w:pPr>
        <w:pStyle w:val="FootnoteText"/>
        <w:rPr>
          <w:rFonts w:ascii="Times New Roman" w:hAnsi="Times New Roman" w:cs="Times New Roman"/>
          <w:sz w:val="18"/>
          <w:szCs w:val="18"/>
          <w:lang w:val="lv-LV"/>
        </w:rPr>
      </w:pPr>
      <w:r w:rsidRPr="005F7D2D">
        <w:rPr>
          <w:rStyle w:val="FootnoteReference"/>
          <w:rFonts w:ascii="Times New Roman" w:hAnsi="Times New Roman" w:cs="Times New Roman"/>
          <w:sz w:val="18"/>
          <w:szCs w:val="18"/>
        </w:rPr>
        <w:footnoteRef/>
      </w:r>
      <w:r w:rsidRPr="005F7D2D">
        <w:rPr>
          <w:rFonts w:ascii="Times New Roman" w:hAnsi="Times New Roman" w:cs="Times New Roman"/>
          <w:sz w:val="18"/>
          <w:szCs w:val="18"/>
        </w:rPr>
        <w:t xml:space="preserve"> https://business.gov.nl/regulation/interest-tax-overdue-tax/ un https://www.expatica.com/nl/finance/How-to-avoid-tax-fines-in-the-Netherlands_105707.html </w:t>
      </w:r>
    </w:p>
  </w:footnote>
  <w:footnote w:id="30">
    <w:p w14:paraId="37FF2148" w14:textId="77777777" w:rsidR="001004F8" w:rsidRPr="005F7D2D" w:rsidRDefault="001004F8">
      <w:pPr>
        <w:pStyle w:val="FootnoteText"/>
        <w:rPr>
          <w:rFonts w:ascii="Times New Roman" w:hAnsi="Times New Roman" w:cs="Times New Roman"/>
          <w:sz w:val="18"/>
          <w:szCs w:val="18"/>
          <w:lang w:val="lv-LV"/>
        </w:rPr>
      </w:pPr>
      <w:r w:rsidRPr="005F7D2D">
        <w:rPr>
          <w:rStyle w:val="FootnoteReference"/>
          <w:rFonts w:ascii="Times New Roman" w:hAnsi="Times New Roman" w:cs="Times New Roman"/>
          <w:sz w:val="18"/>
          <w:szCs w:val="18"/>
        </w:rPr>
        <w:footnoteRef/>
      </w:r>
      <w:r w:rsidRPr="005F7D2D">
        <w:rPr>
          <w:rFonts w:ascii="Times New Roman" w:hAnsi="Times New Roman" w:cs="Times New Roman"/>
          <w:sz w:val="18"/>
          <w:szCs w:val="18"/>
        </w:rPr>
        <w:t xml:space="preserve"> https://www2.deloitte.com/content/dam/Deloitte/global/Documents/Tax/dttl-tax-hungaryhighlights-2017.pdf</w:t>
      </w:r>
    </w:p>
  </w:footnote>
  <w:footnote w:id="31">
    <w:p w14:paraId="51AC8B31" w14:textId="77777777" w:rsidR="001004F8" w:rsidRPr="005F7D2D" w:rsidRDefault="001004F8">
      <w:pPr>
        <w:pStyle w:val="FootnoteText"/>
        <w:rPr>
          <w:rFonts w:ascii="Times New Roman" w:hAnsi="Times New Roman" w:cs="Times New Roman"/>
          <w:sz w:val="18"/>
          <w:szCs w:val="18"/>
          <w:lang w:val="lv-LV"/>
        </w:rPr>
      </w:pPr>
      <w:r w:rsidRPr="005F7D2D">
        <w:rPr>
          <w:rStyle w:val="FootnoteReference"/>
          <w:rFonts w:ascii="Times New Roman" w:hAnsi="Times New Roman" w:cs="Times New Roman"/>
          <w:sz w:val="18"/>
          <w:szCs w:val="18"/>
        </w:rPr>
        <w:footnoteRef/>
      </w:r>
      <w:r w:rsidRPr="005F7D2D">
        <w:rPr>
          <w:rFonts w:ascii="Times New Roman" w:hAnsi="Times New Roman" w:cs="Times New Roman"/>
          <w:sz w:val="18"/>
          <w:szCs w:val="18"/>
        </w:rPr>
        <w:t xml:space="preserve"> https://home.kpmg.com/xx/en/home/insights/2011/12/germany-income-tax.html</w:t>
      </w:r>
    </w:p>
  </w:footnote>
  <w:footnote w:id="32">
    <w:p w14:paraId="6364ADF1" w14:textId="77777777" w:rsidR="001004F8" w:rsidRPr="005F7D2D" w:rsidRDefault="001004F8">
      <w:pPr>
        <w:pStyle w:val="FootnoteText"/>
        <w:rPr>
          <w:rFonts w:ascii="Times New Roman" w:hAnsi="Times New Roman" w:cs="Times New Roman"/>
          <w:sz w:val="18"/>
          <w:szCs w:val="18"/>
          <w:lang w:val="lv-LV"/>
        </w:rPr>
      </w:pPr>
      <w:r w:rsidRPr="005F7D2D">
        <w:rPr>
          <w:rStyle w:val="FootnoteReference"/>
          <w:rFonts w:ascii="Times New Roman" w:hAnsi="Times New Roman" w:cs="Times New Roman"/>
          <w:sz w:val="18"/>
          <w:szCs w:val="18"/>
        </w:rPr>
        <w:footnoteRef/>
      </w:r>
      <w:r w:rsidRPr="005F7D2D">
        <w:rPr>
          <w:rFonts w:ascii="Times New Roman" w:hAnsi="Times New Roman" w:cs="Times New Roman"/>
          <w:sz w:val="18"/>
          <w:szCs w:val="18"/>
        </w:rPr>
        <w:t xml:space="preserve"> https://www2.deloitte.com/content/dam/Deloitte/cn/Documents/international-business-support/deloitte-cn-ibs-sweden-tax-invest-en-2016.pdf</w:t>
      </w:r>
    </w:p>
  </w:footnote>
  <w:footnote w:id="33">
    <w:p w14:paraId="2871D9E8" w14:textId="77777777" w:rsidR="001004F8" w:rsidRPr="005F7D2D" w:rsidRDefault="001004F8" w:rsidP="0088281D">
      <w:pPr>
        <w:pStyle w:val="FootnoteText"/>
        <w:jc w:val="both"/>
        <w:rPr>
          <w:rFonts w:ascii="Times New Roman" w:hAnsi="Times New Roman" w:cs="Times New Roman"/>
          <w:sz w:val="18"/>
          <w:szCs w:val="18"/>
          <w:lang w:val="lv-LV"/>
        </w:rPr>
      </w:pPr>
      <w:r w:rsidRPr="005F7D2D">
        <w:rPr>
          <w:rStyle w:val="FootnoteReference"/>
          <w:rFonts w:ascii="Times New Roman" w:hAnsi="Times New Roman" w:cs="Times New Roman"/>
          <w:sz w:val="18"/>
          <w:szCs w:val="18"/>
          <w:lang w:val="lv-LV"/>
        </w:rPr>
        <w:footnoteRef/>
      </w:r>
      <w:r w:rsidRPr="005F7D2D">
        <w:rPr>
          <w:rFonts w:ascii="Times New Roman" w:hAnsi="Times New Roman" w:cs="Times New Roman"/>
          <w:sz w:val="18"/>
          <w:szCs w:val="18"/>
          <w:lang w:val="lv-LV"/>
        </w:rPr>
        <w:t xml:space="preserve"> Likuma “Par nodokļiem un nodevām” 1. panta 22. punkts</w:t>
      </w:r>
    </w:p>
  </w:footnote>
  <w:footnote w:id="34">
    <w:p w14:paraId="32C16D94" w14:textId="77777777" w:rsidR="001004F8" w:rsidRPr="005F7D2D" w:rsidRDefault="001004F8" w:rsidP="0088281D">
      <w:pPr>
        <w:pStyle w:val="FootnoteText"/>
        <w:jc w:val="both"/>
        <w:rPr>
          <w:rFonts w:ascii="Times New Roman" w:hAnsi="Times New Roman" w:cs="Times New Roman"/>
          <w:sz w:val="18"/>
          <w:szCs w:val="18"/>
          <w:lang w:val="lv-LV"/>
        </w:rPr>
      </w:pPr>
      <w:r w:rsidRPr="005F7D2D">
        <w:rPr>
          <w:rStyle w:val="FootnoteReference"/>
          <w:rFonts w:ascii="Times New Roman" w:hAnsi="Times New Roman" w:cs="Times New Roman"/>
          <w:sz w:val="18"/>
          <w:szCs w:val="18"/>
          <w:lang w:val="lv-LV"/>
        </w:rPr>
        <w:footnoteRef/>
      </w:r>
      <w:r w:rsidRPr="005F7D2D">
        <w:rPr>
          <w:rFonts w:ascii="Times New Roman" w:hAnsi="Times New Roman" w:cs="Times New Roman"/>
          <w:sz w:val="18"/>
          <w:szCs w:val="18"/>
          <w:lang w:val="lv-LV"/>
        </w:rPr>
        <w:t xml:space="preserve"> Likuma “Par nodokļiem un nodevām” 1. panta 23. punkts</w:t>
      </w:r>
    </w:p>
  </w:footnote>
  <w:footnote w:id="35">
    <w:p w14:paraId="41958781" w14:textId="77777777" w:rsidR="001004F8" w:rsidRPr="005F7D2D" w:rsidRDefault="001004F8" w:rsidP="0088281D">
      <w:pPr>
        <w:pStyle w:val="FootnoteText"/>
        <w:jc w:val="both"/>
        <w:rPr>
          <w:rFonts w:ascii="Times New Roman" w:hAnsi="Times New Roman" w:cs="Times New Roman"/>
          <w:sz w:val="18"/>
          <w:szCs w:val="18"/>
          <w:lang w:val="lv-LV"/>
        </w:rPr>
      </w:pPr>
      <w:r w:rsidRPr="005F7D2D">
        <w:rPr>
          <w:rStyle w:val="FootnoteReference"/>
          <w:rFonts w:ascii="Times New Roman" w:hAnsi="Times New Roman" w:cs="Times New Roman"/>
          <w:sz w:val="18"/>
          <w:szCs w:val="18"/>
          <w:lang w:val="lv-LV"/>
        </w:rPr>
        <w:footnoteRef/>
      </w:r>
      <w:r w:rsidRPr="005F7D2D">
        <w:rPr>
          <w:rFonts w:ascii="Times New Roman" w:hAnsi="Times New Roman" w:cs="Times New Roman"/>
          <w:sz w:val="18"/>
          <w:szCs w:val="18"/>
          <w:lang w:val="lv-LV"/>
        </w:rPr>
        <w:t xml:space="preserve"> </w:t>
      </w:r>
      <w:r w:rsidRPr="005F7D2D">
        <w:rPr>
          <w:rFonts w:ascii="Times New Roman" w:hAnsi="Times New Roman" w:cs="Times New Roman"/>
          <w:iCs/>
          <w:sz w:val="18"/>
          <w:szCs w:val="18"/>
          <w:lang w:val="lv-LV"/>
        </w:rPr>
        <w:t>Autoru kolektīvs prof. K.Torgāna vispārīgā zinātniskā redakcijā. Latvijas Republikas Civillikuma komentāri. Saistību tiesības (1401.-2000.p.). Rīga: Mans Īpašums, 2000, 252. - 253.lpp.</w:t>
      </w:r>
    </w:p>
  </w:footnote>
  <w:footnote w:id="36">
    <w:p w14:paraId="207C374F" w14:textId="77777777" w:rsidR="001004F8" w:rsidRPr="005F7D2D" w:rsidRDefault="001004F8" w:rsidP="0088281D">
      <w:pPr>
        <w:pStyle w:val="FootnoteText"/>
        <w:jc w:val="both"/>
        <w:rPr>
          <w:rFonts w:ascii="Times New Roman" w:hAnsi="Times New Roman" w:cs="Times New Roman"/>
          <w:sz w:val="18"/>
          <w:szCs w:val="18"/>
          <w:lang w:val="lv-LV"/>
        </w:rPr>
      </w:pPr>
      <w:r w:rsidRPr="005F7D2D">
        <w:rPr>
          <w:rStyle w:val="FootnoteReference"/>
          <w:rFonts w:ascii="Times New Roman" w:hAnsi="Times New Roman" w:cs="Times New Roman"/>
          <w:sz w:val="18"/>
          <w:szCs w:val="18"/>
          <w:lang w:val="lv-LV"/>
        </w:rPr>
        <w:footnoteRef/>
      </w:r>
      <w:r w:rsidRPr="005F7D2D">
        <w:rPr>
          <w:rFonts w:ascii="Times New Roman" w:hAnsi="Times New Roman" w:cs="Times New Roman"/>
          <w:sz w:val="18"/>
          <w:szCs w:val="18"/>
          <w:lang w:val="lv-LV"/>
        </w:rPr>
        <w:t xml:space="preserve"> Turpat</w:t>
      </w:r>
      <w:r w:rsidRPr="005F7D2D">
        <w:rPr>
          <w:rFonts w:ascii="Times New Roman" w:hAnsi="Times New Roman" w:cs="Times New Roman"/>
          <w:iCs/>
          <w:sz w:val="18"/>
          <w:szCs w:val="18"/>
          <w:lang w:val="lv-LV"/>
        </w:rPr>
        <w:t>, 256.–257.lpp.</w:t>
      </w:r>
    </w:p>
  </w:footnote>
  <w:footnote w:id="37">
    <w:p w14:paraId="58628433" w14:textId="4E506B3B" w:rsidR="001004F8" w:rsidRPr="005F7D2D" w:rsidRDefault="001004F8" w:rsidP="0088281D">
      <w:pPr>
        <w:pStyle w:val="FootnoteText"/>
        <w:jc w:val="both"/>
        <w:rPr>
          <w:rFonts w:ascii="Times New Roman" w:hAnsi="Times New Roman" w:cs="Times New Roman"/>
          <w:sz w:val="18"/>
          <w:szCs w:val="18"/>
          <w:lang w:val="lv-LV"/>
        </w:rPr>
      </w:pPr>
      <w:r w:rsidRPr="005F7D2D">
        <w:rPr>
          <w:rStyle w:val="FootnoteReference"/>
          <w:rFonts w:ascii="Times New Roman" w:hAnsi="Times New Roman" w:cs="Times New Roman"/>
          <w:sz w:val="18"/>
          <w:szCs w:val="18"/>
          <w:lang w:val="lv-LV"/>
        </w:rPr>
        <w:footnoteRef/>
      </w:r>
      <w:r w:rsidRPr="005F7D2D">
        <w:rPr>
          <w:rFonts w:ascii="Times New Roman" w:hAnsi="Times New Roman" w:cs="Times New Roman"/>
          <w:sz w:val="18"/>
          <w:szCs w:val="18"/>
          <w:lang w:val="lv-LV"/>
        </w:rPr>
        <w:t xml:space="preserve"> Civillikuma 1765.</w:t>
      </w:r>
      <w:r w:rsidR="005E0E24">
        <w:rPr>
          <w:rFonts w:ascii="Times New Roman" w:hAnsi="Times New Roman" w:cs="Times New Roman"/>
          <w:sz w:val="18"/>
          <w:szCs w:val="18"/>
          <w:lang w:val="lv-LV"/>
        </w:rPr>
        <w:t> </w:t>
      </w:r>
      <w:r w:rsidRPr="005F7D2D">
        <w:rPr>
          <w:rFonts w:ascii="Times New Roman" w:hAnsi="Times New Roman" w:cs="Times New Roman"/>
          <w:sz w:val="18"/>
          <w:szCs w:val="18"/>
          <w:lang w:val="lv-LV"/>
        </w:rPr>
        <w:t>panta pirmā daļa</w:t>
      </w:r>
    </w:p>
  </w:footnote>
  <w:footnote w:id="38">
    <w:p w14:paraId="567682B3" w14:textId="38EE03FA" w:rsidR="001004F8" w:rsidRPr="005F7D2D" w:rsidRDefault="001004F8" w:rsidP="0088281D">
      <w:pPr>
        <w:pStyle w:val="FootnoteText"/>
        <w:jc w:val="both"/>
        <w:rPr>
          <w:rFonts w:ascii="Times New Roman" w:hAnsi="Times New Roman" w:cs="Times New Roman"/>
          <w:sz w:val="18"/>
          <w:szCs w:val="18"/>
          <w:lang w:val="lv-LV"/>
        </w:rPr>
      </w:pPr>
      <w:r w:rsidRPr="005F7D2D">
        <w:rPr>
          <w:rStyle w:val="FootnoteReference"/>
          <w:rFonts w:ascii="Times New Roman" w:hAnsi="Times New Roman" w:cs="Times New Roman"/>
          <w:sz w:val="18"/>
          <w:szCs w:val="18"/>
          <w:lang w:val="lv-LV"/>
        </w:rPr>
        <w:footnoteRef/>
      </w:r>
      <w:r w:rsidRPr="005F7D2D">
        <w:rPr>
          <w:rFonts w:ascii="Times New Roman" w:hAnsi="Times New Roman" w:cs="Times New Roman"/>
          <w:sz w:val="18"/>
          <w:szCs w:val="18"/>
          <w:lang w:val="lv-LV"/>
        </w:rPr>
        <w:t xml:space="preserve"> Civillikuma 1765.</w:t>
      </w:r>
      <w:r w:rsidR="005E0E24">
        <w:rPr>
          <w:rFonts w:ascii="Times New Roman" w:hAnsi="Times New Roman" w:cs="Times New Roman"/>
          <w:sz w:val="18"/>
          <w:szCs w:val="18"/>
          <w:lang w:val="lv-LV"/>
        </w:rPr>
        <w:t> </w:t>
      </w:r>
      <w:r w:rsidRPr="005F7D2D">
        <w:rPr>
          <w:rFonts w:ascii="Times New Roman" w:hAnsi="Times New Roman" w:cs="Times New Roman"/>
          <w:sz w:val="18"/>
          <w:szCs w:val="18"/>
          <w:lang w:val="lv-LV"/>
        </w:rPr>
        <w:t>panta pirmā daļa</w:t>
      </w:r>
    </w:p>
  </w:footnote>
  <w:footnote w:id="39">
    <w:p w14:paraId="1B80F5A1" w14:textId="77777777" w:rsidR="001004F8" w:rsidRPr="005F7D2D" w:rsidRDefault="001004F8" w:rsidP="0088281D">
      <w:pPr>
        <w:pStyle w:val="FootnoteText"/>
        <w:jc w:val="both"/>
        <w:rPr>
          <w:rFonts w:ascii="Times New Roman" w:hAnsi="Times New Roman" w:cs="Times New Roman"/>
          <w:sz w:val="18"/>
          <w:szCs w:val="18"/>
          <w:lang w:val="lv-LV"/>
        </w:rPr>
      </w:pPr>
      <w:r w:rsidRPr="005F7D2D">
        <w:rPr>
          <w:rStyle w:val="FootnoteReference"/>
          <w:rFonts w:ascii="Times New Roman" w:hAnsi="Times New Roman" w:cs="Times New Roman"/>
          <w:sz w:val="18"/>
          <w:szCs w:val="18"/>
          <w:lang w:val="lv-LV"/>
        </w:rPr>
        <w:footnoteRef/>
      </w:r>
      <w:r w:rsidRPr="005F7D2D">
        <w:rPr>
          <w:rFonts w:ascii="Times New Roman" w:hAnsi="Times New Roman" w:cs="Times New Roman"/>
          <w:sz w:val="18"/>
          <w:szCs w:val="18"/>
          <w:lang w:val="lv-LV"/>
        </w:rPr>
        <w:t xml:space="preserve"> Saskaņā ar Latvijas Bankas mājaslapā pieejamo informāciju (pieejama: https://www.bank.lv/statistika/dati-statistika/procentu-likmju-statistikas-raditaji/pamatlikme-saskana-ar-civillikuma-1765-pantu)</w:t>
      </w:r>
    </w:p>
  </w:footnote>
  <w:footnote w:id="40">
    <w:p w14:paraId="3D5BEAD8" w14:textId="77777777" w:rsidR="001004F8" w:rsidRPr="005F7D2D" w:rsidRDefault="001004F8" w:rsidP="0088281D">
      <w:pPr>
        <w:pStyle w:val="FootnoteText"/>
        <w:jc w:val="both"/>
        <w:rPr>
          <w:rFonts w:ascii="Times New Roman" w:hAnsi="Times New Roman" w:cs="Times New Roman"/>
          <w:sz w:val="18"/>
          <w:szCs w:val="18"/>
          <w:lang w:val="lv-LV"/>
        </w:rPr>
      </w:pPr>
      <w:r w:rsidRPr="005F7D2D">
        <w:rPr>
          <w:rStyle w:val="FootnoteReference"/>
          <w:rFonts w:ascii="Times New Roman" w:hAnsi="Times New Roman" w:cs="Times New Roman"/>
          <w:sz w:val="18"/>
          <w:szCs w:val="18"/>
          <w:lang w:val="lv-LV"/>
        </w:rPr>
        <w:footnoteRef/>
      </w:r>
      <w:r w:rsidRPr="005F7D2D">
        <w:rPr>
          <w:rFonts w:ascii="Times New Roman" w:hAnsi="Times New Roman" w:cs="Times New Roman"/>
          <w:sz w:val="18"/>
          <w:szCs w:val="18"/>
          <w:lang w:val="lv-LV"/>
        </w:rPr>
        <w:t>Pieejams: http://titania.saeima.lv/LIVS12/saeimalivs12.nsf/0/346080E7E4162DA6C2257D8E00479235?OpenDocument</w:t>
      </w:r>
    </w:p>
  </w:footnote>
  <w:footnote w:id="41">
    <w:p w14:paraId="0A4D33A5" w14:textId="2B21333C" w:rsidR="001004F8" w:rsidRPr="005F7D2D" w:rsidRDefault="001004F8" w:rsidP="0088281D">
      <w:pPr>
        <w:pStyle w:val="FootnoteText"/>
        <w:jc w:val="both"/>
        <w:rPr>
          <w:rFonts w:ascii="Times New Roman" w:hAnsi="Times New Roman" w:cs="Times New Roman"/>
          <w:sz w:val="18"/>
          <w:szCs w:val="18"/>
          <w:lang w:val="lv-LV"/>
        </w:rPr>
      </w:pPr>
      <w:r w:rsidRPr="005F7D2D">
        <w:rPr>
          <w:rStyle w:val="FootnoteReference"/>
          <w:rFonts w:ascii="Times New Roman" w:hAnsi="Times New Roman" w:cs="Times New Roman"/>
          <w:sz w:val="18"/>
          <w:szCs w:val="18"/>
          <w:lang w:val="lv-LV"/>
        </w:rPr>
        <w:footnoteRef/>
      </w:r>
      <w:r w:rsidRPr="005F7D2D">
        <w:rPr>
          <w:rFonts w:ascii="Times New Roman" w:hAnsi="Times New Roman" w:cs="Times New Roman"/>
          <w:sz w:val="18"/>
          <w:szCs w:val="18"/>
          <w:lang w:val="lv-LV"/>
        </w:rPr>
        <w:t xml:space="preserve"> Kā izriet no UNIDROIT līgumu principu 7.4.9.</w:t>
      </w:r>
      <w:r w:rsidR="005E0E24">
        <w:rPr>
          <w:rFonts w:ascii="Times New Roman" w:hAnsi="Times New Roman" w:cs="Times New Roman"/>
          <w:sz w:val="18"/>
          <w:szCs w:val="18"/>
          <w:lang w:val="lv-LV"/>
        </w:rPr>
        <w:t> </w:t>
      </w:r>
      <w:r w:rsidRPr="005F7D2D">
        <w:rPr>
          <w:rFonts w:ascii="Times New Roman" w:hAnsi="Times New Roman" w:cs="Times New Roman"/>
          <w:sz w:val="18"/>
          <w:szCs w:val="18"/>
          <w:lang w:val="lv-LV"/>
        </w:rPr>
        <w:t>panta otrās daļas, procentu likme ir maksājama valūtai dominējošā vidējā banku īstermiņu kredītu likme sākotnējiem aizņēmumiem maksājuma izdarīšanas vietā, ja tādas likmes šajā vietā nav, tad tā pati likme valstī, kuras valūtas vienībās izteikts parāds (pieejams: https://www.unidroit.org/instruments/commercial-contracts/unidroit-principles-2016)</w:t>
      </w:r>
    </w:p>
  </w:footnote>
  <w:footnote w:id="42">
    <w:p w14:paraId="4EC2E5E1" w14:textId="51669CF1" w:rsidR="001004F8" w:rsidRPr="005F7D2D" w:rsidRDefault="001004F8" w:rsidP="0088281D">
      <w:pPr>
        <w:pStyle w:val="FootnoteText"/>
        <w:jc w:val="both"/>
        <w:rPr>
          <w:rFonts w:ascii="Times New Roman" w:hAnsi="Times New Roman" w:cs="Times New Roman"/>
          <w:sz w:val="18"/>
          <w:szCs w:val="18"/>
          <w:lang w:val="lv-LV"/>
        </w:rPr>
      </w:pPr>
      <w:r w:rsidRPr="00B42065">
        <w:rPr>
          <w:rStyle w:val="FootnoteReference"/>
          <w:rFonts w:ascii="Times New Roman" w:hAnsi="Times New Roman" w:cs="Times New Roman"/>
          <w:sz w:val="18"/>
          <w:szCs w:val="18"/>
          <w:lang w:val="lv-LV"/>
        </w:rPr>
        <w:footnoteRef/>
      </w:r>
      <w:r w:rsidRPr="00B42065">
        <w:rPr>
          <w:rFonts w:ascii="Times New Roman" w:hAnsi="Times New Roman" w:cs="Times New Roman"/>
          <w:sz w:val="18"/>
          <w:szCs w:val="18"/>
          <w:lang w:val="lv-LV"/>
        </w:rPr>
        <w:t xml:space="preserve"> Kā izriet no Eiropas līgumu tiesību principu 7.4.9.</w:t>
      </w:r>
      <w:r w:rsidR="005E0E24" w:rsidRPr="00B42065">
        <w:rPr>
          <w:rFonts w:ascii="Times New Roman" w:hAnsi="Times New Roman" w:cs="Times New Roman"/>
          <w:sz w:val="18"/>
          <w:szCs w:val="18"/>
          <w:lang w:val="lv-LV"/>
        </w:rPr>
        <w:t> </w:t>
      </w:r>
      <w:r w:rsidRPr="00B42065">
        <w:rPr>
          <w:rFonts w:ascii="Times New Roman" w:hAnsi="Times New Roman" w:cs="Times New Roman"/>
          <w:sz w:val="18"/>
          <w:szCs w:val="18"/>
          <w:lang w:val="lv-LV"/>
        </w:rPr>
        <w:t xml:space="preserve">panta pirmās daļas, ja </w:t>
      </w:r>
      <w:r w:rsidR="005E0E24" w:rsidRPr="00B42065">
        <w:rPr>
          <w:rFonts w:ascii="Times New Roman" w:hAnsi="Times New Roman" w:cs="Times New Roman"/>
          <w:sz w:val="18"/>
          <w:szCs w:val="18"/>
          <w:lang w:val="lv-LV"/>
        </w:rPr>
        <w:t xml:space="preserve">naudas summas atmaksa tiek kavēta, cietušajai pusei </w:t>
      </w:r>
      <w:r w:rsidR="005B592C" w:rsidRPr="00B42065">
        <w:rPr>
          <w:rFonts w:ascii="Times New Roman" w:hAnsi="Times New Roman" w:cs="Times New Roman"/>
          <w:sz w:val="18"/>
          <w:szCs w:val="18"/>
          <w:lang w:val="lv-LV"/>
        </w:rPr>
        <w:t>ir tiesības uz procentiem no kavētās summas. Šo procentu apmērs ir</w:t>
      </w:r>
      <w:r w:rsidR="006B5C0E" w:rsidRPr="00B42065">
        <w:rPr>
          <w:rFonts w:ascii="Times New Roman" w:hAnsi="Times New Roman" w:cs="Times New Roman"/>
          <w:sz w:val="18"/>
          <w:szCs w:val="18"/>
          <w:lang w:val="lv-LV"/>
        </w:rPr>
        <w:t xml:space="preserve"> vidējā</w:t>
      </w:r>
      <w:r w:rsidR="005B592C" w:rsidRPr="00B42065">
        <w:rPr>
          <w:rFonts w:ascii="Times New Roman" w:hAnsi="Times New Roman" w:cs="Times New Roman"/>
          <w:sz w:val="18"/>
          <w:szCs w:val="18"/>
          <w:lang w:val="lv-LV"/>
        </w:rPr>
        <w:t xml:space="preserve"> banku īstermiņu kredītu likme sākotnējiem </w:t>
      </w:r>
      <w:r w:rsidR="006B5C0E" w:rsidRPr="00B42065">
        <w:rPr>
          <w:rFonts w:ascii="Times New Roman" w:hAnsi="Times New Roman" w:cs="Times New Roman"/>
          <w:sz w:val="18"/>
          <w:szCs w:val="18"/>
          <w:lang w:val="lv-LV"/>
        </w:rPr>
        <w:t>aizņēmējiem</w:t>
      </w:r>
      <w:r w:rsidRPr="005F7D2D">
        <w:rPr>
          <w:rFonts w:ascii="Times New Roman" w:hAnsi="Times New Roman" w:cs="Times New Roman"/>
          <w:sz w:val="18"/>
          <w:szCs w:val="18"/>
          <w:lang w:val="lv-LV"/>
        </w:rPr>
        <w:t xml:space="preserve"> (pieejams: http://www.jus.uio.no/lm/eu.contract.principles.parts.1.to.3.2002/9.508.html)</w:t>
      </w:r>
    </w:p>
  </w:footnote>
  <w:footnote w:id="43">
    <w:p w14:paraId="25F9D7A2" w14:textId="598B28AE" w:rsidR="001004F8" w:rsidRPr="005F7D2D" w:rsidRDefault="001004F8" w:rsidP="0088281D">
      <w:pPr>
        <w:pStyle w:val="FootnoteText"/>
        <w:jc w:val="both"/>
        <w:rPr>
          <w:rFonts w:ascii="Times New Roman" w:hAnsi="Times New Roman" w:cs="Times New Roman"/>
          <w:sz w:val="18"/>
          <w:szCs w:val="18"/>
          <w:lang w:val="lv-LV"/>
        </w:rPr>
      </w:pPr>
      <w:r w:rsidRPr="005F7D2D">
        <w:rPr>
          <w:rStyle w:val="FootnoteReference"/>
          <w:rFonts w:ascii="Times New Roman" w:hAnsi="Times New Roman" w:cs="Times New Roman"/>
          <w:sz w:val="18"/>
          <w:szCs w:val="18"/>
          <w:lang w:val="lv-LV"/>
        </w:rPr>
        <w:footnoteRef/>
      </w:r>
      <w:r w:rsidRPr="005F7D2D">
        <w:rPr>
          <w:rFonts w:ascii="Times New Roman" w:hAnsi="Times New Roman" w:cs="Times New Roman"/>
          <w:sz w:val="18"/>
          <w:szCs w:val="18"/>
          <w:lang w:val="lv-LV"/>
        </w:rPr>
        <w:t xml:space="preserve"> Informācija pieejama: </w:t>
      </w:r>
      <w:r w:rsidRPr="002C5745">
        <w:rPr>
          <w:rFonts w:ascii="Times New Roman" w:hAnsi="Times New Roman" w:cs="Times New Roman"/>
          <w:sz w:val="18"/>
          <w:szCs w:val="18"/>
          <w:lang w:val="lv-LV"/>
        </w:rPr>
        <w:t>https://www.swedbank.lv/private/credit/loans/newSmall</w:t>
      </w:r>
      <w:r w:rsidRPr="005F7D2D">
        <w:rPr>
          <w:rFonts w:ascii="Times New Roman" w:hAnsi="Times New Roman" w:cs="Times New Roman"/>
          <w:sz w:val="18"/>
          <w:szCs w:val="18"/>
          <w:lang w:val="lv-LV"/>
        </w:rPr>
        <w:t xml:space="preserve"> (</w:t>
      </w:r>
      <w:r w:rsidR="00280EE0">
        <w:rPr>
          <w:rFonts w:ascii="Times New Roman" w:hAnsi="Times New Roman" w:cs="Times New Roman"/>
          <w:sz w:val="18"/>
          <w:szCs w:val="18"/>
          <w:lang w:val="lv-LV"/>
        </w:rPr>
        <w:t>S</w:t>
      </w:r>
      <w:r w:rsidRPr="005F7D2D">
        <w:rPr>
          <w:rFonts w:ascii="Times New Roman" w:hAnsi="Times New Roman" w:cs="Times New Roman"/>
          <w:sz w:val="18"/>
          <w:szCs w:val="18"/>
          <w:lang w:val="lv-LV"/>
        </w:rPr>
        <w:t>katīts</w:t>
      </w:r>
      <w:r w:rsidR="00280EE0">
        <w:rPr>
          <w:rFonts w:ascii="Times New Roman" w:hAnsi="Times New Roman" w:cs="Times New Roman"/>
          <w:sz w:val="18"/>
          <w:szCs w:val="18"/>
          <w:lang w:val="lv-LV"/>
        </w:rPr>
        <w:t>:</w:t>
      </w:r>
      <w:r w:rsidRPr="005F7D2D">
        <w:rPr>
          <w:rFonts w:ascii="Times New Roman" w:hAnsi="Times New Roman" w:cs="Times New Roman"/>
          <w:sz w:val="18"/>
          <w:szCs w:val="18"/>
          <w:lang w:val="lv-LV"/>
        </w:rPr>
        <w:t xml:space="preserve"> 2018.</w:t>
      </w:r>
      <w:r w:rsidR="00280EE0">
        <w:rPr>
          <w:rFonts w:ascii="Times New Roman" w:hAnsi="Times New Roman" w:cs="Times New Roman"/>
          <w:sz w:val="18"/>
          <w:szCs w:val="18"/>
          <w:lang w:val="lv-LV"/>
        </w:rPr>
        <w:t> </w:t>
      </w:r>
      <w:r w:rsidRPr="005F7D2D">
        <w:rPr>
          <w:rFonts w:ascii="Times New Roman" w:hAnsi="Times New Roman" w:cs="Times New Roman"/>
          <w:sz w:val="18"/>
          <w:szCs w:val="18"/>
          <w:lang w:val="lv-LV"/>
        </w:rPr>
        <w:t>gada 28.</w:t>
      </w:r>
      <w:r w:rsidR="00280EE0">
        <w:rPr>
          <w:rFonts w:ascii="Times New Roman" w:hAnsi="Times New Roman" w:cs="Times New Roman"/>
          <w:sz w:val="18"/>
          <w:szCs w:val="18"/>
          <w:lang w:val="lv-LV"/>
        </w:rPr>
        <w:t> </w:t>
      </w:r>
      <w:r w:rsidRPr="005F7D2D">
        <w:rPr>
          <w:rFonts w:ascii="Times New Roman" w:hAnsi="Times New Roman" w:cs="Times New Roman"/>
          <w:sz w:val="18"/>
          <w:szCs w:val="18"/>
          <w:lang w:val="lv-LV"/>
        </w:rPr>
        <w:t>februārī)</w:t>
      </w:r>
    </w:p>
  </w:footnote>
  <w:footnote w:id="44">
    <w:p w14:paraId="7CD23518" w14:textId="6ECEEF48" w:rsidR="001004F8" w:rsidRPr="005F7D2D" w:rsidRDefault="001004F8" w:rsidP="0088281D">
      <w:pPr>
        <w:pStyle w:val="FootnoteText"/>
        <w:jc w:val="both"/>
        <w:rPr>
          <w:rFonts w:ascii="Times New Roman" w:hAnsi="Times New Roman" w:cs="Times New Roman"/>
          <w:sz w:val="18"/>
          <w:szCs w:val="18"/>
          <w:lang w:val="lv-LV"/>
        </w:rPr>
      </w:pPr>
      <w:r w:rsidRPr="005F7D2D">
        <w:rPr>
          <w:rStyle w:val="FootnoteReference"/>
          <w:rFonts w:ascii="Times New Roman" w:hAnsi="Times New Roman" w:cs="Times New Roman"/>
          <w:sz w:val="18"/>
          <w:szCs w:val="18"/>
          <w:lang w:val="lv-LV"/>
        </w:rPr>
        <w:footnoteRef/>
      </w:r>
      <w:r>
        <w:t xml:space="preserve"> </w:t>
      </w:r>
      <w:r w:rsidRPr="005F7D2D">
        <w:rPr>
          <w:rFonts w:ascii="Times New Roman" w:hAnsi="Times New Roman" w:cs="Times New Roman"/>
          <w:sz w:val="18"/>
          <w:szCs w:val="18"/>
          <w:lang w:val="lv-LV"/>
        </w:rPr>
        <w:t xml:space="preserve">Informācija pieejama: </w:t>
      </w:r>
      <w:r w:rsidRPr="002C5745">
        <w:rPr>
          <w:rFonts w:ascii="Times New Roman" w:hAnsi="Times New Roman" w:cs="Times New Roman"/>
          <w:sz w:val="18"/>
          <w:szCs w:val="18"/>
          <w:lang w:val="lv-LV"/>
        </w:rPr>
        <w:t>https://www.citadele.lv/lv/privatpersonam/krediti-un-lizings/paterina-kredits</w:t>
      </w:r>
      <w:r w:rsidRPr="005F7D2D">
        <w:rPr>
          <w:rFonts w:ascii="Times New Roman" w:hAnsi="Times New Roman" w:cs="Times New Roman"/>
          <w:sz w:val="18"/>
          <w:szCs w:val="18"/>
          <w:lang w:val="lv-LV"/>
        </w:rPr>
        <w:t xml:space="preserve"> (</w:t>
      </w:r>
      <w:r w:rsidR="00280EE0">
        <w:rPr>
          <w:rFonts w:ascii="Times New Roman" w:hAnsi="Times New Roman" w:cs="Times New Roman"/>
          <w:sz w:val="18"/>
          <w:szCs w:val="18"/>
          <w:lang w:val="lv-LV"/>
        </w:rPr>
        <w:t>S</w:t>
      </w:r>
      <w:r w:rsidRPr="005F7D2D">
        <w:rPr>
          <w:rFonts w:ascii="Times New Roman" w:hAnsi="Times New Roman" w:cs="Times New Roman"/>
          <w:sz w:val="18"/>
          <w:szCs w:val="18"/>
          <w:lang w:val="lv-LV"/>
        </w:rPr>
        <w:t>katīts</w:t>
      </w:r>
      <w:r w:rsidR="00280EE0">
        <w:rPr>
          <w:rFonts w:ascii="Times New Roman" w:hAnsi="Times New Roman" w:cs="Times New Roman"/>
          <w:sz w:val="18"/>
          <w:szCs w:val="18"/>
          <w:lang w:val="lv-LV"/>
        </w:rPr>
        <w:t>:</w:t>
      </w:r>
      <w:r w:rsidRPr="005F7D2D">
        <w:rPr>
          <w:rFonts w:ascii="Times New Roman" w:hAnsi="Times New Roman" w:cs="Times New Roman"/>
          <w:sz w:val="18"/>
          <w:szCs w:val="18"/>
          <w:lang w:val="lv-LV"/>
        </w:rPr>
        <w:t xml:space="preserve"> 2018.</w:t>
      </w:r>
      <w:r w:rsidR="00280EE0">
        <w:rPr>
          <w:rFonts w:ascii="Times New Roman" w:hAnsi="Times New Roman" w:cs="Times New Roman"/>
          <w:sz w:val="18"/>
          <w:szCs w:val="18"/>
          <w:lang w:val="lv-LV"/>
        </w:rPr>
        <w:t> </w:t>
      </w:r>
      <w:r w:rsidRPr="005F7D2D">
        <w:rPr>
          <w:rFonts w:ascii="Times New Roman" w:hAnsi="Times New Roman" w:cs="Times New Roman"/>
          <w:sz w:val="18"/>
          <w:szCs w:val="18"/>
          <w:lang w:val="lv-LV"/>
        </w:rPr>
        <w:t>gada 28.</w:t>
      </w:r>
      <w:r w:rsidR="00280EE0">
        <w:rPr>
          <w:rFonts w:ascii="Times New Roman" w:hAnsi="Times New Roman" w:cs="Times New Roman"/>
          <w:sz w:val="18"/>
          <w:szCs w:val="18"/>
          <w:lang w:val="lv-LV"/>
        </w:rPr>
        <w:t> </w:t>
      </w:r>
      <w:r w:rsidRPr="005F7D2D">
        <w:rPr>
          <w:rFonts w:ascii="Times New Roman" w:hAnsi="Times New Roman" w:cs="Times New Roman"/>
          <w:sz w:val="18"/>
          <w:szCs w:val="18"/>
          <w:lang w:val="lv-LV"/>
        </w:rPr>
        <w:t>februārī)</w:t>
      </w:r>
    </w:p>
  </w:footnote>
  <w:footnote w:id="45">
    <w:p w14:paraId="274BD25B" w14:textId="294CD615" w:rsidR="001004F8" w:rsidRPr="005F7D2D" w:rsidRDefault="001004F8" w:rsidP="0088281D">
      <w:pPr>
        <w:pStyle w:val="FootnoteText"/>
        <w:jc w:val="both"/>
        <w:rPr>
          <w:rFonts w:ascii="Times New Roman" w:hAnsi="Times New Roman" w:cs="Times New Roman"/>
          <w:sz w:val="18"/>
          <w:szCs w:val="18"/>
          <w:lang w:val="lv-LV"/>
        </w:rPr>
      </w:pPr>
      <w:r w:rsidRPr="005F7D2D">
        <w:rPr>
          <w:rStyle w:val="FootnoteReference"/>
          <w:rFonts w:ascii="Times New Roman" w:hAnsi="Times New Roman" w:cs="Times New Roman"/>
          <w:sz w:val="18"/>
          <w:szCs w:val="18"/>
          <w:lang w:val="lv-LV"/>
        </w:rPr>
        <w:footnoteRef/>
      </w:r>
      <w:r w:rsidRPr="005F7D2D">
        <w:rPr>
          <w:rFonts w:ascii="Times New Roman" w:hAnsi="Times New Roman" w:cs="Times New Roman"/>
          <w:sz w:val="18"/>
          <w:szCs w:val="18"/>
          <w:lang w:val="lv-LV"/>
        </w:rPr>
        <w:t xml:space="preserve"> </w:t>
      </w:r>
      <w:r w:rsidR="00280EE0">
        <w:rPr>
          <w:rFonts w:ascii="Times New Roman" w:hAnsi="Times New Roman" w:cs="Times New Roman"/>
          <w:sz w:val="18"/>
          <w:szCs w:val="18"/>
          <w:lang w:val="lv-LV"/>
        </w:rPr>
        <w:t>I</w:t>
      </w:r>
      <w:r w:rsidRPr="005F7D2D">
        <w:rPr>
          <w:rFonts w:ascii="Times New Roman" w:hAnsi="Times New Roman" w:cs="Times New Roman"/>
          <w:sz w:val="18"/>
          <w:szCs w:val="18"/>
          <w:lang w:val="lv-LV"/>
        </w:rPr>
        <w:t xml:space="preserve">nformācija pieejama: </w:t>
      </w:r>
      <w:r w:rsidRPr="002C5745">
        <w:rPr>
          <w:rFonts w:ascii="Times New Roman" w:hAnsi="Times New Roman" w:cs="Times New Roman"/>
          <w:sz w:val="18"/>
          <w:szCs w:val="18"/>
          <w:lang w:val="lv-LV"/>
        </w:rPr>
        <w:t>https://www.seb.lv/krediti-un-lizings/krediti-ikdienas-vajadzibam/paterina-kredits#iespejas</w:t>
      </w:r>
      <w:r w:rsidR="00280EE0">
        <w:rPr>
          <w:rFonts w:ascii="Times New Roman" w:hAnsi="Times New Roman" w:cs="Times New Roman"/>
          <w:sz w:val="18"/>
          <w:szCs w:val="18"/>
          <w:lang w:val="lv-LV"/>
        </w:rPr>
        <w:t xml:space="preserve"> (S</w:t>
      </w:r>
      <w:r w:rsidRPr="005F7D2D">
        <w:rPr>
          <w:rFonts w:ascii="Times New Roman" w:hAnsi="Times New Roman" w:cs="Times New Roman"/>
          <w:sz w:val="18"/>
          <w:szCs w:val="18"/>
          <w:lang w:val="lv-LV"/>
        </w:rPr>
        <w:t>katīts</w:t>
      </w:r>
      <w:r w:rsidR="00280EE0">
        <w:rPr>
          <w:rFonts w:ascii="Times New Roman" w:hAnsi="Times New Roman" w:cs="Times New Roman"/>
          <w:sz w:val="18"/>
          <w:szCs w:val="18"/>
          <w:lang w:val="lv-LV"/>
        </w:rPr>
        <w:t>:</w:t>
      </w:r>
      <w:r w:rsidRPr="005F7D2D">
        <w:rPr>
          <w:rFonts w:ascii="Times New Roman" w:hAnsi="Times New Roman" w:cs="Times New Roman"/>
          <w:sz w:val="18"/>
          <w:szCs w:val="18"/>
          <w:lang w:val="lv-LV"/>
        </w:rPr>
        <w:t xml:space="preserve"> 2018.</w:t>
      </w:r>
      <w:r w:rsidR="00280EE0">
        <w:rPr>
          <w:rFonts w:ascii="Times New Roman" w:hAnsi="Times New Roman" w:cs="Times New Roman"/>
          <w:sz w:val="18"/>
          <w:szCs w:val="18"/>
          <w:lang w:val="lv-LV"/>
        </w:rPr>
        <w:t> </w:t>
      </w:r>
      <w:r w:rsidRPr="005F7D2D">
        <w:rPr>
          <w:rFonts w:ascii="Times New Roman" w:hAnsi="Times New Roman" w:cs="Times New Roman"/>
          <w:sz w:val="18"/>
          <w:szCs w:val="18"/>
          <w:lang w:val="lv-LV"/>
        </w:rPr>
        <w:t>gada 28.</w:t>
      </w:r>
      <w:r w:rsidR="00280EE0">
        <w:rPr>
          <w:rFonts w:ascii="Times New Roman" w:hAnsi="Times New Roman" w:cs="Times New Roman"/>
          <w:sz w:val="18"/>
          <w:szCs w:val="18"/>
          <w:lang w:val="lv-LV"/>
        </w:rPr>
        <w:t xml:space="preserve"> </w:t>
      </w:r>
      <w:r w:rsidRPr="005F7D2D">
        <w:rPr>
          <w:rFonts w:ascii="Times New Roman" w:hAnsi="Times New Roman" w:cs="Times New Roman"/>
          <w:sz w:val="18"/>
          <w:szCs w:val="18"/>
          <w:lang w:val="lv-LV"/>
        </w:rPr>
        <w:t>februārī)</w:t>
      </w:r>
    </w:p>
  </w:footnote>
  <w:footnote w:id="46">
    <w:p w14:paraId="22D1B19F" w14:textId="23F41B7E" w:rsidR="001004F8" w:rsidRPr="005F7D2D" w:rsidRDefault="001004F8" w:rsidP="0088281D">
      <w:pPr>
        <w:pStyle w:val="FootnoteText"/>
        <w:jc w:val="both"/>
        <w:rPr>
          <w:rFonts w:ascii="Times New Roman" w:hAnsi="Times New Roman" w:cs="Times New Roman"/>
          <w:sz w:val="18"/>
          <w:szCs w:val="18"/>
          <w:lang w:val="lv-LV"/>
        </w:rPr>
      </w:pPr>
      <w:r w:rsidRPr="005F7D2D">
        <w:rPr>
          <w:rStyle w:val="FootnoteReference"/>
          <w:rFonts w:ascii="Times New Roman" w:hAnsi="Times New Roman" w:cs="Times New Roman"/>
          <w:sz w:val="18"/>
          <w:szCs w:val="18"/>
          <w:lang w:val="lv-LV"/>
        </w:rPr>
        <w:footnoteRef/>
      </w:r>
      <w:r w:rsidRPr="005F7D2D">
        <w:rPr>
          <w:rFonts w:ascii="Times New Roman" w:hAnsi="Times New Roman" w:cs="Times New Roman"/>
          <w:sz w:val="18"/>
          <w:szCs w:val="18"/>
          <w:lang w:val="lv-LV"/>
        </w:rPr>
        <w:t xml:space="preserve"> Informācija pieejama: </w:t>
      </w:r>
      <w:r w:rsidRPr="002C5745">
        <w:rPr>
          <w:rFonts w:ascii="Times New Roman" w:hAnsi="Times New Roman" w:cs="Times New Roman"/>
          <w:sz w:val="18"/>
          <w:szCs w:val="18"/>
          <w:lang w:val="lv-LV"/>
        </w:rPr>
        <w:t>https://www.norvik.eu/lv/t-consumer?client=personal-charges&amp;category=loans&amp;service=t-consumer</w:t>
      </w:r>
      <w:r w:rsidR="00280EE0">
        <w:rPr>
          <w:rFonts w:ascii="Times New Roman" w:hAnsi="Times New Roman" w:cs="Times New Roman"/>
          <w:sz w:val="18"/>
          <w:szCs w:val="18"/>
          <w:lang w:val="lv-LV"/>
        </w:rPr>
        <w:t xml:space="preserve"> (S</w:t>
      </w:r>
      <w:r w:rsidRPr="005F7D2D">
        <w:rPr>
          <w:rFonts w:ascii="Times New Roman" w:hAnsi="Times New Roman" w:cs="Times New Roman"/>
          <w:sz w:val="18"/>
          <w:szCs w:val="18"/>
          <w:lang w:val="lv-LV"/>
        </w:rPr>
        <w:t>katīts</w:t>
      </w:r>
      <w:r w:rsidR="00280EE0">
        <w:rPr>
          <w:rFonts w:ascii="Times New Roman" w:hAnsi="Times New Roman" w:cs="Times New Roman"/>
          <w:sz w:val="18"/>
          <w:szCs w:val="18"/>
          <w:lang w:val="lv-LV"/>
        </w:rPr>
        <w:t>:</w:t>
      </w:r>
      <w:r w:rsidRPr="005F7D2D">
        <w:rPr>
          <w:rFonts w:ascii="Times New Roman" w:hAnsi="Times New Roman" w:cs="Times New Roman"/>
          <w:sz w:val="18"/>
          <w:szCs w:val="18"/>
          <w:lang w:val="lv-LV"/>
        </w:rPr>
        <w:t xml:space="preserve"> 2018.</w:t>
      </w:r>
      <w:r w:rsidR="00280EE0">
        <w:rPr>
          <w:rFonts w:ascii="Times New Roman" w:hAnsi="Times New Roman" w:cs="Times New Roman"/>
          <w:sz w:val="18"/>
          <w:szCs w:val="18"/>
          <w:lang w:val="lv-LV"/>
        </w:rPr>
        <w:t> </w:t>
      </w:r>
      <w:r w:rsidRPr="005F7D2D">
        <w:rPr>
          <w:rFonts w:ascii="Times New Roman" w:hAnsi="Times New Roman" w:cs="Times New Roman"/>
          <w:sz w:val="18"/>
          <w:szCs w:val="18"/>
          <w:lang w:val="lv-LV"/>
        </w:rPr>
        <w:t>gada 28.</w:t>
      </w:r>
      <w:r w:rsidR="00280EE0">
        <w:rPr>
          <w:rFonts w:ascii="Times New Roman" w:hAnsi="Times New Roman" w:cs="Times New Roman"/>
          <w:sz w:val="18"/>
          <w:szCs w:val="18"/>
          <w:lang w:val="lv-LV"/>
        </w:rPr>
        <w:t> </w:t>
      </w:r>
      <w:r w:rsidRPr="005F7D2D">
        <w:rPr>
          <w:rFonts w:ascii="Times New Roman" w:hAnsi="Times New Roman" w:cs="Times New Roman"/>
          <w:sz w:val="18"/>
          <w:szCs w:val="18"/>
          <w:lang w:val="lv-LV"/>
        </w:rPr>
        <w:t>februārī)</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52098"/>
      <w:docPartObj>
        <w:docPartGallery w:val="Page Numbers (Top of Page)"/>
        <w:docPartUnique/>
      </w:docPartObj>
    </w:sdtPr>
    <w:sdtEndPr>
      <w:rPr>
        <w:rFonts w:ascii="Times New Roman" w:hAnsi="Times New Roman" w:cs="Times New Roman"/>
        <w:noProof/>
        <w:sz w:val="24"/>
        <w:szCs w:val="24"/>
      </w:rPr>
    </w:sdtEndPr>
    <w:sdtContent>
      <w:p w14:paraId="2AF4F2C5" w14:textId="39C42B2B" w:rsidR="001004F8" w:rsidRPr="0061157A" w:rsidRDefault="001004F8" w:rsidP="0061157A">
        <w:pPr>
          <w:pStyle w:val="Header"/>
          <w:jc w:val="center"/>
          <w:rPr>
            <w:rFonts w:ascii="Times New Roman" w:hAnsi="Times New Roman" w:cs="Times New Roman"/>
            <w:sz w:val="24"/>
            <w:szCs w:val="24"/>
          </w:rPr>
        </w:pPr>
        <w:r w:rsidRPr="00652814">
          <w:rPr>
            <w:rFonts w:ascii="Times New Roman" w:hAnsi="Times New Roman" w:cs="Times New Roman"/>
            <w:sz w:val="24"/>
            <w:szCs w:val="24"/>
          </w:rPr>
          <w:fldChar w:fldCharType="begin"/>
        </w:r>
        <w:r w:rsidRPr="00652814">
          <w:rPr>
            <w:rFonts w:ascii="Times New Roman" w:hAnsi="Times New Roman" w:cs="Times New Roman"/>
            <w:sz w:val="24"/>
            <w:szCs w:val="24"/>
          </w:rPr>
          <w:instrText xml:space="preserve"> PAGE   \* MERGEFORMAT </w:instrText>
        </w:r>
        <w:r w:rsidRPr="00652814">
          <w:rPr>
            <w:rFonts w:ascii="Times New Roman" w:hAnsi="Times New Roman" w:cs="Times New Roman"/>
            <w:sz w:val="24"/>
            <w:szCs w:val="24"/>
          </w:rPr>
          <w:fldChar w:fldCharType="separate"/>
        </w:r>
        <w:r w:rsidR="003D4311">
          <w:rPr>
            <w:rFonts w:ascii="Times New Roman" w:hAnsi="Times New Roman" w:cs="Times New Roman"/>
            <w:noProof/>
            <w:sz w:val="24"/>
            <w:szCs w:val="24"/>
          </w:rPr>
          <w:t>17</w:t>
        </w:r>
        <w:r w:rsidRPr="00652814">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95EB6"/>
    <w:multiLevelType w:val="hybridMultilevel"/>
    <w:tmpl w:val="414451F8"/>
    <w:lvl w:ilvl="0" w:tplc="E556A6A2">
      <w:start w:val="3"/>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 w15:restartNumberingAfterBreak="0">
    <w:nsid w:val="22391316"/>
    <w:multiLevelType w:val="multilevel"/>
    <w:tmpl w:val="C2F49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5959D0"/>
    <w:multiLevelType w:val="hybridMultilevel"/>
    <w:tmpl w:val="D71A83FE"/>
    <w:lvl w:ilvl="0" w:tplc="B6AEC95E">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 w15:restartNumberingAfterBreak="0">
    <w:nsid w:val="323C587F"/>
    <w:multiLevelType w:val="multilevel"/>
    <w:tmpl w:val="A7061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192923"/>
    <w:multiLevelType w:val="hybridMultilevel"/>
    <w:tmpl w:val="AD58BF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C456513"/>
    <w:multiLevelType w:val="hybridMultilevel"/>
    <w:tmpl w:val="59B26DFE"/>
    <w:lvl w:ilvl="0" w:tplc="DD1C13F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6D6F7EC9"/>
    <w:multiLevelType w:val="multilevel"/>
    <w:tmpl w:val="8EF01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977802"/>
    <w:multiLevelType w:val="hybridMultilevel"/>
    <w:tmpl w:val="1770A3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72D92F20"/>
    <w:multiLevelType w:val="hybridMultilevel"/>
    <w:tmpl w:val="6A828D50"/>
    <w:lvl w:ilvl="0" w:tplc="0F64D95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7BDB61F8"/>
    <w:multiLevelType w:val="hybridMultilevel"/>
    <w:tmpl w:val="6E845E78"/>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4"/>
  </w:num>
  <w:num w:numId="2">
    <w:abstractNumId w:val="5"/>
  </w:num>
  <w:num w:numId="3">
    <w:abstractNumId w:val="8"/>
  </w:num>
  <w:num w:numId="4">
    <w:abstractNumId w:val="9"/>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17"/>
    <w:rsid w:val="00000837"/>
    <w:rsid w:val="0000269C"/>
    <w:rsid w:val="00010E75"/>
    <w:rsid w:val="00013080"/>
    <w:rsid w:val="00021041"/>
    <w:rsid w:val="00022FD5"/>
    <w:rsid w:val="0002640E"/>
    <w:rsid w:val="0002708D"/>
    <w:rsid w:val="00033B29"/>
    <w:rsid w:val="00034562"/>
    <w:rsid w:val="000413C7"/>
    <w:rsid w:val="00043986"/>
    <w:rsid w:val="000546BA"/>
    <w:rsid w:val="00055BA6"/>
    <w:rsid w:val="00060382"/>
    <w:rsid w:val="0006405B"/>
    <w:rsid w:val="000705AB"/>
    <w:rsid w:val="00070960"/>
    <w:rsid w:val="000767AB"/>
    <w:rsid w:val="00092F5A"/>
    <w:rsid w:val="00092F8C"/>
    <w:rsid w:val="00093934"/>
    <w:rsid w:val="0009700E"/>
    <w:rsid w:val="000979A4"/>
    <w:rsid w:val="000A0162"/>
    <w:rsid w:val="000A0227"/>
    <w:rsid w:val="000A3FDF"/>
    <w:rsid w:val="000A5359"/>
    <w:rsid w:val="000B13DC"/>
    <w:rsid w:val="000B3576"/>
    <w:rsid w:val="000B46F1"/>
    <w:rsid w:val="000B7044"/>
    <w:rsid w:val="000B78E7"/>
    <w:rsid w:val="000C6B7D"/>
    <w:rsid w:val="000D2C04"/>
    <w:rsid w:val="000D7DDD"/>
    <w:rsid w:val="000E18C4"/>
    <w:rsid w:val="000F05CB"/>
    <w:rsid w:val="000F0B33"/>
    <w:rsid w:val="000F0D80"/>
    <w:rsid w:val="000F12C3"/>
    <w:rsid w:val="000F308D"/>
    <w:rsid w:val="000F3E15"/>
    <w:rsid w:val="000F5DAB"/>
    <w:rsid w:val="001004F8"/>
    <w:rsid w:val="00102419"/>
    <w:rsid w:val="00124E65"/>
    <w:rsid w:val="0013527E"/>
    <w:rsid w:val="00135EA3"/>
    <w:rsid w:val="0014237E"/>
    <w:rsid w:val="0014248A"/>
    <w:rsid w:val="00143B57"/>
    <w:rsid w:val="00150713"/>
    <w:rsid w:val="0015247B"/>
    <w:rsid w:val="00154C89"/>
    <w:rsid w:val="00155110"/>
    <w:rsid w:val="0015737D"/>
    <w:rsid w:val="0016695D"/>
    <w:rsid w:val="001678F2"/>
    <w:rsid w:val="00170C2E"/>
    <w:rsid w:val="001756AC"/>
    <w:rsid w:val="00176FA6"/>
    <w:rsid w:val="001822F9"/>
    <w:rsid w:val="0018304E"/>
    <w:rsid w:val="001940A2"/>
    <w:rsid w:val="0019627E"/>
    <w:rsid w:val="001966A5"/>
    <w:rsid w:val="001A0BB9"/>
    <w:rsid w:val="001A14BC"/>
    <w:rsid w:val="001A1C89"/>
    <w:rsid w:val="001B1559"/>
    <w:rsid w:val="001B7374"/>
    <w:rsid w:val="001C19BA"/>
    <w:rsid w:val="001C1F64"/>
    <w:rsid w:val="001C209F"/>
    <w:rsid w:val="001C3427"/>
    <w:rsid w:val="001C5C49"/>
    <w:rsid w:val="001C6467"/>
    <w:rsid w:val="001C6509"/>
    <w:rsid w:val="001C6F8F"/>
    <w:rsid w:val="001D1FD7"/>
    <w:rsid w:val="001D2C7C"/>
    <w:rsid w:val="001D3DAB"/>
    <w:rsid w:val="001D7C5F"/>
    <w:rsid w:val="001E1CC2"/>
    <w:rsid w:val="001E3581"/>
    <w:rsid w:val="001E4A92"/>
    <w:rsid w:val="001F02AB"/>
    <w:rsid w:val="00201FDA"/>
    <w:rsid w:val="00207E4B"/>
    <w:rsid w:val="002107E7"/>
    <w:rsid w:val="00216B2A"/>
    <w:rsid w:val="0021728A"/>
    <w:rsid w:val="00217DE1"/>
    <w:rsid w:val="00220CCA"/>
    <w:rsid w:val="0022112D"/>
    <w:rsid w:val="0022409E"/>
    <w:rsid w:val="00224386"/>
    <w:rsid w:val="00233785"/>
    <w:rsid w:val="00234373"/>
    <w:rsid w:val="002351CE"/>
    <w:rsid w:val="0024121C"/>
    <w:rsid w:val="002437E6"/>
    <w:rsid w:val="002471ED"/>
    <w:rsid w:val="002536F6"/>
    <w:rsid w:val="00263B80"/>
    <w:rsid w:val="00270BB3"/>
    <w:rsid w:val="00271B9B"/>
    <w:rsid w:val="002739E4"/>
    <w:rsid w:val="00277140"/>
    <w:rsid w:val="00280EE0"/>
    <w:rsid w:val="00281C23"/>
    <w:rsid w:val="002926E6"/>
    <w:rsid w:val="002A12A8"/>
    <w:rsid w:val="002A1450"/>
    <w:rsid w:val="002A2648"/>
    <w:rsid w:val="002B118A"/>
    <w:rsid w:val="002B5932"/>
    <w:rsid w:val="002B7AC0"/>
    <w:rsid w:val="002C3AF5"/>
    <w:rsid w:val="002C5745"/>
    <w:rsid w:val="002D2482"/>
    <w:rsid w:val="002D2B34"/>
    <w:rsid w:val="002D464B"/>
    <w:rsid w:val="002D5837"/>
    <w:rsid w:val="002D6060"/>
    <w:rsid w:val="002D7B58"/>
    <w:rsid w:val="002E6271"/>
    <w:rsid w:val="002E7AA8"/>
    <w:rsid w:val="002F4ADC"/>
    <w:rsid w:val="002F7A0B"/>
    <w:rsid w:val="003013CB"/>
    <w:rsid w:val="00303037"/>
    <w:rsid w:val="00303F39"/>
    <w:rsid w:val="00305F96"/>
    <w:rsid w:val="003107E5"/>
    <w:rsid w:val="00312F35"/>
    <w:rsid w:val="00314B82"/>
    <w:rsid w:val="0032333B"/>
    <w:rsid w:val="00324CC8"/>
    <w:rsid w:val="00324EAB"/>
    <w:rsid w:val="003258CC"/>
    <w:rsid w:val="00336D26"/>
    <w:rsid w:val="0034740D"/>
    <w:rsid w:val="0035792F"/>
    <w:rsid w:val="0036327F"/>
    <w:rsid w:val="003642A8"/>
    <w:rsid w:val="00364F1F"/>
    <w:rsid w:val="00375105"/>
    <w:rsid w:val="00380E14"/>
    <w:rsid w:val="00382DD9"/>
    <w:rsid w:val="00393735"/>
    <w:rsid w:val="00394594"/>
    <w:rsid w:val="003B2FFC"/>
    <w:rsid w:val="003B50C3"/>
    <w:rsid w:val="003B7766"/>
    <w:rsid w:val="003C28E9"/>
    <w:rsid w:val="003C2B3D"/>
    <w:rsid w:val="003C5134"/>
    <w:rsid w:val="003D3E2C"/>
    <w:rsid w:val="003D4311"/>
    <w:rsid w:val="003D6D75"/>
    <w:rsid w:val="003E299D"/>
    <w:rsid w:val="003E5DA1"/>
    <w:rsid w:val="003F2389"/>
    <w:rsid w:val="003F7213"/>
    <w:rsid w:val="0040012B"/>
    <w:rsid w:val="0040278B"/>
    <w:rsid w:val="00404435"/>
    <w:rsid w:val="00404628"/>
    <w:rsid w:val="00415673"/>
    <w:rsid w:val="004158F1"/>
    <w:rsid w:val="00415E95"/>
    <w:rsid w:val="00417016"/>
    <w:rsid w:val="00417B64"/>
    <w:rsid w:val="00423E39"/>
    <w:rsid w:val="00432CC8"/>
    <w:rsid w:val="00433D26"/>
    <w:rsid w:val="00434C55"/>
    <w:rsid w:val="00436721"/>
    <w:rsid w:val="00440576"/>
    <w:rsid w:val="004438FD"/>
    <w:rsid w:val="0045092F"/>
    <w:rsid w:val="00450D80"/>
    <w:rsid w:val="00450E2A"/>
    <w:rsid w:val="00453A28"/>
    <w:rsid w:val="00463C7B"/>
    <w:rsid w:val="00463F4F"/>
    <w:rsid w:val="00465B16"/>
    <w:rsid w:val="00470B22"/>
    <w:rsid w:val="004711CE"/>
    <w:rsid w:val="004716D3"/>
    <w:rsid w:val="00480058"/>
    <w:rsid w:val="004841C0"/>
    <w:rsid w:val="004930F6"/>
    <w:rsid w:val="004A0630"/>
    <w:rsid w:val="004A612A"/>
    <w:rsid w:val="004B1797"/>
    <w:rsid w:val="004B34E5"/>
    <w:rsid w:val="004B40A6"/>
    <w:rsid w:val="004B775E"/>
    <w:rsid w:val="004C3733"/>
    <w:rsid w:val="004D2D21"/>
    <w:rsid w:val="004D6B01"/>
    <w:rsid w:val="004D72D5"/>
    <w:rsid w:val="004E042A"/>
    <w:rsid w:val="004E379F"/>
    <w:rsid w:val="004E3A64"/>
    <w:rsid w:val="004E48E1"/>
    <w:rsid w:val="004E61DA"/>
    <w:rsid w:val="004E661F"/>
    <w:rsid w:val="004F2424"/>
    <w:rsid w:val="004F76DF"/>
    <w:rsid w:val="0050321C"/>
    <w:rsid w:val="00515466"/>
    <w:rsid w:val="00515EA0"/>
    <w:rsid w:val="005219A8"/>
    <w:rsid w:val="0052326C"/>
    <w:rsid w:val="00525F8E"/>
    <w:rsid w:val="00527F5D"/>
    <w:rsid w:val="00533C69"/>
    <w:rsid w:val="00537CB5"/>
    <w:rsid w:val="0054063B"/>
    <w:rsid w:val="005540B9"/>
    <w:rsid w:val="00556CD7"/>
    <w:rsid w:val="005603AD"/>
    <w:rsid w:val="005661CB"/>
    <w:rsid w:val="0057247C"/>
    <w:rsid w:val="00572905"/>
    <w:rsid w:val="00572C0A"/>
    <w:rsid w:val="0057358E"/>
    <w:rsid w:val="00577529"/>
    <w:rsid w:val="00580B0F"/>
    <w:rsid w:val="0059624D"/>
    <w:rsid w:val="005962D2"/>
    <w:rsid w:val="005A3C14"/>
    <w:rsid w:val="005A617F"/>
    <w:rsid w:val="005B592C"/>
    <w:rsid w:val="005B7C11"/>
    <w:rsid w:val="005C50EF"/>
    <w:rsid w:val="005C62E8"/>
    <w:rsid w:val="005D3846"/>
    <w:rsid w:val="005D3FFA"/>
    <w:rsid w:val="005D40CB"/>
    <w:rsid w:val="005D507D"/>
    <w:rsid w:val="005D7553"/>
    <w:rsid w:val="005E0E24"/>
    <w:rsid w:val="005F45A0"/>
    <w:rsid w:val="005F7D2D"/>
    <w:rsid w:val="00600D22"/>
    <w:rsid w:val="0061157A"/>
    <w:rsid w:val="0062356F"/>
    <w:rsid w:val="00626960"/>
    <w:rsid w:val="00634A24"/>
    <w:rsid w:val="00636F78"/>
    <w:rsid w:val="00637370"/>
    <w:rsid w:val="006375F3"/>
    <w:rsid w:val="00646FC3"/>
    <w:rsid w:val="00647A32"/>
    <w:rsid w:val="00647B6B"/>
    <w:rsid w:val="00652814"/>
    <w:rsid w:val="006619C4"/>
    <w:rsid w:val="00666242"/>
    <w:rsid w:val="006810B3"/>
    <w:rsid w:val="0068119C"/>
    <w:rsid w:val="00683D10"/>
    <w:rsid w:val="006A10C1"/>
    <w:rsid w:val="006A7715"/>
    <w:rsid w:val="006B0FD0"/>
    <w:rsid w:val="006B5C0E"/>
    <w:rsid w:val="006B5D13"/>
    <w:rsid w:val="006C1FA7"/>
    <w:rsid w:val="006D1BFC"/>
    <w:rsid w:val="006D2DDE"/>
    <w:rsid w:val="006D3EB8"/>
    <w:rsid w:val="006D4914"/>
    <w:rsid w:val="006D4BE4"/>
    <w:rsid w:val="006E4CDC"/>
    <w:rsid w:val="006E54D8"/>
    <w:rsid w:val="006F06D6"/>
    <w:rsid w:val="006F6749"/>
    <w:rsid w:val="00705ABF"/>
    <w:rsid w:val="00707EF9"/>
    <w:rsid w:val="0071167F"/>
    <w:rsid w:val="00714017"/>
    <w:rsid w:val="00720542"/>
    <w:rsid w:val="00725EF6"/>
    <w:rsid w:val="007327FE"/>
    <w:rsid w:val="00737279"/>
    <w:rsid w:val="00740E0D"/>
    <w:rsid w:val="0074388C"/>
    <w:rsid w:val="00745910"/>
    <w:rsid w:val="00751940"/>
    <w:rsid w:val="00763F2E"/>
    <w:rsid w:val="00764EF1"/>
    <w:rsid w:val="00774006"/>
    <w:rsid w:val="007749E4"/>
    <w:rsid w:val="00783DF9"/>
    <w:rsid w:val="00784299"/>
    <w:rsid w:val="00784951"/>
    <w:rsid w:val="0078685F"/>
    <w:rsid w:val="0079353B"/>
    <w:rsid w:val="00795D52"/>
    <w:rsid w:val="00797335"/>
    <w:rsid w:val="00797BF7"/>
    <w:rsid w:val="007A0731"/>
    <w:rsid w:val="007A58E5"/>
    <w:rsid w:val="007A69DA"/>
    <w:rsid w:val="007C1FFA"/>
    <w:rsid w:val="007C3CF3"/>
    <w:rsid w:val="007C48C1"/>
    <w:rsid w:val="007D1A17"/>
    <w:rsid w:val="007E1C34"/>
    <w:rsid w:val="007E34A9"/>
    <w:rsid w:val="007F3744"/>
    <w:rsid w:val="007F4D1A"/>
    <w:rsid w:val="007F77ED"/>
    <w:rsid w:val="00800345"/>
    <w:rsid w:val="00800850"/>
    <w:rsid w:val="0080275D"/>
    <w:rsid w:val="00802B12"/>
    <w:rsid w:val="00802BA1"/>
    <w:rsid w:val="00805454"/>
    <w:rsid w:val="00812D87"/>
    <w:rsid w:val="008218C9"/>
    <w:rsid w:val="00826A39"/>
    <w:rsid w:val="00832343"/>
    <w:rsid w:val="00834A9D"/>
    <w:rsid w:val="00837480"/>
    <w:rsid w:val="00843A6E"/>
    <w:rsid w:val="00845776"/>
    <w:rsid w:val="00846039"/>
    <w:rsid w:val="00857657"/>
    <w:rsid w:val="00861F2D"/>
    <w:rsid w:val="008744B2"/>
    <w:rsid w:val="00880EC7"/>
    <w:rsid w:val="0088281D"/>
    <w:rsid w:val="008853E3"/>
    <w:rsid w:val="00890178"/>
    <w:rsid w:val="008903B1"/>
    <w:rsid w:val="008908D1"/>
    <w:rsid w:val="008908FE"/>
    <w:rsid w:val="00892259"/>
    <w:rsid w:val="0089324A"/>
    <w:rsid w:val="00897488"/>
    <w:rsid w:val="008A12D7"/>
    <w:rsid w:val="008A3CDD"/>
    <w:rsid w:val="008A4D18"/>
    <w:rsid w:val="008A54BE"/>
    <w:rsid w:val="008A7FB1"/>
    <w:rsid w:val="008B7693"/>
    <w:rsid w:val="008C1823"/>
    <w:rsid w:val="008C1997"/>
    <w:rsid w:val="008C3445"/>
    <w:rsid w:val="008C6426"/>
    <w:rsid w:val="008D1FEA"/>
    <w:rsid w:val="008D31A7"/>
    <w:rsid w:val="008D583A"/>
    <w:rsid w:val="008E0303"/>
    <w:rsid w:val="008E03B3"/>
    <w:rsid w:val="008E03E0"/>
    <w:rsid w:val="008E3BC3"/>
    <w:rsid w:val="008E6643"/>
    <w:rsid w:val="008E6817"/>
    <w:rsid w:val="008F494C"/>
    <w:rsid w:val="008F4A4A"/>
    <w:rsid w:val="0090159F"/>
    <w:rsid w:val="00901C66"/>
    <w:rsid w:val="00904516"/>
    <w:rsid w:val="0090702E"/>
    <w:rsid w:val="00911BAC"/>
    <w:rsid w:val="00913736"/>
    <w:rsid w:val="0092072E"/>
    <w:rsid w:val="00920FC1"/>
    <w:rsid w:val="00922132"/>
    <w:rsid w:val="0092304D"/>
    <w:rsid w:val="00925072"/>
    <w:rsid w:val="00931B04"/>
    <w:rsid w:val="00931E44"/>
    <w:rsid w:val="00933E88"/>
    <w:rsid w:val="00934DCE"/>
    <w:rsid w:val="00935CB5"/>
    <w:rsid w:val="00937700"/>
    <w:rsid w:val="009448C8"/>
    <w:rsid w:val="00946C8F"/>
    <w:rsid w:val="009506FA"/>
    <w:rsid w:val="009553F4"/>
    <w:rsid w:val="009564EE"/>
    <w:rsid w:val="00964893"/>
    <w:rsid w:val="00965720"/>
    <w:rsid w:val="00981F59"/>
    <w:rsid w:val="00982A95"/>
    <w:rsid w:val="00991097"/>
    <w:rsid w:val="0099156C"/>
    <w:rsid w:val="009924A9"/>
    <w:rsid w:val="0099279F"/>
    <w:rsid w:val="00995761"/>
    <w:rsid w:val="009A1D53"/>
    <w:rsid w:val="009C021F"/>
    <w:rsid w:val="009C26E6"/>
    <w:rsid w:val="009C3683"/>
    <w:rsid w:val="009C63C3"/>
    <w:rsid w:val="009C691A"/>
    <w:rsid w:val="009C7E91"/>
    <w:rsid w:val="009D25A2"/>
    <w:rsid w:val="009D2872"/>
    <w:rsid w:val="009D2C76"/>
    <w:rsid w:val="009E355F"/>
    <w:rsid w:val="009E7931"/>
    <w:rsid w:val="009F1CB0"/>
    <w:rsid w:val="009F5602"/>
    <w:rsid w:val="009F59F3"/>
    <w:rsid w:val="00A003C6"/>
    <w:rsid w:val="00A0236B"/>
    <w:rsid w:val="00A03261"/>
    <w:rsid w:val="00A12C3F"/>
    <w:rsid w:val="00A16600"/>
    <w:rsid w:val="00A30768"/>
    <w:rsid w:val="00A31FAF"/>
    <w:rsid w:val="00A36741"/>
    <w:rsid w:val="00A4001F"/>
    <w:rsid w:val="00A54AB9"/>
    <w:rsid w:val="00A55CF9"/>
    <w:rsid w:val="00A67B44"/>
    <w:rsid w:val="00A716A3"/>
    <w:rsid w:val="00A74718"/>
    <w:rsid w:val="00A775FC"/>
    <w:rsid w:val="00A93A00"/>
    <w:rsid w:val="00A97004"/>
    <w:rsid w:val="00A977D2"/>
    <w:rsid w:val="00AA2B15"/>
    <w:rsid w:val="00AA497E"/>
    <w:rsid w:val="00AB081F"/>
    <w:rsid w:val="00AB60A7"/>
    <w:rsid w:val="00AB704A"/>
    <w:rsid w:val="00AB7CF4"/>
    <w:rsid w:val="00AD056D"/>
    <w:rsid w:val="00AD0B52"/>
    <w:rsid w:val="00AD143C"/>
    <w:rsid w:val="00AD2526"/>
    <w:rsid w:val="00AD4764"/>
    <w:rsid w:val="00AD674A"/>
    <w:rsid w:val="00AE2CC7"/>
    <w:rsid w:val="00AE4079"/>
    <w:rsid w:val="00AE5C99"/>
    <w:rsid w:val="00AF2A53"/>
    <w:rsid w:val="00B11E02"/>
    <w:rsid w:val="00B13546"/>
    <w:rsid w:val="00B15EE9"/>
    <w:rsid w:val="00B17489"/>
    <w:rsid w:val="00B20EA6"/>
    <w:rsid w:val="00B216F7"/>
    <w:rsid w:val="00B30A58"/>
    <w:rsid w:val="00B31D06"/>
    <w:rsid w:val="00B36246"/>
    <w:rsid w:val="00B37504"/>
    <w:rsid w:val="00B42065"/>
    <w:rsid w:val="00B430A9"/>
    <w:rsid w:val="00B447C5"/>
    <w:rsid w:val="00B61920"/>
    <w:rsid w:val="00B629D1"/>
    <w:rsid w:val="00B67C5B"/>
    <w:rsid w:val="00B717A7"/>
    <w:rsid w:val="00B723CE"/>
    <w:rsid w:val="00B77221"/>
    <w:rsid w:val="00B82721"/>
    <w:rsid w:val="00B82974"/>
    <w:rsid w:val="00B832D0"/>
    <w:rsid w:val="00B84319"/>
    <w:rsid w:val="00B8561E"/>
    <w:rsid w:val="00B868F1"/>
    <w:rsid w:val="00B86FF9"/>
    <w:rsid w:val="00B9144A"/>
    <w:rsid w:val="00BA4423"/>
    <w:rsid w:val="00BA4888"/>
    <w:rsid w:val="00BB375D"/>
    <w:rsid w:val="00BB3E2D"/>
    <w:rsid w:val="00BB501A"/>
    <w:rsid w:val="00BB723D"/>
    <w:rsid w:val="00BB7BB8"/>
    <w:rsid w:val="00BD1D7E"/>
    <w:rsid w:val="00BD1E95"/>
    <w:rsid w:val="00BD7385"/>
    <w:rsid w:val="00BE33C7"/>
    <w:rsid w:val="00BE5236"/>
    <w:rsid w:val="00BE5D96"/>
    <w:rsid w:val="00BF2A17"/>
    <w:rsid w:val="00BF6C32"/>
    <w:rsid w:val="00C0037E"/>
    <w:rsid w:val="00C01E84"/>
    <w:rsid w:val="00C02396"/>
    <w:rsid w:val="00C023A3"/>
    <w:rsid w:val="00C04986"/>
    <w:rsid w:val="00C052DF"/>
    <w:rsid w:val="00C07909"/>
    <w:rsid w:val="00C177AD"/>
    <w:rsid w:val="00C2077E"/>
    <w:rsid w:val="00C208F5"/>
    <w:rsid w:val="00C223E0"/>
    <w:rsid w:val="00C3530B"/>
    <w:rsid w:val="00C355A4"/>
    <w:rsid w:val="00C511F3"/>
    <w:rsid w:val="00C55C80"/>
    <w:rsid w:val="00C62408"/>
    <w:rsid w:val="00C637D4"/>
    <w:rsid w:val="00C65E54"/>
    <w:rsid w:val="00C76062"/>
    <w:rsid w:val="00C8314C"/>
    <w:rsid w:val="00C912FD"/>
    <w:rsid w:val="00C91C9B"/>
    <w:rsid w:val="00C95BCB"/>
    <w:rsid w:val="00CA558A"/>
    <w:rsid w:val="00CB18D6"/>
    <w:rsid w:val="00CB207D"/>
    <w:rsid w:val="00CB2837"/>
    <w:rsid w:val="00CC1037"/>
    <w:rsid w:val="00CC602C"/>
    <w:rsid w:val="00CD0942"/>
    <w:rsid w:val="00CD1A56"/>
    <w:rsid w:val="00CD30FC"/>
    <w:rsid w:val="00CD62FF"/>
    <w:rsid w:val="00CE15FA"/>
    <w:rsid w:val="00CE3FBA"/>
    <w:rsid w:val="00CF32C3"/>
    <w:rsid w:val="00D0615B"/>
    <w:rsid w:val="00D22590"/>
    <w:rsid w:val="00D239D3"/>
    <w:rsid w:val="00D308CB"/>
    <w:rsid w:val="00D32957"/>
    <w:rsid w:val="00D356B8"/>
    <w:rsid w:val="00D41740"/>
    <w:rsid w:val="00D41913"/>
    <w:rsid w:val="00D52CDF"/>
    <w:rsid w:val="00D544EF"/>
    <w:rsid w:val="00D60524"/>
    <w:rsid w:val="00D62DC1"/>
    <w:rsid w:val="00D64468"/>
    <w:rsid w:val="00D716FD"/>
    <w:rsid w:val="00D72007"/>
    <w:rsid w:val="00D72F9A"/>
    <w:rsid w:val="00D7694C"/>
    <w:rsid w:val="00D821FB"/>
    <w:rsid w:val="00D84DC9"/>
    <w:rsid w:val="00D86636"/>
    <w:rsid w:val="00D92836"/>
    <w:rsid w:val="00D966CC"/>
    <w:rsid w:val="00DA17CB"/>
    <w:rsid w:val="00DA3CB8"/>
    <w:rsid w:val="00DA78C6"/>
    <w:rsid w:val="00DB25CE"/>
    <w:rsid w:val="00DB34EB"/>
    <w:rsid w:val="00DC2D5F"/>
    <w:rsid w:val="00DC3A8D"/>
    <w:rsid w:val="00DC53CD"/>
    <w:rsid w:val="00DC5930"/>
    <w:rsid w:val="00DC7244"/>
    <w:rsid w:val="00DD0204"/>
    <w:rsid w:val="00DD1ED9"/>
    <w:rsid w:val="00DD4111"/>
    <w:rsid w:val="00DD620F"/>
    <w:rsid w:val="00DE0CA3"/>
    <w:rsid w:val="00DE4A31"/>
    <w:rsid w:val="00DE57C5"/>
    <w:rsid w:val="00DE66B9"/>
    <w:rsid w:val="00DE7615"/>
    <w:rsid w:val="00DF19EF"/>
    <w:rsid w:val="00DF343A"/>
    <w:rsid w:val="00DF55C9"/>
    <w:rsid w:val="00E0160D"/>
    <w:rsid w:val="00E02805"/>
    <w:rsid w:val="00E0325F"/>
    <w:rsid w:val="00E037B3"/>
    <w:rsid w:val="00E03E29"/>
    <w:rsid w:val="00E04909"/>
    <w:rsid w:val="00E10FA1"/>
    <w:rsid w:val="00E12F3A"/>
    <w:rsid w:val="00E136A9"/>
    <w:rsid w:val="00E14613"/>
    <w:rsid w:val="00E214E6"/>
    <w:rsid w:val="00E2450C"/>
    <w:rsid w:val="00E26336"/>
    <w:rsid w:val="00E33332"/>
    <w:rsid w:val="00E36908"/>
    <w:rsid w:val="00E46AAC"/>
    <w:rsid w:val="00E5107E"/>
    <w:rsid w:val="00E510B4"/>
    <w:rsid w:val="00E548EB"/>
    <w:rsid w:val="00E5554A"/>
    <w:rsid w:val="00E56D83"/>
    <w:rsid w:val="00E57453"/>
    <w:rsid w:val="00E575B1"/>
    <w:rsid w:val="00E60BE5"/>
    <w:rsid w:val="00E62E6C"/>
    <w:rsid w:val="00E657A6"/>
    <w:rsid w:val="00E7246E"/>
    <w:rsid w:val="00E7598A"/>
    <w:rsid w:val="00E762FB"/>
    <w:rsid w:val="00E8359D"/>
    <w:rsid w:val="00E87AA6"/>
    <w:rsid w:val="00E95F62"/>
    <w:rsid w:val="00EA5A12"/>
    <w:rsid w:val="00EB62E8"/>
    <w:rsid w:val="00EB7AF2"/>
    <w:rsid w:val="00EC3815"/>
    <w:rsid w:val="00EC689C"/>
    <w:rsid w:val="00ED4B21"/>
    <w:rsid w:val="00ED5B54"/>
    <w:rsid w:val="00EF14B0"/>
    <w:rsid w:val="00EF74EF"/>
    <w:rsid w:val="00F0078B"/>
    <w:rsid w:val="00F0206C"/>
    <w:rsid w:val="00F15F71"/>
    <w:rsid w:val="00F23ACA"/>
    <w:rsid w:val="00F2410A"/>
    <w:rsid w:val="00F25039"/>
    <w:rsid w:val="00F26C47"/>
    <w:rsid w:val="00F37EAC"/>
    <w:rsid w:val="00F460A6"/>
    <w:rsid w:val="00F51B00"/>
    <w:rsid w:val="00F56202"/>
    <w:rsid w:val="00F61567"/>
    <w:rsid w:val="00F67370"/>
    <w:rsid w:val="00F67628"/>
    <w:rsid w:val="00F7401F"/>
    <w:rsid w:val="00F74E38"/>
    <w:rsid w:val="00F77BC0"/>
    <w:rsid w:val="00F77D43"/>
    <w:rsid w:val="00F81D39"/>
    <w:rsid w:val="00F82F3B"/>
    <w:rsid w:val="00F867AA"/>
    <w:rsid w:val="00F91250"/>
    <w:rsid w:val="00F92D35"/>
    <w:rsid w:val="00FA082B"/>
    <w:rsid w:val="00FA24A1"/>
    <w:rsid w:val="00FA3B10"/>
    <w:rsid w:val="00FA48B4"/>
    <w:rsid w:val="00FA4E6C"/>
    <w:rsid w:val="00FA5B95"/>
    <w:rsid w:val="00FB4533"/>
    <w:rsid w:val="00FB4D72"/>
    <w:rsid w:val="00FB7912"/>
    <w:rsid w:val="00FC2CD8"/>
    <w:rsid w:val="00FC42F5"/>
    <w:rsid w:val="00FD5E14"/>
    <w:rsid w:val="00FE6B34"/>
    <w:rsid w:val="00FE728D"/>
    <w:rsid w:val="00FF4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DA8DC"/>
  <w15:chartTrackingRefBased/>
  <w15:docId w15:val="{7908EB0A-BCBE-4286-9ADB-9C708FB1B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35E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35EA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70BB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54C89"/>
    <w:rPr>
      <w:sz w:val="20"/>
      <w:szCs w:val="20"/>
    </w:rPr>
  </w:style>
  <w:style w:type="character" w:customStyle="1" w:styleId="FootnoteTextChar">
    <w:name w:val="Footnote Text Char"/>
    <w:basedOn w:val="DefaultParagraphFont"/>
    <w:link w:val="FootnoteText"/>
    <w:uiPriority w:val="99"/>
    <w:semiHidden/>
    <w:rsid w:val="00154C89"/>
    <w:rPr>
      <w:sz w:val="20"/>
      <w:szCs w:val="20"/>
    </w:rPr>
  </w:style>
  <w:style w:type="character" w:styleId="FootnoteReference">
    <w:name w:val="footnote reference"/>
    <w:basedOn w:val="DefaultParagraphFont"/>
    <w:uiPriority w:val="99"/>
    <w:semiHidden/>
    <w:unhideWhenUsed/>
    <w:rsid w:val="00154C89"/>
    <w:rPr>
      <w:vertAlign w:val="superscript"/>
    </w:rPr>
  </w:style>
  <w:style w:type="character" w:styleId="Hyperlink">
    <w:name w:val="Hyperlink"/>
    <w:basedOn w:val="DefaultParagraphFont"/>
    <w:uiPriority w:val="99"/>
    <w:unhideWhenUsed/>
    <w:rsid w:val="00154C89"/>
    <w:rPr>
      <w:color w:val="0000FF" w:themeColor="hyperlink"/>
      <w:u w:val="single"/>
    </w:rPr>
  </w:style>
  <w:style w:type="table" w:styleId="TableGrid">
    <w:name w:val="Table Grid"/>
    <w:basedOn w:val="TableNormal"/>
    <w:uiPriority w:val="59"/>
    <w:rsid w:val="00FB4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95BCB"/>
    <w:rPr>
      <w:b/>
      <w:bCs/>
    </w:rPr>
  </w:style>
  <w:style w:type="paragraph" w:styleId="ListParagraph">
    <w:name w:val="List Paragraph"/>
    <w:basedOn w:val="Normal"/>
    <w:link w:val="ListParagraphChar"/>
    <w:uiPriority w:val="34"/>
    <w:qFormat/>
    <w:rsid w:val="00DE4A31"/>
    <w:pPr>
      <w:ind w:left="720"/>
      <w:contextualSpacing/>
    </w:pPr>
  </w:style>
  <w:style w:type="paragraph" w:styleId="NoSpacing">
    <w:name w:val="No Spacing"/>
    <w:uiPriority w:val="1"/>
    <w:qFormat/>
    <w:rsid w:val="00E037B3"/>
    <w:rPr>
      <w:lang w:val="lv-LV"/>
    </w:rPr>
  </w:style>
  <w:style w:type="paragraph" w:customStyle="1" w:styleId="tv2132">
    <w:name w:val="tv2132"/>
    <w:basedOn w:val="Normal"/>
    <w:rsid w:val="00965720"/>
    <w:pPr>
      <w:spacing w:line="360" w:lineRule="auto"/>
      <w:ind w:firstLine="300"/>
    </w:pPr>
    <w:rPr>
      <w:rFonts w:ascii="Times New Roman" w:eastAsia="Times New Roman" w:hAnsi="Times New Roman" w:cs="Times New Roman"/>
      <w:color w:val="414142"/>
      <w:sz w:val="20"/>
      <w:szCs w:val="20"/>
      <w:lang w:val="lv-LV" w:eastAsia="lv-LV"/>
    </w:rPr>
  </w:style>
  <w:style w:type="character" w:customStyle="1" w:styleId="ListParagraphChar">
    <w:name w:val="List Paragraph Char"/>
    <w:link w:val="ListParagraph"/>
    <w:uiPriority w:val="34"/>
    <w:locked/>
    <w:rsid w:val="001A1C89"/>
  </w:style>
  <w:style w:type="paragraph" w:styleId="Header">
    <w:name w:val="header"/>
    <w:basedOn w:val="Normal"/>
    <w:link w:val="HeaderChar"/>
    <w:uiPriority w:val="99"/>
    <w:unhideWhenUsed/>
    <w:rsid w:val="00DC53CD"/>
    <w:pPr>
      <w:tabs>
        <w:tab w:val="center" w:pos="4153"/>
        <w:tab w:val="right" w:pos="8306"/>
      </w:tabs>
    </w:pPr>
  </w:style>
  <w:style w:type="character" w:customStyle="1" w:styleId="HeaderChar">
    <w:name w:val="Header Char"/>
    <w:basedOn w:val="DefaultParagraphFont"/>
    <w:link w:val="Header"/>
    <w:uiPriority w:val="99"/>
    <w:rsid w:val="00DC53CD"/>
  </w:style>
  <w:style w:type="paragraph" w:styleId="Footer">
    <w:name w:val="footer"/>
    <w:basedOn w:val="Normal"/>
    <w:link w:val="FooterChar"/>
    <w:uiPriority w:val="99"/>
    <w:unhideWhenUsed/>
    <w:rsid w:val="00DC53CD"/>
    <w:pPr>
      <w:tabs>
        <w:tab w:val="center" w:pos="4153"/>
        <w:tab w:val="right" w:pos="8306"/>
      </w:tabs>
    </w:pPr>
  </w:style>
  <w:style w:type="character" w:customStyle="1" w:styleId="FooterChar">
    <w:name w:val="Footer Char"/>
    <w:basedOn w:val="DefaultParagraphFont"/>
    <w:link w:val="Footer"/>
    <w:uiPriority w:val="99"/>
    <w:rsid w:val="00DC53CD"/>
  </w:style>
  <w:style w:type="paragraph" w:customStyle="1" w:styleId="tv2131">
    <w:name w:val="tv2131"/>
    <w:basedOn w:val="Normal"/>
    <w:rsid w:val="004E61DA"/>
    <w:pPr>
      <w:spacing w:line="360" w:lineRule="auto"/>
      <w:ind w:firstLine="300"/>
    </w:pPr>
    <w:rPr>
      <w:rFonts w:ascii="Times New Roman" w:hAnsi="Times New Roman" w:cs="Times New Roman"/>
      <w:color w:val="414142"/>
      <w:sz w:val="20"/>
      <w:szCs w:val="20"/>
      <w:lang w:val="lv-LV" w:eastAsia="lv-LV"/>
    </w:rPr>
  </w:style>
  <w:style w:type="character" w:styleId="CommentReference">
    <w:name w:val="annotation reference"/>
    <w:basedOn w:val="DefaultParagraphFont"/>
    <w:uiPriority w:val="99"/>
    <w:semiHidden/>
    <w:unhideWhenUsed/>
    <w:rsid w:val="000D2C04"/>
    <w:rPr>
      <w:sz w:val="16"/>
      <w:szCs w:val="16"/>
    </w:rPr>
  </w:style>
  <w:style w:type="paragraph" w:styleId="CommentText">
    <w:name w:val="annotation text"/>
    <w:basedOn w:val="Normal"/>
    <w:link w:val="CommentTextChar"/>
    <w:uiPriority w:val="99"/>
    <w:semiHidden/>
    <w:unhideWhenUsed/>
    <w:rsid w:val="000D2C04"/>
    <w:rPr>
      <w:sz w:val="20"/>
      <w:szCs w:val="20"/>
    </w:rPr>
  </w:style>
  <w:style w:type="character" w:customStyle="1" w:styleId="CommentTextChar">
    <w:name w:val="Comment Text Char"/>
    <w:basedOn w:val="DefaultParagraphFont"/>
    <w:link w:val="CommentText"/>
    <w:uiPriority w:val="99"/>
    <w:semiHidden/>
    <w:rsid w:val="000D2C04"/>
    <w:rPr>
      <w:sz w:val="20"/>
      <w:szCs w:val="20"/>
    </w:rPr>
  </w:style>
  <w:style w:type="paragraph" w:styleId="CommentSubject">
    <w:name w:val="annotation subject"/>
    <w:basedOn w:val="CommentText"/>
    <w:next w:val="CommentText"/>
    <w:link w:val="CommentSubjectChar"/>
    <w:uiPriority w:val="99"/>
    <w:semiHidden/>
    <w:unhideWhenUsed/>
    <w:rsid w:val="000D2C04"/>
    <w:rPr>
      <w:b/>
      <w:bCs/>
    </w:rPr>
  </w:style>
  <w:style w:type="character" w:customStyle="1" w:styleId="CommentSubjectChar">
    <w:name w:val="Comment Subject Char"/>
    <w:basedOn w:val="CommentTextChar"/>
    <w:link w:val="CommentSubject"/>
    <w:uiPriority w:val="99"/>
    <w:semiHidden/>
    <w:rsid w:val="000D2C04"/>
    <w:rPr>
      <w:b/>
      <w:bCs/>
      <w:sz w:val="20"/>
      <w:szCs w:val="20"/>
    </w:rPr>
  </w:style>
  <w:style w:type="paragraph" w:styleId="BalloonText">
    <w:name w:val="Balloon Text"/>
    <w:basedOn w:val="Normal"/>
    <w:link w:val="BalloonTextChar"/>
    <w:uiPriority w:val="99"/>
    <w:semiHidden/>
    <w:unhideWhenUsed/>
    <w:rsid w:val="000D2C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C04"/>
    <w:rPr>
      <w:rFonts w:ascii="Segoe UI" w:hAnsi="Segoe UI" w:cs="Segoe UI"/>
      <w:sz w:val="18"/>
      <w:szCs w:val="18"/>
    </w:rPr>
  </w:style>
  <w:style w:type="paragraph" w:styleId="EndnoteText">
    <w:name w:val="endnote text"/>
    <w:basedOn w:val="Normal"/>
    <w:link w:val="EndnoteTextChar"/>
    <w:uiPriority w:val="99"/>
    <w:semiHidden/>
    <w:unhideWhenUsed/>
    <w:rsid w:val="00E657A6"/>
    <w:rPr>
      <w:sz w:val="20"/>
      <w:szCs w:val="20"/>
    </w:rPr>
  </w:style>
  <w:style w:type="character" w:customStyle="1" w:styleId="EndnoteTextChar">
    <w:name w:val="Endnote Text Char"/>
    <w:basedOn w:val="DefaultParagraphFont"/>
    <w:link w:val="EndnoteText"/>
    <w:uiPriority w:val="99"/>
    <w:semiHidden/>
    <w:rsid w:val="00E657A6"/>
    <w:rPr>
      <w:sz w:val="20"/>
      <w:szCs w:val="20"/>
    </w:rPr>
  </w:style>
  <w:style w:type="character" w:styleId="EndnoteReference">
    <w:name w:val="endnote reference"/>
    <w:basedOn w:val="DefaultParagraphFont"/>
    <w:uiPriority w:val="99"/>
    <w:semiHidden/>
    <w:unhideWhenUsed/>
    <w:rsid w:val="00E657A6"/>
    <w:rPr>
      <w:vertAlign w:val="superscript"/>
    </w:rPr>
  </w:style>
  <w:style w:type="paragraph" w:styleId="PlainText">
    <w:name w:val="Plain Text"/>
    <w:basedOn w:val="Normal"/>
    <w:link w:val="PlainTextChar"/>
    <w:uiPriority w:val="99"/>
    <w:semiHidden/>
    <w:unhideWhenUsed/>
    <w:rsid w:val="00E657A6"/>
    <w:rPr>
      <w:rFonts w:ascii="Calibri" w:eastAsia="Calibri" w:hAnsi="Calibri" w:cs="Times New Roman"/>
      <w:szCs w:val="21"/>
      <w:lang w:val="lv-LV"/>
    </w:rPr>
  </w:style>
  <w:style w:type="character" w:customStyle="1" w:styleId="PlainTextChar">
    <w:name w:val="Plain Text Char"/>
    <w:basedOn w:val="DefaultParagraphFont"/>
    <w:link w:val="PlainText"/>
    <w:uiPriority w:val="99"/>
    <w:semiHidden/>
    <w:rsid w:val="00E657A6"/>
    <w:rPr>
      <w:rFonts w:ascii="Calibri" w:eastAsia="Calibri" w:hAnsi="Calibri" w:cs="Times New Roman"/>
      <w:szCs w:val="21"/>
      <w:lang w:val="lv-LV"/>
    </w:rPr>
  </w:style>
  <w:style w:type="paragraph" w:styleId="Revision">
    <w:name w:val="Revision"/>
    <w:hidden/>
    <w:uiPriority w:val="99"/>
    <w:semiHidden/>
    <w:rsid w:val="00170C2E"/>
  </w:style>
  <w:style w:type="table" w:styleId="GridTable6Colorful-Accent5">
    <w:name w:val="Grid Table 6 Colorful Accent 5"/>
    <w:basedOn w:val="TableNormal"/>
    <w:uiPriority w:val="51"/>
    <w:rsid w:val="000E18C4"/>
    <w:rPr>
      <w:rFonts w:ascii="Times New Roman" w:hAnsi="Times New Roman"/>
      <w:color w:val="31849B" w:themeColor="accent5" w:themeShade="BF"/>
      <w:sz w:val="24"/>
      <w:lang w:val="lv-LV"/>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NormalWeb">
    <w:name w:val="Normal (Web)"/>
    <w:basedOn w:val="Normal"/>
    <w:unhideWhenUsed/>
    <w:rsid w:val="00D62DC1"/>
    <w:pPr>
      <w:spacing w:before="240"/>
    </w:pPr>
    <w:rPr>
      <w:rFonts w:ascii="Times New Roman" w:eastAsia="Times New Roman" w:hAnsi="Times New Roman" w:cs="Times New Roman"/>
      <w:sz w:val="24"/>
      <w:szCs w:val="24"/>
      <w:lang w:val="lv-LV" w:eastAsia="lv-LV"/>
    </w:rPr>
  </w:style>
  <w:style w:type="character" w:customStyle="1" w:styleId="Heading1Char">
    <w:name w:val="Heading 1 Char"/>
    <w:basedOn w:val="DefaultParagraphFont"/>
    <w:link w:val="Heading1"/>
    <w:uiPriority w:val="9"/>
    <w:rsid w:val="00135EA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35EA3"/>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1678F2"/>
    <w:rPr>
      <w:color w:val="800080" w:themeColor="followedHyperlink"/>
      <w:u w:val="single"/>
    </w:rPr>
  </w:style>
  <w:style w:type="paragraph" w:customStyle="1" w:styleId="rtejustify">
    <w:name w:val="rtejustify"/>
    <w:basedOn w:val="Normal"/>
    <w:rsid w:val="00B9144A"/>
    <w:pPr>
      <w:spacing w:after="150"/>
      <w:jc w:val="both"/>
    </w:pPr>
    <w:rPr>
      <w:rFonts w:ascii="Times New Roman" w:eastAsia="Times New Roman" w:hAnsi="Times New Roman" w:cs="Times New Roman"/>
      <w:sz w:val="24"/>
      <w:szCs w:val="24"/>
      <w:lang w:val="lv-LV" w:eastAsia="lv-LV"/>
    </w:rPr>
  </w:style>
  <w:style w:type="paragraph" w:customStyle="1" w:styleId="CM1">
    <w:name w:val="CM1"/>
    <w:basedOn w:val="Normal"/>
    <w:next w:val="Normal"/>
    <w:uiPriority w:val="99"/>
    <w:rsid w:val="00DB25CE"/>
    <w:pPr>
      <w:autoSpaceDE w:val="0"/>
      <w:autoSpaceDN w:val="0"/>
      <w:adjustRightInd w:val="0"/>
    </w:pPr>
    <w:rPr>
      <w:rFonts w:ascii="EUAlbertina" w:hAnsi="EUAlbertina"/>
      <w:sz w:val="24"/>
      <w:szCs w:val="24"/>
      <w:lang w:val="lv-LV"/>
    </w:rPr>
  </w:style>
  <w:style w:type="paragraph" w:customStyle="1" w:styleId="CM3">
    <w:name w:val="CM3"/>
    <w:basedOn w:val="Normal"/>
    <w:next w:val="Normal"/>
    <w:uiPriority w:val="99"/>
    <w:rsid w:val="00DB25CE"/>
    <w:pPr>
      <w:autoSpaceDE w:val="0"/>
      <w:autoSpaceDN w:val="0"/>
      <w:adjustRightInd w:val="0"/>
    </w:pPr>
    <w:rPr>
      <w:rFonts w:ascii="EUAlbertina" w:hAnsi="EUAlbertina"/>
      <w:sz w:val="24"/>
      <w:szCs w:val="24"/>
      <w:lang w:val="lv-LV"/>
    </w:rPr>
  </w:style>
  <w:style w:type="character" w:customStyle="1" w:styleId="Heading3Char">
    <w:name w:val="Heading 3 Char"/>
    <w:basedOn w:val="DefaultParagraphFont"/>
    <w:link w:val="Heading3"/>
    <w:uiPriority w:val="9"/>
    <w:rsid w:val="00270BB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91719">
      <w:bodyDiv w:val="1"/>
      <w:marLeft w:val="0"/>
      <w:marRight w:val="0"/>
      <w:marTop w:val="0"/>
      <w:marBottom w:val="0"/>
      <w:divBdr>
        <w:top w:val="none" w:sz="0" w:space="0" w:color="auto"/>
        <w:left w:val="none" w:sz="0" w:space="0" w:color="auto"/>
        <w:bottom w:val="none" w:sz="0" w:space="0" w:color="auto"/>
        <w:right w:val="none" w:sz="0" w:space="0" w:color="auto"/>
      </w:divBdr>
      <w:divsChild>
        <w:div w:id="85663162">
          <w:marLeft w:val="0"/>
          <w:marRight w:val="0"/>
          <w:marTop w:val="75"/>
          <w:marBottom w:val="0"/>
          <w:divBdr>
            <w:top w:val="none" w:sz="0" w:space="0" w:color="EEEEEE"/>
            <w:left w:val="none" w:sz="0" w:space="0" w:color="EEEEEE"/>
            <w:bottom w:val="none" w:sz="0" w:space="0" w:color="EEEEEE"/>
            <w:right w:val="none" w:sz="0" w:space="0" w:color="EEEEEE"/>
          </w:divBdr>
          <w:divsChild>
            <w:div w:id="1716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5335">
      <w:bodyDiv w:val="1"/>
      <w:marLeft w:val="0"/>
      <w:marRight w:val="0"/>
      <w:marTop w:val="0"/>
      <w:marBottom w:val="0"/>
      <w:divBdr>
        <w:top w:val="none" w:sz="0" w:space="0" w:color="auto"/>
        <w:left w:val="none" w:sz="0" w:space="0" w:color="auto"/>
        <w:bottom w:val="none" w:sz="0" w:space="0" w:color="auto"/>
        <w:right w:val="none" w:sz="0" w:space="0" w:color="auto"/>
      </w:divBdr>
      <w:divsChild>
        <w:div w:id="1272011646">
          <w:marLeft w:val="0"/>
          <w:marRight w:val="0"/>
          <w:marTop w:val="0"/>
          <w:marBottom w:val="0"/>
          <w:divBdr>
            <w:top w:val="none" w:sz="0" w:space="0" w:color="auto"/>
            <w:left w:val="none" w:sz="0" w:space="0" w:color="auto"/>
            <w:bottom w:val="none" w:sz="0" w:space="0" w:color="auto"/>
            <w:right w:val="none" w:sz="0" w:space="0" w:color="auto"/>
          </w:divBdr>
          <w:divsChild>
            <w:div w:id="1022705393">
              <w:marLeft w:val="0"/>
              <w:marRight w:val="0"/>
              <w:marTop w:val="0"/>
              <w:marBottom w:val="0"/>
              <w:divBdr>
                <w:top w:val="none" w:sz="0" w:space="0" w:color="auto"/>
                <w:left w:val="none" w:sz="0" w:space="0" w:color="auto"/>
                <w:bottom w:val="none" w:sz="0" w:space="0" w:color="auto"/>
                <w:right w:val="none" w:sz="0" w:space="0" w:color="auto"/>
              </w:divBdr>
              <w:divsChild>
                <w:div w:id="1333022991">
                  <w:marLeft w:val="-225"/>
                  <w:marRight w:val="-225"/>
                  <w:marTop w:val="0"/>
                  <w:marBottom w:val="0"/>
                  <w:divBdr>
                    <w:top w:val="none" w:sz="0" w:space="0" w:color="auto"/>
                    <w:left w:val="none" w:sz="0" w:space="0" w:color="auto"/>
                    <w:bottom w:val="none" w:sz="0" w:space="0" w:color="auto"/>
                    <w:right w:val="none" w:sz="0" w:space="0" w:color="auto"/>
                  </w:divBdr>
                  <w:divsChild>
                    <w:div w:id="327024942">
                      <w:marLeft w:val="0"/>
                      <w:marRight w:val="0"/>
                      <w:marTop w:val="0"/>
                      <w:marBottom w:val="0"/>
                      <w:divBdr>
                        <w:top w:val="none" w:sz="0" w:space="0" w:color="auto"/>
                        <w:left w:val="none" w:sz="0" w:space="0" w:color="auto"/>
                        <w:bottom w:val="none" w:sz="0" w:space="0" w:color="auto"/>
                        <w:right w:val="none" w:sz="0" w:space="0" w:color="auto"/>
                      </w:divBdr>
                      <w:divsChild>
                        <w:div w:id="1453480620">
                          <w:marLeft w:val="0"/>
                          <w:marRight w:val="0"/>
                          <w:marTop w:val="0"/>
                          <w:marBottom w:val="0"/>
                          <w:divBdr>
                            <w:top w:val="none" w:sz="0" w:space="0" w:color="auto"/>
                            <w:left w:val="none" w:sz="0" w:space="0" w:color="auto"/>
                            <w:bottom w:val="none" w:sz="0" w:space="0" w:color="auto"/>
                            <w:right w:val="none" w:sz="0" w:space="0" w:color="auto"/>
                          </w:divBdr>
                          <w:divsChild>
                            <w:div w:id="1145199915">
                              <w:marLeft w:val="0"/>
                              <w:marRight w:val="0"/>
                              <w:marTop w:val="0"/>
                              <w:marBottom w:val="0"/>
                              <w:divBdr>
                                <w:top w:val="none" w:sz="0" w:space="0" w:color="auto"/>
                                <w:left w:val="none" w:sz="0" w:space="0" w:color="auto"/>
                                <w:bottom w:val="none" w:sz="0" w:space="0" w:color="auto"/>
                                <w:right w:val="none" w:sz="0" w:space="0" w:color="auto"/>
                              </w:divBdr>
                              <w:divsChild>
                                <w:div w:id="1239054246">
                                  <w:marLeft w:val="0"/>
                                  <w:marRight w:val="0"/>
                                  <w:marTop w:val="0"/>
                                  <w:marBottom w:val="0"/>
                                  <w:divBdr>
                                    <w:top w:val="none" w:sz="0" w:space="0" w:color="auto"/>
                                    <w:left w:val="none" w:sz="0" w:space="0" w:color="auto"/>
                                    <w:bottom w:val="none" w:sz="0" w:space="0" w:color="auto"/>
                                    <w:right w:val="none" w:sz="0" w:space="0" w:color="auto"/>
                                  </w:divBdr>
                                  <w:divsChild>
                                    <w:div w:id="812020346">
                                      <w:marLeft w:val="0"/>
                                      <w:marRight w:val="0"/>
                                      <w:marTop w:val="0"/>
                                      <w:marBottom w:val="0"/>
                                      <w:divBdr>
                                        <w:top w:val="none" w:sz="0" w:space="0" w:color="auto"/>
                                        <w:left w:val="none" w:sz="0" w:space="0" w:color="auto"/>
                                        <w:bottom w:val="none" w:sz="0" w:space="0" w:color="auto"/>
                                        <w:right w:val="none" w:sz="0" w:space="0" w:color="auto"/>
                                      </w:divBdr>
                                      <w:divsChild>
                                        <w:div w:id="393704731">
                                          <w:marLeft w:val="0"/>
                                          <w:marRight w:val="0"/>
                                          <w:marTop w:val="0"/>
                                          <w:marBottom w:val="0"/>
                                          <w:divBdr>
                                            <w:top w:val="none" w:sz="0" w:space="0" w:color="auto"/>
                                            <w:left w:val="none" w:sz="0" w:space="0" w:color="auto"/>
                                            <w:bottom w:val="none" w:sz="0" w:space="0" w:color="auto"/>
                                            <w:right w:val="none" w:sz="0" w:space="0" w:color="auto"/>
                                          </w:divBdr>
                                          <w:divsChild>
                                            <w:div w:id="1028915567">
                                              <w:marLeft w:val="0"/>
                                              <w:marRight w:val="0"/>
                                              <w:marTop w:val="0"/>
                                              <w:marBottom w:val="0"/>
                                              <w:divBdr>
                                                <w:top w:val="none" w:sz="0" w:space="0" w:color="auto"/>
                                                <w:left w:val="none" w:sz="0" w:space="0" w:color="auto"/>
                                                <w:bottom w:val="none" w:sz="0" w:space="0" w:color="auto"/>
                                                <w:right w:val="none" w:sz="0" w:space="0" w:color="auto"/>
                                              </w:divBdr>
                                              <w:divsChild>
                                                <w:div w:id="254049984">
                                                  <w:marLeft w:val="0"/>
                                                  <w:marRight w:val="0"/>
                                                  <w:marTop w:val="0"/>
                                                  <w:marBottom w:val="0"/>
                                                  <w:divBdr>
                                                    <w:top w:val="single" w:sz="6" w:space="15" w:color="E6E8EE"/>
                                                    <w:left w:val="single" w:sz="6" w:space="15" w:color="E6E8EE"/>
                                                    <w:bottom w:val="single" w:sz="6" w:space="15" w:color="E6E8EE"/>
                                                    <w:right w:val="single" w:sz="6" w:space="15" w:color="E6E8EE"/>
                                                  </w:divBdr>
                                                </w:div>
                                              </w:divsChild>
                                            </w:div>
                                          </w:divsChild>
                                        </w:div>
                                      </w:divsChild>
                                    </w:div>
                                  </w:divsChild>
                                </w:div>
                              </w:divsChild>
                            </w:div>
                          </w:divsChild>
                        </w:div>
                      </w:divsChild>
                    </w:div>
                  </w:divsChild>
                </w:div>
              </w:divsChild>
            </w:div>
          </w:divsChild>
        </w:div>
      </w:divsChild>
    </w:div>
    <w:div w:id="204879208">
      <w:bodyDiv w:val="1"/>
      <w:marLeft w:val="0"/>
      <w:marRight w:val="0"/>
      <w:marTop w:val="0"/>
      <w:marBottom w:val="0"/>
      <w:divBdr>
        <w:top w:val="none" w:sz="0" w:space="0" w:color="auto"/>
        <w:left w:val="none" w:sz="0" w:space="0" w:color="auto"/>
        <w:bottom w:val="none" w:sz="0" w:space="0" w:color="auto"/>
        <w:right w:val="none" w:sz="0" w:space="0" w:color="auto"/>
      </w:divBdr>
    </w:div>
    <w:div w:id="243876951">
      <w:bodyDiv w:val="1"/>
      <w:marLeft w:val="0"/>
      <w:marRight w:val="0"/>
      <w:marTop w:val="0"/>
      <w:marBottom w:val="0"/>
      <w:divBdr>
        <w:top w:val="none" w:sz="0" w:space="0" w:color="auto"/>
        <w:left w:val="none" w:sz="0" w:space="0" w:color="auto"/>
        <w:bottom w:val="none" w:sz="0" w:space="0" w:color="auto"/>
        <w:right w:val="none" w:sz="0" w:space="0" w:color="auto"/>
      </w:divBdr>
    </w:div>
    <w:div w:id="265893593">
      <w:bodyDiv w:val="1"/>
      <w:marLeft w:val="0"/>
      <w:marRight w:val="0"/>
      <w:marTop w:val="0"/>
      <w:marBottom w:val="0"/>
      <w:divBdr>
        <w:top w:val="none" w:sz="0" w:space="0" w:color="auto"/>
        <w:left w:val="none" w:sz="0" w:space="0" w:color="auto"/>
        <w:bottom w:val="none" w:sz="0" w:space="0" w:color="auto"/>
        <w:right w:val="none" w:sz="0" w:space="0" w:color="auto"/>
      </w:divBdr>
    </w:div>
    <w:div w:id="378019890">
      <w:bodyDiv w:val="1"/>
      <w:marLeft w:val="0"/>
      <w:marRight w:val="0"/>
      <w:marTop w:val="0"/>
      <w:marBottom w:val="0"/>
      <w:divBdr>
        <w:top w:val="none" w:sz="0" w:space="0" w:color="auto"/>
        <w:left w:val="none" w:sz="0" w:space="0" w:color="auto"/>
        <w:bottom w:val="none" w:sz="0" w:space="0" w:color="auto"/>
        <w:right w:val="none" w:sz="0" w:space="0" w:color="auto"/>
      </w:divBdr>
      <w:divsChild>
        <w:div w:id="1156261287">
          <w:marLeft w:val="0"/>
          <w:marRight w:val="0"/>
          <w:marTop w:val="0"/>
          <w:marBottom w:val="0"/>
          <w:divBdr>
            <w:top w:val="none" w:sz="0" w:space="0" w:color="auto"/>
            <w:left w:val="none" w:sz="0" w:space="0" w:color="auto"/>
            <w:bottom w:val="none" w:sz="0" w:space="0" w:color="auto"/>
            <w:right w:val="none" w:sz="0" w:space="0" w:color="auto"/>
          </w:divBdr>
          <w:divsChild>
            <w:div w:id="713040400">
              <w:marLeft w:val="0"/>
              <w:marRight w:val="0"/>
              <w:marTop w:val="0"/>
              <w:marBottom w:val="0"/>
              <w:divBdr>
                <w:top w:val="none" w:sz="0" w:space="0" w:color="auto"/>
                <w:left w:val="none" w:sz="0" w:space="0" w:color="auto"/>
                <w:bottom w:val="none" w:sz="0" w:space="0" w:color="auto"/>
                <w:right w:val="none" w:sz="0" w:space="0" w:color="auto"/>
              </w:divBdr>
              <w:divsChild>
                <w:div w:id="1295260068">
                  <w:marLeft w:val="0"/>
                  <w:marRight w:val="0"/>
                  <w:marTop w:val="0"/>
                  <w:marBottom w:val="0"/>
                  <w:divBdr>
                    <w:top w:val="none" w:sz="0" w:space="0" w:color="auto"/>
                    <w:left w:val="none" w:sz="0" w:space="0" w:color="auto"/>
                    <w:bottom w:val="none" w:sz="0" w:space="0" w:color="auto"/>
                    <w:right w:val="none" w:sz="0" w:space="0" w:color="auto"/>
                  </w:divBdr>
                  <w:divsChild>
                    <w:div w:id="2076776538">
                      <w:marLeft w:val="0"/>
                      <w:marRight w:val="0"/>
                      <w:marTop w:val="0"/>
                      <w:marBottom w:val="0"/>
                      <w:divBdr>
                        <w:top w:val="none" w:sz="0" w:space="0" w:color="auto"/>
                        <w:left w:val="none" w:sz="0" w:space="0" w:color="auto"/>
                        <w:bottom w:val="none" w:sz="0" w:space="0" w:color="auto"/>
                        <w:right w:val="none" w:sz="0" w:space="0" w:color="auto"/>
                      </w:divBdr>
                      <w:divsChild>
                        <w:div w:id="56364047">
                          <w:marLeft w:val="0"/>
                          <w:marRight w:val="0"/>
                          <w:marTop w:val="0"/>
                          <w:marBottom w:val="0"/>
                          <w:divBdr>
                            <w:top w:val="none" w:sz="0" w:space="0" w:color="auto"/>
                            <w:left w:val="none" w:sz="0" w:space="0" w:color="auto"/>
                            <w:bottom w:val="none" w:sz="0" w:space="0" w:color="auto"/>
                            <w:right w:val="none" w:sz="0" w:space="0" w:color="auto"/>
                          </w:divBdr>
                          <w:divsChild>
                            <w:div w:id="94850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818351">
      <w:bodyDiv w:val="1"/>
      <w:marLeft w:val="0"/>
      <w:marRight w:val="0"/>
      <w:marTop w:val="0"/>
      <w:marBottom w:val="0"/>
      <w:divBdr>
        <w:top w:val="none" w:sz="0" w:space="0" w:color="auto"/>
        <w:left w:val="none" w:sz="0" w:space="0" w:color="auto"/>
        <w:bottom w:val="none" w:sz="0" w:space="0" w:color="auto"/>
        <w:right w:val="none" w:sz="0" w:space="0" w:color="auto"/>
      </w:divBdr>
      <w:divsChild>
        <w:div w:id="237637123">
          <w:marLeft w:val="0"/>
          <w:marRight w:val="0"/>
          <w:marTop w:val="75"/>
          <w:marBottom w:val="0"/>
          <w:divBdr>
            <w:top w:val="none" w:sz="0" w:space="0" w:color="EEEEEE"/>
            <w:left w:val="none" w:sz="0" w:space="0" w:color="EEEEEE"/>
            <w:bottom w:val="none" w:sz="0" w:space="0" w:color="EEEEEE"/>
            <w:right w:val="none" w:sz="0" w:space="0" w:color="EEEEEE"/>
          </w:divBdr>
          <w:divsChild>
            <w:div w:id="135800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01837">
      <w:bodyDiv w:val="1"/>
      <w:marLeft w:val="0"/>
      <w:marRight w:val="0"/>
      <w:marTop w:val="0"/>
      <w:marBottom w:val="0"/>
      <w:divBdr>
        <w:top w:val="none" w:sz="0" w:space="0" w:color="auto"/>
        <w:left w:val="none" w:sz="0" w:space="0" w:color="auto"/>
        <w:bottom w:val="none" w:sz="0" w:space="0" w:color="auto"/>
        <w:right w:val="none" w:sz="0" w:space="0" w:color="auto"/>
      </w:divBdr>
      <w:divsChild>
        <w:div w:id="465970142">
          <w:marLeft w:val="0"/>
          <w:marRight w:val="0"/>
          <w:marTop w:val="100"/>
          <w:marBottom w:val="100"/>
          <w:divBdr>
            <w:top w:val="single" w:sz="6" w:space="0" w:color="666666"/>
            <w:left w:val="single" w:sz="6" w:space="0" w:color="666666"/>
            <w:bottom w:val="single" w:sz="6" w:space="0" w:color="666666"/>
            <w:right w:val="single" w:sz="6" w:space="0" w:color="666666"/>
          </w:divBdr>
          <w:divsChild>
            <w:div w:id="586424917">
              <w:marLeft w:val="0"/>
              <w:marRight w:val="0"/>
              <w:marTop w:val="150"/>
              <w:marBottom w:val="0"/>
              <w:divBdr>
                <w:top w:val="none" w:sz="0" w:space="0" w:color="auto"/>
                <w:left w:val="none" w:sz="0" w:space="0" w:color="auto"/>
                <w:bottom w:val="none" w:sz="0" w:space="0" w:color="auto"/>
                <w:right w:val="none" w:sz="0" w:space="0" w:color="auto"/>
              </w:divBdr>
              <w:divsChild>
                <w:div w:id="102654754">
                  <w:marLeft w:val="-225"/>
                  <w:marRight w:val="-225"/>
                  <w:marTop w:val="0"/>
                  <w:marBottom w:val="0"/>
                  <w:divBdr>
                    <w:top w:val="none" w:sz="0" w:space="0" w:color="auto"/>
                    <w:left w:val="none" w:sz="0" w:space="0" w:color="auto"/>
                    <w:bottom w:val="none" w:sz="0" w:space="0" w:color="auto"/>
                    <w:right w:val="none" w:sz="0" w:space="0" w:color="auto"/>
                  </w:divBdr>
                  <w:divsChild>
                    <w:div w:id="1279992317">
                      <w:marLeft w:val="0"/>
                      <w:marRight w:val="0"/>
                      <w:marTop w:val="0"/>
                      <w:marBottom w:val="0"/>
                      <w:divBdr>
                        <w:top w:val="none" w:sz="0" w:space="0" w:color="auto"/>
                        <w:left w:val="none" w:sz="0" w:space="0" w:color="auto"/>
                        <w:bottom w:val="none" w:sz="0" w:space="0" w:color="auto"/>
                        <w:right w:val="none" w:sz="0" w:space="0" w:color="auto"/>
                      </w:divBdr>
                      <w:divsChild>
                        <w:div w:id="1168134502">
                          <w:marLeft w:val="-225"/>
                          <w:marRight w:val="-225"/>
                          <w:marTop w:val="0"/>
                          <w:marBottom w:val="0"/>
                          <w:divBdr>
                            <w:top w:val="none" w:sz="0" w:space="0" w:color="auto"/>
                            <w:left w:val="none" w:sz="0" w:space="0" w:color="auto"/>
                            <w:bottom w:val="none" w:sz="0" w:space="0" w:color="auto"/>
                            <w:right w:val="none" w:sz="0" w:space="0" w:color="auto"/>
                          </w:divBdr>
                          <w:divsChild>
                            <w:div w:id="679115369">
                              <w:marLeft w:val="0"/>
                              <w:marRight w:val="0"/>
                              <w:marTop w:val="0"/>
                              <w:marBottom w:val="0"/>
                              <w:divBdr>
                                <w:top w:val="none" w:sz="0" w:space="0" w:color="auto"/>
                                <w:left w:val="none" w:sz="0" w:space="0" w:color="auto"/>
                                <w:bottom w:val="none" w:sz="0" w:space="0" w:color="auto"/>
                                <w:right w:val="none" w:sz="0" w:space="0" w:color="auto"/>
                              </w:divBdr>
                              <w:divsChild>
                                <w:div w:id="1544101417">
                                  <w:marLeft w:val="0"/>
                                  <w:marRight w:val="0"/>
                                  <w:marTop w:val="0"/>
                                  <w:marBottom w:val="0"/>
                                  <w:divBdr>
                                    <w:top w:val="none" w:sz="0" w:space="0" w:color="auto"/>
                                    <w:left w:val="none" w:sz="0" w:space="0" w:color="auto"/>
                                    <w:bottom w:val="none" w:sz="0" w:space="0" w:color="auto"/>
                                    <w:right w:val="none" w:sz="0" w:space="0" w:color="auto"/>
                                  </w:divBdr>
                                  <w:divsChild>
                                    <w:div w:id="750394419">
                                      <w:marLeft w:val="0"/>
                                      <w:marRight w:val="0"/>
                                      <w:marTop w:val="0"/>
                                      <w:marBottom w:val="0"/>
                                      <w:divBdr>
                                        <w:top w:val="none" w:sz="0" w:space="0" w:color="auto"/>
                                        <w:left w:val="none" w:sz="0" w:space="0" w:color="auto"/>
                                        <w:bottom w:val="none" w:sz="0" w:space="0" w:color="auto"/>
                                        <w:right w:val="none" w:sz="0" w:space="0" w:color="auto"/>
                                      </w:divBdr>
                                      <w:divsChild>
                                        <w:div w:id="1313288807">
                                          <w:marLeft w:val="0"/>
                                          <w:marRight w:val="0"/>
                                          <w:marTop w:val="0"/>
                                          <w:marBottom w:val="0"/>
                                          <w:divBdr>
                                            <w:top w:val="none" w:sz="0" w:space="0" w:color="auto"/>
                                            <w:left w:val="none" w:sz="0" w:space="0" w:color="auto"/>
                                            <w:bottom w:val="none" w:sz="0" w:space="0" w:color="auto"/>
                                            <w:right w:val="none" w:sz="0" w:space="0" w:color="auto"/>
                                          </w:divBdr>
                                          <w:divsChild>
                                            <w:div w:id="1973441354">
                                              <w:marLeft w:val="0"/>
                                              <w:marRight w:val="0"/>
                                              <w:marTop w:val="0"/>
                                              <w:marBottom w:val="0"/>
                                              <w:divBdr>
                                                <w:top w:val="none" w:sz="0" w:space="0" w:color="auto"/>
                                                <w:left w:val="none" w:sz="0" w:space="0" w:color="auto"/>
                                                <w:bottom w:val="none" w:sz="0" w:space="0" w:color="auto"/>
                                                <w:right w:val="none" w:sz="0" w:space="0" w:color="auto"/>
                                              </w:divBdr>
                                              <w:divsChild>
                                                <w:div w:id="1236623543">
                                                  <w:marLeft w:val="0"/>
                                                  <w:marRight w:val="0"/>
                                                  <w:marTop w:val="0"/>
                                                  <w:marBottom w:val="0"/>
                                                  <w:divBdr>
                                                    <w:top w:val="none" w:sz="0" w:space="0" w:color="auto"/>
                                                    <w:left w:val="none" w:sz="0" w:space="0" w:color="auto"/>
                                                    <w:bottom w:val="none" w:sz="0" w:space="0" w:color="auto"/>
                                                    <w:right w:val="none" w:sz="0" w:space="0" w:color="auto"/>
                                                  </w:divBdr>
                                                  <w:divsChild>
                                                    <w:div w:id="1284920871">
                                                      <w:marLeft w:val="0"/>
                                                      <w:marRight w:val="0"/>
                                                      <w:marTop w:val="0"/>
                                                      <w:marBottom w:val="0"/>
                                                      <w:divBdr>
                                                        <w:top w:val="none" w:sz="0" w:space="0" w:color="auto"/>
                                                        <w:left w:val="none" w:sz="0" w:space="0" w:color="auto"/>
                                                        <w:bottom w:val="none" w:sz="0" w:space="0" w:color="auto"/>
                                                        <w:right w:val="none" w:sz="0" w:space="0" w:color="auto"/>
                                                      </w:divBdr>
                                                      <w:divsChild>
                                                        <w:div w:id="960915932">
                                                          <w:marLeft w:val="0"/>
                                                          <w:marRight w:val="0"/>
                                                          <w:marTop w:val="0"/>
                                                          <w:marBottom w:val="0"/>
                                                          <w:divBdr>
                                                            <w:top w:val="none" w:sz="0" w:space="0" w:color="auto"/>
                                                            <w:left w:val="none" w:sz="0" w:space="0" w:color="auto"/>
                                                            <w:bottom w:val="none" w:sz="0" w:space="0" w:color="auto"/>
                                                            <w:right w:val="none" w:sz="0" w:space="0" w:color="auto"/>
                                                          </w:divBdr>
                                                          <w:divsChild>
                                                            <w:div w:id="497041147">
                                                              <w:marLeft w:val="0"/>
                                                              <w:marRight w:val="0"/>
                                                              <w:marTop w:val="0"/>
                                                              <w:marBottom w:val="0"/>
                                                              <w:divBdr>
                                                                <w:top w:val="none" w:sz="0" w:space="0" w:color="auto"/>
                                                                <w:left w:val="none" w:sz="0" w:space="0" w:color="auto"/>
                                                                <w:bottom w:val="none" w:sz="0" w:space="0" w:color="auto"/>
                                                                <w:right w:val="none" w:sz="0" w:space="0" w:color="auto"/>
                                                              </w:divBdr>
                                                              <w:divsChild>
                                                                <w:div w:id="3362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4269739">
      <w:bodyDiv w:val="1"/>
      <w:marLeft w:val="0"/>
      <w:marRight w:val="0"/>
      <w:marTop w:val="0"/>
      <w:marBottom w:val="0"/>
      <w:divBdr>
        <w:top w:val="none" w:sz="0" w:space="0" w:color="auto"/>
        <w:left w:val="none" w:sz="0" w:space="0" w:color="auto"/>
        <w:bottom w:val="none" w:sz="0" w:space="0" w:color="auto"/>
        <w:right w:val="none" w:sz="0" w:space="0" w:color="auto"/>
      </w:divBdr>
    </w:div>
    <w:div w:id="794174326">
      <w:bodyDiv w:val="1"/>
      <w:marLeft w:val="0"/>
      <w:marRight w:val="0"/>
      <w:marTop w:val="0"/>
      <w:marBottom w:val="0"/>
      <w:divBdr>
        <w:top w:val="none" w:sz="0" w:space="0" w:color="auto"/>
        <w:left w:val="none" w:sz="0" w:space="0" w:color="auto"/>
        <w:bottom w:val="none" w:sz="0" w:space="0" w:color="auto"/>
        <w:right w:val="none" w:sz="0" w:space="0" w:color="auto"/>
      </w:divBdr>
    </w:div>
    <w:div w:id="856506358">
      <w:bodyDiv w:val="1"/>
      <w:marLeft w:val="0"/>
      <w:marRight w:val="0"/>
      <w:marTop w:val="0"/>
      <w:marBottom w:val="0"/>
      <w:divBdr>
        <w:top w:val="none" w:sz="0" w:space="0" w:color="auto"/>
        <w:left w:val="none" w:sz="0" w:space="0" w:color="auto"/>
        <w:bottom w:val="none" w:sz="0" w:space="0" w:color="auto"/>
        <w:right w:val="none" w:sz="0" w:space="0" w:color="auto"/>
      </w:divBdr>
      <w:divsChild>
        <w:div w:id="410009409">
          <w:marLeft w:val="0"/>
          <w:marRight w:val="0"/>
          <w:marTop w:val="0"/>
          <w:marBottom w:val="0"/>
          <w:divBdr>
            <w:top w:val="none" w:sz="0" w:space="0" w:color="auto"/>
            <w:left w:val="none" w:sz="0" w:space="0" w:color="auto"/>
            <w:bottom w:val="none" w:sz="0" w:space="0" w:color="auto"/>
            <w:right w:val="none" w:sz="0" w:space="0" w:color="auto"/>
          </w:divBdr>
          <w:divsChild>
            <w:div w:id="1043944034">
              <w:marLeft w:val="0"/>
              <w:marRight w:val="0"/>
              <w:marTop w:val="0"/>
              <w:marBottom w:val="0"/>
              <w:divBdr>
                <w:top w:val="none" w:sz="0" w:space="0" w:color="auto"/>
                <w:left w:val="none" w:sz="0" w:space="0" w:color="auto"/>
                <w:bottom w:val="none" w:sz="0" w:space="0" w:color="auto"/>
                <w:right w:val="none" w:sz="0" w:space="0" w:color="auto"/>
              </w:divBdr>
              <w:divsChild>
                <w:div w:id="2088720655">
                  <w:marLeft w:val="0"/>
                  <w:marRight w:val="0"/>
                  <w:marTop w:val="0"/>
                  <w:marBottom w:val="0"/>
                  <w:divBdr>
                    <w:top w:val="none" w:sz="0" w:space="0" w:color="auto"/>
                    <w:left w:val="none" w:sz="0" w:space="0" w:color="auto"/>
                    <w:bottom w:val="none" w:sz="0" w:space="0" w:color="auto"/>
                    <w:right w:val="none" w:sz="0" w:space="0" w:color="auto"/>
                  </w:divBdr>
                  <w:divsChild>
                    <w:div w:id="1274436437">
                      <w:marLeft w:val="0"/>
                      <w:marRight w:val="0"/>
                      <w:marTop w:val="0"/>
                      <w:marBottom w:val="0"/>
                      <w:divBdr>
                        <w:top w:val="none" w:sz="0" w:space="0" w:color="auto"/>
                        <w:left w:val="none" w:sz="0" w:space="0" w:color="auto"/>
                        <w:bottom w:val="none" w:sz="0" w:space="0" w:color="auto"/>
                        <w:right w:val="none" w:sz="0" w:space="0" w:color="auto"/>
                      </w:divBdr>
                      <w:divsChild>
                        <w:div w:id="914125404">
                          <w:marLeft w:val="0"/>
                          <w:marRight w:val="0"/>
                          <w:marTop w:val="0"/>
                          <w:marBottom w:val="0"/>
                          <w:divBdr>
                            <w:top w:val="none" w:sz="0" w:space="0" w:color="auto"/>
                            <w:left w:val="none" w:sz="0" w:space="0" w:color="auto"/>
                            <w:bottom w:val="none" w:sz="0" w:space="0" w:color="auto"/>
                            <w:right w:val="none" w:sz="0" w:space="0" w:color="auto"/>
                          </w:divBdr>
                          <w:divsChild>
                            <w:div w:id="253318972">
                              <w:marLeft w:val="0"/>
                              <w:marRight w:val="0"/>
                              <w:marTop w:val="0"/>
                              <w:marBottom w:val="0"/>
                              <w:divBdr>
                                <w:top w:val="none" w:sz="0" w:space="0" w:color="auto"/>
                                <w:left w:val="none" w:sz="0" w:space="0" w:color="auto"/>
                                <w:bottom w:val="none" w:sz="0" w:space="0" w:color="auto"/>
                                <w:right w:val="none" w:sz="0" w:space="0" w:color="auto"/>
                              </w:divBdr>
                              <w:divsChild>
                                <w:div w:id="1293486671">
                                  <w:marLeft w:val="0"/>
                                  <w:marRight w:val="0"/>
                                  <w:marTop w:val="0"/>
                                  <w:marBottom w:val="0"/>
                                  <w:divBdr>
                                    <w:top w:val="none" w:sz="0" w:space="0" w:color="auto"/>
                                    <w:left w:val="none" w:sz="0" w:space="0" w:color="auto"/>
                                    <w:bottom w:val="none" w:sz="0" w:space="0" w:color="auto"/>
                                    <w:right w:val="none" w:sz="0" w:space="0" w:color="auto"/>
                                  </w:divBdr>
                                  <w:divsChild>
                                    <w:div w:id="127171438">
                                      <w:marLeft w:val="0"/>
                                      <w:marRight w:val="0"/>
                                      <w:marTop w:val="0"/>
                                      <w:marBottom w:val="0"/>
                                      <w:divBdr>
                                        <w:top w:val="none" w:sz="0" w:space="0" w:color="auto"/>
                                        <w:left w:val="none" w:sz="0" w:space="0" w:color="auto"/>
                                        <w:bottom w:val="none" w:sz="0" w:space="0" w:color="auto"/>
                                        <w:right w:val="none" w:sz="0" w:space="0" w:color="auto"/>
                                      </w:divBdr>
                                    </w:div>
                                    <w:div w:id="398402075">
                                      <w:marLeft w:val="0"/>
                                      <w:marRight w:val="0"/>
                                      <w:marTop w:val="0"/>
                                      <w:marBottom w:val="0"/>
                                      <w:divBdr>
                                        <w:top w:val="none" w:sz="0" w:space="0" w:color="auto"/>
                                        <w:left w:val="none" w:sz="0" w:space="0" w:color="auto"/>
                                        <w:bottom w:val="none" w:sz="0" w:space="0" w:color="auto"/>
                                        <w:right w:val="none" w:sz="0" w:space="0" w:color="auto"/>
                                      </w:divBdr>
                                    </w:div>
                                    <w:div w:id="474681559">
                                      <w:marLeft w:val="0"/>
                                      <w:marRight w:val="0"/>
                                      <w:marTop w:val="0"/>
                                      <w:marBottom w:val="0"/>
                                      <w:divBdr>
                                        <w:top w:val="none" w:sz="0" w:space="0" w:color="auto"/>
                                        <w:left w:val="none" w:sz="0" w:space="0" w:color="auto"/>
                                        <w:bottom w:val="none" w:sz="0" w:space="0" w:color="auto"/>
                                        <w:right w:val="none" w:sz="0" w:space="0" w:color="auto"/>
                                      </w:divBdr>
                                    </w:div>
                                    <w:div w:id="1355619691">
                                      <w:marLeft w:val="0"/>
                                      <w:marRight w:val="0"/>
                                      <w:marTop w:val="0"/>
                                      <w:marBottom w:val="0"/>
                                      <w:divBdr>
                                        <w:top w:val="none" w:sz="0" w:space="0" w:color="auto"/>
                                        <w:left w:val="none" w:sz="0" w:space="0" w:color="auto"/>
                                        <w:bottom w:val="none" w:sz="0" w:space="0" w:color="auto"/>
                                        <w:right w:val="none" w:sz="0" w:space="0" w:color="auto"/>
                                      </w:divBdr>
                                    </w:div>
                                    <w:div w:id="1411779500">
                                      <w:marLeft w:val="0"/>
                                      <w:marRight w:val="0"/>
                                      <w:marTop w:val="0"/>
                                      <w:marBottom w:val="0"/>
                                      <w:divBdr>
                                        <w:top w:val="none" w:sz="0" w:space="0" w:color="auto"/>
                                        <w:left w:val="none" w:sz="0" w:space="0" w:color="auto"/>
                                        <w:bottom w:val="none" w:sz="0" w:space="0" w:color="auto"/>
                                        <w:right w:val="none" w:sz="0" w:space="0" w:color="auto"/>
                                      </w:divBdr>
                                    </w:div>
                                    <w:div w:id="2101489993">
                                      <w:marLeft w:val="0"/>
                                      <w:marRight w:val="0"/>
                                      <w:marTop w:val="0"/>
                                      <w:marBottom w:val="0"/>
                                      <w:divBdr>
                                        <w:top w:val="none" w:sz="0" w:space="0" w:color="auto"/>
                                        <w:left w:val="none" w:sz="0" w:space="0" w:color="auto"/>
                                        <w:bottom w:val="none" w:sz="0" w:space="0" w:color="auto"/>
                                        <w:right w:val="none" w:sz="0" w:space="0" w:color="auto"/>
                                      </w:divBdr>
                                      <w:divsChild>
                                        <w:div w:id="35203068">
                                          <w:marLeft w:val="0"/>
                                          <w:marRight w:val="0"/>
                                          <w:marTop w:val="0"/>
                                          <w:marBottom w:val="0"/>
                                          <w:divBdr>
                                            <w:top w:val="none" w:sz="0" w:space="0" w:color="auto"/>
                                            <w:left w:val="none" w:sz="0" w:space="0" w:color="auto"/>
                                            <w:bottom w:val="none" w:sz="0" w:space="0" w:color="auto"/>
                                            <w:right w:val="none" w:sz="0" w:space="0" w:color="auto"/>
                                          </w:divBdr>
                                        </w:div>
                                        <w:div w:id="394744231">
                                          <w:marLeft w:val="0"/>
                                          <w:marRight w:val="0"/>
                                          <w:marTop w:val="0"/>
                                          <w:marBottom w:val="0"/>
                                          <w:divBdr>
                                            <w:top w:val="none" w:sz="0" w:space="0" w:color="auto"/>
                                            <w:left w:val="none" w:sz="0" w:space="0" w:color="auto"/>
                                            <w:bottom w:val="none" w:sz="0" w:space="0" w:color="auto"/>
                                            <w:right w:val="none" w:sz="0" w:space="0" w:color="auto"/>
                                          </w:divBdr>
                                        </w:div>
                                        <w:div w:id="439571731">
                                          <w:marLeft w:val="0"/>
                                          <w:marRight w:val="0"/>
                                          <w:marTop w:val="0"/>
                                          <w:marBottom w:val="0"/>
                                          <w:divBdr>
                                            <w:top w:val="none" w:sz="0" w:space="0" w:color="auto"/>
                                            <w:left w:val="none" w:sz="0" w:space="0" w:color="auto"/>
                                            <w:bottom w:val="none" w:sz="0" w:space="0" w:color="auto"/>
                                            <w:right w:val="none" w:sz="0" w:space="0" w:color="auto"/>
                                          </w:divBdr>
                                        </w:div>
                                        <w:div w:id="138702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9065986">
      <w:bodyDiv w:val="1"/>
      <w:marLeft w:val="0"/>
      <w:marRight w:val="0"/>
      <w:marTop w:val="0"/>
      <w:marBottom w:val="0"/>
      <w:divBdr>
        <w:top w:val="none" w:sz="0" w:space="0" w:color="auto"/>
        <w:left w:val="none" w:sz="0" w:space="0" w:color="auto"/>
        <w:bottom w:val="none" w:sz="0" w:space="0" w:color="auto"/>
        <w:right w:val="none" w:sz="0" w:space="0" w:color="auto"/>
      </w:divBdr>
    </w:div>
    <w:div w:id="1427119626">
      <w:bodyDiv w:val="1"/>
      <w:marLeft w:val="0"/>
      <w:marRight w:val="0"/>
      <w:marTop w:val="0"/>
      <w:marBottom w:val="0"/>
      <w:divBdr>
        <w:top w:val="none" w:sz="0" w:space="0" w:color="auto"/>
        <w:left w:val="none" w:sz="0" w:space="0" w:color="auto"/>
        <w:bottom w:val="none" w:sz="0" w:space="0" w:color="auto"/>
        <w:right w:val="none" w:sz="0" w:space="0" w:color="auto"/>
      </w:divBdr>
      <w:divsChild>
        <w:div w:id="420563118">
          <w:marLeft w:val="0"/>
          <w:marRight w:val="0"/>
          <w:marTop w:val="0"/>
          <w:marBottom w:val="0"/>
          <w:divBdr>
            <w:top w:val="none" w:sz="0" w:space="0" w:color="auto"/>
            <w:left w:val="none" w:sz="0" w:space="0" w:color="auto"/>
            <w:bottom w:val="none" w:sz="0" w:space="0" w:color="auto"/>
            <w:right w:val="none" w:sz="0" w:space="0" w:color="auto"/>
          </w:divBdr>
          <w:divsChild>
            <w:div w:id="1590381193">
              <w:marLeft w:val="0"/>
              <w:marRight w:val="0"/>
              <w:marTop w:val="0"/>
              <w:marBottom w:val="0"/>
              <w:divBdr>
                <w:top w:val="none" w:sz="0" w:space="0" w:color="auto"/>
                <w:left w:val="none" w:sz="0" w:space="0" w:color="auto"/>
                <w:bottom w:val="none" w:sz="0" w:space="0" w:color="auto"/>
                <w:right w:val="none" w:sz="0" w:space="0" w:color="auto"/>
              </w:divBdr>
              <w:divsChild>
                <w:div w:id="1950890617">
                  <w:marLeft w:val="-225"/>
                  <w:marRight w:val="-225"/>
                  <w:marTop w:val="0"/>
                  <w:marBottom w:val="0"/>
                  <w:divBdr>
                    <w:top w:val="none" w:sz="0" w:space="0" w:color="auto"/>
                    <w:left w:val="none" w:sz="0" w:space="0" w:color="auto"/>
                    <w:bottom w:val="none" w:sz="0" w:space="0" w:color="auto"/>
                    <w:right w:val="none" w:sz="0" w:space="0" w:color="auto"/>
                  </w:divBdr>
                  <w:divsChild>
                    <w:div w:id="721100785">
                      <w:marLeft w:val="0"/>
                      <w:marRight w:val="0"/>
                      <w:marTop w:val="0"/>
                      <w:marBottom w:val="0"/>
                      <w:divBdr>
                        <w:top w:val="none" w:sz="0" w:space="0" w:color="auto"/>
                        <w:left w:val="none" w:sz="0" w:space="0" w:color="auto"/>
                        <w:bottom w:val="none" w:sz="0" w:space="0" w:color="auto"/>
                        <w:right w:val="none" w:sz="0" w:space="0" w:color="auto"/>
                      </w:divBdr>
                      <w:divsChild>
                        <w:div w:id="147594069">
                          <w:marLeft w:val="0"/>
                          <w:marRight w:val="0"/>
                          <w:marTop w:val="0"/>
                          <w:marBottom w:val="0"/>
                          <w:divBdr>
                            <w:top w:val="none" w:sz="0" w:space="0" w:color="auto"/>
                            <w:left w:val="none" w:sz="0" w:space="0" w:color="auto"/>
                            <w:bottom w:val="none" w:sz="0" w:space="0" w:color="auto"/>
                            <w:right w:val="none" w:sz="0" w:space="0" w:color="auto"/>
                          </w:divBdr>
                          <w:divsChild>
                            <w:div w:id="362098488">
                              <w:marLeft w:val="0"/>
                              <w:marRight w:val="0"/>
                              <w:marTop w:val="0"/>
                              <w:marBottom w:val="0"/>
                              <w:divBdr>
                                <w:top w:val="none" w:sz="0" w:space="0" w:color="auto"/>
                                <w:left w:val="none" w:sz="0" w:space="0" w:color="auto"/>
                                <w:bottom w:val="none" w:sz="0" w:space="0" w:color="auto"/>
                                <w:right w:val="none" w:sz="0" w:space="0" w:color="auto"/>
                              </w:divBdr>
                              <w:divsChild>
                                <w:div w:id="1593200452">
                                  <w:marLeft w:val="0"/>
                                  <w:marRight w:val="0"/>
                                  <w:marTop w:val="0"/>
                                  <w:marBottom w:val="0"/>
                                  <w:divBdr>
                                    <w:top w:val="none" w:sz="0" w:space="0" w:color="auto"/>
                                    <w:left w:val="none" w:sz="0" w:space="0" w:color="auto"/>
                                    <w:bottom w:val="none" w:sz="0" w:space="0" w:color="auto"/>
                                    <w:right w:val="none" w:sz="0" w:space="0" w:color="auto"/>
                                  </w:divBdr>
                                  <w:divsChild>
                                    <w:div w:id="651755756">
                                      <w:marLeft w:val="0"/>
                                      <w:marRight w:val="0"/>
                                      <w:marTop w:val="0"/>
                                      <w:marBottom w:val="0"/>
                                      <w:divBdr>
                                        <w:top w:val="none" w:sz="0" w:space="0" w:color="auto"/>
                                        <w:left w:val="none" w:sz="0" w:space="0" w:color="auto"/>
                                        <w:bottom w:val="none" w:sz="0" w:space="0" w:color="auto"/>
                                        <w:right w:val="none" w:sz="0" w:space="0" w:color="auto"/>
                                      </w:divBdr>
                                      <w:divsChild>
                                        <w:div w:id="160657413">
                                          <w:marLeft w:val="0"/>
                                          <w:marRight w:val="0"/>
                                          <w:marTop w:val="0"/>
                                          <w:marBottom w:val="0"/>
                                          <w:divBdr>
                                            <w:top w:val="none" w:sz="0" w:space="0" w:color="auto"/>
                                            <w:left w:val="none" w:sz="0" w:space="0" w:color="auto"/>
                                            <w:bottom w:val="none" w:sz="0" w:space="0" w:color="auto"/>
                                            <w:right w:val="none" w:sz="0" w:space="0" w:color="auto"/>
                                          </w:divBdr>
                                          <w:divsChild>
                                            <w:div w:id="597179870">
                                              <w:marLeft w:val="0"/>
                                              <w:marRight w:val="0"/>
                                              <w:marTop w:val="0"/>
                                              <w:marBottom w:val="0"/>
                                              <w:divBdr>
                                                <w:top w:val="none" w:sz="0" w:space="0" w:color="auto"/>
                                                <w:left w:val="none" w:sz="0" w:space="0" w:color="auto"/>
                                                <w:bottom w:val="none" w:sz="0" w:space="0" w:color="auto"/>
                                                <w:right w:val="none" w:sz="0" w:space="0" w:color="auto"/>
                                              </w:divBdr>
                                              <w:divsChild>
                                                <w:div w:id="1991473865">
                                                  <w:marLeft w:val="0"/>
                                                  <w:marRight w:val="0"/>
                                                  <w:marTop w:val="0"/>
                                                  <w:marBottom w:val="0"/>
                                                  <w:divBdr>
                                                    <w:top w:val="single" w:sz="6" w:space="15" w:color="E6E8EE"/>
                                                    <w:left w:val="single" w:sz="6" w:space="15" w:color="E6E8EE"/>
                                                    <w:bottom w:val="single" w:sz="6" w:space="15" w:color="E6E8EE"/>
                                                    <w:right w:val="single" w:sz="6" w:space="15" w:color="E6E8EE"/>
                                                  </w:divBdr>
                                                </w:div>
                                              </w:divsChild>
                                            </w:div>
                                          </w:divsChild>
                                        </w:div>
                                      </w:divsChild>
                                    </w:div>
                                  </w:divsChild>
                                </w:div>
                              </w:divsChild>
                            </w:div>
                          </w:divsChild>
                        </w:div>
                      </w:divsChild>
                    </w:div>
                  </w:divsChild>
                </w:div>
              </w:divsChild>
            </w:div>
          </w:divsChild>
        </w:div>
      </w:divsChild>
    </w:div>
    <w:div w:id="1469588282">
      <w:bodyDiv w:val="1"/>
      <w:marLeft w:val="0"/>
      <w:marRight w:val="0"/>
      <w:marTop w:val="0"/>
      <w:marBottom w:val="0"/>
      <w:divBdr>
        <w:top w:val="none" w:sz="0" w:space="0" w:color="auto"/>
        <w:left w:val="none" w:sz="0" w:space="0" w:color="auto"/>
        <w:bottom w:val="none" w:sz="0" w:space="0" w:color="auto"/>
        <w:right w:val="none" w:sz="0" w:space="0" w:color="auto"/>
      </w:divBdr>
      <w:divsChild>
        <w:div w:id="414056900">
          <w:marLeft w:val="0"/>
          <w:marRight w:val="0"/>
          <w:marTop w:val="0"/>
          <w:marBottom w:val="0"/>
          <w:divBdr>
            <w:top w:val="none" w:sz="0" w:space="0" w:color="auto"/>
            <w:left w:val="none" w:sz="0" w:space="0" w:color="auto"/>
            <w:bottom w:val="none" w:sz="0" w:space="0" w:color="auto"/>
            <w:right w:val="none" w:sz="0" w:space="0" w:color="auto"/>
          </w:divBdr>
          <w:divsChild>
            <w:div w:id="2035423234">
              <w:marLeft w:val="0"/>
              <w:marRight w:val="0"/>
              <w:marTop w:val="0"/>
              <w:marBottom w:val="0"/>
              <w:divBdr>
                <w:top w:val="none" w:sz="0" w:space="0" w:color="auto"/>
                <w:left w:val="none" w:sz="0" w:space="0" w:color="auto"/>
                <w:bottom w:val="none" w:sz="0" w:space="0" w:color="auto"/>
                <w:right w:val="none" w:sz="0" w:space="0" w:color="auto"/>
              </w:divBdr>
              <w:divsChild>
                <w:div w:id="1907453559">
                  <w:marLeft w:val="0"/>
                  <w:marRight w:val="0"/>
                  <w:marTop w:val="0"/>
                  <w:marBottom w:val="0"/>
                  <w:divBdr>
                    <w:top w:val="none" w:sz="0" w:space="0" w:color="auto"/>
                    <w:left w:val="none" w:sz="0" w:space="0" w:color="auto"/>
                    <w:bottom w:val="none" w:sz="0" w:space="0" w:color="auto"/>
                    <w:right w:val="none" w:sz="0" w:space="0" w:color="auto"/>
                  </w:divBdr>
                  <w:divsChild>
                    <w:div w:id="947741112">
                      <w:marLeft w:val="0"/>
                      <w:marRight w:val="0"/>
                      <w:marTop w:val="0"/>
                      <w:marBottom w:val="0"/>
                      <w:divBdr>
                        <w:top w:val="none" w:sz="0" w:space="0" w:color="auto"/>
                        <w:left w:val="none" w:sz="0" w:space="0" w:color="auto"/>
                        <w:bottom w:val="none" w:sz="0" w:space="0" w:color="auto"/>
                        <w:right w:val="none" w:sz="0" w:space="0" w:color="auto"/>
                      </w:divBdr>
                      <w:divsChild>
                        <w:div w:id="576793431">
                          <w:marLeft w:val="0"/>
                          <w:marRight w:val="0"/>
                          <w:marTop w:val="0"/>
                          <w:marBottom w:val="0"/>
                          <w:divBdr>
                            <w:top w:val="none" w:sz="0" w:space="0" w:color="auto"/>
                            <w:left w:val="none" w:sz="0" w:space="0" w:color="auto"/>
                            <w:bottom w:val="none" w:sz="0" w:space="0" w:color="auto"/>
                            <w:right w:val="none" w:sz="0" w:space="0" w:color="auto"/>
                          </w:divBdr>
                          <w:divsChild>
                            <w:div w:id="1521817295">
                              <w:marLeft w:val="180"/>
                              <w:marRight w:val="0"/>
                              <w:marTop w:val="150"/>
                              <w:marBottom w:val="150"/>
                              <w:divBdr>
                                <w:top w:val="none" w:sz="0" w:space="0" w:color="auto"/>
                                <w:left w:val="none" w:sz="0" w:space="0" w:color="auto"/>
                                <w:bottom w:val="none" w:sz="0" w:space="0" w:color="auto"/>
                                <w:right w:val="none" w:sz="0" w:space="0" w:color="auto"/>
                              </w:divBdr>
                              <w:divsChild>
                                <w:div w:id="1998995192">
                                  <w:marLeft w:val="0"/>
                                  <w:marRight w:val="0"/>
                                  <w:marTop w:val="0"/>
                                  <w:marBottom w:val="0"/>
                                  <w:divBdr>
                                    <w:top w:val="none" w:sz="0" w:space="0" w:color="auto"/>
                                    <w:left w:val="none" w:sz="0" w:space="0" w:color="auto"/>
                                    <w:bottom w:val="none" w:sz="0" w:space="0" w:color="auto"/>
                                    <w:right w:val="none" w:sz="0" w:space="0" w:color="auto"/>
                                  </w:divBdr>
                                  <w:divsChild>
                                    <w:div w:id="968634551">
                                      <w:marLeft w:val="0"/>
                                      <w:marRight w:val="0"/>
                                      <w:marTop w:val="0"/>
                                      <w:marBottom w:val="0"/>
                                      <w:divBdr>
                                        <w:top w:val="none" w:sz="0" w:space="0" w:color="auto"/>
                                        <w:left w:val="none" w:sz="0" w:space="0" w:color="auto"/>
                                        <w:bottom w:val="none" w:sz="0" w:space="0" w:color="auto"/>
                                        <w:right w:val="none" w:sz="0" w:space="0" w:color="auto"/>
                                      </w:divBdr>
                                      <w:divsChild>
                                        <w:div w:id="1929801177">
                                          <w:marLeft w:val="0"/>
                                          <w:marRight w:val="0"/>
                                          <w:marTop w:val="0"/>
                                          <w:marBottom w:val="0"/>
                                          <w:divBdr>
                                            <w:top w:val="none" w:sz="0" w:space="0" w:color="auto"/>
                                            <w:left w:val="none" w:sz="0" w:space="0" w:color="auto"/>
                                            <w:bottom w:val="none" w:sz="0" w:space="0" w:color="auto"/>
                                            <w:right w:val="none" w:sz="0" w:space="0" w:color="auto"/>
                                          </w:divBdr>
                                          <w:divsChild>
                                            <w:div w:id="643243990">
                                              <w:marLeft w:val="0"/>
                                              <w:marRight w:val="0"/>
                                              <w:marTop w:val="0"/>
                                              <w:marBottom w:val="0"/>
                                              <w:divBdr>
                                                <w:top w:val="none" w:sz="0" w:space="0" w:color="auto"/>
                                                <w:left w:val="none" w:sz="0" w:space="0" w:color="auto"/>
                                                <w:bottom w:val="none" w:sz="0" w:space="0" w:color="auto"/>
                                                <w:right w:val="none" w:sz="0" w:space="0" w:color="auto"/>
                                              </w:divBdr>
                                              <w:divsChild>
                                                <w:div w:id="1072892776">
                                                  <w:marLeft w:val="0"/>
                                                  <w:marRight w:val="0"/>
                                                  <w:marTop w:val="0"/>
                                                  <w:marBottom w:val="0"/>
                                                  <w:divBdr>
                                                    <w:top w:val="none" w:sz="0" w:space="0" w:color="auto"/>
                                                    <w:left w:val="none" w:sz="0" w:space="0" w:color="auto"/>
                                                    <w:bottom w:val="none" w:sz="0" w:space="0" w:color="auto"/>
                                                    <w:right w:val="none" w:sz="0" w:space="0" w:color="auto"/>
                                                  </w:divBdr>
                                                  <w:divsChild>
                                                    <w:div w:id="263078808">
                                                      <w:marLeft w:val="0"/>
                                                      <w:marRight w:val="0"/>
                                                      <w:marTop w:val="0"/>
                                                      <w:marBottom w:val="0"/>
                                                      <w:divBdr>
                                                        <w:top w:val="none" w:sz="0" w:space="0" w:color="auto"/>
                                                        <w:left w:val="none" w:sz="0" w:space="0" w:color="auto"/>
                                                        <w:bottom w:val="none" w:sz="0" w:space="0" w:color="auto"/>
                                                        <w:right w:val="none" w:sz="0" w:space="0" w:color="auto"/>
                                                      </w:divBdr>
                                                    </w:div>
                                                  </w:divsChild>
                                                </w:div>
                                                <w:div w:id="162087698">
                                                  <w:marLeft w:val="0"/>
                                                  <w:marRight w:val="0"/>
                                                  <w:marTop w:val="0"/>
                                                  <w:marBottom w:val="0"/>
                                                  <w:divBdr>
                                                    <w:top w:val="none" w:sz="0" w:space="0" w:color="auto"/>
                                                    <w:left w:val="none" w:sz="0" w:space="0" w:color="auto"/>
                                                    <w:bottom w:val="none" w:sz="0" w:space="0" w:color="auto"/>
                                                    <w:right w:val="none" w:sz="0" w:space="0" w:color="auto"/>
                                                  </w:divBdr>
                                                  <w:divsChild>
                                                    <w:div w:id="85565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2052431">
      <w:bodyDiv w:val="1"/>
      <w:marLeft w:val="0"/>
      <w:marRight w:val="0"/>
      <w:marTop w:val="0"/>
      <w:marBottom w:val="0"/>
      <w:divBdr>
        <w:top w:val="none" w:sz="0" w:space="0" w:color="auto"/>
        <w:left w:val="none" w:sz="0" w:space="0" w:color="auto"/>
        <w:bottom w:val="none" w:sz="0" w:space="0" w:color="auto"/>
        <w:right w:val="none" w:sz="0" w:space="0" w:color="auto"/>
      </w:divBdr>
      <w:divsChild>
        <w:div w:id="153307013">
          <w:marLeft w:val="0"/>
          <w:marRight w:val="0"/>
          <w:marTop w:val="0"/>
          <w:marBottom w:val="0"/>
          <w:divBdr>
            <w:top w:val="none" w:sz="0" w:space="0" w:color="auto"/>
            <w:left w:val="none" w:sz="0" w:space="0" w:color="auto"/>
            <w:bottom w:val="none" w:sz="0" w:space="0" w:color="auto"/>
            <w:right w:val="none" w:sz="0" w:space="0" w:color="auto"/>
          </w:divBdr>
          <w:divsChild>
            <w:div w:id="34275912">
              <w:marLeft w:val="0"/>
              <w:marRight w:val="0"/>
              <w:marTop w:val="0"/>
              <w:marBottom w:val="0"/>
              <w:divBdr>
                <w:top w:val="none" w:sz="0" w:space="0" w:color="auto"/>
                <w:left w:val="none" w:sz="0" w:space="0" w:color="auto"/>
                <w:bottom w:val="none" w:sz="0" w:space="0" w:color="auto"/>
                <w:right w:val="none" w:sz="0" w:space="0" w:color="auto"/>
              </w:divBdr>
              <w:divsChild>
                <w:div w:id="1431511432">
                  <w:marLeft w:val="0"/>
                  <w:marRight w:val="0"/>
                  <w:marTop w:val="0"/>
                  <w:marBottom w:val="0"/>
                  <w:divBdr>
                    <w:top w:val="none" w:sz="0" w:space="0" w:color="auto"/>
                    <w:left w:val="none" w:sz="0" w:space="0" w:color="auto"/>
                    <w:bottom w:val="none" w:sz="0" w:space="0" w:color="auto"/>
                    <w:right w:val="none" w:sz="0" w:space="0" w:color="auto"/>
                  </w:divBdr>
                  <w:divsChild>
                    <w:div w:id="865287922">
                      <w:marLeft w:val="0"/>
                      <w:marRight w:val="0"/>
                      <w:marTop w:val="0"/>
                      <w:marBottom w:val="0"/>
                      <w:divBdr>
                        <w:top w:val="none" w:sz="0" w:space="0" w:color="auto"/>
                        <w:left w:val="none" w:sz="0" w:space="0" w:color="auto"/>
                        <w:bottom w:val="none" w:sz="0" w:space="0" w:color="auto"/>
                        <w:right w:val="none" w:sz="0" w:space="0" w:color="auto"/>
                      </w:divBdr>
                      <w:divsChild>
                        <w:div w:id="386339829">
                          <w:marLeft w:val="0"/>
                          <w:marRight w:val="0"/>
                          <w:marTop w:val="0"/>
                          <w:marBottom w:val="0"/>
                          <w:divBdr>
                            <w:top w:val="none" w:sz="0" w:space="0" w:color="auto"/>
                            <w:left w:val="none" w:sz="0" w:space="0" w:color="auto"/>
                            <w:bottom w:val="none" w:sz="0" w:space="0" w:color="auto"/>
                            <w:right w:val="none" w:sz="0" w:space="0" w:color="auto"/>
                          </w:divBdr>
                          <w:divsChild>
                            <w:div w:id="636957660">
                              <w:marLeft w:val="180"/>
                              <w:marRight w:val="0"/>
                              <w:marTop w:val="150"/>
                              <w:marBottom w:val="150"/>
                              <w:divBdr>
                                <w:top w:val="none" w:sz="0" w:space="0" w:color="auto"/>
                                <w:left w:val="none" w:sz="0" w:space="0" w:color="auto"/>
                                <w:bottom w:val="none" w:sz="0" w:space="0" w:color="auto"/>
                                <w:right w:val="none" w:sz="0" w:space="0" w:color="auto"/>
                              </w:divBdr>
                              <w:divsChild>
                                <w:div w:id="522668882">
                                  <w:marLeft w:val="0"/>
                                  <w:marRight w:val="0"/>
                                  <w:marTop w:val="0"/>
                                  <w:marBottom w:val="0"/>
                                  <w:divBdr>
                                    <w:top w:val="none" w:sz="0" w:space="0" w:color="auto"/>
                                    <w:left w:val="none" w:sz="0" w:space="0" w:color="auto"/>
                                    <w:bottom w:val="none" w:sz="0" w:space="0" w:color="auto"/>
                                    <w:right w:val="none" w:sz="0" w:space="0" w:color="auto"/>
                                  </w:divBdr>
                                  <w:divsChild>
                                    <w:div w:id="1593539473">
                                      <w:marLeft w:val="0"/>
                                      <w:marRight w:val="0"/>
                                      <w:marTop w:val="0"/>
                                      <w:marBottom w:val="0"/>
                                      <w:divBdr>
                                        <w:top w:val="none" w:sz="0" w:space="0" w:color="auto"/>
                                        <w:left w:val="none" w:sz="0" w:space="0" w:color="auto"/>
                                        <w:bottom w:val="none" w:sz="0" w:space="0" w:color="auto"/>
                                        <w:right w:val="none" w:sz="0" w:space="0" w:color="auto"/>
                                      </w:divBdr>
                                      <w:divsChild>
                                        <w:div w:id="1693992073">
                                          <w:marLeft w:val="0"/>
                                          <w:marRight w:val="0"/>
                                          <w:marTop w:val="0"/>
                                          <w:marBottom w:val="0"/>
                                          <w:divBdr>
                                            <w:top w:val="none" w:sz="0" w:space="0" w:color="auto"/>
                                            <w:left w:val="none" w:sz="0" w:space="0" w:color="auto"/>
                                            <w:bottom w:val="none" w:sz="0" w:space="0" w:color="auto"/>
                                            <w:right w:val="none" w:sz="0" w:space="0" w:color="auto"/>
                                          </w:divBdr>
                                          <w:divsChild>
                                            <w:div w:id="1928734292">
                                              <w:marLeft w:val="0"/>
                                              <w:marRight w:val="0"/>
                                              <w:marTop w:val="0"/>
                                              <w:marBottom w:val="0"/>
                                              <w:divBdr>
                                                <w:top w:val="none" w:sz="0" w:space="0" w:color="auto"/>
                                                <w:left w:val="none" w:sz="0" w:space="0" w:color="auto"/>
                                                <w:bottom w:val="none" w:sz="0" w:space="0" w:color="auto"/>
                                                <w:right w:val="none" w:sz="0" w:space="0" w:color="auto"/>
                                              </w:divBdr>
                                              <w:divsChild>
                                                <w:div w:id="153448267">
                                                  <w:marLeft w:val="0"/>
                                                  <w:marRight w:val="0"/>
                                                  <w:marTop w:val="0"/>
                                                  <w:marBottom w:val="0"/>
                                                  <w:divBdr>
                                                    <w:top w:val="none" w:sz="0" w:space="0" w:color="auto"/>
                                                    <w:left w:val="none" w:sz="0" w:space="0" w:color="auto"/>
                                                    <w:bottom w:val="none" w:sz="0" w:space="0" w:color="auto"/>
                                                    <w:right w:val="none" w:sz="0" w:space="0" w:color="auto"/>
                                                  </w:divBdr>
                                                  <w:divsChild>
                                                    <w:div w:id="399444072">
                                                      <w:marLeft w:val="0"/>
                                                      <w:marRight w:val="0"/>
                                                      <w:marTop w:val="0"/>
                                                      <w:marBottom w:val="0"/>
                                                      <w:divBdr>
                                                        <w:top w:val="none" w:sz="0" w:space="0" w:color="auto"/>
                                                        <w:left w:val="none" w:sz="0" w:space="0" w:color="auto"/>
                                                        <w:bottom w:val="none" w:sz="0" w:space="0" w:color="auto"/>
                                                        <w:right w:val="none" w:sz="0" w:space="0" w:color="auto"/>
                                                      </w:divBdr>
                                                    </w:div>
                                                    <w:div w:id="2093771987">
                                                      <w:marLeft w:val="0"/>
                                                      <w:marRight w:val="0"/>
                                                      <w:marTop w:val="0"/>
                                                      <w:marBottom w:val="0"/>
                                                      <w:divBdr>
                                                        <w:top w:val="none" w:sz="0" w:space="0" w:color="auto"/>
                                                        <w:left w:val="none" w:sz="0" w:space="0" w:color="auto"/>
                                                        <w:bottom w:val="none" w:sz="0" w:space="0" w:color="auto"/>
                                                        <w:right w:val="none" w:sz="0" w:space="0" w:color="auto"/>
                                                      </w:divBdr>
                                                    </w:div>
                                                  </w:divsChild>
                                                </w:div>
                                                <w:div w:id="269240806">
                                                  <w:marLeft w:val="0"/>
                                                  <w:marRight w:val="0"/>
                                                  <w:marTop w:val="0"/>
                                                  <w:marBottom w:val="0"/>
                                                  <w:divBdr>
                                                    <w:top w:val="none" w:sz="0" w:space="0" w:color="auto"/>
                                                    <w:left w:val="none" w:sz="0" w:space="0" w:color="auto"/>
                                                    <w:bottom w:val="none" w:sz="0" w:space="0" w:color="auto"/>
                                                    <w:right w:val="none" w:sz="0" w:space="0" w:color="auto"/>
                                                  </w:divBdr>
                                                  <w:divsChild>
                                                    <w:div w:id="435566263">
                                                      <w:marLeft w:val="0"/>
                                                      <w:marRight w:val="0"/>
                                                      <w:marTop w:val="0"/>
                                                      <w:marBottom w:val="0"/>
                                                      <w:divBdr>
                                                        <w:top w:val="none" w:sz="0" w:space="0" w:color="auto"/>
                                                        <w:left w:val="none" w:sz="0" w:space="0" w:color="auto"/>
                                                        <w:bottom w:val="none" w:sz="0" w:space="0" w:color="auto"/>
                                                        <w:right w:val="none" w:sz="0" w:space="0" w:color="auto"/>
                                                      </w:divBdr>
                                                    </w:div>
                                                    <w:div w:id="1096368787">
                                                      <w:marLeft w:val="0"/>
                                                      <w:marRight w:val="0"/>
                                                      <w:marTop w:val="0"/>
                                                      <w:marBottom w:val="0"/>
                                                      <w:divBdr>
                                                        <w:top w:val="none" w:sz="0" w:space="0" w:color="auto"/>
                                                        <w:left w:val="none" w:sz="0" w:space="0" w:color="auto"/>
                                                        <w:bottom w:val="none" w:sz="0" w:space="0" w:color="auto"/>
                                                        <w:right w:val="none" w:sz="0" w:space="0" w:color="auto"/>
                                                      </w:divBdr>
                                                    </w:div>
                                                  </w:divsChild>
                                                </w:div>
                                                <w:div w:id="367415902">
                                                  <w:marLeft w:val="0"/>
                                                  <w:marRight w:val="0"/>
                                                  <w:marTop w:val="0"/>
                                                  <w:marBottom w:val="0"/>
                                                  <w:divBdr>
                                                    <w:top w:val="none" w:sz="0" w:space="0" w:color="auto"/>
                                                    <w:left w:val="none" w:sz="0" w:space="0" w:color="auto"/>
                                                    <w:bottom w:val="none" w:sz="0" w:space="0" w:color="auto"/>
                                                    <w:right w:val="none" w:sz="0" w:space="0" w:color="auto"/>
                                                  </w:divBdr>
                                                  <w:divsChild>
                                                    <w:div w:id="256603245">
                                                      <w:marLeft w:val="0"/>
                                                      <w:marRight w:val="0"/>
                                                      <w:marTop w:val="0"/>
                                                      <w:marBottom w:val="0"/>
                                                      <w:divBdr>
                                                        <w:top w:val="none" w:sz="0" w:space="0" w:color="auto"/>
                                                        <w:left w:val="none" w:sz="0" w:space="0" w:color="auto"/>
                                                        <w:bottom w:val="none" w:sz="0" w:space="0" w:color="auto"/>
                                                        <w:right w:val="none" w:sz="0" w:space="0" w:color="auto"/>
                                                      </w:divBdr>
                                                    </w:div>
                                                    <w:div w:id="578562401">
                                                      <w:marLeft w:val="0"/>
                                                      <w:marRight w:val="0"/>
                                                      <w:marTop w:val="0"/>
                                                      <w:marBottom w:val="0"/>
                                                      <w:divBdr>
                                                        <w:top w:val="none" w:sz="0" w:space="0" w:color="auto"/>
                                                        <w:left w:val="none" w:sz="0" w:space="0" w:color="auto"/>
                                                        <w:bottom w:val="none" w:sz="0" w:space="0" w:color="auto"/>
                                                        <w:right w:val="none" w:sz="0" w:space="0" w:color="auto"/>
                                                      </w:divBdr>
                                                    </w:div>
                                                  </w:divsChild>
                                                </w:div>
                                                <w:div w:id="473763985">
                                                  <w:marLeft w:val="0"/>
                                                  <w:marRight w:val="0"/>
                                                  <w:marTop w:val="0"/>
                                                  <w:marBottom w:val="0"/>
                                                  <w:divBdr>
                                                    <w:top w:val="none" w:sz="0" w:space="0" w:color="auto"/>
                                                    <w:left w:val="none" w:sz="0" w:space="0" w:color="auto"/>
                                                    <w:bottom w:val="none" w:sz="0" w:space="0" w:color="auto"/>
                                                    <w:right w:val="none" w:sz="0" w:space="0" w:color="auto"/>
                                                  </w:divBdr>
                                                  <w:divsChild>
                                                    <w:div w:id="68427804">
                                                      <w:marLeft w:val="0"/>
                                                      <w:marRight w:val="0"/>
                                                      <w:marTop w:val="0"/>
                                                      <w:marBottom w:val="0"/>
                                                      <w:divBdr>
                                                        <w:top w:val="none" w:sz="0" w:space="0" w:color="auto"/>
                                                        <w:left w:val="none" w:sz="0" w:space="0" w:color="auto"/>
                                                        <w:bottom w:val="none" w:sz="0" w:space="0" w:color="auto"/>
                                                        <w:right w:val="none" w:sz="0" w:space="0" w:color="auto"/>
                                                      </w:divBdr>
                                                    </w:div>
                                                    <w:div w:id="1421367917">
                                                      <w:marLeft w:val="0"/>
                                                      <w:marRight w:val="0"/>
                                                      <w:marTop w:val="0"/>
                                                      <w:marBottom w:val="0"/>
                                                      <w:divBdr>
                                                        <w:top w:val="none" w:sz="0" w:space="0" w:color="auto"/>
                                                        <w:left w:val="none" w:sz="0" w:space="0" w:color="auto"/>
                                                        <w:bottom w:val="none" w:sz="0" w:space="0" w:color="auto"/>
                                                        <w:right w:val="none" w:sz="0" w:space="0" w:color="auto"/>
                                                      </w:divBdr>
                                                    </w:div>
                                                  </w:divsChild>
                                                </w:div>
                                                <w:div w:id="626161808">
                                                  <w:marLeft w:val="0"/>
                                                  <w:marRight w:val="0"/>
                                                  <w:marTop w:val="0"/>
                                                  <w:marBottom w:val="0"/>
                                                  <w:divBdr>
                                                    <w:top w:val="none" w:sz="0" w:space="0" w:color="auto"/>
                                                    <w:left w:val="none" w:sz="0" w:space="0" w:color="auto"/>
                                                    <w:bottom w:val="none" w:sz="0" w:space="0" w:color="auto"/>
                                                    <w:right w:val="none" w:sz="0" w:space="0" w:color="auto"/>
                                                  </w:divBdr>
                                                  <w:divsChild>
                                                    <w:div w:id="818305515">
                                                      <w:marLeft w:val="0"/>
                                                      <w:marRight w:val="0"/>
                                                      <w:marTop w:val="0"/>
                                                      <w:marBottom w:val="0"/>
                                                      <w:divBdr>
                                                        <w:top w:val="none" w:sz="0" w:space="0" w:color="auto"/>
                                                        <w:left w:val="none" w:sz="0" w:space="0" w:color="auto"/>
                                                        <w:bottom w:val="none" w:sz="0" w:space="0" w:color="auto"/>
                                                        <w:right w:val="none" w:sz="0" w:space="0" w:color="auto"/>
                                                      </w:divBdr>
                                                    </w:div>
                                                    <w:div w:id="964852849">
                                                      <w:marLeft w:val="0"/>
                                                      <w:marRight w:val="0"/>
                                                      <w:marTop w:val="0"/>
                                                      <w:marBottom w:val="0"/>
                                                      <w:divBdr>
                                                        <w:top w:val="none" w:sz="0" w:space="0" w:color="auto"/>
                                                        <w:left w:val="none" w:sz="0" w:space="0" w:color="auto"/>
                                                        <w:bottom w:val="none" w:sz="0" w:space="0" w:color="auto"/>
                                                        <w:right w:val="none" w:sz="0" w:space="0" w:color="auto"/>
                                                      </w:divBdr>
                                                    </w:div>
                                                  </w:divsChild>
                                                </w:div>
                                                <w:div w:id="754546623">
                                                  <w:marLeft w:val="0"/>
                                                  <w:marRight w:val="0"/>
                                                  <w:marTop w:val="0"/>
                                                  <w:marBottom w:val="0"/>
                                                  <w:divBdr>
                                                    <w:top w:val="none" w:sz="0" w:space="0" w:color="auto"/>
                                                    <w:left w:val="none" w:sz="0" w:space="0" w:color="auto"/>
                                                    <w:bottom w:val="none" w:sz="0" w:space="0" w:color="auto"/>
                                                    <w:right w:val="none" w:sz="0" w:space="0" w:color="auto"/>
                                                  </w:divBdr>
                                                  <w:divsChild>
                                                    <w:div w:id="47069936">
                                                      <w:marLeft w:val="0"/>
                                                      <w:marRight w:val="0"/>
                                                      <w:marTop w:val="0"/>
                                                      <w:marBottom w:val="0"/>
                                                      <w:divBdr>
                                                        <w:top w:val="none" w:sz="0" w:space="0" w:color="auto"/>
                                                        <w:left w:val="none" w:sz="0" w:space="0" w:color="auto"/>
                                                        <w:bottom w:val="none" w:sz="0" w:space="0" w:color="auto"/>
                                                        <w:right w:val="none" w:sz="0" w:space="0" w:color="auto"/>
                                                      </w:divBdr>
                                                    </w:div>
                                                    <w:div w:id="2051369294">
                                                      <w:marLeft w:val="0"/>
                                                      <w:marRight w:val="0"/>
                                                      <w:marTop w:val="0"/>
                                                      <w:marBottom w:val="0"/>
                                                      <w:divBdr>
                                                        <w:top w:val="none" w:sz="0" w:space="0" w:color="auto"/>
                                                        <w:left w:val="none" w:sz="0" w:space="0" w:color="auto"/>
                                                        <w:bottom w:val="none" w:sz="0" w:space="0" w:color="auto"/>
                                                        <w:right w:val="none" w:sz="0" w:space="0" w:color="auto"/>
                                                      </w:divBdr>
                                                    </w:div>
                                                  </w:divsChild>
                                                </w:div>
                                                <w:div w:id="1210610216">
                                                  <w:marLeft w:val="0"/>
                                                  <w:marRight w:val="0"/>
                                                  <w:marTop w:val="0"/>
                                                  <w:marBottom w:val="0"/>
                                                  <w:divBdr>
                                                    <w:top w:val="none" w:sz="0" w:space="0" w:color="auto"/>
                                                    <w:left w:val="none" w:sz="0" w:space="0" w:color="auto"/>
                                                    <w:bottom w:val="none" w:sz="0" w:space="0" w:color="auto"/>
                                                    <w:right w:val="none" w:sz="0" w:space="0" w:color="auto"/>
                                                  </w:divBdr>
                                                  <w:divsChild>
                                                    <w:div w:id="1854145846">
                                                      <w:marLeft w:val="0"/>
                                                      <w:marRight w:val="0"/>
                                                      <w:marTop w:val="0"/>
                                                      <w:marBottom w:val="0"/>
                                                      <w:divBdr>
                                                        <w:top w:val="none" w:sz="0" w:space="0" w:color="auto"/>
                                                        <w:left w:val="none" w:sz="0" w:space="0" w:color="auto"/>
                                                        <w:bottom w:val="none" w:sz="0" w:space="0" w:color="auto"/>
                                                        <w:right w:val="none" w:sz="0" w:space="0" w:color="auto"/>
                                                      </w:divBdr>
                                                    </w:div>
                                                    <w:div w:id="1996564064">
                                                      <w:marLeft w:val="0"/>
                                                      <w:marRight w:val="0"/>
                                                      <w:marTop w:val="0"/>
                                                      <w:marBottom w:val="0"/>
                                                      <w:divBdr>
                                                        <w:top w:val="none" w:sz="0" w:space="0" w:color="auto"/>
                                                        <w:left w:val="none" w:sz="0" w:space="0" w:color="auto"/>
                                                        <w:bottom w:val="none" w:sz="0" w:space="0" w:color="auto"/>
                                                        <w:right w:val="none" w:sz="0" w:space="0" w:color="auto"/>
                                                      </w:divBdr>
                                                    </w:div>
                                                  </w:divsChild>
                                                </w:div>
                                                <w:div w:id="1271543509">
                                                  <w:marLeft w:val="0"/>
                                                  <w:marRight w:val="0"/>
                                                  <w:marTop w:val="0"/>
                                                  <w:marBottom w:val="0"/>
                                                  <w:divBdr>
                                                    <w:top w:val="none" w:sz="0" w:space="0" w:color="auto"/>
                                                    <w:left w:val="none" w:sz="0" w:space="0" w:color="auto"/>
                                                    <w:bottom w:val="none" w:sz="0" w:space="0" w:color="auto"/>
                                                    <w:right w:val="none" w:sz="0" w:space="0" w:color="auto"/>
                                                  </w:divBdr>
                                                  <w:divsChild>
                                                    <w:div w:id="313339082">
                                                      <w:marLeft w:val="0"/>
                                                      <w:marRight w:val="0"/>
                                                      <w:marTop w:val="0"/>
                                                      <w:marBottom w:val="0"/>
                                                      <w:divBdr>
                                                        <w:top w:val="none" w:sz="0" w:space="0" w:color="auto"/>
                                                        <w:left w:val="none" w:sz="0" w:space="0" w:color="auto"/>
                                                        <w:bottom w:val="none" w:sz="0" w:space="0" w:color="auto"/>
                                                        <w:right w:val="none" w:sz="0" w:space="0" w:color="auto"/>
                                                      </w:divBdr>
                                                    </w:div>
                                                    <w:div w:id="1926331191">
                                                      <w:marLeft w:val="0"/>
                                                      <w:marRight w:val="0"/>
                                                      <w:marTop w:val="0"/>
                                                      <w:marBottom w:val="0"/>
                                                      <w:divBdr>
                                                        <w:top w:val="none" w:sz="0" w:space="0" w:color="auto"/>
                                                        <w:left w:val="none" w:sz="0" w:space="0" w:color="auto"/>
                                                        <w:bottom w:val="none" w:sz="0" w:space="0" w:color="auto"/>
                                                        <w:right w:val="none" w:sz="0" w:space="0" w:color="auto"/>
                                                      </w:divBdr>
                                                    </w:div>
                                                  </w:divsChild>
                                                </w:div>
                                                <w:div w:id="1406948810">
                                                  <w:marLeft w:val="0"/>
                                                  <w:marRight w:val="0"/>
                                                  <w:marTop w:val="0"/>
                                                  <w:marBottom w:val="0"/>
                                                  <w:divBdr>
                                                    <w:top w:val="none" w:sz="0" w:space="0" w:color="auto"/>
                                                    <w:left w:val="none" w:sz="0" w:space="0" w:color="auto"/>
                                                    <w:bottom w:val="none" w:sz="0" w:space="0" w:color="auto"/>
                                                    <w:right w:val="none" w:sz="0" w:space="0" w:color="auto"/>
                                                  </w:divBdr>
                                                  <w:divsChild>
                                                    <w:div w:id="1153331531">
                                                      <w:marLeft w:val="0"/>
                                                      <w:marRight w:val="0"/>
                                                      <w:marTop w:val="0"/>
                                                      <w:marBottom w:val="0"/>
                                                      <w:divBdr>
                                                        <w:top w:val="none" w:sz="0" w:space="0" w:color="auto"/>
                                                        <w:left w:val="none" w:sz="0" w:space="0" w:color="auto"/>
                                                        <w:bottom w:val="none" w:sz="0" w:space="0" w:color="auto"/>
                                                        <w:right w:val="none" w:sz="0" w:space="0" w:color="auto"/>
                                                      </w:divBdr>
                                                    </w:div>
                                                    <w:div w:id="1860654205">
                                                      <w:marLeft w:val="0"/>
                                                      <w:marRight w:val="0"/>
                                                      <w:marTop w:val="0"/>
                                                      <w:marBottom w:val="0"/>
                                                      <w:divBdr>
                                                        <w:top w:val="none" w:sz="0" w:space="0" w:color="auto"/>
                                                        <w:left w:val="none" w:sz="0" w:space="0" w:color="auto"/>
                                                        <w:bottom w:val="none" w:sz="0" w:space="0" w:color="auto"/>
                                                        <w:right w:val="none" w:sz="0" w:space="0" w:color="auto"/>
                                                      </w:divBdr>
                                                    </w:div>
                                                  </w:divsChild>
                                                </w:div>
                                                <w:div w:id="1703703472">
                                                  <w:marLeft w:val="0"/>
                                                  <w:marRight w:val="0"/>
                                                  <w:marTop w:val="0"/>
                                                  <w:marBottom w:val="0"/>
                                                  <w:divBdr>
                                                    <w:top w:val="none" w:sz="0" w:space="0" w:color="auto"/>
                                                    <w:left w:val="none" w:sz="0" w:space="0" w:color="auto"/>
                                                    <w:bottom w:val="none" w:sz="0" w:space="0" w:color="auto"/>
                                                    <w:right w:val="none" w:sz="0" w:space="0" w:color="auto"/>
                                                  </w:divBdr>
                                                  <w:divsChild>
                                                    <w:div w:id="44764781">
                                                      <w:marLeft w:val="0"/>
                                                      <w:marRight w:val="0"/>
                                                      <w:marTop w:val="0"/>
                                                      <w:marBottom w:val="0"/>
                                                      <w:divBdr>
                                                        <w:top w:val="none" w:sz="0" w:space="0" w:color="auto"/>
                                                        <w:left w:val="none" w:sz="0" w:space="0" w:color="auto"/>
                                                        <w:bottom w:val="none" w:sz="0" w:space="0" w:color="auto"/>
                                                        <w:right w:val="none" w:sz="0" w:space="0" w:color="auto"/>
                                                      </w:divBdr>
                                                    </w:div>
                                                    <w:div w:id="1531257832">
                                                      <w:marLeft w:val="0"/>
                                                      <w:marRight w:val="0"/>
                                                      <w:marTop w:val="0"/>
                                                      <w:marBottom w:val="0"/>
                                                      <w:divBdr>
                                                        <w:top w:val="none" w:sz="0" w:space="0" w:color="auto"/>
                                                        <w:left w:val="none" w:sz="0" w:space="0" w:color="auto"/>
                                                        <w:bottom w:val="none" w:sz="0" w:space="0" w:color="auto"/>
                                                        <w:right w:val="none" w:sz="0" w:space="0" w:color="auto"/>
                                                      </w:divBdr>
                                                    </w:div>
                                                  </w:divsChild>
                                                </w:div>
                                                <w:div w:id="1763644082">
                                                  <w:marLeft w:val="0"/>
                                                  <w:marRight w:val="0"/>
                                                  <w:marTop w:val="0"/>
                                                  <w:marBottom w:val="0"/>
                                                  <w:divBdr>
                                                    <w:top w:val="none" w:sz="0" w:space="0" w:color="auto"/>
                                                    <w:left w:val="none" w:sz="0" w:space="0" w:color="auto"/>
                                                    <w:bottom w:val="none" w:sz="0" w:space="0" w:color="auto"/>
                                                    <w:right w:val="none" w:sz="0" w:space="0" w:color="auto"/>
                                                  </w:divBdr>
                                                  <w:divsChild>
                                                    <w:div w:id="78984085">
                                                      <w:marLeft w:val="0"/>
                                                      <w:marRight w:val="0"/>
                                                      <w:marTop w:val="0"/>
                                                      <w:marBottom w:val="0"/>
                                                      <w:divBdr>
                                                        <w:top w:val="none" w:sz="0" w:space="0" w:color="auto"/>
                                                        <w:left w:val="none" w:sz="0" w:space="0" w:color="auto"/>
                                                        <w:bottom w:val="none" w:sz="0" w:space="0" w:color="auto"/>
                                                        <w:right w:val="none" w:sz="0" w:space="0" w:color="auto"/>
                                                      </w:divBdr>
                                                    </w:div>
                                                  </w:divsChild>
                                                </w:div>
                                                <w:div w:id="1844857808">
                                                  <w:marLeft w:val="0"/>
                                                  <w:marRight w:val="0"/>
                                                  <w:marTop w:val="0"/>
                                                  <w:marBottom w:val="0"/>
                                                  <w:divBdr>
                                                    <w:top w:val="none" w:sz="0" w:space="0" w:color="auto"/>
                                                    <w:left w:val="none" w:sz="0" w:space="0" w:color="auto"/>
                                                    <w:bottom w:val="none" w:sz="0" w:space="0" w:color="auto"/>
                                                    <w:right w:val="none" w:sz="0" w:space="0" w:color="auto"/>
                                                  </w:divBdr>
                                                  <w:divsChild>
                                                    <w:div w:id="911617954">
                                                      <w:marLeft w:val="0"/>
                                                      <w:marRight w:val="0"/>
                                                      <w:marTop w:val="0"/>
                                                      <w:marBottom w:val="0"/>
                                                      <w:divBdr>
                                                        <w:top w:val="none" w:sz="0" w:space="0" w:color="auto"/>
                                                        <w:left w:val="none" w:sz="0" w:space="0" w:color="auto"/>
                                                        <w:bottom w:val="none" w:sz="0" w:space="0" w:color="auto"/>
                                                        <w:right w:val="none" w:sz="0" w:space="0" w:color="auto"/>
                                                      </w:divBdr>
                                                    </w:div>
                                                    <w:div w:id="1443265956">
                                                      <w:marLeft w:val="0"/>
                                                      <w:marRight w:val="0"/>
                                                      <w:marTop w:val="0"/>
                                                      <w:marBottom w:val="0"/>
                                                      <w:divBdr>
                                                        <w:top w:val="none" w:sz="0" w:space="0" w:color="auto"/>
                                                        <w:left w:val="none" w:sz="0" w:space="0" w:color="auto"/>
                                                        <w:bottom w:val="none" w:sz="0" w:space="0" w:color="auto"/>
                                                        <w:right w:val="none" w:sz="0" w:space="0" w:color="auto"/>
                                                      </w:divBdr>
                                                    </w:div>
                                                  </w:divsChild>
                                                </w:div>
                                                <w:div w:id="1854685438">
                                                  <w:marLeft w:val="0"/>
                                                  <w:marRight w:val="0"/>
                                                  <w:marTop w:val="0"/>
                                                  <w:marBottom w:val="0"/>
                                                  <w:divBdr>
                                                    <w:top w:val="none" w:sz="0" w:space="0" w:color="auto"/>
                                                    <w:left w:val="none" w:sz="0" w:space="0" w:color="auto"/>
                                                    <w:bottom w:val="none" w:sz="0" w:space="0" w:color="auto"/>
                                                    <w:right w:val="none" w:sz="0" w:space="0" w:color="auto"/>
                                                  </w:divBdr>
                                                  <w:divsChild>
                                                    <w:div w:id="1526947142">
                                                      <w:marLeft w:val="0"/>
                                                      <w:marRight w:val="0"/>
                                                      <w:marTop w:val="0"/>
                                                      <w:marBottom w:val="0"/>
                                                      <w:divBdr>
                                                        <w:top w:val="none" w:sz="0" w:space="0" w:color="auto"/>
                                                        <w:left w:val="none" w:sz="0" w:space="0" w:color="auto"/>
                                                        <w:bottom w:val="none" w:sz="0" w:space="0" w:color="auto"/>
                                                        <w:right w:val="none" w:sz="0" w:space="0" w:color="auto"/>
                                                      </w:divBdr>
                                                    </w:div>
                                                    <w:div w:id="1687053258">
                                                      <w:marLeft w:val="0"/>
                                                      <w:marRight w:val="0"/>
                                                      <w:marTop w:val="0"/>
                                                      <w:marBottom w:val="0"/>
                                                      <w:divBdr>
                                                        <w:top w:val="none" w:sz="0" w:space="0" w:color="auto"/>
                                                        <w:left w:val="none" w:sz="0" w:space="0" w:color="auto"/>
                                                        <w:bottom w:val="none" w:sz="0" w:space="0" w:color="auto"/>
                                                        <w:right w:val="none" w:sz="0" w:space="0" w:color="auto"/>
                                                      </w:divBdr>
                                                    </w:div>
                                                  </w:divsChild>
                                                </w:div>
                                                <w:div w:id="1877153543">
                                                  <w:marLeft w:val="0"/>
                                                  <w:marRight w:val="0"/>
                                                  <w:marTop w:val="0"/>
                                                  <w:marBottom w:val="0"/>
                                                  <w:divBdr>
                                                    <w:top w:val="none" w:sz="0" w:space="0" w:color="auto"/>
                                                    <w:left w:val="none" w:sz="0" w:space="0" w:color="auto"/>
                                                    <w:bottom w:val="none" w:sz="0" w:space="0" w:color="auto"/>
                                                    <w:right w:val="none" w:sz="0" w:space="0" w:color="auto"/>
                                                  </w:divBdr>
                                                  <w:divsChild>
                                                    <w:div w:id="1894076051">
                                                      <w:marLeft w:val="0"/>
                                                      <w:marRight w:val="0"/>
                                                      <w:marTop w:val="0"/>
                                                      <w:marBottom w:val="0"/>
                                                      <w:divBdr>
                                                        <w:top w:val="none" w:sz="0" w:space="0" w:color="auto"/>
                                                        <w:left w:val="none" w:sz="0" w:space="0" w:color="auto"/>
                                                        <w:bottom w:val="none" w:sz="0" w:space="0" w:color="auto"/>
                                                        <w:right w:val="none" w:sz="0" w:space="0" w:color="auto"/>
                                                      </w:divBdr>
                                                    </w:div>
                                                    <w:div w:id="2071689247">
                                                      <w:marLeft w:val="0"/>
                                                      <w:marRight w:val="0"/>
                                                      <w:marTop w:val="0"/>
                                                      <w:marBottom w:val="0"/>
                                                      <w:divBdr>
                                                        <w:top w:val="none" w:sz="0" w:space="0" w:color="auto"/>
                                                        <w:left w:val="none" w:sz="0" w:space="0" w:color="auto"/>
                                                        <w:bottom w:val="none" w:sz="0" w:space="0" w:color="auto"/>
                                                        <w:right w:val="none" w:sz="0" w:space="0" w:color="auto"/>
                                                      </w:divBdr>
                                                    </w:div>
                                                  </w:divsChild>
                                                </w:div>
                                                <w:div w:id="2017078878">
                                                  <w:marLeft w:val="0"/>
                                                  <w:marRight w:val="0"/>
                                                  <w:marTop w:val="0"/>
                                                  <w:marBottom w:val="0"/>
                                                  <w:divBdr>
                                                    <w:top w:val="none" w:sz="0" w:space="0" w:color="auto"/>
                                                    <w:left w:val="none" w:sz="0" w:space="0" w:color="auto"/>
                                                    <w:bottom w:val="none" w:sz="0" w:space="0" w:color="auto"/>
                                                    <w:right w:val="none" w:sz="0" w:space="0" w:color="auto"/>
                                                  </w:divBdr>
                                                  <w:divsChild>
                                                    <w:div w:id="386757241">
                                                      <w:marLeft w:val="0"/>
                                                      <w:marRight w:val="0"/>
                                                      <w:marTop w:val="0"/>
                                                      <w:marBottom w:val="0"/>
                                                      <w:divBdr>
                                                        <w:top w:val="none" w:sz="0" w:space="0" w:color="auto"/>
                                                        <w:left w:val="none" w:sz="0" w:space="0" w:color="auto"/>
                                                        <w:bottom w:val="none" w:sz="0" w:space="0" w:color="auto"/>
                                                        <w:right w:val="none" w:sz="0" w:space="0" w:color="auto"/>
                                                      </w:divBdr>
                                                    </w:div>
                                                    <w:div w:id="709384655">
                                                      <w:marLeft w:val="0"/>
                                                      <w:marRight w:val="0"/>
                                                      <w:marTop w:val="0"/>
                                                      <w:marBottom w:val="0"/>
                                                      <w:divBdr>
                                                        <w:top w:val="none" w:sz="0" w:space="0" w:color="auto"/>
                                                        <w:left w:val="none" w:sz="0" w:space="0" w:color="auto"/>
                                                        <w:bottom w:val="none" w:sz="0" w:space="0" w:color="auto"/>
                                                        <w:right w:val="none" w:sz="0" w:space="0" w:color="auto"/>
                                                      </w:divBdr>
                                                    </w:div>
                                                  </w:divsChild>
                                                </w:div>
                                                <w:div w:id="2046522159">
                                                  <w:marLeft w:val="0"/>
                                                  <w:marRight w:val="0"/>
                                                  <w:marTop w:val="0"/>
                                                  <w:marBottom w:val="0"/>
                                                  <w:divBdr>
                                                    <w:top w:val="none" w:sz="0" w:space="0" w:color="auto"/>
                                                    <w:left w:val="none" w:sz="0" w:space="0" w:color="auto"/>
                                                    <w:bottom w:val="none" w:sz="0" w:space="0" w:color="auto"/>
                                                    <w:right w:val="none" w:sz="0" w:space="0" w:color="auto"/>
                                                  </w:divBdr>
                                                  <w:divsChild>
                                                    <w:div w:id="77993065">
                                                      <w:marLeft w:val="0"/>
                                                      <w:marRight w:val="0"/>
                                                      <w:marTop w:val="0"/>
                                                      <w:marBottom w:val="0"/>
                                                      <w:divBdr>
                                                        <w:top w:val="none" w:sz="0" w:space="0" w:color="auto"/>
                                                        <w:left w:val="none" w:sz="0" w:space="0" w:color="auto"/>
                                                        <w:bottom w:val="none" w:sz="0" w:space="0" w:color="auto"/>
                                                        <w:right w:val="none" w:sz="0" w:space="0" w:color="auto"/>
                                                      </w:divBdr>
                                                    </w:div>
                                                    <w:div w:id="1638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8428231">
      <w:bodyDiv w:val="1"/>
      <w:marLeft w:val="0"/>
      <w:marRight w:val="0"/>
      <w:marTop w:val="0"/>
      <w:marBottom w:val="0"/>
      <w:divBdr>
        <w:top w:val="none" w:sz="0" w:space="0" w:color="auto"/>
        <w:left w:val="none" w:sz="0" w:space="0" w:color="auto"/>
        <w:bottom w:val="none" w:sz="0" w:space="0" w:color="auto"/>
        <w:right w:val="none" w:sz="0" w:space="0" w:color="auto"/>
      </w:divBdr>
    </w:div>
    <w:div w:id="1862933396">
      <w:bodyDiv w:val="1"/>
      <w:marLeft w:val="0"/>
      <w:marRight w:val="0"/>
      <w:marTop w:val="0"/>
      <w:marBottom w:val="0"/>
      <w:divBdr>
        <w:top w:val="none" w:sz="0" w:space="0" w:color="auto"/>
        <w:left w:val="none" w:sz="0" w:space="0" w:color="auto"/>
        <w:bottom w:val="none" w:sz="0" w:space="0" w:color="auto"/>
        <w:right w:val="none" w:sz="0" w:space="0" w:color="auto"/>
      </w:divBdr>
      <w:divsChild>
        <w:div w:id="256792645">
          <w:marLeft w:val="0"/>
          <w:marRight w:val="0"/>
          <w:marTop w:val="75"/>
          <w:marBottom w:val="0"/>
          <w:divBdr>
            <w:top w:val="none" w:sz="0" w:space="0" w:color="EEEEEE"/>
            <w:left w:val="none" w:sz="0" w:space="0" w:color="EEEEEE"/>
            <w:bottom w:val="none" w:sz="0" w:space="0" w:color="EEEEEE"/>
            <w:right w:val="none" w:sz="0" w:space="0" w:color="EEEEEE"/>
          </w:divBdr>
          <w:divsChild>
            <w:div w:id="4689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199702">
      <w:bodyDiv w:val="1"/>
      <w:marLeft w:val="0"/>
      <w:marRight w:val="0"/>
      <w:marTop w:val="0"/>
      <w:marBottom w:val="0"/>
      <w:divBdr>
        <w:top w:val="none" w:sz="0" w:space="0" w:color="auto"/>
        <w:left w:val="none" w:sz="0" w:space="0" w:color="auto"/>
        <w:bottom w:val="none" w:sz="0" w:space="0" w:color="auto"/>
        <w:right w:val="none" w:sz="0" w:space="0" w:color="auto"/>
      </w:divBdr>
      <w:divsChild>
        <w:div w:id="787507878">
          <w:marLeft w:val="0"/>
          <w:marRight w:val="0"/>
          <w:marTop w:val="0"/>
          <w:marBottom w:val="0"/>
          <w:divBdr>
            <w:top w:val="none" w:sz="0" w:space="0" w:color="auto"/>
            <w:left w:val="none" w:sz="0" w:space="0" w:color="auto"/>
            <w:bottom w:val="none" w:sz="0" w:space="0" w:color="auto"/>
            <w:right w:val="none" w:sz="0" w:space="0" w:color="auto"/>
          </w:divBdr>
          <w:divsChild>
            <w:div w:id="911351224">
              <w:marLeft w:val="0"/>
              <w:marRight w:val="0"/>
              <w:marTop w:val="0"/>
              <w:marBottom w:val="0"/>
              <w:divBdr>
                <w:top w:val="none" w:sz="0" w:space="0" w:color="auto"/>
                <w:left w:val="none" w:sz="0" w:space="0" w:color="auto"/>
                <w:bottom w:val="none" w:sz="0" w:space="0" w:color="auto"/>
                <w:right w:val="none" w:sz="0" w:space="0" w:color="auto"/>
              </w:divBdr>
              <w:divsChild>
                <w:div w:id="1763798182">
                  <w:marLeft w:val="-225"/>
                  <w:marRight w:val="-225"/>
                  <w:marTop w:val="0"/>
                  <w:marBottom w:val="0"/>
                  <w:divBdr>
                    <w:top w:val="none" w:sz="0" w:space="0" w:color="auto"/>
                    <w:left w:val="none" w:sz="0" w:space="0" w:color="auto"/>
                    <w:bottom w:val="none" w:sz="0" w:space="0" w:color="auto"/>
                    <w:right w:val="none" w:sz="0" w:space="0" w:color="auto"/>
                  </w:divBdr>
                  <w:divsChild>
                    <w:div w:id="1303266421">
                      <w:marLeft w:val="0"/>
                      <w:marRight w:val="0"/>
                      <w:marTop w:val="0"/>
                      <w:marBottom w:val="0"/>
                      <w:divBdr>
                        <w:top w:val="none" w:sz="0" w:space="0" w:color="auto"/>
                        <w:left w:val="none" w:sz="0" w:space="0" w:color="auto"/>
                        <w:bottom w:val="none" w:sz="0" w:space="0" w:color="auto"/>
                        <w:right w:val="none" w:sz="0" w:space="0" w:color="auto"/>
                      </w:divBdr>
                      <w:divsChild>
                        <w:div w:id="1255014779">
                          <w:marLeft w:val="0"/>
                          <w:marRight w:val="0"/>
                          <w:marTop w:val="0"/>
                          <w:marBottom w:val="0"/>
                          <w:divBdr>
                            <w:top w:val="none" w:sz="0" w:space="0" w:color="auto"/>
                            <w:left w:val="none" w:sz="0" w:space="0" w:color="auto"/>
                            <w:bottom w:val="none" w:sz="0" w:space="0" w:color="auto"/>
                            <w:right w:val="none" w:sz="0" w:space="0" w:color="auto"/>
                          </w:divBdr>
                          <w:divsChild>
                            <w:div w:id="918490295">
                              <w:marLeft w:val="0"/>
                              <w:marRight w:val="0"/>
                              <w:marTop w:val="0"/>
                              <w:marBottom w:val="0"/>
                              <w:divBdr>
                                <w:top w:val="none" w:sz="0" w:space="0" w:color="auto"/>
                                <w:left w:val="none" w:sz="0" w:space="0" w:color="auto"/>
                                <w:bottom w:val="none" w:sz="0" w:space="0" w:color="auto"/>
                                <w:right w:val="none" w:sz="0" w:space="0" w:color="auto"/>
                              </w:divBdr>
                              <w:divsChild>
                                <w:div w:id="435056956">
                                  <w:marLeft w:val="0"/>
                                  <w:marRight w:val="0"/>
                                  <w:marTop w:val="0"/>
                                  <w:marBottom w:val="0"/>
                                  <w:divBdr>
                                    <w:top w:val="none" w:sz="0" w:space="0" w:color="auto"/>
                                    <w:left w:val="none" w:sz="0" w:space="0" w:color="auto"/>
                                    <w:bottom w:val="none" w:sz="0" w:space="0" w:color="auto"/>
                                    <w:right w:val="none" w:sz="0" w:space="0" w:color="auto"/>
                                  </w:divBdr>
                                  <w:divsChild>
                                    <w:div w:id="2108692796">
                                      <w:marLeft w:val="0"/>
                                      <w:marRight w:val="0"/>
                                      <w:marTop w:val="0"/>
                                      <w:marBottom w:val="0"/>
                                      <w:divBdr>
                                        <w:top w:val="none" w:sz="0" w:space="0" w:color="auto"/>
                                        <w:left w:val="none" w:sz="0" w:space="0" w:color="auto"/>
                                        <w:bottom w:val="none" w:sz="0" w:space="0" w:color="auto"/>
                                        <w:right w:val="none" w:sz="0" w:space="0" w:color="auto"/>
                                      </w:divBdr>
                                      <w:divsChild>
                                        <w:div w:id="1124151633">
                                          <w:marLeft w:val="0"/>
                                          <w:marRight w:val="0"/>
                                          <w:marTop w:val="0"/>
                                          <w:marBottom w:val="0"/>
                                          <w:divBdr>
                                            <w:top w:val="none" w:sz="0" w:space="0" w:color="auto"/>
                                            <w:left w:val="none" w:sz="0" w:space="0" w:color="auto"/>
                                            <w:bottom w:val="none" w:sz="0" w:space="0" w:color="auto"/>
                                            <w:right w:val="none" w:sz="0" w:space="0" w:color="auto"/>
                                          </w:divBdr>
                                          <w:divsChild>
                                            <w:div w:id="1062943349">
                                              <w:marLeft w:val="0"/>
                                              <w:marRight w:val="0"/>
                                              <w:marTop w:val="0"/>
                                              <w:marBottom w:val="0"/>
                                              <w:divBdr>
                                                <w:top w:val="none" w:sz="0" w:space="0" w:color="auto"/>
                                                <w:left w:val="none" w:sz="0" w:space="0" w:color="auto"/>
                                                <w:bottom w:val="none" w:sz="0" w:space="0" w:color="auto"/>
                                                <w:right w:val="none" w:sz="0" w:space="0" w:color="auto"/>
                                              </w:divBdr>
                                              <w:divsChild>
                                                <w:div w:id="635914634">
                                                  <w:marLeft w:val="0"/>
                                                  <w:marRight w:val="0"/>
                                                  <w:marTop w:val="0"/>
                                                  <w:marBottom w:val="0"/>
                                                  <w:divBdr>
                                                    <w:top w:val="single" w:sz="6" w:space="15" w:color="E6E8EE"/>
                                                    <w:left w:val="single" w:sz="6" w:space="15" w:color="E6E8EE"/>
                                                    <w:bottom w:val="single" w:sz="6" w:space="15" w:color="E6E8EE"/>
                                                    <w:right w:val="single" w:sz="6" w:space="15" w:color="E6E8EE"/>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3394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ita.Cehanovica@t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D1544-6488-403C-83A0-F43D3A650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19</Pages>
  <Words>34796</Words>
  <Characters>19835</Characters>
  <Application>Microsoft Office Word</Application>
  <DocSecurity>0</DocSecurity>
  <Lines>165</Lines>
  <Paragraphs>109</Paragraphs>
  <ScaleCrop>false</ScaleCrop>
  <HeadingPairs>
    <vt:vector size="2" baseType="variant">
      <vt:variant>
        <vt:lpstr>Title</vt:lpstr>
      </vt:variant>
      <vt:variant>
        <vt:i4>1</vt:i4>
      </vt:variant>
    </vt:vector>
  </HeadingPairs>
  <TitlesOfParts>
    <vt:vector size="1" baseType="lpstr">
      <vt:lpstr>informatīvais ziņojums-projekts</vt:lpstr>
    </vt:vector>
  </TitlesOfParts>
  <Company>Finanšu ministrija</Company>
  <LinksUpToDate>false</LinksUpToDate>
  <CharactersWithSpaces>54522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nokavējuma naudas regulējuma efektivitāti praksē"</dc:title>
  <dc:subject>informatīvais ziņojums</dc:subject>
  <dc:creator>Evita Šēfere</dc:creator>
  <cp:keywords/>
  <dc:description>67083942, evita.sefere@fm.gov.lv</dc:description>
  <cp:lastModifiedBy>Evita Šēfere</cp:lastModifiedBy>
  <cp:revision>30</cp:revision>
  <cp:lastPrinted>2018-04-04T08:33:00Z</cp:lastPrinted>
  <dcterms:created xsi:type="dcterms:W3CDTF">2018-03-08T08:56:00Z</dcterms:created>
  <dcterms:modified xsi:type="dcterms:W3CDTF">2018-04-11T10:49:00Z</dcterms:modified>
</cp:coreProperties>
</file>