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B26E9" w14:textId="26B0A56D" w:rsidR="00440741" w:rsidRPr="00C21CD0" w:rsidRDefault="00440741" w:rsidP="00134694">
      <w:pPr>
        <w:tabs>
          <w:tab w:val="left" w:pos="7371"/>
        </w:tabs>
        <w:jc w:val="center"/>
        <w:rPr>
          <w:rFonts w:eastAsia="Times New Roman" w:cs="Times New Roman"/>
          <w:b/>
          <w:szCs w:val="24"/>
          <w:lang w:eastAsia="lv-LV"/>
        </w:rPr>
      </w:pPr>
      <w:r w:rsidRPr="00C21CD0">
        <w:rPr>
          <w:rFonts w:eastAsia="Times New Roman" w:cs="Times New Roman"/>
          <w:b/>
          <w:sz w:val="28"/>
          <w:szCs w:val="28"/>
          <w:lang w:eastAsia="lv-LV"/>
        </w:rPr>
        <w:t xml:space="preserve">Likumprojekta </w:t>
      </w:r>
      <w:r w:rsidR="009A2EAF">
        <w:rPr>
          <w:rFonts w:eastAsia="Times New Roman" w:cs="Times New Roman"/>
          <w:b/>
          <w:sz w:val="28"/>
          <w:szCs w:val="28"/>
          <w:lang w:eastAsia="lv-LV"/>
        </w:rPr>
        <w:t>“</w:t>
      </w:r>
      <w:r w:rsidR="00DA4FC4" w:rsidRPr="00C21CD0">
        <w:rPr>
          <w:rFonts w:eastAsia="Times New Roman" w:cs="Times New Roman"/>
          <w:b/>
          <w:sz w:val="28"/>
          <w:szCs w:val="28"/>
          <w:lang w:eastAsia="lv-LV"/>
        </w:rPr>
        <w:t>Čeku spēles likums</w:t>
      </w:r>
      <w:r w:rsidRPr="00C21CD0">
        <w:rPr>
          <w:rFonts w:eastAsia="Times New Roman" w:cs="Times New Roman"/>
          <w:b/>
          <w:sz w:val="28"/>
          <w:szCs w:val="28"/>
          <w:lang w:eastAsia="lv-LV"/>
        </w:rPr>
        <w:t>” sākotnējās ietekmes novērtējuma ziņojums (anotācija)</w:t>
      </w:r>
    </w:p>
    <w:p w14:paraId="2A80A392" w14:textId="77777777" w:rsidR="00440741" w:rsidRDefault="00440741" w:rsidP="00440741">
      <w:pPr>
        <w:jc w:val="center"/>
        <w:rPr>
          <w:rFonts w:eastAsia="Times New Roman" w:cs="Times New Roman"/>
          <w:b/>
          <w:szCs w:val="24"/>
          <w:lang w:eastAsia="lv-LV"/>
        </w:rPr>
      </w:pPr>
    </w:p>
    <w:tbl>
      <w:tblPr>
        <w:tblStyle w:val="TableGrid"/>
        <w:tblW w:w="5006" w:type="pct"/>
        <w:tblLook w:val="04A0" w:firstRow="1" w:lastRow="0" w:firstColumn="1" w:lastColumn="0" w:noHBand="0" w:noVBand="1"/>
      </w:tblPr>
      <w:tblGrid>
        <w:gridCol w:w="2408"/>
        <w:gridCol w:w="6664"/>
      </w:tblGrid>
      <w:tr w:rsidR="0037624C" w:rsidRPr="0037624C" w14:paraId="0E2A4B2E" w14:textId="77777777" w:rsidTr="0036242B">
        <w:trPr>
          <w:trHeight w:val="244"/>
        </w:trPr>
        <w:tc>
          <w:tcPr>
            <w:tcW w:w="5000" w:type="pct"/>
            <w:gridSpan w:val="2"/>
            <w:hideMark/>
          </w:tcPr>
          <w:p w14:paraId="240FD34F" w14:textId="77777777" w:rsidR="0037624C" w:rsidRPr="0037624C" w:rsidRDefault="0037624C" w:rsidP="0037624C">
            <w:pPr>
              <w:rPr>
                <w:rFonts w:eastAsia="Times New Roman" w:cs="Times New Roman"/>
                <w:b/>
                <w:bCs/>
                <w:iCs/>
                <w:color w:val="000000" w:themeColor="text1"/>
                <w:szCs w:val="24"/>
                <w:lang w:eastAsia="lv-LV"/>
              </w:rPr>
            </w:pPr>
            <w:r w:rsidRPr="0037624C">
              <w:rPr>
                <w:rFonts w:eastAsia="Times New Roman" w:cs="Times New Roman"/>
                <w:b/>
                <w:bCs/>
                <w:iCs/>
                <w:color w:val="000000" w:themeColor="text1"/>
                <w:szCs w:val="24"/>
                <w:lang w:eastAsia="lv-LV"/>
              </w:rPr>
              <w:t>Tiesību akta projekta anotācijas kopsavilkums</w:t>
            </w:r>
          </w:p>
        </w:tc>
      </w:tr>
      <w:tr w:rsidR="0037624C" w:rsidRPr="0037624C" w14:paraId="1AB37C7B" w14:textId="77777777" w:rsidTr="0036242B">
        <w:trPr>
          <w:trHeight w:val="1924"/>
        </w:trPr>
        <w:tc>
          <w:tcPr>
            <w:tcW w:w="1327" w:type="pct"/>
            <w:hideMark/>
          </w:tcPr>
          <w:p w14:paraId="0792D026" w14:textId="77777777" w:rsidR="0037624C" w:rsidRPr="0037624C" w:rsidRDefault="0037624C" w:rsidP="0037624C">
            <w:pPr>
              <w:rPr>
                <w:rFonts w:eastAsia="Times New Roman" w:cs="Times New Roman"/>
                <w:iCs/>
                <w:color w:val="000000" w:themeColor="text1"/>
                <w:szCs w:val="24"/>
                <w:lang w:eastAsia="lv-LV"/>
              </w:rPr>
            </w:pPr>
            <w:r w:rsidRPr="0037624C">
              <w:rPr>
                <w:rFonts w:eastAsia="Times New Roman" w:cs="Times New Roman"/>
                <w:iCs/>
                <w:color w:val="000000" w:themeColor="text1"/>
                <w:szCs w:val="24"/>
                <w:lang w:eastAsia="lv-LV"/>
              </w:rPr>
              <w:t>Mērķis, risinājums un projekta spēkā stāšanās laiks (500 zīmes bez atstarpēm)</w:t>
            </w:r>
          </w:p>
        </w:tc>
        <w:tc>
          <w:tcPr>
            <w:tcW w:w="3673" w:type="pct"/>
            <w:hideMark/>
          </w:tcPr>
          <w:p w14:paraId="2FF30FD7" w14:textId="6C50CE73" w:rsidR="0032785A" w:rsidRPr="001E0BF2" w:rsidRDefault="002E6632" w:rsidP="00236084">
            <w:pPr>
              <w:jc w:val="both"/>
              <w:rPr>
                <w:rFonts w:eastAsia="Times New Roman" w:cs="Times New Roman"/>
                <w:iCs/>
                <w:color w:val="000000" w:themeColor="text1"/>
                <w:szCs w:val="24"/>
                <w:lang w:eastAsia="lv-LV"/>
              </w:rPr>
            </w:pPr>
            <w:r w:rsidRPr="00236084">
              <w:rPr>
                <w:rFonts w:eastAsia="Times New Roman" w:cs="Times New Roman"/>
                <w:iCs/>
                <w:color w:val="000000" w:themeColor="text1"/>
                <w:szCs w:val="24"/>
                <w:lang w:eastAsia="lv-LV"/>
              </w:rPr>
              <w:t>Likumprojekta mērķis ir</w:t>
            </w:r>
            <w:r w:rsidR="003752BF" w:rsidRPr="00236084">
              <w:rPr>
                <w:rFonts w:eastAsia="Times New Roman" w:cs="Times New Roman"/>
                <w:iCs/>
                <w:color w:val="000000" w:themeColor="text1"/>
                <w:szCs w:val="24"/>
                <w:lang w:eastAsia="lv-LV"/>
              </w:rPr>
              <w:t xml:space="preserve"> ieviest </w:t>
            </w:r>
            <w:r w:rsidR="00C77365" w:rsidRPr="00236084">
              <w:rPr>
                <w:rFonts w:eastAsia="Times New Roman" w:cs="Times New Roman"/>
                <w:iCs/>
                <w:color w:val="000000" w:themeColor="text1"/>
                <w:szCs w:val="24"/>
                <w:lang w:eastAsia="lv-LV"/>
              </w:rPr>
              <w:t>čeku</w:t>
            </w:r>
            <w:r w:rsidR="003752BF" w:rsidRPr="00236084">
              <w:rPr>
                <w:rFonts w:eastAsia="Times New Roman" w:cs="Times New Roman"/>
                <w:iCs/>
                <w:color w:val="000000" w:themeColor="text1"/>
                <w:szCs w:val="24"/>
                <w:lang w:eastAsia="lv-LV"/>
              </w:rPr>
              <w:t xml:space="preserve"> spēli kā pasākumu, lai veicinātu </w:t>
            </w:r>
            <w:r w:rsidR="00236084" w:rsidRPr="00236084">
              <w:rPr>
                <w:rFonts w:eastAsia="Times New Roman" w:cs="Times New Roman"/>
                <w:iCs/>
                <w:color w:val="000000" w:themeColor="text1"/>
                <w:szCs w:val="24"/>
                <w:lang w:eastAsia="lv-LV"/>
              </w:rPr>
              <w:t xml:space="preserve">godīgu konkurenci un labprātīgu </w:t>
            </w:r>
            <w:r w:rsidR="003752BF" w:rsidRPr="00236084">
              <w:rPr>
                <w:rFonts w:eastAsia="Times New Roman" w:cs="Times New Roman"/>
                <w:iCs/>
                <w:color w:val="000000" w:themeColor="text1"/>
                <w:szCs w:val="24"/>
                <w:lang w:eastAsia="lv-LV"/>
              </w:rPr>
              <w:t xml:space="preserve">nodokļu saistību izpildi, apkarotu nodokļu </w:t>
            </w:r>
            <w:proofErr w:type="spellStart"/>
            <w:r w:rsidR="003752BF" w:rsidRPr="00236084">
              <w:rPr>
                <w:rFonts w:eastAsia="Times New Roman" w:cs="Times New Roman"/>
                <w:iCs/>
                <w:color w:val="000000" w:themeColor="text1"/>
                <w:szCs w:val="24"/>
                <w:lang w:eastAsia="lv-LV"/>
              </w:rPr>
              <w:t>krāpniecību</w:t>
            </w:r>
            <w:proofErr w:type="spellEnd"/>
            <w:r w:rsidR="003752BF" w:rsidRPr="00236084">
              <w:rPr>
                <w:rFonts w:eastAsia="Times New Roman" w:cs="Times New Roman"/>
                <w:iCs/>
                <w:color w:val="000000" w:themeColor="text1"/>
                <w:szCs w:val="24"/>
                <w:lang w:eastAsia="lv-LV"/>
              </w:rPr>
              <w:t xml:space="preserve"> un mudinātu pircējus pieprasīt čekus un kvītis par ienākumiem</w:t>
            </w:r>
            <w:r w:rsidR="00C952BA" w:rsidRPr="00236084">
              <w:rPr>
                <w:rFonts w:eastAsia="Times New Roman" w:cs="Times New Roman"/>
                <w:iCs/>
                <w:color w:val="000000" w:themeColor="text1"/>
                <w:szCs w:val="24"/>
                <w:lang w:eastAsia="lv-LV"/>
              </w:rPr>
              <w:t>.</w:t>
            </w:r>
            <w:r w:rsidR="00BE7F87" w:rsidRPr="00236084">
              <w:rPr>
                <w:rFonts w:eastAsia="Times New Roman" w:cs="Times New Roman"/>
                <w:iCs/>
                <w:color w:val="000000" w:themeColor="text1"/>
                <w:szCs w:val="24"/>
                <w:lang w:eastAsia="lv-LV"/>
              </w:rPr>
              <w:t xml:space="preserve"> </w:t>
            </w:r>
            <w:r w:rsidR="00AE3CF7" w:rsidRPr="00236084">
              <w:rPr>
                <w:rFonts w:eastAsia="Times New Roman" w:cs="Times New Roman"/>
                <w:iCs/>
                <w:color w:val="000000" w:themeColor="text1"/>
                <w:szCs w:val="24"/>
                <w:lang w:eastAsia="lv-LV"/>
              </w:rPr>
              <w:t xml:space="preserve">Likumprojekts paredz čeku spēles organizēšanu, izmantojot </w:t>
            </w:r>
            <w:r w:rsidR="00AB2D74" w:rsidRPr="00236084">
              <w:rPr>
                <w:rFonts w:eastAsia="Times New Roman" w:cs="Times New Roman"/>
                <w:iCs/>
                <w:color w:val="000000" w:themeColor="text1"/>
                <w:szCs w:val="24"/>
                <w:lang w:eastAsia="lv-LV"/>
              </w:rPr>
              <w:t>spēles organizēšanai</w:t>
            </w:r>
            <w:r w:rsidR="00AB2D74" w:rsidRPr="00AB2D74">
              <w:rPr>
                <w:rFonts w:eastAsia="Times New Roman" w:cs="Times New Roman"/>
                <w:iCs/>
                <w:color w:val="000000" w:themeColor="text1"/>
                <w:szCs w:val="24"/>
                <w:lang w:eastAsia="lv-LV"/>
              </w:rPr>
              <w:t xml:space="preserve"> un administrēšanai čeku spēles pakalpojuma sniedzēju</w:t>
            </w:r>
            <w:r w:rsidR="00AB2D74">
              <w:rPr>
                <w:rFonts w:eastAsia="Times New Roman" w:cs="Times New Roman"/>
                <w:iCs/>
                <w:color w:val="000000" w:themeColor="text1"/>
                <w:szCs w:val="24"/>
                <w:lang w:eastAsia="lv-LV"/>
              </w:rPr>
              <w:t>, kas nodrošina tehnisko risinājumu čeku apstr</w:t>
            </w:r>
            <w:r w:rsidR="001F11C9">
              <w:rPr>
                <w:rFonts w:eastAsia="Times New Roman" w:cs="Times New Roman"/>
                <w:iCs/>
                <w:color w:val="000000" w:themeColor="text1"/>
                <w:szCs w:val="24"/>
                <w:lang w:eastAsia="lv-LV"/>
              </w:rPr>
              <w:t xml:space="preserve">ādei un uzvarētāja noteikšanai. </w:t>
            </w:r>
            <w:r w:rsidR="00777675" w:rsidRPr="00777675">
              <w:rPr>
                <w:rFonts w:eastAsia="Times New Roman" w:cs="Times New Roman"/>
                <w:iCs/>
                <w:color w:val="000000" w:themeColor="text1"/>
                <w:szCs w:val="24"/>
                <w:lang w:eastAsia="lv-LV"/>
              </w:rPr>
              <w:t xml:space="preserve">Likums ir spēkā no 2019. gada 1. </w:t>
            </w:r>
            <w:r w:rsidR="00CF578E">
              <w:rPr>
                <w:rFonts w:eastAsia="Times New Roman" w:cs="Times New Roman"/>
                <w:iCs/>
                <w:color w:val="000000" w:themeColor="text1"/>
                <w:szCs w:val="24"/>
                <w:lang w:eastAsia="lv-LV"/>
              </w:rPr>
              <w:t>jūlija</w:t>
            </w:r>
            <w:r w:rsidR="00777675" w:rsidRPr="00777675">
              <w:rPr>
                <w:rFonts w:eastAsia="Times New Roman" w:cs="Times New Roman"/>
                <w:iCs/>
                <w:color w:val="000000" w:themeColor="text1"/>
                <w:szCs w:val="24"/>
                <w:lang w:eastAsia="lv-LV"/>
              </w:rPr>
              <w:t xml:space="preserve"> līdz 2021. gada 1.</w:t>
            </w:r>
            <w:r w:rsidR="00F67725">
              <w:rPr>
                <w:rFonts w:eastAsia="Times New Roman" w:cs="Times New Roman"/>
                <w:iCs/>
                <w:color w:val="000000" w:themeColor="text1"/>
                <w:szCs w:val="24"/>
                <w:lang w:eastAsia="lv-LV"/>
              </w:rPr>
              <w:t> </w:t>
            </w:r>
            <w:r w:rsidR="00777675" w:rsidRPr="00777675">
              <w:rPr>
                <w:rFonts w:eastAsia="Times New Roman" w:cs="Times New Roman"/>
                <w:iCs/>
                <w:color w:val="000000" w:themeColor="text1"/>
                <w:szCs w:val="24"/>
                <w:lang w:eastAsia="lv-LV"/>
              </w:rPr>
              <w:t>martam.</w:t>
            </w:r>
            <w:r w:rsidR="00C43042">
              <w:rPr>
                <w:rFonts w:eastAsia="Times New Roman" w:cs="Times New Roman"/>
                <w:iCs/>
                <w:color w:val="000000" w:themeColor="text1"/>
                <w:szCs w:val="24"/>
                <w:lang w:eastAsia="lv-LV"/>
              </w:rPr>
              <w:t xml:space="preserve"> </w:t>
            </w:r>
          </w:p>
        </w:tc>
      </w:tr>
    </w:tbl>
    <w:p w14:paraId="72BB3832" w14:textId="3C6685FE" w:rsidR="0037624C" w:rsidRDefault="0037624C" w:rsidP="00440741">
      <w:pPr>
        <w:jc w:val="center"/>
        <w:rPr>
          <w:rFonts w:eastAsia="Times New Roman" w:cs="Times New Roman"/>
          <w:b/>
          <w:szCs w:val="24"/>
          <w:lang w:val="sv-SE" w:eastAsia="lv-LV"/>
        </w:rPr>
      </w:pPr>
    </w:p>
    <w:p w14:paraId="442F2FF3" w14:textId="77777777" w:rsidR="00F4558F" w:rsidRPr="0037624C" w:rsidRDefault="00F4558F" w:rsidP="00440741">
      <w:pPr>
        <w:jc w:val="center"/>
        <w:rPr>
          <w:rFonts w:eastAsia="Times New Roman" w:cs="Times New Roman"/>
          <w:b/>
          <w:szCs w:val="24"/>
          <w:lang w:val="sv-SE" w:eastAsia="lv-LV"/>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8"/>
        <w:gridCol w:w="1956"/>
        <w:gridCol w:w="6657"/>
      </w:tblGrid>
      <w:tr w:rsidR="00C21CD0" w:rsidRPr="00C21CD0" w14:paraId="12527D6B" w14:textId="77777777" w:rsidTr="0036242B">
        <w:tc>
          <w:tcPr>
            <w:tcW w:w="9071" w:type="dxa"/>
            <w:gridSpan w:val="3"/>
            <w:vAlign w:val="center"/>
          </w:tcPr>
          <w:p w14:paraId="1367DB3D" w14:textId="77777777" w:rsidR="00440741" w:rsidRPr="00C21CD0" w:rsidRDefault="00440741" w:rsidP="00E517FE">
            <w:pPr>
              <w:jc w:val="center"/>
              <w:rPr>
                <w:rFonts w:eastAsia="Times New Roman" w:cs="Times New Roman"/>
                <w:b/>
                <w:bCs/>
                <w:szCs w:val="24"/>
                <w:lang w:eastAsia="lv-LV"/>
              </w:rPr>
            </w:pPr>
            <w:r w:rsidRPr="00C21CD0">
              <w:rPr>
                <w:rFonts w:eastAsia="Times New Roman" w:cs="Times New Roman"/>
                <w:b/>
                <w:bCs/>
                <w:szCs w:val="24"/>
                <w:lang w:eastAsia="lv-LV"/>
              </w:rPr>
              <w:t>I. Tiesību akta projekta izstrādes nepieciešamība</w:t>
            </w:r>
          </w:p>
        </w:tc>
      </w:tr>
      <w:tr w:rsidR="00C21CD0" w:rsidRPr="00C21CD0" w14:paraId="09C57A6A" w14:textId="77777777" w:rsidTr="0036242B">
        <w:trPr>
          <w:trHeight w:val="267"/>
        </w:trPr>
        <w:tc>
          <w:tcPr>
            <w:tcW w:w="458" w:type="dxa"/>
          </w:tcPr>
          <w:p w14:paraId="01A22593" w14:textId="77777777" w:rsidR="00440741" w:rsidRPr="00C21CD0" w:rsidRDefault="00440741" w:rsidP="00E517FE">
            <w:pPr>
              <w:jc w:val="center"/>
              <w:rPr>
                <w:rFonts w:eastAsia="Times New Roman" w:cs="Times New Roman"/>
                <w:szCs w:val="24"/>
                <w:lang w:eastAsia="lv-LV"/>
              </w:rPr>
            </w:pPr>
            <w:r w:rsidRPr="00C21CD0">
              <w:rPr>
                <w:rFonts w:eastAsia="Times New Roman" w:cs="Times New Roman"/>
                <w:szCs w:val="24"/>
                <w:lang w:eastAsia="lv-LV"/>
              </w:rPr>
              <w:t>1.</w:t>
            </w:r>
          </w:p>
        </w:tc>
        <w:tc>
          <w:tcPr>
            <w:tcW w:w="1956" w:type="dxa"/>
          </w:tcPr>
          <w:p w14:paraId="4488389E" w14:textId="77777777" w:rsidR="00440741" w:rsidRPr="00C21CD0" w:rsidRDefault="00440741" w:rsidP="00E517FE">
            <w:pPr>
              <w:ind w:hanging="10"/>
              <w:rPr>
                <w:rFonts w:eastAsia="Times New Roman" w:cs="Times New Roman"/>
                <w:szCs w:val="24"/>
                <w:lang w:eastAsia="lv-LV"/>
              </w:rPr>
            </w:pPr>
            <w:r w:rsidRPr="00C21CD0">
              <w:rPr>
                <w:rFonts w:eastAsia="Times New Roman" w:cs="Times New Roman"/>
                <w:szCs w:val="24"/>
                <w:lang w:eastAsia="lv-LV"/>
              </w:rPr>
              <w:t>Pamatojums</w:t>
            </w:r>
          </w:p>
        </w:tc>
        <w:tc>
          <w:tcPr>
            <w:tcW w:w="6653" w:type="dxa"/>
          </w:tcPr>
          <w:p w14:paraId="5358C868" w14:textId="77777777" w:rsidR="00440741" w:rsidRDefault="005378F3" w:rsidP="0036242B">
            <w:pPr>
              <w:tabs>
                <w:tab w:val="left" w:pos="6485"/>
              </w:tabs>
              <w:ind w:right="142" w:firstLine="720"/>
              <w:jc w:val="both"/>
            </w:pPr>
            <w:r>
              <w:t xml:space="preserve">Likumprojekts </w:t>
            </w:r>
            <w:r w:rsidR="002F2B89">
              <w:rPr>
                <w:rFonts w:eastAsia="Times New Roman" w:cs="Times New Roman"/>
                <w:szCs w:val="24"/>
                <w:lang w:eastAsia="lv-LV"/>
              </w:rPr>
              <w:t>“</w:t>
            </w:r>
            <w:r w:rsidRPr="00C21CD0">
              <w:rPr>
                <w:rFonts w:eastAsia="Times New Roman" w:cs="Times New Roman"/>
                <w:szCs w:val="24"/>
                <w:lang w:eastAsia="lv-LV"/>
              </w:rPr>
              <w:t xml:space="preserve">Čeku spēles likums” (turpmāk – </w:t>
            </w:r>
            <w:r w:rsidR="00D05445">
              <w:rPr>
                <w:rFonts w:eastAsia="Times New Roman" w:cs="Times New Roman"/>
                <w:szCs w:val="24"/>
                <w:lang w:eastAsia="lv-LV"/>
              </w:rPr>
              <w:t>l</w:t>
            </w:r>
            <w:r w:rsidRPr="00C21CD0">
              <w:rPr>
                <w:rFonts w:eastAsia="Times New Roman" w:cs="Times New Roman"/>
                <w:szCs w:val="24"/>
                <w:lang w:eastAsia="lv-LV"/>
              </w:rPr>
              <w:t xml:space="preserve">ikumprojekts) </w:t>
            </w:r>
            <w:r>
              <w:t xml:space="preserve">izstrādāts, lai nodrošinātu kases čeku </w:t>
            </w:r>
            <w:r w:rsidR="001278F8">
              <w:t>spēles</w:t>
            </w:r>
            <w:r>
              <w:t xml:space="preserve"> ieviešanu</w:t>
            </w:r>
            <w:r w:rsidRPr="00C21CD0">
              <w:t xml:space="preserve"> nodokļu maksātāju kultūras uzlabošanai un cīņai ar ēnu ekonomiku</w:t>
            </w:r>
            <w:r w:rsidR="002F2B89">
              <w:t>,</w:t>
            </w:r>
            <w:r w:rsidRPr="00C21CD0">
              <w:t xml:space="preserve"> </w:t>
            </w:r>
            <w:r>
              <w:t xml:space="preserve">pamatojoties uz </w:t>
            </w:r>
            <w:r w:rsidR="00102E56" w:rsidRPr="00C21CD0">
              <w:t>Ministru kabineta 2017.</w:t>
            </w:r>
            <w:r w:rsidR="00764953">
              <w:t> </w:t>
            </w:r>
            <w:r w:rsidR="00102E56" w:rsidRPr="00C21CD0">
              <w:t>gada 8.</w:t>
            </w:r>
            <w:r w:rsidR="00764953">
              <w:t> </w:t>
            </w:r>
            <w:r w:rsidR="00102E56" w:rsidRPr="00C21CD0">
              <w:t>septembra sēdē</w:t>
            </w:r>
            <w:r>
              <w:t xml:space="preserve"> (prot.</w:t>
            </w:r>
            <w:r w:rsidR="002F2B89">
              <w:t> </w:t>
            </w:r>
            <w:r>
              <w:t xml:space="preserve">Nr.44 1.§ 3.p.) nolemto kā viens no </w:t>
            </w:r>
            <w:r w:rsidRPr="005378F3">
              <w:t>fiskālās telpas pasākumiem un izdevumiem prioritārajiem pasākumiem valsts budžetam 2018.</w:t>
            </w:r>
            <w:r w:rsidR="00764953">
              <w:t> </w:t>
            </w:r>
            <w:r w:rsidRPr="005378F3">
              <w:t>gadam un ietvaram 2018.–2020.gadam</w:t>
            </w:r>
            <w:r w:rsidR="00896BCD" w:rsidRPr="00C21CD0">
              <w:t>.</w:t>
            </w:r>
            <w:r w:rsidR="001278F8">
              <w:t xml:space="preserve"> </w:t>
            </w:r>
            <w:r w:rsidR="0024079E">
              <w:t>Č</w:t>
            </w:r>
            <w:r w:rsidR="001278F8">
              <w:t>eku spēles</w:t>
            </w:r>
            <w:r>
              <w:t xml:space="preserve"> </w:t>
            </w:r>
            <w:r w:rsidR="00942ECE">
              <w:t xml:space="preserve">organizēšana </w:t>
            </w:r>
            <w:r>
              <w:t>ir plānota saskaņā ar likumu</w:t>
            </w:r>
            <w:r w:rsidRPr="005378F3">
              <w:t xml:space="preserve"> </w:t>
            </w:r>
            <w:r w:rsidR="002F2B89">
              <w:t>“</w:t>
            </w:r>
            <w:r w:rsidRPr="005378F3">
              <w:t>Par vidēja termiņa budžeta ietvaru 2018., 2019. un 2020.gadam”</w:t>
            </w:r>
            <w:r>
              <w:t xml:space="preserve"> un tā paskaidrojumiem</w:t>
            </w:r>
            <w:r w:rsidR="0024079E">
              <w:t>, ka arī saskaņā ar</w:t>
            </w:r>
            <w:r w:rsidR="00A23AB0">
              <w:t xml:space="preserve"> </w:t>
            </w:r>
            <w:r w:rsidR="0024079E">
              <w:t>Valsts iestāžu darba plānu</w:t>
            </w:r>
            <w:r w:rsidR="0024079E" w:rsidRPr="0024079E">
              <w:t xml:space="preserve"> ēnu ekonomikas ierobežošanai 2016. – 2020.gadam</w:t>
            </w:r>
            <w:r>
              <w:t>.</w:t>
            </w:r>
          </w:p>
          <w:p w14:paraId="38F0D26D" w14:textId="01AC8AE3" w:rsidR="0032785A" w:rsidRPr="00C21CD0" w:rsidRDefault="0032785A" w:rsidP="00DA604A">
            <w:pPr>
              <w:ind w:right="144" w:firstLine="720"/>
              <w:jc w:val="both"/>
              <w:rPr>
                <w:sz w:val="22"/>
              </w:rPr>
            </w:pPr>
          </w:p>
        </w:tc>
      </w:tr>
      <w:tr w:rsidR="00511FA0" w:rsidRPr="00C21CD0" w14:paraId="46740BD6" w14:textId="77777777" w:rsidTr="0036242B">
        <w:trPr>
          <w:trHeight w:val="983"/>
        </w:trPr>
        <w:tc>
          <w:tcPr>
            <w:tcW w:w="458" w:type="dxa"/>
          </w:tcPr>
          <w:p w14:paraId="77F5EDAD" w14:textId="77777777" w:rsidR="00511FA0" w:rsidRPr="00C21CD0" w:rsidRDefault="00511FA0" w:rsidP="00511FA0">
            <w:pPr>
              <w:jc w:val="center"/>
              <w:rPr>
                <w:rFonts w:eastAsia="Times New Roman" w:cs="Times New Roman"/>
                <w:szCs w:val="24"/>
                <w:lang w:eastAsia="lv-LV"/>
              </w:rPr>
            </w:pPr>
            <w:r w:rsidRPr="00C21CD0">
              <w:rPr>
                <w:rFonts w:eastAsia="Times New Roman" w:cs="Times New Roman"/>
                <w:szCs w:val="24"/>
                <w:lang w:eastAsia="lv-LV"/>
              </w:rPr>
              <w:t>2.</w:t>
            </w:r>
          </w:p>
        </w:tc>
        <w:tc>
          <w:tcPr>
            <w:tcW w:w="1956" w:type="dxa"/>
          </w:tcPr>
          <w:p w14:paraId="30ABF664" w14:textId="77777777" w:rsidR="00511FA0" w:rsidRPr="00C21CD0" w:rsidRDefault="00511FA0" w:rsidP="00511FA0">
            <w:pPr>
              <w:tabs>
                <w:tab w:val="left" w:pos="170"/>
              </w:tabs>
              <w:rPr>
                <w:rFonts w:eastAsia="Times New Roman" w:cs="Times New Roman"/>
                <w:szCs w:val="24"/>
                <w:lang w:eastAsia="lv-LV"/>
              </w:rPr>
            </w:pPr>
            <w:r w:rsidRPr="00C21CD0">
              <w:rPr>
                <w:rFonts w:eastAsia="Times New Roman" w:cs="Times New Roman"/>
                <w:szCs w:val="24"/>
                <w:lang w:eastAsia="lv-LV"/>
              </w:rPr>
              <w:t>Pašreizējā situācija un problēmas, kuru risināšanai tiesību akta projekts izstrādāts, tiesiskā regulējuma mērķis un būtība</w:t>
            </w:r>
          </w:p>
        </w:tc>
        <w:tc>
          <w:tcPr>
            <w:tcW w:w="6653" w:type="dxa"/>
          </w:tcPr>
          <w:p w14:paraId="50182D93" w14:textId="77777777" w:rsidR="00511FA0" w:rsidRPr="00C21CD0" w:rsidRDefault="00511FA0" w:rsidP="0036242B">
            <w:pPr>
              <w:ind w:right="142" w:firstLine="570"/>
              <w:jc w:val="both"/>
              <w:rPr>
                <w:rFonts w:eastAsia="Times New Roman" w:cs="Times New Roman"/>
                <w:szCs w:val="24"/>
                <w:lang w:eastAsia="lv-LV"/>
              </w:rPr>
            </w:pPr>
            <w:r w:rsidRPr="005D2698">
              <w:rPr>
                <w:rFonts w:eastAsia="Times New Roman" w:cs="Times New Roman"/>
                <w:szCs w:val="24"/>
                <w:lang w:eastAsia="lv-LV"/>
              </w:rPr>
              <w:t>Īstenojot valsts politiku ēnu ekonomikas ierobežošanā, tai skaitā veicinot iestāžu sadarbību un nostiprinot to Ēnu ekonomikas apkarošanas padomes apstiprinātā Valsts iestāžu darba plānā ēnu ekonomikas ierobežošanai, ēnu ekonomikas īpatsvars Latvijā pakāp</w:t>
            </w:r>
            <w:r>
              <w:rPr>
                <w:rFonts w:eastAsia="Times New Roman" w:cs="Times New Roman"/>
                <w:szCs w:val="24"/>
                <w:lang w:eastAsia="lv-LV"/>
              </w:rPr>
              <w:t>eniski, bet konsekventi mazinās,</w:t>
            </w:r>
            <w:r w:rsidRPr="005D2698">
              <w:rPr>
                <w:rFonts w:eastAsia="Times New Roman" w:cs="Times New Roman"/>
                <w:szCs w:val="24"/>
                <w:lang w:eastAsia="lv-LV"/>
              </w:rPr>
              <w:t xml:space="preserve"> un </w:t>
            </w:r>
            <w:r>
              <w:rPr>
                <w:rFonts w:eastAsia="Times New Roman" w:cs="Times New Roman"/>
                <w:szCs w:val="24"/>
                <w:lang w:eastAsia="lv-LV"/>
              </w:rPr>
              <w:t xml:space="preserve">atbilstoši </w:t>
            </w:r>
            <w:r w:rsidRPr="005D2698">
              <w:rPr>
                <w:rFonts w:eastAsia="Times New Roman" w:cs="Times New Roman"/>
                <w:szCs w:val="24"/>
                <w:lang w:eastAsia="lv-LV"/>
              </w:rPr>
              <w:t>au</w:t>
            </w:r>
            <w:r>
              <w:rPr>
                <w:rFonts w:eastAsia="Times New Roman" w:cs="Times New Roman"/>
                <w:szCs w:val="24"/>
                <w:lang w:eastAsia="lv-LV"/>
              </w:rPr>
              <w:t xml:space="preserve">striešu ekonomikas profesora </w:t>
            </w:r>
            <w:proofErr w:type="spellStart"/>
            <w:r>
              <w:rPr>
                <w:rFonts w:eastAsia="Times New Roman" w:cs="Times New Roman"/>
                <w:szCs w:val="24"/>
                <w:lang w:eastAsia="lv-LV"/>
              </w:rPr>
              <w:t>F.</w:t>
            </w:r>
            <w:r w:rsidRPr="005D2698">
              <w:rPr>
                <w:rFonts w:eastAsia="Times New Roman" w:cs="Times New Roman"/>
                <w:szCs w:val="24"/>
                <w:lang w:eastAsia="lv-LV"/>
              </w:rPr>
              <w:t>Šneidera</w:t>
            </w:r>
            <w:proofErr w:type="spellEnd"/>
            <w:r w:rsidRPr="005D2698">
              <w:rPr>
                <w:rFonts w:eastAsia="Times New Roman" w:cs="Times New Roman"/>
                <w:szCs w:val="24"/>
                <w:lang w:eastAsia="lv-LV"/>
              </w:rPr>
              <w:t xml:space="preserve"> (</w:t>
            </w:r>
            <w:r w:rsidRPr="00FB4294">
              <w:rPr>
                <w:rFonts w:eastAsia="Times New Roman" w:cs="Times New Roman"/>
                <w:i/>
                <w:szCs w:val="24"/>
                <w:lang w:eastAsia="lv-LV"/>
              </w:rPr>
              <w:t>Schneider</w:t>
            </w:r>
            <w:r w:rsidRPr="005D2698">
              <w:rPr>
                <w:rFonts w:eastAsia="Times New Roman" w:cs="Times New Roman"/>
                <w:szCs w:val="24"/>
                <w:lang w:eastAsia="lv-LV"/>
              </w:rPr>
              <w:t>) pētījuma</w:t>
            </w:r>
            <w:r>
              <w:rPr>
                <w:rFonts w:eastAsia="Times New Roman" w:cs="Times New Roman"/>
                <w:szCs w:val="24"/>
                <w:lang w:eastAsia="lv-LV"/>
              </w:rPr>
              <w:t>m</w:t>
            </w:r>
            <w:r w:rsidRPr="005D2698">
              <w:rPr>
                <w:rFonts w:eastAsia="Times New Roman" w:cs="Times New Roman"/>
                <w:szCs w:val="24"/>
                <w:lang w:eastAsia="lv-LV"/>
              </w:rPr>
              <w:t xml:space="preserve"> </w:t>
            </w:r>
            <w:r>
              <w:rPr>
                <w:rFonts w:eastAsia="Times New Roman" w:cs="Times New Roman"/>
                <w:szCs w:val="24"/>
                <w:lang w:eastAsia="lv-LV"/>
              </w:rPr>
              <w:t>par prognozēto</w:t>
            </w:r>
            <w:r w:rsidRPr="005D2698">
              <w:rPr>
                <w:rFonts w:eastAsia="Times New Roman" w:cs="Times New Roman"/>
                <w:szCs w:val="24"/>
                <w:lang w:eastAsia="lv-LV"/>
              </w:rPr>
              <w:t xml:space="preserve"> ēnu ekonomikas apmēr</w:t>
            </w:r>
            <w:r>
              <w:rPr>
                <w:rFonts w:eastAsia="Times New Roman" w:cs="Times New Roman"/>
                <w:szCs w:val="24"/>
                <w:lang w:eastAsia="lv-LV"/>
              </w:rPr>
              <w:t>u</w:t>
            </w:r>
            <w:r w:rsidRPr="005D2698">
              <w:rPr>
                <w:rFonts w:eastAsia="Times New Roman" w:cs="Times New Roman"/>
                <w:szCs w:val="24"/>
                <w:lang w:eastAsia="lv-LV"/>
              </w:rPr>
              <w:t xml:space="preserve"> Latvijā 2016.gada ēnu ekonomikas lielums ir bijis aptuveni 20</w:t>
            </w:r>
            <w:r>
              <w:rPr>
                <w:rFonts w:eastAsia="Times New Roman" w:cs="Times New Roman"/>
                <w:szCs w:val="24"/>
                <w:lang w:eastAsia="lv-LV"/>
              </w:rPr>
              <w:t>–</w:t>
            </w:r>
            <w:r w:rsidRPr="005D2698">
              <w:rPr>
                <w:rFonts w:eastAsia="Times New Roman" w:cs="Times New Roman"/>
                <w:szCs w:val="24"/>
                <w:lang w:eastAsia="lv-LV"/>
              </w:rPr>
              <w:t>23</w:t>
            </w:r>
            <w:r w:rsidR="00764953">
              <w:rPr>
                <w:rFonts w:eastAsia="Times New Roman" w:cs="Times New Roman"/>
                <w:szCs w:val="24"/>
                <w:lang w:eastAsia="lv-LV"/>
              </w:rPr>
              <w:t> </w:t>
            </w:r>
            <w:r w:rsidRPr="005D2698">
              <w:rPr>
                <w:rFonts w:eastAsia="Times New Roman" w:cs="Times New Roman"/>
                <w:szCs w:val="24"/>
                <w:lang w:eastAsia="lv-LV"/>
              </w:rPr>
              <w:t>% no IKP ar te</w:t>
            </w:r>
            <w:r w:rsidR="00764953">
              <w:rPr>
                <w:rFonts w:eastAsia="Times New Roman" w:cs="Times New Roman"/>
                <w:szCs w:val="24"/>
                <w:lang w:eastAsia="lv-LV"/>
              </w:rPr>
              <w:t>ndenci mazināties aptuveni par 1 </w:t>
            </w:r>
            <w:r w:rsidRPr="005D2698">
              <w:rPr>
                <w:rFonts w:eastAsia="Times New Roman" w:cs="Times New Roman"/>
                <w:szCs w:val="24"/>
                <w:lang w:eastAsia="lv-LV"/>
              </w:rPr>
              <w:t>% gadā</w:t>
            </w:r>
            <w:r>
              <w:rPr>
                <w:rFonts w:eastAsia="Times New Roman" w:cs="Times New Roman"/>
                <w:szCs w:val="24"/>
                <w:lang w:eastAsia="lv-LV"/>
              </w:rPr>
              <w:t xml:space="preserve">. </w:t>
            </w:r>
            <w:r w:rsidRPr="00C21CD0">
              <w:rPr>
                <w:rFonts w:eastAsia="Times New Roman" w:cs="Times New Roman"/>
                <w:szCs w:val="24"/>
                <w:lang w:eastAsia="lv-LV"/>
              </w:rPr>
              <w:t>Ēnu ekonomikas īpatsvara samazināšana ir prioritārs uzdevums, kas ir svarīgs, lai nodrošinātu sabiedrības labklājības aizsardzību un</w:t>
            </w:r>
            <w:r w:rsidR="00A23AB0">
              <w:rPr>
                <w:rFonts w:eastAsia="Times New Roman" w:cs="Times New Roman"/>
                <w:szCs w:val="24"/>
                <w:lang w:eastAsia="lv-LV"/>
              </w:rPr>
              <w:t xml:space="preserve"> </w:t>
            </w:r>
            <w:r w:rsidRPr="00C21CD0">
              <w:rPr>
                <w:rFonts w:eastAsia="Times New Roman" w:cs="Times New Roman"/>
                <w:szCs w:val="24"/>
                <w:lang w:eastAsia="lv-LV"/>
              </w:rPr>
              <w:t>tautsaimniecības dinamisku attīstību.</w:t>
            </w:r>
            <w:r w:rsidRPr="00C21CD0">
              <w:rPr>
                <w:rFonts w:eastAsia="Calibri" w:cs="Times New Roman"/>
                <w:szCs w:val="24"/>
              </w:rPr>
              <w:t xml:space="preserve"> </w:t>
            </w:r>
          </w:p>
          <w:p w14:paraId="4A9932AC" w14:textId="4EBBDFA8" w:rsidR="00511FA0" w:rsidRPr="00C21CD0" w:rsidRDefault="00511FA0" w:rsidP="0036242B">
            <w:pPr>
              <w:ind w:right="142" w:firstLine="570"/>
              <w:jc w:val="both"/>
              <w:rPr>
                <w:rFonts w:eastAsia="Calibri" w:cs="Times New Roman"/>
                <w:szCs w:val="24"/>
              </w:rPr>
            </w:pPr>
            <w:r>
              <w:rPr>
                <w:rFonts w:eastAsia="Times New Roman" w:cs="Times New Roman"/>
                <w:szCs w:val="24"/>
                <w:lang w:eastAsia="lv-LV"/>
              </w:rPr>
              <w:t xml:space="preserve">Ievērojot ārvalstu (Slovākijas, Maltas, Portugāles un Lietuvas) pieredzi </w:t>
            </w:r>
            <w:r w:rsidRPr="00C21CD0">
              <w:rPr>
                <w:rFonts w:eastAsia="Calibri" w:cs="Times New Roman"/>
                <w:szCs w:val="24"/>
              </w:rPr>
              <w:t>nodokļu maksātāju kultūras uzlabošanai un cīņai ar ēnu ekonomiku</w:t>
            </w:r>
            <w:r>
              <w:rPr>
                <w:rFonts w:eastAsia="Calibri" w:cs="Times New Roman"/>
                <w:szCs w:val="24"/>
              </w:rPr>
              <w:t>,</w:t>
            </w:r>
            <w:r w:rsidRPr="00C21CD0">
              <w:rPr>
                <w:rFonts w:eastAsia="Calibri" w:cs="Times New Roman"/>
                <w:szCs w:val="24"/>
              </w:rPr>
              <w:t xml:space="preserve"> </w:t>
            </w:r>
            <w:r>
              <w:rPr>
                <w:rFonts w:eastAsia="Calibri" w:cs="Times New Roman"/>
                <w:szCs w:val="24"/>
              </w:rPr>
              <w:t xml:space="preserve">arī Latvijā </w:t>
            </w:r>
            <w:r w:rsidRPr="00C21CD0">
              <w:rPr>
                <w:rFonts w:eastAsia="Calibri" w:cs="Times New Roman"/>
                <w:szCs w:val="24"/>
              </w:rPr>
              <w:t xml:space="preserve">tiek paredzēta čeku </w:t>
            </w:r>
            <w:r>
              <w:rPr>
                <w:rFonts w:eastAsia="Calibri" w:cs="Times New Roman"/>
                <w:szCs w:val="24"/>
              </w:rPr>
              <w:t>spēles</w:t>
            </w:r>
            <w:r w:rsidRPr="00C21CD0">
              <w:rPr>
                <w:rFonts w:eastAsia="Calibri" w:cs="Times New Roman"/>
                <w:szCs w:val="24"/>
              </w:rPr>
              <w:t xml:space="preserve"> </w:t>
            </w:r>
            <w:r w:rsidR="00D57D70">
              <w:rPr>
                <w:rFonts w:eastAsia="Calibri" w:cs="Times New Roman"/>
                <w:szCs w:val="24"/>
              </w:rPr>
              <w:t>organizēšana</w:t>
            </w:r>
            <w:r>
              <w:rPr>
                <w:rFonts w:eastAsia="Calibri" w:cs="Times New Roman"/>
                <w:szCs w:val="24"/>
              </w:rPr>
              <w:t>, kuras mērķis ir</w:t>
            </w:r>
            <w:r w:rsidRPr="00C21CD0">
              <w:rPr>
                <w:rFonts w:eastAsia="Calibri" w:cs="Times New Roman"/>
                <w:szCs w:val="24"/>
              </w:rPr>
              <w:t xml:space="preserve"> </w:t>
            </w:r>
            <w:r>
              <w:rPr>
                <w:rFonts w:eastAsia="Calibri" w:cs="Times New Roman"/>
                <w:szCs w:val="24"/>
              </w:rPr>
              <w:t>aicināt</w:t>
            </w:r>
            <w:r w:rsidRPr="00C21CD0">
              <w:rPr>
                <w:rFonts w:eastAsia="Calibri" w:cs="Times New Roman"/>
                <w:szCs w:val="24"/>
              </w:rPr>
              <w:t xml:space="preserve"> Latvijas Republikas iedzīvotājus </w:t>
            </w:r>
            <w:r>
              <w:rPr>
                <w:rFonts w:eastAsia="Calibri" w:cs="Times New Roman"/>
                <w:szCs w:val="24"/>
              </w:rPr>
              <w:t xml:space="preserve">iesaistīties </w:t>
            </w:r>
            <w:r w:rsidRPr="00C21CD0">
              <w:rPr>
                <w:rFonts w:eastAsia="Calibri" w:cs="Times New Roman"/>
                <w:szCs w:val="24"/>
              </w:rPr>
              <w:t>ēnu ekonomikas apkarošanā, panākot, lai par saņemto pakalpojumu un iegādāto preci tiktu izsniegts darījum</w:t>
            </w:r>
            <w:r>
              <w:rPr>
                <w:rFonts w:eastAsia="Calibri" w:cs="Times New Roman"/>
                <w:szCs w:val="24"/>
              </w:rPr>
              <w:t>u</w:t>
            </w:r>
            <w:r w:rsidRPr="00C21CD0">
              <w:rPr>
                <w:rFonts w:eastAsia="Calibri" w:cs="Times New Roman"/>
                <w:szCs w:val="24"/>
              </w:rPr>
              <w:t xml:space="preserve"> apliecinošs dokuments (</w:t>
            </w:r>
            <w:r>
              <w:rPr>
                <w:rFonts w:eastAsia="Calibri" w:cs="Times New Roman"/>
                <w:szCs w:val="24"/>
              </w:rPr>
              <w:t>kases</w:t>
            </w:r>
            <w:r w:rsidRPr="00C21CD0">
              <w:rPr>
                <w:rFonts w:eastAsia="Calibri" w:cs="Times New Roman"/>
                <w:szCs w:val="24"/>
              </w:rPr>
              <w:t xml:space="preserve"> čeks</w:t>
            </w:r>
            <w:r w:rsidR="00734F92">
              <w:rPr>
                <w:rFonts w:eastAsia="Calibri" w:cs="Times New Roman"/>
                <w:szCs w:val="24"/>
              </w:rPr>
              <w:t>, kvīts vai biļete</w:t>
            </w:r>
            <w:r w:rsidRPr="00C21CD0">
              <w:rPr>
                <w:rFonts w:eastAsia="Calibri" w:cs="Times New Roman"/>
                <w:szCs w:val="24"/>
              </w:rPr>
              <w:t>).</w:t>
            </w:r>
            <w:r>
              <w:rPr>
                <w:rFonts w:eastAsia="Calibri" w:cs="Times New Roman"/>
                <w:szCs w:val="24"/>
              </w:rPr>
              <w:t xml:space="preserve"> Līdz šim Latvijā nav normatīvajos aktos paredzēts regulējums čeku izložu organizēšanai, līdz ar to ir izstrādāts likumprojekts čeku</w:t>
            </w:r>
            <w:r w:rsidRPr="000E7B3F">
              <w:rPr>
                <w:rFonts w:eastAsia="Calibri" w:cs="Times New Roman"/>
                <w:szCs w:val="24"/>
              </w:rPr>
              <w:t xml:space="preserve"> vai cit</w:t>
            </w:r>
            <w:r>
              <w:rPr>
                <w:rFonts w:eastAsia="Calibri" w:cs="Times New Roman"/>
                <w:szCs w:val="24"/>
              </w:rPr>
              <w:t>u dokumentu</w:t>
            </w:r>
            <w:r w:rsidRPr="000E7B3F">
              <w:rPr>
                <w:rFonts w:eastAsia="Calibri" w:cs="Times New Roman"/>
                <w:szCs w:val="24"/>
              </w:rPr>
              <w:t>, kas sagatavots atbilstoši normatīvajiem aktiem par nodokļu un citu maksājumu reģistrēšanas elektroniskajām ierīcēm un i</w:t>
            </w:r>
            <w:r>
              <w:rPr>
                <w:rFonts w:eastAsia="Calibri" w:cs="Times New Roman"/>
                <w:szCs w:val="24"/>
              </w:rPr>
              <w:t>ekārtām (t.i., naudas izdevumu apliecinošu dokumentu) spēles organizēšanai.</w:t>
            </w:r>
          </w:p>
          <w:p w14:paraId="15213D8E" w14:textId="1C9E6625" w:rsidR="00DD56B1" w:rsidRDefault="00511FA0" w:rsidP="0036242B">
            <w:pPr>
              <w:tabs>
                <w:tab w:val="left" w:pos="851"/>
              </w:tabs>
              <w:ind w:right="142" w:firstLine="562"/>
              <w:jc w:val="both"/>
              <w:rPr>
                <w:rFonts w:eastAsia="Times New Roman" w:cs="Times New Roman"/>
                <w:szCs w:val="24"/>
                <w:lang w:eastAsia="lv-LV"/>
              </w:rPr>
            </w:pPr>
            <w:r w:rsidRPr="00541A0F">
              <w:rPr>
                <w:rFonts w:eastAsia="Times New Roman" w:cs="Times New Roman"/>
                <w:szCs w:val="24"/>
                <w:lang w:eastAsia="lv-LV"/>
              </w:rPr>
              <w:lastRenderedPageBreak/>
              <w:t xml:space="preserve">Likumprojekta mērķis </w:t>
            </w:r>
            <w:r w:rsidR="00805E94" w:rsidRPr="00236084">
              <w:rPr>
                <w:rFonts w:eastAsia="Times New Roman" w:cs="Times New Roman"/>
                <w:iCs/>
                <w:color w:val="000000" w:themeColor="text1"/>
                <w:szCs w:val="24"/>
                <w:lang w:eastAsia="lv-LV"/>
              </w:rPr>
              <w:t xml:space="preserve">ir ieviest </w:t>
            </w:r>
            <w:r w:rsidR="005D2C28" w:rsidRPr="00D82E89">
              <w:rPr>
                <w:rFonts w:eastAsia="Times New Roman" w:cs="Times New Roman"/>
                <w:szCs w:val="24"/>
                <w:lang w:eastAsia="lv-LV"/>
              </w:rPr>
              <w:t>čeku</w:t>
            </w:r>
            <w:r w:rsidR="003752BF" w:rsidRPr="00D82E89">
              <w:rPr>
                <w:rFonts w:eastAsia="Times New Roman" w:cs="Times New Roman"/>
                <w:szCs w:val="24"/>
                <w:lang w:eastAsia="lv-LV"/>
              </w:rPr>
              <w:t xml:space="preserve"> spēli kā pasākumu, lai veicinātu </w:t>
            </w:r>
            <w:r w:rsidR="00541A0F" w:rsidRPr="00D82E89">
              <w:rPr>
                <w:rFonts w:eastAsia="Times New Roman" w:cs="Times New Roman"/>
                <w:szCs w:val="24"/>
                <w:lang w:eastAsia="lv-LV"/>
              </w:rPr>
              <w:t xml:space="preserve">godīgu konkurenci un labprātīgu </w:t>
            </w:r>
            <w:r w:rsidR="003752BF" w:rsidRPr="00D82E89">
              <w:rPr>
                <w:rFonts w:eastAsia="Times New Roman" w:cs="Times New Roman"/>
                <w:szCs w:val="24"/>
                <w:lang w:eastAsia="lv-LV"/>
              </w:rPr>
              <w:t xml:space="preserve">nodokļu saistību izpildi, apkarotu nodokļu </w:t>
            </w:r>
            <w:proofErr w:type="spellStart"/>
            <w:r w:rsidR="003752BF" w:rsidRPr="00D82E89">
              <w:rPr>
                <w:rFonts w:eastAsia="Times New Roman" w:cs="Times New Roman"/>
                <w:szCs w:val="24"/>
                <w:lang w:eastAsia="lv-LV"/>
              </w:rPr>
              <w:t>krāpniecību</w:t>
            </w:r>
            <w:proofErr w:type="spellEnd"/>
            <w:r w:rsidR="003752BF" w:rsidRPr="00D82E89">
              <w:rPr>
                <w:rFonts w:eastAsia="Times New Roman" w:cs="Times New Roman"/>
                <w:szCs w:val="24"/>
                <w:lang w:eastAsia="lv-LV"/>
              </w:rPr>
              <w:t xml:space="preserve"> un mudinātu</w:t>
            </w:r>
            <w:r w:rsidR="003752BF" w:rsidRPr="00541A0F">
              <w:rPr>
                <w:rFonts w:eastAsia="Times New Roman" w:cs="Times New Roman"/>
                <w:szCs w:val="24"/>
                <w:lang w:eastAsia="lv-LV"/>
              </w:rPr>
              <w:t xml:space="preserve"> pircējus pieprasīt čekus un kvītis par ienākumiem</w:t>
            </w:r>
            <w:r w:rsidRPr="00541A0F">
              <w:rPr>
                <w:rFonts w:eastAsia="Times New Roman" w:cs="Times New Roman"/>
                <w:szCs w:val="24"/>
                <w:lang w:eastAsia="lv-LV"/>
              </w:rPr>
              <w:t>.</w:t>
            </w:r>
          </w:p>
          <w:p w14:paraId="7A01CBFE" w14:textId="24DA2ADF" w:rsidR="004F342D" w:rsidRPr="00B77F11" w:rsidRDefault="004F342D" w:rsidP="0036242B">
            <w:pPr>
              <w:tabs>
                <w:tab w:val="left" w:pos="851"/>
              </w:tabs>
              <w:ind w:right="142" w:firstLine="562"/>
              <w:jc w:val="both"/>
              <w:rPr>
                <w:rFonts w:eastAsia="Times New Roman" w:cs="Times New Roman"/>
                <w:color w:val="000000" w:themeColor="text1"/>
                <w:szCs w:val="24"/>
                <w:lang w:eastAsia="lv-LV"/>
              </w:rPr>
            </w:pPr>
            <w:r w:rsidRPr="00B77F11">
              <w:rPr>
                <w:rFonts w:eastAsia="Times New Roman" w:cs="Times New Roman"/>
                <w:color w:val="000000" w:themeColor="text1"/>
                <w:szCs w:val="24"/>
                <w:lang w:eastAsia="lv-LV"/>
              </w:rPr>
              <w:t xml:space="preserve">Čeku spēle nav uzskatāma par azartspēli vai izlozi Azartspēļu un izložu likuma izpratnē, kā arī par preču un pakalpojumu loteriju Preču un pakalpojumu loteriju likuma izpratnē, jo, kā izriet no Azartspēļu un izložu likuma 1.panta 1.punktā noteiktā, azartspēle </w:t>
            </w:r>
            <w:r w:rsidR="00B77F11" w:rsidRPr="00B77F11">
              <w:rPr>
                <w:rFonts w:eastAsia="Times New Roman" w:cs="Times New Roman"/>
                <w:color w:val="000000" w:themeColor="text1"/>
                <w:szCs w:val="24"/>
                <w:lang w:eastAsia="lv-LV"/>
              </w:rPr>
              <w:t xml:space="preserve">– </w:t>
            </w:r>
            <w:r w:rsidRPr="00B77F11">
              <w:rPr>
                <w:rFonts w:eastAsia="Times New Roman" w:cs="Times New Roman"/>
                <w:color w:val="000000" w:themeColor="text1"/>
                <w:szCs w:val="24"/>
                <w:lang w:eastAsia="lv-LV"/>
              </w:rPr>
              <w:t xml:space="preserve">spēle, kurā fiziskā persona, iemaksājot dalības likmi, var iegūt laimestu, kas pilnīgi vai daļēji ir atkarīgs no veiksmes gadījuma vai apstākļiem, kuri iepriekš nav zināmi. Par azartspēli nav uzskatāma tāda spēle spēļu automātā, kurā vienīgais laimests ir bezmaksas spēle šajā spēļu automātā, kā arī spēle spēļu automātā ar mantiska rakstura laimestu (izņemot laimestu naudā), kura vērtība nav lielāka par 15 </w:t>
            </w:r>
            <w:proofErr w:type="spellStart"/>
            <w:r w:rsidRPr="00B77F11">
              <w:rPr>
                <w:rFonts w:eastAsia="Times New Roman" w:cs="Times New Roman"/>
                <w:i/>
                <w:color w:val="000000" w:themeColor="text1"/>
                <w:szCs w:val="24"/>
                <w:lang w:eastAsia="lv-LV"/>
              </w:rPr>
              <w:t>euro</w:t>
            </w:r>
            <w:proofErr w:type="spellEnd"/>
            <w:r w:rsidRPr="00B77F11">
              <w:rPr>
                <w:rFonts w:eastAsia="Times New Roman" w:cs="Times New Roman"/>
                <w:color w:val="000000" w:themeColor="text1"/>
                <w:szCs w:val="24"/>
                <w:lang w:eastAsia="lv-LV"/>
              </w:rPr>
              <w:t xml:space="preserve"> un šā likuma 1.panta 7.punktā noteiktā izloze vai loterija spēle, kurai ir laimes līguma raksturs un kurā tās dalībnieka iegūtajam laimestam pilnīgi vai daļēji ir gadījuma raksturs, attiecīgi azartspēlē piedalīties var iemaksājot dalības likmi, izlozei ir laimes līguma raksturs, kurā tās dalībnieka iegūtajam laimestam pilnīgi vai daļēji ir gadījuma raksturs. Čeku spēle nav uzskatāma par azartspēli vai izlozi Azartspēļu un izložu likuma izpratnē, jo spēlētājam, lai piedalītos čeku spēlē, nav nepieciešams maksāt dalības maksu kā to nosaka Azartspēļu un izložu likuma 57.pants, savukārt saņemtais čeks apliecina darījumu un nodrošina patērētāju tiesības. Tāpat čeks vai kvīts neatbilst Azartspēļu un izložu likuma 72.panta prasībām, kas nosaka kādai informācijai jābūt norādītai uz  izlozes biļetēm un kuponiem. Čeku spēle nav uzskatāma par preču un pakalpojumu loteriju Preču un pakalpojumu loteriju likuma izpratnē, jo 1.panta 3.punktā ir noteikts, ka loterijas dalībnieks ir persona, kas pērk preci vai noslēdz pakalpojuma līgumu un veic loterijas noteikumos paredzētās darbības, lai pretendētu uz laimesta iegūšanu. </w:t>
            </w:r>
            <w:r w:rsidR="00F13155" w:rsidRPr="00B77F11">
              <w:rPr>
                <w:rFonts w:eastAsia="Times New Roman" w:cs="Times New Roman"/>
                <w:color w:val="000000" w:themeColor="text1"/>
                <w:szCs w:val="24"/>
                <w:lang w:eastAsia="lv-LV"/>
              </w:rPr>
              <w:t xml:space="preserve">Tāpat čeku spēle neatbilst preču un pakalpojumu loterijas pazīmēm, viena no kurām nosaka, ka loterijas organizētājs ir persona, kurai preču ražotājs, izplatītājs, pārdevējs vai pakalpojumu sniedzējs ir deleģējis tiesības organizēt preču vai pakalpojumu loteriju. Rezultātā čeku spēles organizēšana mērķis atšķiras no preču un pakalpojumu loterijas organizēšanas mērķa, t.i., čeku spēle tās spēlētājam nerada papildus izmaksas un/vai neuzliek par pienākumu iegādāties kādu konkrētu preci un/vai pakalpojumu, bet gan rosina pieprasīt naudas izdevumu apliecinošu dokumentu, tādējādi veicinot veicināt nodokļu saistību brīvprātīgu izpildi. </w:t>
            </w:r>
            <w:r w:rsidRPr="00B77F11">
              <w:rPr>
                <w:rFonts w:eastAsia="Times New Roman" w:cs="Times New Roman"/>
                <w:color w:val="000000" w:themeColor="text1"/>
                <w:szCs w:val="24"/>
                <w:lang w:eastAsia="lv-LV"/>
              </w:rPr>
              <w:t>Tādējādi interpretējot</w:t>
            </w:r>
            <w:r w:rsidR="001B5122" w:rsidRPr="00B77F11">
              <w:rPr>
                <w:rFonts w:eastAsia="Times New Roman" w:cs="Times New Roman"/>
                <w:color w:val="000000" w:themeColor="text1"/>
                <w:szCs w:val="24"/>
                <w:lang w:eastAsia="lv-LV"/>
              </w:rPr>
              <w:t>,</w:t>
            </w:r>
            <w:r w:rsidRPr="00B77F11">
              <w:rPr>
                <w:rFonts w:eastAsia="Times New Roman" w:cs="Times New Roman"/>
                <w:color w:val="000000" w:themeColor="text1"/>
                <w:szCs w:val="24"/>
                <w:lang w:eastAsia="lv-LV"/>
              </w:rPr>
              <w:t xml:space="preserve"> “Čeku </w:t>
            </w:r>
            <w:r w:rsidR="00DA604A">
              <w:rPr>
                <w:rFonts w:eastAsia="Times New Roman" w:cs="Times New Roman"/>
                <w:color w:val="000000" w:themeColor="text1"/>
                <w:szCs w:val="24"/>
                <w:lang w:eastAsia="lv-LV"/>
              </w:rPr>
              <w:t>spēles</w:t>
            </w:r>
            <w:r w:rsidRPr="00B77F11">
              <w:rPr>
                <w:rFonts w:eastAsia="Times New Roman" w:cs="Times New Roman"/>
                <w:color w:val="000000" w:themeColor="text1"/>
                <w:szCs w:val="24"/>
                <w:lang w:eastAsia="lv-LV"/>
              </w:rPr>
              <w:t xml:space="preserve"> likums” ir jaunāka speciāla norma.</w:t>
            </w:r>
          </w:p>
          <w:p w14:paraId="309D4699" w14:textId="074E5D04" w:rsidR="00511FA0" w:rsidRPr="00E527F2" w:rsidRDefault="00682BCA" w:rsidP="0036242B">
            <w:pPr>
              <w:tabs>
                <w:tab w:val="left" w:pos="851"/>
              </w:tabs>
              <w:ind w:right="142" w:firstLine="562"/>
              <w:jc w:val="both"/>
              <w:rPr>
                <w:rFonts w:eastAsia="Times New Roman" w:cs="Times New Roman"/>
                <w:szCs w:val="24"/>
                <w:lang w:eastAsia="lv-LV"/>
              </w:rPr>
            </w:pPr>
            <w:r>
              <w:rPr>
                <w:rFonts w:eastAsia="Times New Roman" w:cs="Times New Roman"/>
                <w:szCs w:val="24"/>
                <w:lang w:eastAsia="lv-LV"/>
              </w:rPr>
              <w:t>No čeku spēl</w:t>
            </w:r>
            <w:r w:rsidR="00511FA0">
              <w:rPr>
                <w:rFonts w:eastAsia="Times New Roman" w:cs="Times New Roman"/>
                <w:szCs w:val="24"/>
                <w:lang w:eastAsia="lv-LV"/>
              </w:rPr>
              <w:t>es saņemtie laimesti būs ar iedzīvotāju ienākuma nodokli neapliekami.</w:t>
            </w:r>
          </w:p>
          <w:p w14:paraId="1CAA2A56" w14:textId="5D4513F5" w:rsidR="00511FA0" w:rsidRDefault="00511FA0" w:rsidP="0036242B">
            <w:pPr>
              <w:tabs>
                <w:tab w:val="left" w:pos="851"/>
              </w:tabs>
              <w:ind w:right="142" w:firstLine="562"/>
              <w:jc w:val="both"/>
              <w:rPr>
                <w:rFonts w:eastAsia="Times New Roman" w:cs="Times New Roman"/>
                <w:szCs w:val="24"/>
                <w:lang w:eastAsia="lv-LV"/>
              </w:rPr>
            </w:pPr>
            <w:r w:rsidRPr="00E527F2">
              <w:rPr>
                <w:rFonts w:eastAsia="Times New Roman" w:cs="Times New Roman"/>
                <w:szCs w:val="24"/>
                <w:lang w:eastAsia="lv-LV"/>
              </w:rPr>
              <w:t>Likum</w:t>
            </w:r>
            <w:r>
              <w:rPr>
                <w:rFonts w:eastAsia="Times New Roman" w:cs="Times New Roman"/>
                <w:szCs w:val="24"/>
                <w:lang w:eastAsia="lv-LV"/>
              </w:rPr>
              <w:t>projekts</w:t>
            </w:r>
            <w:r w:rsidRPr="00E527F2">
              <w:rPr>
                <w:rFonts w:eastAsia="Times New Roman" w:cs="Times New Roman"/>
                <w:szCs w:val="24"/>
                <w:lang w:eastAsia="lv-LV"/>
              </w:rPr>
              <w:t xml:space="preserve"> </w:t>
            </w:r>
            <w:r>
              <w:rPr>
                <w:rFonts w:eastAsia="Times New Roman" w:cs="Times New Roman"/>
                <w:szCs w:val="24"/>
                <w:lang w:eastAsia="lv-LV"/>
              </w:rPr>
              <w:t xml:space="preserve">paredz noteikt </w:t>
            </w:r>
            <w:r w:rsidRPr="00E527F2">
              <w:rPr>
                <w:rFonts w:eastAsia="Times New Roman" w:cs="Times New Roman"/>
                <w:szCs w:val="24"/>
                <w:lang w:eastAsia="lv-LV"/>
              </w:rPr>
              <w:t xml:space="preserve">čeku spēles izložu organizāciju, </w:t>
            </w:r>
            <w:r>
              <w:rPr>
                <w:rFonts w:eastAsia="Times New Roman" w:cs="Times New Roman"/>
                <w:szCs w:val="24"/>
                <w:lang w:eastAsia="lv-LV"/>
              </w:rPr>
              <w:t xml:space="preserve">t.i., </w:t>
            </w:r>
            <w:r w:rsidRPr="00E527F2">
              <w:rPr>
                <w:rFonts w:eastAsia="Times New Roman" w:cs="Times New Roman"/>
                <w:szCs w:val="24"/>
                <w:lang w:eastAsia="lv-LV"/>
              </w:rPr>
              <w:t>Valsts ieņēmumu dienestu kā čeku spēles organiz</w:t>
            </w:r>
            <w:r>
              <w:rPr>
                <w:rFonts w:eastAsia="Times New Roman" w:cs="Times New Roman"/>
                <w:szCs w:val="24"/>
                <w:lang w:eastAsia="lv-LV"/>
              </w:rPr>
              <w:t>ētājs</w:t>
            </w:r>
            <w:r w:rsidRPr="00E527F2">
              <w:rPr>
                <w:rFonts w:eastAsia="Times New Roman" w:cs="Times New Roman"/>
                <w:szCs w:val="24"/>
                <w:lang w:eastAsia="lv-LV"/>
              </w:rPr>
              <w:t xml:space="preserve">, paredz tiesības Valsts ieņēmumu dienestam spēļu norises organizēšanai un administrēšanai izmantot čeku spēles organizēšanas un sniegšanas pakalpojumu piegādātāju (uzvarētāju noteikšanas izpildītāju), kuram šādas tiesības piešķirtas iepirkuma procedūras rezultātā atbilstoši Publisko iepirkumu likuma prasībām. </w:t>
            </w:r>
          </w:p>
          <w:p w14:paraId="16C7BBBC" w14:textId="64027555" w:rsidR="00B77F11" w:rsidRDefault="00511FA0" w:rsidP="0036242B">
            <w:pPr>
              <w:tabs>
                <w:tab w:val="left" w:pos="851"/>
              </w:tabs>
              <w:ind w:right="142" w:firstLine="559"/>
              <w:jc w:val="both"/>
              <w:rPr>
                <w:rFonts w:eastAsia="Times New Roman" w:cs="Times New Roman"/>
                <w:szCs w:val="24"/>
                <w:lang w:eastAsia="lv-LV"/>
              </w:rPr>
            </w:pPr>
            <w:r w:rsidRPr="00B77F11">
              <w:rPr>
                <w:rFonts w:eastAsia="Times New Roman" w:cs="Times New Roman"/>
                <w:color w:val="000000" w:themeColor="text1"/>
                <w:szCs w:val="24"/>
                <w:lang w:eastAsia="lv-LV"/>
              </w:rPr>
              <w:lastRenderedPageBreak/>
              <w:t xml:space="preserve">Likumprojekts nosaka čeku spēles dalībnieka (spēlētāja) tiesības un pienākumus. </w:t>
            </w:r>
            <w:r w:rsidR="0023651E" w:rsidRPr="00B77F11">
              <w:rPr>
                <w:rFonts w:eastAsia="Times New Roman" w:cs="Times New Roman"/>
                <w:color w:val="000000" w:themeColor="text1"/>
                <w:szCs w:val="24"/>
                <w:lang w:eastAsia="lv-LV"/>
              </w:rPr>
              <w:t xml:space="preserve">Ņemot vērā, ka </w:t>
            </w:r>
            <w:r w:rsidR="00DE6D9F" w:rsidRPr="00B77F11">
              <w:rPr>
                <w:rFonts w:eastAsia="Times New Roman" w:cs="Times New Roman"/>
                <w:color w:val="000000" w:themeColor="text1"/>
                <w:szCs w:val="24"/>
                <w:lang w:eastAsia="lv-LV"/>
              </w:rPr>
              <w:t xml:space="preserve">prasības programmatūrai, kas nosaka izlozes uzvarētāju, izstrādā </w:t>
            </w:r>
            <w:r w:rsidR="0023651E" w:rsidRPr="00B77F11">
              <w:rPr>
                <w:rFonts w:eastAsia="Times New Roman" w:cs="Times New Roman"/>
                <w:color w:val="000000" w:themeColor="text1"/>
                <w:szCs w:val="24"/>
                <w:lang w:eastAsia="lv-LV"/>
              </w:rPr>
              <w:t>Valsts ieņēmumu di</w:t>
            </w:r>
            <w:r w:rsidR="00E22813" w:rsidRPr="00B77F11">
              <w:rPr>
                <w:rFonts w:eastAsia="Times New Roman" w:cs="Times New Roman"/>
                <w:color w:val="000000" w:themeColor="text1"/>
                <w:szCs w:val="24"/>
                <w:lang w:eastAsia="lv-LV"/>
              </w:rPr>
              <w:t>enests</w:t>
            </w:r>
            <w:r w:rsidR="0023651E" w:rsidRPr="00B77F11">
              <w:rPr>
                <w:rFonts w:eastAsia="Times New Roman" w:cs="Times New Roman"/>
                <w:color w:val="000000" w:themeColor="text1"/>
                <w:szCs w:val="24"/>
                <w:lang w:eastAsia="lv-LV"/>
              </w:rPr>
              <w:t>,</w:t>
            </w:r>
            <w:r w:rsidR="00E22813" w:rsidRPr="00B77F11">
              <w:rPr>
                <w:rFonts w:eastAsia="Times New Roman" w:cs="Times New Roman"/>
                <w:color w:val="000000" w:themeColor="text1"/>
                <w:szCs w:val="24"/>
                <w:lang w:eastAsia="lv-LV"/>
              </w:rPr>
              <w:t xml:space="preserve"> </w:t>
            </w:r>
            <w:r w:rsidR="00DE6D9F" w:rsidRPr="00B77F11">
              <w:rPr>
                <w:rFonts w:eastAsia="Times New Roman" w:cs="Times New Roman"/>
                <w:color w:val="000000" w:themeColor="text1"/>
                <w:szCs w:val="24"/>
                <w:lang w:eastAsia="lv-LV"/>
              </w:rPr>
              <w:t xml:space="preserve">lai novērstu aizdomas par iespēju interešu konfliktu, </w:t>
            </w:r>
            <w:r w:rsidR="0023651E" w:rsidRPr="00B77F11">
              <w:rPr>
                <w:rFonts w:eastAsia="Times New Roman" w:cs="Times New Roman"/>
                <w:color w:val="000000" w:themeColor="text1"/>
                <w:szCs w:val="24"/>
                <w:lang w:eastAsia="lv-LV"/>
              </w:rPr>
              <w:t xml:space="preserve">čeku spēlē nevarēs piedalīties Valsts ieņēmumu dienesta amatpersonas un darbinieki. </w:t>
            </w:r>
            <w:r w:rsidR="008600BA" w:rsidRPr="00B77F11">
              <w:rPr>
                <w:rFonts w:eastAsia="Times New Roman" w:cs="Times New Roman"/>
                <w:color w:val="000000" w:themeColor="text1"/>
                <w:szCs w:val="24"/>
                <w:lang w:eastAsia="lv-LV"/>
              </w:rPr>
              <w:t xml:space="preserve">Neskatoties uz to, ka </w:t>
            </w:r>
            <w:r w:rsidR="008600BA" w:rsidRPr="00B77F11">
              <w:rPr>
                <w:color w:val="000000" w:themeColor="text1"/>
                <w:szCs w:val="28"/>
              </w:rPr>
              <w:t xml:space="preserve">uzvarētāju katrā izlozē nosaka </w:t>
            </w:r>
            <w:r w:rsidR="00DE6D9F" w:rsidRPr="00B77F11">
              <w:rPr>
                <w:color w:val="000000" w:themeColor="text1"/>
                <w:szCs w:val="28"/>
              </w:rPr>
              <w:t>programmatūra</w:t>
            </w:r>
            <w:r w:rsidR="008600BA" w:rsidRPr="00B77F11">
              <w:rPr>
                <w:color w:val="000000" w:themeColor="text1"/>
                <w:szCs w:val="28"/>
              </w:rPr>
              <w:t>, kura</w:t>
            </w:r>
            <w:r w:rsidR="003833A4" w:rsidRPr="00B77F11">
              <w:rPr>
                <w:color w:val="000000" w:themeColor="text1"/>
                <w:szCs w:val="28"/>
              </w:rPr>
              <w:t>s</w:t>
            </w:r>
            <w:r w:rsidR="008600BA" w:rsidRPr="00B77F11">
              <w:rPr>
                <w:color w:val="000000" w:themeColor="text1"/>
                <w:szCs w:val="28"/>
              </w:rPr>
              <w:t xml:space="preserve"> darbība ir autonoma</w:t>
            </w:r>
            <w:r w:rsidR="003833A4" w:rsidRPr="00B77F11">
              <w:rPr>
                <w:color w:val="000000" w:themeColor="text1"/>
                <w:szCs w:val="28"/>
              </w:rPr>
              <w:t xml:space="preserve"> un neatkarīga no cilvēciskā faktora</w:t>
            </w:r>
            <w:r w:rsidR="008600BA" w:rsidRPr="00B77F11">
              <w:rPr>
                <w:rFonts w:eastAsia="Times New Roman" w:cs="Times New Roman"/>
                <w:color w:val="000000" w:themeColor="text1"/>
                <w:szCs w:val="24"/>
                <w:lang w:eastAsia="lv-LV"/>
              </w:rPr>
              <w:t>,</w:t>
            </w:r>
            <w:r w:rsidR="00E841BA" w:rsidRPr="00B77F11">
              <w:rPr>
                <w:rFonts w:eastAsia="Times New Roman" w:cs="Times New Roman"/>
                <w:color w:val="000000" w:themeColor="text1"/>
                <w:szCs w:val="24"/>
                <w:lang w:eastAsia="lv-LV"/>
              </w:rPr>
              <w:t xml:space="preserve"> </w:t>
            </w:r>
            <w:r w:rsidR="008600BA" w:rsidRPr="00B77F11">
              <w:rPr>
                <w:rFonts w:eastAsia="Times New Roman" w:cs="Times New Roman"/>
                <w:color w:val="000000" w:themeColor="text1"/>
                <w:szCs w:val="24"/>
                <w:lang w:eastAsia="lv-LV"/>
              </w:rPr>
              <w:t>l</w:t>
            </w:r>
            <w:r w:rsidRPr="00B77F11">
              <w:rPr>
                <w:rFonts w:eastAsia="Times New Roman" w:cs="Times New Roman"/>
                <w:color w:val="000000" w:themeColor="text1"/>
                <w:szCs w:val="24"/>
                <w:lang w:eastAsia="lv-LV"/>
              </w:rPr>
              <w:t xml:space="preserve">ai novērstu iespējamus interešu konfliktus spēles organizēšanā, </w:t>
            </w:r>
            <w:r w:rsidR="00BD2734" w:rsidRPr="00B77F11">
              <w:rPr>
                <w:rFonts w:eastAsia="Times New Roman" w:cs="Times New Roman"/>
                <w:color w:val="000000" w:themeColor="text1"/>
                <w:szCs w:val="24"/>
                <w:lang w:eastAsia="lv-LV"/>
              </w:rPr>
              <w:t>l</w:t>
            </w:r>
            <w:r w:rsidRPr="00B77F11">
              <w:rPr>
                <w:rFonts w:eastAsia="Times New Roman" w:cs="Times New Roman"/>
                <w:color w:val="000000" w:themeColor="text1"/>
                <w:szCs w:val="24"/>
                <w:lang w:eastAsia="lv-LV"/>
              </w:rPr>
              <w:t xml:space="preserve">ikumprojektā paredzēts, ka </w:t>
            </w:r>
            <w:r w:rsidRPr="00B92934">
              <w:rPr>
                <w:rFonts w:eastAsia="Times New Roman" w:cs="Times New Roman"/>
                <w:color w:val="000000" w:themeColor="text1"/>
                <w:szCs w:val="24"/>
                <w:lang w:eastAsia="lv-LV"/>
              </w:rPr>
              <w:t xml:space="preserve">čeku spēlē nevar piedalīties arī čeku spēles pakalpojuma sniedzēja </w:t>
            </w:r>
            <w:r w:rsidRPr="00B92934">
              <w:rPr>
                <w:rFonts w:eastAsia="Times New Roman" w:cs="Times New Roman"/>
                <w:szCs w:val="24"/>
                <w:lang w:eastAsia="lv-LV"/>
              </w:rPr>
              <w:t>darbinieki</w:t>
            </w:r>
            <w:r w:rsidRPr="00E527F2">
              <w:rPr>
                <w:rFonts w:eastAsia="Times New Roman" w:cs="Times New Roman"/>
                <w:szCs w:val="24"/>
                <w:lang w:eastAsia="lv-LV"/>
              </w:rPr>
              <w:t>.</w:t>
            </w:r>
          </w:p>
          <w:p w14:paraId="66FE00D6" w14:textId="7429F8F9" w:rsidR="00B77F11" w:rsidRPr="00B77F11" w:rsidRDefault="009E7616" w:rsidP="0036242B">
            <w:pPr>
              <w:tabs>
                <w:tab w:val="left" w:pos="851"/>
              </w:tabs>
              <w:ind w:right="142" w:firstLine="559"/>
              <w:jc w:val="both"/>
              <w:rPr>
                <w:rFonts w:eastAsia="Times New Roman" w:cs="Times New Roman"/>
                <w:color w:val="000000" w:themeColor="text1"/>
                <w:szCs w:val="24"/>
                <w:lang w:eastAsia="lv-LV"/>
              </w:rPr>
            </w:pPr>
            <w:r w:rsidRPr="00B77F11">
              <w:rPr>
                <w:rFonts w:eastAsia="Times New Roman" w:cs="Times New Roman"/>
                <w:color w:val="000000" w:themeColor="text1"/>
                <w:szCs w:val="24"/>
                <w:lang w:eastAsia="lv-LV"/>
              </w:rPr>
              <w:t>Valsts ieņēmumu dienesta viena no pamatfunkcijām ir nodrošināt un administrēt valsts nodokļus, nodevu un citu valsts noteikto obligāto maksājumu iekasēšanu  Latvijas Republikas teritorijā un uz muitas robežas kā arī nodokļu, nodevu un citu obligāto maksājumu iekasēšanu ES budžetam, vienlaikus ņemot vērā apstākli, ka nodokļu administrācijai nav iepriekšējas pieredzes šādu pasākumu veikšanā, kā arī nodokļu administrācijas administratīvie resursi neļauj izstrādāt šāda veida programm</w:t>
            </w:r>
            <w:r w:rsidR="00DE6D9F" w:rsidRPr="00B77F11">
              <w:rPr>
                <w:rFonts w:eastAsia="Times New Roman" w:cs="Times New Roman"/>
                <w:color w:val="000000" w:themeColor="text1"/>
                <w:szCs w:val="24"/>
                <w:lang w:eastAsia="lv-LV"/>
              </w:rPr>
              <w:t>atūr</w:t>
            </w:r>
            <w:r w:rsidR="00124E27" w:rsidRPr="00B77F11">
              <w:rPr>
                <w:rFonts w:eastAsia="Times New Roman" w:cs="Times New Roman"/>
                <w:color w:val="000000" w:themeColor="text1"/>
                <w:szCs w:val="24"/>
                <w:lang w:eastAsia="lv-LV"/>
              </w:rPr>
              <w:t>u,</w:t>
            </w:r>
            <w:r w:rsidRPr="00B77F11">
              <w:rPr>
                <w:rFonts w:eastAsia="Times New Roman" w:cs="Times New Roman"/>
                <w:color w:val="000000" w:themeColor="text1"/>
                <w:szCs w:val="24"/>
                <w:lang w:eastAsia="lv-LV"/>
              </w:rPr>
              <w:t xml:space="preserve"> lai nodrošinātu </w:t>
            </w:r>
            <w:r w:rsidR="00124E27" w:rsidRPr="00B77F11">
              <w:rPr>
                <w:rFonts w:eastAsia="Times New Roman" w:cs="Times New Roman"/>
                <w:color w:val="000000" w:themeColor="text1"/>
                <w:szCs w:val="24"/>
                <w:lang w:eastAsia="lv-LV"/>
              </w:rPr>
              <w:t xml:space="preserve">kvalitatīvu </w:t>
            </w:r>
            <w:proofErr w:type="spellStart"/>
            <w:r w:rsidRPr="00B77F11">
              <w:rPr>
                <w:rFonts w:eastAsia="Times New Roman" w:cs="Times New Roman"/>
                <w:color w:val="000000" w:themeColor="text1"/>
                <w:szCs w:val="24"/>
                <w:lang w:eastAsia="lv-LV"/>
              </w:rPr>
              <w:t>kvīšu</w:t>
            </w:r>
            <w:proofErr w:type="spellEnd"/>
            <w:r w:rsidRPr="00B77F11">
              <w:rPr>
                <w:rFonts w:eastAsia="Times New Roman" w:cs="Times New Roman"/>
                <w:color w:val="000000" w:themeColor="text1"/>
                <w:szCs w:val="24"/>
                <w:lang w:eastAsia="lv-LV"/>
              </w:rPr>
              <w:t xml:space="preserve"> un kases aparāta, hibrīda kases aparāta, kases sistēmas, specializētās </w:t>
            </w:r>
            <w:r w:rsidR="00124E27" w:rsidRPr="00B77F11">
              <w:rPr>
                <w:rFonts w:eastAsia="Times New Roman" w:cs="Times New Roman"/>
                <w:color w:val="000000" w:themeColor="text1"/>
                <w:szCs w:val="24"/>
                <w:lang w:eastAsia="lv-LV"/>
              </w:rPr>
              <w:t xml:space="preserve">ierīces vai iekārtas čeku </w:t>
            </w:r>
            <w:r w:rsidR="00246AA3" w:rsidRPr="00B77F11">
              <w:rPr>
                <w:rFonts w:eastAsia="Times New Roman" w:cs="Times New Roman"/>
                <w:color w:val="000000" w:themeColor="text1"/>
                <w:szCs w:val="24"/>
                <w:lang w:eastAsia="lv-LV"/>
              </w:rPr>
              <w:t>atlasi, čeku spēles</w:t>
            </w:r>
            <w:r w:rsidRPr="00B77F11">
              <w:rPr>
                <w:rFonts w:eastAsia="Times New Roman" w:cs="Times New Roman"/>
                <w:color w:val="000000" w:themeColor="text1"/>
                <w:szCs w:val="24"/>
                <w:lang w:eastAsia="lv-LV"/>
              </w:rPr>
              <w:t xml:space="preserve"> organizēšanai un īstenošanai ir nepieciešams ārpakalpojums</w:t>
            </w:r>
            <w:r w:rsidR="00246AA3" w:rsidRPr="00B77F11">
              <w:rPr>
                <w:rFonts w:eastAsia="Times New Roman" w:cs="Times New Roman"/>
                <w:color w:val="000000" w:themeColor="text1"/>
                <w:szCs w:val="24"/>
                <w:lang w:eastAsia="lv-LV"/>
              </w:rPr>
              <w:t xml:space="preserve">, </w:t>
            </w:r>
            <w:r w:rsidRPr="00B77F11">
              <w:rPr>
                <w:rFonts w:eastAsia="Times New Roman" w:cs="Times New Roman"/>
                <w:color w:val="000000" w:themeColor="text1"/>
                <w:szCs w:val="24"/>
                <w:lang w:eastAsia="lv-LV"/>
              </w:rPr>
              <w:t>kas</w:t>
            </w:r>
            <w:r w:rsidR="00526609" w:rsidRPr="00B77F11">
              <w:rPr>
                <w:rFonts w:eastAsia="Times New Roman" w:cs="Times New Roman"/>
                <w:color w:val="000000" w:themeColor="text1"/>
                <w:szCs w:val="24"/>
                <w:lang w:eastAsia="lv-LV"/>
              </w:rPr>
              <w:t>,</w:t>
            </w:r>
            <w:r w:rsidRPr="00B77F11">
              <w:rPr>
                <w:rFonts w:eastAsia="Times New Roman" w:cs="Times New Roman"/>
                <w:color w:val="000000" w:themeColor="text1"/>
                <w:szCs w:val="24"/>
                <w:lang w:eastAsia="lv-LV"/>
              </w:rPr>
              <w:t xml:space="preserve"> atbilstoši </w:t>
            </w:r>
            <w:r w:rsidR="00246AA3" w:rsidRPr="00B77F11">
              <w:rPr>
                <w:rFonts w:eastAsia="Times New Roman" w:cs="Times New Roman"/>
                <w:color w:val="000000" w:themeColor="text1"/>
                <w:szCs w:val="24"/>
                <w:lang w:eastAsia="lv-LV"/>
              </w:rPr>
              <w:t>Valsts ieņēmumu dienesta izstrādinātajā</w:t>
            </w:r>
            <w:r w:rsidRPr="00B77F11">
              <w:rPr>
                <w:rFonts w:eastAsia="Times New Roman" w:cs="Times New Roman"/>
                <w:color w:val="000000" w:themeColor="text1"/>
                <w:szCs w:val="24"/>
                <w:lang w:eastAsia="lv-LV"/>
              </w:rPr>
              <w:t>m tehniskajām prasībām, izstrādās nepieciešamo programm</w:t>
            </w:r>
            <w:r w:rsidR="00DE6D9F" w:rsidRPr="00B77F11">
              <w:rPr>
                <w:rFonts w:eastAsia="Times New Roman" w:cs="Times New Roman"/>
                <w:color w:val="000000" w:themeColor="text1"/>
                <w:szCs w:val="24"/>
                <w:lang w:eastAsia="lv-LV"/>
              </w:rPr>
              <w:t>atūru</w:t>
            </w:r>
            <w:r w:rsidRPr="00B77F11">
              <w:rPr>
                <w:rFonts w:eastAsia="Times New Roman" w:cs="Times New Roman"/>
                <w:color w:val="000000" w:themeColor="text1"/>
                <w:szCs w:val="24"/>
                <w:lang w:eastAsia="lv-LV"/>
              </w:rPr>
              <w:t xml:space="preserve"> un nodrošinās serverus datu uzglabāšanai, spēs nodrošināt iespēju reģistrēt čekus un kvītis čeku spēlei saskaņā ar normatīvo aktu un tehniskās specifikācijas prasībām (tehniskā specifikācija tiks ap</w:t>
            </w:r>
            <w:r w:rsidR="00246AA3" w:rsidRPr="00B77F11">
              <w:rPr>
                <w:rFonts w:eastAsia="Times New Roman" w:cs="Times New Roman"/>
                <w:color w:val="000000" w:themeColor="text1"/>
                <w:szCs w:val="24"/>
                <w:lang w:eastAsia="lv-LV"/>
              </w:rPr>
              <w:t xml:space="preserve">stiprināta </w:t>
            </w:r>
            <w:r w:rsidR="00DE6D9F" w:rsidRPr="00B77F11">
              <w:rPr>
                <w:rFonts w:eastAsia="Times New Roman" w:cs="Times New Roman"/>
                <w:color w:val="000000" w:themeColor="text1"/>
                <w:szCs w:val="24"/>
                <w:lang w:eastAsia="lv-LV"/>
              </w:rPr>
              <w:t xml:space="preserve">līdz 2018.gada 30.maijam), </w:t>
            </w:r>
            <w:r w:rsidRPr="00B77F11">
              <w:rPr>
                <w:rFonts w:eastAsia="Times New Roman" w:cs="Times New Roman"/>
                <w:color w:val="000000" w:themeColor="text1"/>
                <w:szCs w:val="24"/>
                <w:lang w:eastAsia="lv-LV"/>
              </w:rPr>
              <w:t>ļau</w:t>
            </w:r>
            <w:r w:rsidR="00526609" w:rsidRPr="00B77F11">
              <w:rPr>
                <w:rFonts w:eastAsia="Times New Roman" w:cs="Times New Roman"/>
                <w:color w:val="000000" w:themeColor="text1"/>
                <w:szCs w:val="24"/>
                <w:lang w:eastAsia="lv-LV"/>
              </w:rPr>
              <w:t>s</w:t>
            </w:r>
            <w:r w:rsidRPr="00B77F11">
              <w:rPr>
                <w:rFonts w:eastAsia="Times New Roman" w:cs="Times New Roman"/>
                <w:color w:val="000000" w:themeColor="text1"/>
                <w:szCs w:val="24"/>
                <w:lang w:eastAsia="lv-LV"/>
              </w:rPr>
              <w:t xml:space="preserve"> noteikt spēles uzvarētājus</w:t>
            </w:r>
            <w:r w:rsidR="00B77F11" w:rsidRPr="00B77F11">
              <w:rPr>
                <w:rFonts w:eastAsia="Times New Roman" w:cs="Times New Roman"/>
                <w:color w:val="000000" w:themeColor="text1"/>
                <w:szCs w:val="24"/>
                <w:lang w:eastAsia="lv-LV"/>
              </w:rPr>
              <w:t xml:space="preserve"> un</w:t>
            </w:r>
            <w:r w:rsidRPr="00B77F11">
              <w:rPr>
                <w:rFonts w:eastAsia="Times New Roman" w:cs="Times New Roman"/>
                <w:color w:val="000000" w:themeColor="text1"/>
                <w:szCs w:val="24"/>
                <w:lang w:eastAsia="lv-LV"/>
              </w:rPr>
              <w:t xml:space="preserve"> apstrādāt datus </w:t>
            </w:r>
            <w:r w:rsidR="00B77F11" w:rsidRPr="00B77F11">
              <w:rPr>
                <w:rFonts w:eastAsia="Times New Roman" w:cs="Times New Roman"/>
                <w:color w:val="000000" w:themeColor="text1"/>
                <w:szCs w:val="24"/>
                <w:lang w:eastAsia="lv-LV"/>
              </w:rPr>
              <w:t xml:space="preserve">spēles uzvarētāja noteikšanai. </w:t>
            </w:r>
          </w:p>
          <w:p w14:paraId="74840E6D" w14:textId="0BC39A0C" w:rsidR="003D5347" w:rsidRPr="00B77F11" w:rsidRDefault="00511FA0" w:rsidP="0036242B">
            <w:pPr>
              <w:tabs>
                <w:tab w:val="left" w:pos="851"/>
              </w:tabs>
              <w:ind w:right="142" w:firstLine="559"/>
              <w:jc w:val="both"/>
              <w:rPr>
                <w:rFonts w:eastAsia="Times New Roman" w:cs="Times New Roman"/>
                <w:color w:val="000000" w:themeColor="text1"/>
                <w:szCs w:val="24"/>
                <w:lang w:eastAsia="lv-LV"/>
              </w:rPr>
            </w:pPr>
            <w:r w:rsidRPr="00E527F2">
              <w:rPr>
                <w:rFonts w:eastAsia="Times New Roman" w:cs="Times New Roman"/>
                <w:szCs w:val="24"/>
                <w:lang w:eastAsia="lv-LV"/>
              </w:rPr>
              <w:t>Likum</w:t>
            </w:r>
            <w:r>
              <w:rPr>
                <w:rFonts w:eastAsia="Times New Roman" w:cs="Times New Roman"/>
                <w:szCs w:val="24"/>
                <w:lang w:eastAsia="lv-LV"/>
              </w:rPr>
              <w:t>projekts papildus</w:t>
            </w:r>
            <w:r w:rsidRPr="00E527F2">
              <w:rPr>
                <w:rFonts w:eastAsia="Times New Roman" w:cs="Times New Roman"/>
                <w:szCs w:val="24"/>
                <w:lang w:eastAsia="lv-LV"/>
              </w:rPr>
              <w:t xml:space="preserve"> </w:t>
            </w:r>
            <w:r>
              <w:rPr>
                <w:rFonts w:eastAsia="Times New Roman" w:cs="Times New Roman"/>
                <w:szCs w:val="24"/>
                <w:lang w:eastAsia="lv-LV"/>
              </w:rPr>
              <w:t>paredz</w:t>
            </w:r>
            <w:r w:rsidRPr="00E527F2">
              <w:rPr>
                <w:rFonts w:eastAsia="Times New Roman" w:cs="Times New Roman"/>
                <w:szCs w:val="24"/>
                <w:lang w:eastAsia="lv-LV"/>
              </w:rPr>
              <w:t xml:space="preserve">, ka čeku spēlei reģistrē </w:t>
            </w:r>
            <w:r>
              <w:rPr>
                <w:rFonts w:eastAsia="Times New Roman" w:cs="Times New Roman"/>
                <w:szCs w:val="24"/>
                <w:lang w:eastAsia="lv-LV"/>
              </w:rPr>
              <w:t xml:space="preserve">naudas izdevumu apliecinošu dokumentu </w:t>
            </w:r>
            <w:r w:rsidR="005429B0">
              <w:rPr>
                <w:rFonts w:eastAsia="Times New Roman" w:cs="Times New Roman"/>
                <w:szCs w:val="24"/>
                <w:lang w:eastAsia="lv-LV"/>
              </w:rPr>
              <w:t>–</w:t>
            </w:r>
            <w:r>
              <w:rPr>
                <w:rFonts w:eastAsia="Times New Roman" w:cs="Times New Roman"/>
                <w:szCs w:val="24"/>
                <w:lang w:eastAsia="lv-LV"/>
              </w:rPr>
              <w:t xml:space="preserve"> </w:t>
            </w:r>
            <w:r w:rsidRPr="00F8591D">
              <w:rPr>
                <w:rFonts w:eastAsia="Times New Roman" w:cs="Times New Roman"/>
                <w:szCs w:val="24"/>
                <w:lang w:eastAsia="lv-LV"/>
              </w:rPr>
              <w:t>kases čeku vai cit</w:t>
            </w:r>
            <w:r>
              <w:rPr>
                <w:rFonts w:eastAsia="Times New Roman" w:cs="Times New Roman"/>
                <w:szCs w:val="24"/>
                <w:lang w:eastAsia="lv-LV"/>
              </w:rPr>
              <w:t>u</w:t>
            </w:r>
            <w:r w:rsidRPr="00F8591D">
              <w:rPr>
                <w:rFonts w:eastAsia="Times New Roman" w:cs="Times New Roman"/>
                <w:szCs w:val="24"/>
                <w:lang w:eastAsia="lv-LV"/>
              </w:rPr>
              <w:t xml:space="preserve"> dokument</w:t>
            </w:r>
            <w:r>
              <w:rPr>
                <w:rFonts w:eastAsia="Times New Roman" w:cs="Times New Roman"/>
                <w:szCs w:val="24"/>
                <w:lang w:eastAsia="lv-LV"/>
              </w:rPr>
              <w:t>u</w:t>
            </w:r>
            <w:r w:rsidRPr="00F8591D">
              <w:rPr>
                <w:rFonts w:eastAsia="Times New Roman" w:cs="Times New Roman"/>
                <w:szCs w:val="24"/>
                <w:lang w:eastAsia="lv-LV"/>
              </w:rPr>
              <w:t>, kas sagatavots atbilstoši normatīvajiem aktiem par nodokļu un citu maksājumu reģistrēšanas elektroniskajām ierīcēm un iekārtām</w:t>
            </w:r>
            <w:r w:rsidRPr="00E527F2">
              <w:rPr>
                <w:rFonts w:eastAsia="Times New Roman" w:cs="Times New Roman"/>
                <w:szCs w:val="24"/>
                <w:lang w:eastAsia="lv-LV"/>
              </w:rPr>
              <w:t xml:space="preserve"> par precēm, kas iegādātas publiskajās tirdzniecības vietās Latvijas Republikā un par Latvijas Republikas teritorijā sniegtiem </w:t>
            </w:r>
            <w:r w:rsidRPr="00B77F11">
              <w:rPr>
                <w:rFonts w:eastAsia="Times New Roman" w:cs="Times New Roman"/>
                <w:color w:val="000000" w:themeColor="text1"/>
                <w:szCs w:val="24"/>
                <w:lang w:eastAsia="lv-LV"/>
              </w:rPr>
              <w:t xml:space="preserve">pakalpojumiem, kura </w:t>
            </w:r>
            <w:r w:rsidR="00375701" w:rsidRPr="00B77F11">
              <w:rPr>
                <w:rFonts w:eastAsia="Times New Roman" w:cs="Times New Roman"/>
                <w:color w:val="000000" w:themeColor="text1"/>
                <w:szCs w:val="24"/>
                <w:lang w:eastAsia="lv-LV"/>
              </w:rPr>
              <w:t>darījuma vērtība bez pievienotās vērtības nodokļa ir vismaz 5</w:t>
            </w:r>
            <w:r w:rsidRPr="00B77F11">
              <w:rPr>
                <w:rFonts w:eastAsia="Times New Roman" w:cs="Times New Roman"/>
                <w:color w:val="000000" w:themeColor="text1"/>
                <w:szCs w:val="24"/>
                <w:lang w:eastAsia="lv-LV"/>
              </w:rPr>
              <w:t> </w:t>
            </w:r>
            <w:proofErr w:type="spellStart"/>
            <w:r w:rsidRPr="00B77F11">
              <w:rPr>
                <w:rFonts w:eastAsia="Times New Roman" w:cs="Times New Roman"/>
                <w:i/>
                <w:color w:val="000000" w:themeColor="text1"/>
                <w:szCs w:val="24"/>
                <w:lang w:eastAsia="lv-LV"/>
              </w:rPr>
              <w:t>euro</w:t>
            </w:r>
            <w:proofErr w:type="spellEnd"/>
            <w:r w:rsidRPr="00B77F11">
              <w:rPr>
                <w:rFonts w:eastAsia="Times New Roman" w:cs="Times New Roman"/>
                <w:color w:val="000000" w:themeColor="text1"/>
                <w:szCs w:val="24"/>
                <w:lang w:eastAsia="lv-LV"/>
              </w:rPr>
              <w:t xml:space="preserve">. </w:t>
            </w:r>
            <w:r w:rsidR="003D5347" w:rsidRPr="00B77F11">
              <w:rPr>
                <w:rFonts w:eastAsia="Times New Roman" w:cs="Times New Roman"/>
                <w:color w:val="000000" w:themeColor="text1"/>
                <w:szCs w:val="24"/>
                <w:lang w:eastAsia="lv-LV"/>
              </w:rPr>
              <w:t>Rezultātā čeku spēlē varēs piedalīties čeki</w:t>
            </w:r>
            <w:r w:rsidR="00D92266">
              <w:rPr>
                <w:rFonts w:eastAsia="Times New Roman" w:cs="Times New Roman"/>
                <w:color w:val="000000" w:themeColor="text1"/>
                <w:szCs w:val="24"/>
                <w:lang w:eastAsia="lv-LV"/>
              </w:rPr>
              <w:t>,</w:t>
            </w:r>
            <w:r w:rsidR="003D5347" w:rsidRPr="00B77F11">
              <w:rPr>
                <w:rFonts w:eastAsia="Times New Roman" w:cs="Times New Roman"/>
                <w:color w:val="000000" w:themeColor="text1"/>
                <w:szCs w:val="24"/>
                <w:lang w:eastAsia="lv-LV"/>
              </w:rPr>
              <w:t xml:space="preserve"> kvītis </w:t>
            </w:r>
            <w:r w:rsidR="00D92266">
              <w:rPr>
                <w:rFonts w:eastAsia="Times New Roman" w:cs="Times New Roman"/>
                <w:color w:val="000000" w:themeColor="text1"/>
                <w:szCs w:val="24"/>
                <w:lang w:eastAsia="lv-LV"/>
              </w:rPr>
              <w:t xml:space="preserve">vai biļetes </w:t>
            </w:r>
            <w:r w:rsidR="003D5347" w:rsidRPr="00B77F11">
              <w:rPr>
                <w:rFonts w:eastAsia="Times New Roman" w:cs="Times New Roman"/>
                <w:color w:val="000000" w:themeColor="text1"/>
                <w:szCs w:val="24"/>
                <w:lang w:eastAsia="lv-LV"/>
              </w:rPr>
              <w:t xml:space="preserve">neatkarīgi no tā, vai preču tirgotājs vai pakalpojuma sniedzējs ir pievienotās vērtības nodokļa maksātājs vai nav. </w:t>
            </w:r>
          </w:p>
          <w:p w14:paraId="4726D50C" w14:textId="7B9DEC6D" w:rsidR="007A68FC" w:rsidRDefault="00511FA0" w:rsidP="0036242B">
            <w:pPr>
              <w:tabs>
                <w:tab w:val="left" w:pos="851"/>
              </w:tabs>
              <w:ind w:right="142" w:firstLine="559"/>
              <w:jc w:val="both"/>
              <w:rPr>
                <w:rFonts w:eastAsia="Times New Roman" w:cs="Times New Roman"/>
                <w:szCs w:val="24"/>
                <w:lang w:eastAsia="lv-LV"/>
              </w:rPr>
            </w:pPr>
            <w:r w:rsidRPr="00B77F11">
              <w:rPr>
                <w:rFonts w:eastAsia="Times New Roman" w:cs="Times New Roman"/>
                <w:color w:val="000000" w:themeColor="text1"/>
                <w:szCs w:val="24"/>
                <w:lang w:eastAsia="lv-LV"/>
              </w:rPr>
              <w:t xml:space="preserve">Likumprojektā noteikta čeku spēles norises kārtība – nedēļas un mēneša izlozes, kā arī uzvarētāja noteikšanas un laimestu </w:t>
            </w:r>
            <w:r w:rsidRPr="00E527F2">
              <w:rPr>
                <w:rFonts w:eastAsia="Times New Roman" w:cs="Times New Roman"/>
                <w:szCs w:val="24"/>
                <w:lang w:eastAsia="lv-LV"/>
              </w:rPr>
              <w:t>saņemšanas kārtība.</w:t>
            </w:r>
            <w:r w:rsidR="00AF21DE">
              <w:rPr>
                <w:rFonts w:eastAsia="Times New Roman" w:cs="Times New Roman"/>
                <w:szCs w:val="24"/>
                <w:lang w:eastAsia="lv-LV"/>
              </w:rPr>
              <w:t xml:space="preserve"> </w:t>
            </w:r>
          </w:p>
          <w:p w14:paraId="37C802DA" w14:textId="4F113657" w:rsidR="007A68FC" w:rsidRDefault="007A68FC" w:rsidP="0036242B">
            <w:pPr>
              <w:tabs>
                <w:tab w:val="left" w:pos="851"/>
              </w:tabs>
              <w:ind w:right="142" w:firstLine="559"/>
              <w:jc w:val="both"/>
              <w:rPr>
                <w:rFonts w:eastAsia="Times New Roman" w:cs="Times New Roman"/>
                <w:szCs w:val="24"/>
                <w:lang w:eastAsia="lv-LV"/>
              </w:rPr>
            </w:pPr>
            <w:r>
              <w:rPr>
                <w:rFonts w:eastAsia="Times New Roman" w:cs="Times New Roman"/>
                <w:szCs w:val="24"/>
                <w:lang w:eastAsia="lv-LV"/>
              </w:rPr>
              <w:t>Ir plānots, ka i</w:t>
            </w:r>
            <w:r w:rsidR="00AF21DE">
              <w:rPr>
                <w:rFonts w:eastAsia="Times New Roman" w:cs="Times New Roman"/>
                <w:szCs w:val="24"/>
                <w:lang w:eastAsia="lv-LV"/>
              </w:rPr>
              <w:t>zloz</w:t>
            </w:r>
            <w:r w:rsidR="00A03A99">
              <w:rPr>
                <w:rFonts w:eastAsia="Times New Roman" w:cs="Times New Roman"/>
                <w:szCs w:val="24"/>
                <w:lang w:eastAsia="lv-LV"/>
              </w:rPr>
              <w:t>ē</w:t>
            </w:r>
            <w:r w:rsidR="00AF21DE">
              <w:rPr>
                <w:rFonts w:eastAsia="Times New Roman" w:cs="Times New Roman"/>
                <w:szCs w:val="24"/>
                <w:lang w:eastAsia="lv-LV"/>
              </w:rPr>
              <w:t xml:space="preserve">s uzvarētāja </w:t>
            </w:r>
            <w:r>
              <w:rPr>
                <w:rFonts w:eastAsia="Times New Roman" w:cs="Times New Roman"/>
                <w:szCs w:val="24"/>
                <w:lang w:eastAsia="lv-LV"/>
              </w:rPr>
              <w:t xml:space="preserve">noteikšanai tiks izmantota </w:t>
            </w:r>
            <w:r w:rsidR="00AF21DE">
              <w:rPr>
                <w:rFonts w:eastAsia="Times New Roman" w:cs="Times New Roman"/>
                <w:szCs w:val="24"/>
                <w:lang w:eastAsia="lv-LV"/>
              </w:rPr>
              <w:t>attiecība 70:30,</w:t>
            </w:r>
            <w:r>
              <w:rPr>
                <w:rFonts w:eastAsia="Times New Roman" w:cs="Times New Roman"/>
                <w:szCs w:val="24"/>
                <w:lang w:eastAsia="lv-LV"/>
              </w:rPr>
              <w:t xml:space="preserve"> proti,</w:t>
            </w:r>
            <w:r w:rsidR="00AF21DE">
              <w:rPr>
                <w:rFonts w:eastAsia="Times New Roman" w:cs="Times New Roman"/>
                <w:szCs w:val="24"/>
                <w:lang w:eastAsia="lv-LV"/>
              </w:rPr>
              <w:t xml:space="preserve"> </w:t>
            </w:r>
            <w:r>
              <w:rPr>
                <w:rFonts w:eastAsia="Times New Roman" w:cs="Times New Roman"/>
                <w:szCs w:val="24"/>
                <w:lang w:eastAsia="lv-LV"/>
              </w:rPr>
              <w:t xml:space="preserve">izlozē tiks atlasīti </w:t>
            </w:r>
            <w:r w:rsidR="00AF21DE">
              <w:rPr>
                <w:rFonts w:eastAsia="Times New Roman" w:cs="Times New Roman"/>
                <w:szCs w:val="24"/>
                <w:lang w:eastAsia="lv-LV"/>
              </w:rPr>
              <w:t>70</w:t>
            </w:r>
            <w:r w:rsidR="00764953">
              <w:rPr>
                <w:rFonts w:eastAsia="Times New Roman" w:cs="Times New Roman"/>
                <w:szCs w:val="24"/>
                <w:lang w:eastAsia="lv-LV"/>
              </w:rPr>
              <w:t> </w:t>
            </w:r>
            <w:r w:rsidR="00AF21DE">
              <w:rPr>
                <w:rFonts w:eastAsia="Times New Roman" w:cs="Times New Roman"/>
                <w:szCs w:val="24"/>
                <w:lang w:eastAsia="lv-LV"/>
              </w:rPr>
              <w:t xml:space="preserve">% </w:t>
            </w:r>
            <w:r>
              <w:rPr>
                <w:rFonts w:eastAsia="Times New Roman" w:cs="Times New Roman"/>
                <w:szCs w:val="24"/>
                <w:lang w:eastAsia="lv-LV"/>
              </w:rPr>
              <w:t xml:space="preserve">no </w:t>
            </w:r>
            <w:r w:rsidR="00AF21DE">
              <w:rPr>
                <w:rFonts w:eastAsia="Times New Roman" w:cs="Times New Roman"/>
                <w:szCs w:val="24"/>
                <w:lang w:eastAsia="lv-LV"/>
              </w:rPr>
              <w:t>iesniegtie</w:t>
            </w:r>
            <w:r>
              <w:rPr>
                <w:rFonts w:eastAsia="Times New Roman" w:cs="Times New Roman"/>
                <w:szCs w:val="24"/>
                <w:lang w:eastAsia="lv-LV"/>
              </w:rPr>
              <w:t>m</w:t>
            </w:r>
            <w:r w:rsidR="00AF21DE">
              <w:rPr>
                <w:rFonts w:eastAsia="Times New Roman" w:cs="Times New Roman"/>
                <w:szCs w:val="24"/>
                <w:lang w:eastAsia="lv-LV"/>
              </w:rPr>
              <w:t xml:space="preserve"> čeki</w:t>
            </w:r>
            <w:r>
              <w:rPr>
                <w:rFonts w:eastAsia="Times New Roman" w:cs="Times New Roman"/>
                <w:szCs w:val="24"/>
                <w:lang w:eastAsia="lv-LV"/>
              </w:rPr>
              <w:t>em</w:t>
            </w:r>
            <w:r w:rsidR="00D92266">
              <w:rPr>
                <w:rFonts w:eastAsia="Times New Roman" w:cs="Times New Roman"/>
                <w:szCs w:val="24"/>
                <w:lang w:eastAsia="lv-LV"/>
              </w:rPr>
              <w:t>,</w:t>
            </w:r>
            <w:r w:rsidR="00AF21DE">
              <w:rPr>
                <w:rFonts w:eastAsia="Times New Roman" w:cs="Times New Roman"/>
                <w:szCs w:val="24"/>
                <w:lang w:eastAsia="lv-LV"/>
              </w:rPr>
              <w:t xml:space="preserve"> darījumu apliecinošā</w:t>
            </w:r>
            <w:r>
              <w:rPr>
                <w:rFonts w:eastAsia="Times New Roman" w:cs="Times New Roman"/>
                <w:szCs w:val="24"/>
                <w:lang w:eastAsia="lv-LV"/>
              </w:rPr>
              <w:t>m</w:t>
            </w:r>
            <w:r w:rsidR="00AF21DE">
              <w:rPr>
                <w:rFonts w:eastAsia="Times New Roman" w:cs="Times New Roman"/>
                <w:szCs w:val="24"/>
                <w:lang w:eastAsia="lv-LV"/>
              </w:rPr>
              <w:t xml:space="preserve"> kvīt</w:t>
            </w:r>
            <w:r>
              <w:rPr>
                <w:rFonts w:eastAsia="Times New Roman" w:cs="Times New Roman"/>
                <w:szCs w:val="24"/>
                <w:lang w:eastAsia="lv-LV"/>
              </w:rPr>
              <w:t>īm</w:t>
            </w:r>
            <w:r w:rsidR="00D92266">
              <w:rPr>
                <w:rFonts w:eastAsia="Times New Roman" w:cs="Times New Roman"/>
                <w:szCs w:val="24"/>
                <w:lang w:eastAsia="lv-LV"/>
              </w:rPr>
              <w:t xml:space="preserve"> un biļetēm,</w:t>
            </w:r>
            <w:r w:rsidR="00AF21DE">
              <w:rPr>
                <w:rFonts w:eastAsia="Times New Roman" w:cs="Times New Roman"/>
                <w:szCs w:val="24"/>
                <w:lang w:eastAsia="lv-LV"/>
              </w:rPr>
              <w:t xml:space="preserve"> kas izsniegtas par Latvijas Republikas teritorijā sniegtajiem pakalpojumiem</w:t>
            </w:r>
            <w:r w:rsidR="00A5031A">
              <w:rPr>
                <w:rFonts w:eastAsia="Times New Roman" w:cs="Times New Roman"/>
                <w:szCs w:val="24"/>
                <w:lang w:eastAsia="lv-LV"/>
              </w:rPr>
              <w:t>,</w:t>
            </w:r>
            <w:r w:rsidR="00AF21DE">
              <w:rPr>
                <w:rFonts w:eastAsia="Times New Roman" w:cs="Times New Roman"/>
                <w:szCs w:val="24"/>
                <w:lang w:eastAsia="lv-LV"/>
              </w:rPr>
              <w:t xml:space="preserve"> un 30</w:t>
            </w:r>
            <w:r w:rsidR="00764953">
              <w:rPr>
                <w:rFonts w:eastAsia="Times New Roman" w:cs="Times New Roman"/>
                <w:szCs w:val="24"/>
                <w:lang w:eastAsia="lv-LV"/>
              </w:rPr>
              <w:t> </w:t>
            </w:r>
            <w:r w:rsidR="00AF21DE">
              <w:rPr>
                <w:rFonts w:eastAsia="Times New Roman" w:cs="Times New Roman"/>
                <w:szCs w:val="24"/>
                <w:lang w:eastAsia="lv-LV"/>
              </w:rPr>
              <w:t xml:space="preserve">% </w:t>
            </w:r>
            <w:r>
              <w:rPr>
                <w:rFonts w:eastAsia="Times New Roman" w:cs="Times New Roman"/>
                <w:szCs w:val="24"/>
                <w:lang w:eastAsia="lv-LV"/>
              </w:rPr>
              <w:t>no</w:t>
            </w:r>
            <w:r w:rsidR="00AF21DE">
              <w:rPr>
                <w:rFonts w:eastAsia="Times New Roman" w:cs="Times New Roman"/>
                <w:szCs w:val="24"/>
                <w:lang w:eastAsia="lv-LV"/>
              </w:rPr>
              <w:t xml:space="preserve"> izsniegtie</w:t>
            </w:r>
            <w:r w:rsidR="00A5031A">
              <w:rPr>
                <w:rFonts w:eastAsia="Times New Roman" w:cs="Times New Roman"/>
                <w:szCs w:val="24"/>
                <w:lang w:eastAsia="lv-LV"/>
              </w:rPr>
              <w:t>m</w:t>
            </w:r>
            <w:r w:rsidR="00A23AB0">
              <w:rPr>
                <w:rFonts w:eastAsia="Times New Roman" w:cs="Times New Roman"/>
                <w:szCs w:val="24"/>
                <w:lang w:eastAsia="lv-LV"/>
              </w:rPr>
              <w:t xml:space="preserve"> </w:t>
            </w:r>
            <w:r w:rsidR="00AF21DE">
              <w:rPr>
                <w:rFonts w:eastAsia="Times New Roman" w:cs="Times New Roman"/>
                <w:szCs w:val="24"/>
                <w:lang w:eastAsia="lv-LV"/>
              </w:rPr>
              <w:t>čeki</w:t>
            </w:r>
            <w:r>
              <w:rPr>
                <w:rFonts w:eastAsia="Times New Roman" w:cs="Times New Roman"/>
                <w:szCs w:val="24"/>
                <w:lang w:eastAsia="lv-LV"/>
              </w:rPr>
              <w:t>em</w:t>
            </w:r>
            <w:r w:rsidR="00AF21DE">
              <w:rPr>
                <w:rFonts w:eastAsia="Times New Roman" w:cs="Times New Roman"/>
                <w:szCs w:val="24"/>
                <w:lang w:eastAsia="lv-LV"/>
              </w:rPr>
              <w:t xml:space="preserve"> un darījumu apliecinošā</w:t>
            </w:r>
            <w:r>
              <w:rPr>
                <w:rFonts w:eastAsia="Times New Roman" w:cs="Times New Roman"/>
                <w:szCs w:val="24"/>
                <w:lang w:eastAsia="lv-LV"/>
              </w:rPr>
              <w:t>m</w:t>
            </w:r>
            <w:r w:rsidR="00AF21DE">
              <w:rPr>
                <w:rFonts w:eastAsia="Times New Roman" w:cs="Times New Roman"/>
                <w:szCs w:val="24"/>
                <w:lang w:eastAsia="lv-LV"/>
              </w:rPr>
              <w:t xml:space="preserve"> kvīt</w:t>
            </w:r>
            <w:r>
              <w:rPr>
                <w:rFonts w:eastAsia="Times New Roman" w:cs="Times New Roman"/>
                <w:szCs w:val="24"/>
                <w:lang w:eastAsia="lv-LV"/>
              </w:rPr>
              <w:t>īm</w:t>
            </w:r>
            <w:r w:rsidR="00AF21DE">
              <w:rPr>
                <w:rFonts w:eastAsia="Times New Roman" w:cs="Times New Roman"/>
                <w:szCs w:val="24"/>
                <w:lang w:eastAsia="lv-LV"/>
              </w:rPr>
              <w:t>, kas izsniegtas par precēm, kas iegādātas publiskajās tirdzniecības vietās Latvijas Republikā</w:t>
            </w:r>
            <w:r>
              <w:rPr>
                <w:rFonts w:eastAsia="Times New Roman" w:cs="Times New Roman"/>
                <w:szCs w:val="24"/>
                <w:lang w:eastAsia="lv-LV"/>
              </w:rPr>
              <w:t>.</w:t>
            </w:r>
          </w:p>
          <w:p w14:paraId="314BDD42" w14:textId="6B2F738F" w:rsidR="00DC33A7" w:rsidRPr="00502084" w:rsidRDefault="00511FA0" w:rsidP="0036242B">
            <w:pPr>
              <w:tabs>
                <w:tab w:val="left" w:pos="851"/>
              </w:tabs>
              <w:ind w:right="142" w:firstLine="558"/>
              <w:jc w:val="both"/>
              <w:rPr>
                <w:rFonts w:eastAsia="Times New Roman" w:cs="Times New Roman"/>
                <w:szCs w:val="24"/>
                <w:lang w:eastAsia="lv-LV"/>
              </w:rPr>
            </w:pPr>
            <w:r>
              <w:rPr>
                <w:rFonts w:eastAsia="Times New Roman" w:cs="Times New Roman"/>
                <w:szCs w:val="24"/>
                <w:lang w:eastAsia="lv-LV"/>
              </w:rPr>
              <w:t xml:space="preserve">Likumprojektā čeku spēlei ir noteikts darbības laiks, t.i., </w:t>
            </w:r>
            <w:r w:rsidR="00DC33A7">
              <w:rPr>
                <w:rFonts w:eastAsia="Times New Roman" w:cs="Times New Roman"/>
                <w:szCs w:val="24"/>
                <w:lang w:eastAsia="lv-LV"/>
              </w:rPr>
              <w:t xml:space="preserve">paredzēts, ka </w:t>
            </w:r>
            <w:r w:rsidR="00DC33A7" w:rsidRPr="00DC33A7">
              <w:rPr>
                <w:rFonts w:eastAsia="Times New Roman" w:cs="Times New Roman"/>
                <w:szCs w:val="24"/>
                <w:lang w:eastAsia="lv-LV"/>
              </w:rPr>
              <w:t xml:space="preserve">2019. gada pirmā čeku spēles izloze notiek ne vēlāk kā </w:t>
            </w:r>
            <w:r w:rsidR="00DC33A7" w:rsidRPr="00DC33A7">
              <w:rPr>
                <w:rFonts w:eastAsia="Times New Roman" w:cs="Times New Roman"/>
                <w:szCs w:val="24"/>
                <w:lang w:eastAsia="lv-LV"/>
              </w:rPr>
              <w:lastRenderedPageBreak/>
              <w:t>2019.</w:t>
            </w:r>
            <w:r w:rsidR="005C3F02">
              <w:rPr>
                <w:rFonts w:eastAsia="Times New Roman" w:cs="Times New Roman"/>
                <w:szCs w:val="24"/>
                <w:lang w:eastAsia="lv-LV"/>
              </w:rPr>
              <w:t> </w:t>
            </w:r>
            <w:r w:rsidR="00DC33A7" w:rsidRPr="00DC33A7">
              <w:rPr>
                <w:rFonts w:eastAsia="Times New Roman" w:cs="Times New Roman"/>
                <w:szCs w:val="24"/>
                <w:lang w:eastAsia="lv-LV"/>
              </w:rPr>
              <w:t xml:space="preserve">gada </w:t>
            </w:r>
            <w:r w:rsidR="00CF578E">
              <w:rPr>
                <w:rFonts w:eastAsia="Times New Roman" w:cs="Times New Roman"/>
                <w:szCs w:val="24"/>
                <w:lang w:eastAsia="lv-LV"/>
              </w:rPr>
              <w:t>9.jūlijā</w:t>
            </w:r>
            <w:r w:rsidR="00DC33A7">
              <w:rPr>
                <w:rFonts w:eastAsia="Times New Roman" w:cs="Times New Roman"/>
                <w:szCs w:val="24"/>
                <w:lang w:eastAsia="lv-LV"/>
              </w:rPr>
              <w:t xml:space="preserve">, savukārt </w:t>
            </w:r>
            <w:r w:rsidR="007A41DB" w:rsidRPr="00DC33A7">
              <w:rPr>
                <w:rFonts w:eastAsia="Times New Roman" w:cs="Times New Roman"/>
                <w:szCs w:val="24"/>
                <w:lang w:eastAsia="lv-LV"/>
              </w:rPr>
              <w:t>pēdējā nedēļas izloze</w:t>
            </w:r>
            <w:r w:rsidR="007A41DB">
              <w:rPr>
                <w:rFonts w:eastAsia="Times New Roman" w:cs="Times New Roman"/>
                <w:szCs w:val="24"/>
                <w:lang w:eastAsia="lv-LV"/>
              </w:rPr>
              <w:t xml:space="preserve"> un </w:t>
            </w:r>
            <w:r w:rsidR="005A1C6A">
              <w:rPr>
                <w:rFonts w:eastAsia="Times New Roman" w:cs="Times New Roman"/>
                <w:szCs w:val="24"/>
                <w:lang w:eastAsia="lv-LV"/>
              </w:rPr>
              <w:t>p</w:t>
            </w:r>
            <w:r w:rsidR="005A1C6A" w:rsidRPr="00DC33A7">
              <w:rPr>
                <w:rFonts w:eastAsia="Times New Roman" w:cs="Times New Roman"/>
                <w:szCs w:val="24"/>
                <w:lang w:eastAsia="lv-LV"/>
              </w:rPr>
              <w:t xml:space="preserve">ēdējā </w:t>
            </w:r>
            <w:r w:rsidR="000F0023">
              <w:rPr>
                <w:rFonts w:eastAsia="Times New Roman" w:cs="Times New Roman"/>
                <w:szCs w:val="24"/>
                <w:lang w:eastAsia="lv-LV"/>
              </w:rPr>
              <w:t>mēneša izloze</w:t>
            </w:r>
            <w:r w:rsidR="00DA604A">
              <w:rPr>
                <w:rFonts w:eastAsia="Times New Roman" w:cs="Times New Roman"/>
                <w:szCs w:val="24"/>
                <w:lang w:eastAsia="lv-LV"/>
              </w:rPr>
              <w:t xml:space="preserve"> notiek</w:t>
            </w:r>
            <w:r w:rsidR="000F0023">
              <w:rPr>
                <w:rFonts w:eastAsia="Times New Roman" w:cs="Times New Roman"/>
                <w:szCs w:val="24"/>
                <w:lang w:eastAsia="lv-LV"/>
              </w:rPr>
              <w:t xml:space="preserve"> 2021. </w:t>
            </w:r>
            <w:r w:rsidR="00DC33A7" w:rsidRPr="00DC33A7">
              <w:rPr>
                <w:rFonts w:eastAsia="Times New Roman" w:cs="Times New Roman"/>
                <w:szCs w:val="24"/>
                <w:lang w:eastAsia="lv-LV"/>
              </w:rPr>
              <w:t xml:space="preserve">gada </w:t>
            </w:r>
            <w:r w:rsidR="007A41DB">
              <w:rPr>
                <w:rFonts w:eastAsia="Times New Roman" w:cs="Times New Roman"/>
                <w:szCs w:val="24"/>
                <w:lang w:eastAsia="lv-LV"/>
              </w:rPr>
              <w:t>5</w:t>
            </w:r>
            <w:r w:rsidR="005C3F02">
              <w:rPr>
                <w:rFonts w:eastAsia="Times New Roman" w:cs="Times New Roman"/>
                <w:szCs w:val="24"/>
                <w:lang w:eastAsia="lv-LV"/>
              </w:rPr>
              <w:t> </w:t>
            </w:r>
            <w:r w:rsidR="007A41DB">
              <w:rPr>
                <w:rFonts w:eastAsia="Times New Roman" w:cs="Times New Roman"/>
                <w:szCs w:val="24"/>
                <w:lang w:eastAsia="lv-LV"/>
              </w:rPr>
              <w:t xml:space="preserve">janvārī. </w:t>
            </w:r>
            <w:r w:rsidR="00DC33A7" w:rsidRPr="00DC33A7">
              <w:rPr>
                <w:rFonts w:eastAsia="Times New Roman" w:cs="Times New Roman"/>
                <w:szCs w:val="24"/>
                <w:lang w:eastAsia="lv-LV"/>
              </w:rPr>
              <w:t>Šajās izlozēs iegūto laimestu uzvarētājs var saņemt atbilstoši šī likuma prasībām.</w:t>
            </w:r>
            <w:r w:rsidR="005C3F02">
              <w:rPr>
                <w:rFonts w:eastAsia="Times New Roman" w:cs="Times New Roman"/>
                <w:szCs w:val="24"/>
                <w:lang w:eastAsia="lv-LV"/>
              </w:rPr>
              <w:t xml:space="preserve"> </w:t>
            </w:r>
            <w:r w:rsidR="005C3F02">
              <w:rPr>
                <w:rFonts w:eastAsia="Times New Roman" w:cs="Times New Roman"/>
                <w:color w:val="000000" w:themeColor="text1"/>
                <w:szCs w:val="24"/>
                <w:lang w:eastAsia="lv-LV"/>
              </w:rPr>
              <w:t xml:space="preserve">Vienlaikus čeku spēlē varēs piedalīties tikai čeki vai kvītis, kas ir izsniegti </w:t>
            </w:r>
            <w:r w:rsidR="000961A2">
              <w:rPr>
                <w:rFonts w:eastAsia="Times New Roman" w:cs="Times New Roman"/>
                <w:color w:val="000000" w:themeColor="text1"/>
                <w:szCs w:val="24"/>
                <w:lang w:eastAsia="lv-LV"/>
              </w:rPr>
              <w:t xml:space="preserve">laika </w:t>
            </w:r>
            <w:r w:rsidR="005C3F02">
              <w:rPr>
                <w:rFonts w:eastAsia="Times New Roman" w:cs="Times New Roman"/>
                <w:color w:val="000000" w:themeColor="text1"/>
                <w:szCs w:val="24"/>
                <w:lang w:eastAsia="lv-LV"/>
              </w:rPr>
              <w:t xml:space="preserve">periodā no </w:t>
            </w:r>
            <w:r w:rsidR="000961A2">
              <w:rPr>
                <w:rFonts w:eastAsia="Times New Roman" w:cs="Times New Roman"/>
                <w:color w:val="000000" w:themeColor="text1"/>
                <w:szCs w:val="24"/>
                <w:lang w:eastAsia="lv-LV"/>
              </w:rPr>
              <w:t xml:space="preserve">2019. gada </w:t>
            </w:r>
            <w:r w:rsidR="00CF578E">
              <w:rPr>
                <w:rFonts w:eastAsia="Times New Roman" w:cs="Times New Roman"/>
                <w:color w:val="000000" w:themeColor="text1"/>
                <w:szCs w:val="24"/>
                <w:lang w:eastAsia="lv-LV"/>
              </w:rPr>
              <w:t>1.jūlija</w:t>
            </w:r>
            <w:r w:rsidR="000F0023">
              <w:rPr>
                <w:rFonts w:eastAsia="Times New Roman" w:cs="Times New Roman"/>
                <w:color w:val="000000" w:themeColor="text1"/>
                <w:szCs w:val="24"/>
                <w:lang w:eastAsia="lv-LV"/>
              </w:rPr>
              <w:t xml:space="preserve"> </w:t>
            </w:r>
            <w:r w:rsidR="000961A2">
              <w:rPr>
                <w:rFonts w:eastAsia="Times New Roman" w:cs="Times New Roman"/>
                <w:color w:val="000000" w:themeColor="text1"/>
                <w:szCs w:val="24"/>
                <w:lang w:eastAsia="lv-LV"/>
              </w:rPr>
              <w:t>līdz 202</w:t>
            </w:r>
            <w:r w:rsidR="00FD2F3E">
              <w:rPr>
                <w:rFonts w:eastAsia="Times New Roman" w:cs="Times New Roman"/>
                <w:color w:val="000000" w:themeColor="text1"/>
                <w:szCs w:val="24"/>
                <w:lang w:eastAsia="lv-LV"/>
              </w:rPr>
              <w:t>0</w:t>
            </w:r>
            <w:r w:rsidR="000961A2">
              <w:rPr>
                <w:rFonts w:eastAsia="Times New Roman" w:cs="Times New Roman"/>
                <w:color w:val="000000" w:themeColor="text1"/>
                <w:szCs w:val="24"/>
                <w:lang w:eastAsia="lv-LV"/>
              </w:rPr>
              <w:t>. gada 31. </w:t>
            </w:r>
            <w:r w:rsidR="000961A2" w:rsidRPr="000961A2">
              <w:rPr>
                <w:rFonts w:eastAsia="Times New Roman" w:cs="Times New Roman"/>
                <w:color w:val="000000" w:themeColor="text1"/>
                <w:szCs w:val="24"/>
                <w:lang w:eastAsia="lv-LV"/>
              </w:rPr>
              <w:t>decembri</w:t>
            </w:r>
            <w:r w:rsidR="000961A2">
              <w:rPr>
                <w:rFonts w:eastAsia="Times New Roman" w:cs="Times New Roman"/>
                <w:color w:val="000000" w:themeColor="text1"/>
                <w:szCs w:val="24"/>
                <w:lang w:eastAsia="lv-LV"/>
              </w:rPr>
              <w:t>m (ieskaitot).</w:t>
            </w:r>
            <w:r w:rsidR="005C3F02">
              <w:rPr>
                <w:rFonts w:eastAsia="Times New Roman" w:cs="Times New Roman"/>
                <w:color w:val="000000" w:themeColor="text1"/>
                <w:szCs w:val="24"/>
                <w:lang w:eastAsia="lv-LV"/>
              </w:rPr>
              <w:t xml:space="preserve">  </w:t>
            </w:r>
          </w:p>
        </w:tc>
      </w:tr>
      <w:tr w:rsidR="00C21CD0" w:rsidRPr="00C21CD0" w14:paraId="6A84540C" w14:textId="77777777" w:rsidTr="0036242B">
        <w:trPr>
          <w:trHeight w:val="476"/>
        </w:trPr>
        <w:tc>
          <w:tcPr>
            <w:tcW w:w="458" w:type="dxa"/>
            <w:tcBorders>
              <w:top w:val="single" w:sz="4" w:space="0" w:color="auto"/>
            </w:tcBorders>
          </w:tcPr>
          <w:p w14:paraId="6CF6E8EE" w14:textId="77777777" w:rsidR="00440741" w:rsidRPr="00C21CD0" w:rsidRDefault="00440741" w:rsidP="00E517FE">
            <w:pPr>
              <w:rPr>
                <w:rFonts w:eastAsia="Times New Roman" w:cs="Times New Roman"/>
                <w:szCs w:val="24"/>
                <w:lang w:eastAsia="lv-LV"/>
              </w:rPr>
            </w:pPr>
            <w:r w:rsidRPr="00C21CD0">
              <w:rPr>
                <w:rFonts w:eastAsia="Times New Roman" w:cs="Times New Roman"/>
                <w:szCs w:val="24"/>
                <w:lang w:eastAsia="lv-LV"/>
              </w:rPr>
              <w:lastRenderedPageBreak/>
              <w:t>3.</w:t>
            </w:r>
          </w:p>
        </w:tc>
        <w:tc>
          <w:tcPr>
            <w:tcW w:w="1956" w:type="dxa"/>
            <w:tcBorders>
              <w:top w:val="single" w:sz="4" w:space="0" w:color="auto"/>
            </w:tcBorders>
          </w:tcPr>
          <w:p w14:paraId="5752EAA5" w14:textId="4A99D96E" w:rsidR="00440741" w:rsidRPr="00C21CD0" w:rsidRDefault="00440741" w:rsidP="00E517FE">
            <w:pPr>
              <w:rPr>
                <w:rFonts w:eastAsia="Times New Roman" w:cs="Times New Roman"/>
                <w:szCs w:val="24"/>
                <w:lang w:eastAsia="lv-LV"/>
              </w:rPr>
            </w:pPr>
            <w:r w:rsidRPr="00C21CD0">
              <w:rPr>
                <w:rFonts w:eastAsia="Times New Roman" w:cs="Times New Roman"/>
                <w:szCs w:val="24"/>
                <w:lang w:eastAsia="lv-LV"/>
              </w:rPr>
              <w:t>Projekta izstrādē iesaistītās institūcijas</w:t>
            </w:r>
            <w:r w:rsidR="00525383">
              <w:rPr>
                <w:rFonts w:eastAsia="Times New Roman" w:cs="Times New Roman"/>
                <w:szCs w:val="24"/>
                <w:lang w:eastAsia="lv-LV"/>
              </w:rPr>
              <w:t xml:space="preserve"> un publiskās personas kapitālsabiedrības</w:t>
            </w:r>
          </w:p>
        </w:tc>
        <w:tc>
          <w:tcPr>
            <w:tcW w:w="6653" w:type="dxa"/>
            <w:tcBorders>
              <w:top w:val="single" w:sz="4" w:space="0" w:color="auto"/>
            </w:tcBorders>
          </w:tcPr>
          <w:p w14:paraId="2300A345" w14:textId="77777777" w:rsidR="00440741" w:rsidRPr="00C21CD0" w:rsidRDefault="00FB2446" w:rsidP="00DA604A">
            <w:pPr>
              <w:ind w:right="144"/>
              <w:jc w:val="both"/>
              <w:rPr>
                <w:rFonts w:eastAsia="Times New Roman" w:cs="Times New Roman"/>
                <w:sz w:val="12"/>
                <w:szCs w:val="12"/>
                <w:lang w:eastAsia="lv-LV"/>
              </w:rPr>
            </w:pPr>
            <w:r>
              <w:rPr>
                <w:rFonts w:eastAsia="Times New Roman" w:cs="Times New Roman"/>
                <w:szCs w:val="24"/>
                <w:lang w:eastAsia="lv-LV"/>
              </w:rPr>
              <w:t xml:space="preserve">Valsts ieņēmumu dienests, </w:t>
            </w:r>
            <w:r w:rsidR="00E17720" w:rsidRPr="00C21CD0">
              <w:rPr>
                <w:rFonts w:eastAsia="Times New Roman" w:cs="Times New Roman"/>
                <w:szCs w:val="24"/>
                <w:lang w:eastAsia="lv-LV"/>
              </w:rPr>
              <w:t>F</w:t>
            </w:r>
            <w:r w:rsidR="00440741" w:rsidRPr="00C21CD0">
              <w:rPr>
                <w:rFonts w:eastAsia="Times New Roman" w:cs="Times New Roman"/>
                <w:szCs w:val="24"/>
                <w:lang w:eastAsia="lv-LV"/>
              </w:rPr>
              <w:t>inanšu ministrija</w:t>
            </w:r>
            <w:r>
              <w:rPr>
                <w:rFonts w:eastAsia="Times New Roman" w:cs="Times New Roman"/>
                <w:szCs w:val="24"/>
                <w:lang w:eastAsia="lv-LV"/>
              </w:rPr>
              <w:t xml:space="preserve"> </w:t>
            </w:r>
          </w:p>
        </w:tc>
      </w:tr>
      <w:tr w:rsidR="00511FA0" w:rsidRPr="00511FA0" w14:paraId="4C1344BB" w14:textId="77777777" w:rsidTr="0036242B">
        <w:trPr>
          <w:trHeight w:val="2150"/>
        </w:trPr>
        <w:tc>
          <w:tcPr>
            <w:tcW w:w="458" w:type="dxa"/>
          </w:tcPr>
          <w:p w14:paraId="71994339" w14:textId="77777777" w:rsidR="00440741" w:rsidRPr="00C21CD0" w:rsidRDefault="00440741" w:rsidP="00E517FE">
            <w:pPr>
              <w:rPr>
                <w:rFonts w:eastAsia="Times New Roman" w:cs="Times New Roman"/>
                <w:szCs w:val="24"/>
                <w:lang w:eastAsia="lv-LV"/>
              </w:rPr>
            </w:pPr>
            <w:r w:rsidRPr="00C21CD0">
              <w:rPr>
                <w:rFonts w:eastAsia="Times New Roman" w:cs="Times New Roman"/>
                <w:szCs w:val="24"/>
                <w:lang w:eastAsia="lv-LV"/>
              </w:rPr>
              <w:t>4.</w:t>
            </w:r>
          </w:p>
        </w:tc>
        <w:tc>
          <w:tcPr>
            <w:tcW w:w="1956" w:type="dxa"/>
          </w:tcPr>
          <w:p w14:paraId="1FB4CD02" w14:textId="77777777" w:rsidR="00440741" w:rsidRPr="00C21CD0" w:rsidRDefault="00440741" w:rsidP="00E517FE">
            <w:pPr>
              <w:rPr>
                <w:rFonts w:eastAsia="Times New Roman" w:cs="Times New Roman"/>
                <w:szCs w:val="24"/>
                <w:lang w:eastAsia="lv-LV"/>
              </w:rPr>
            </w:pPr>
            <w:r w:rsidRPr="00C21CD0">
              <w:rPr>
                <w:rFonts w:eastAsia="Times New Roman" w:cs="Times New Roman"/>
                <w:szCs w:val="24"/>
                <w:lang w:eastAsia="lv-LV"/>
              </w:rPr>
              <w:t>Cita informācija</w:t>
            </w:r>
          </w:p>
        </w:tc>
        <w:tc>
          <w:tcPr>
            <w:tcW w:w="6653" w:type="dxa"/>
          </w:tcPr>
          <w:p w14:paraId="76297D65" w14:textId="77777777" w:rsidR="00440741" w:rsidRDefault="00440741" w:rsidP="0036242B">
            <w:pPr>
              <w:ind w:right="142"/>
              <w:jc w:val="both"/>
              <w:rPr>
                <w:rFonts w:eastAsia="Times New Roman" w:cs="Times New Roman"/>
                <w:szCs w:val="24"/>
                <w:shd w:val="clear" w:color="auto" w:fill="FFFFFF"/>
                <w:lang w:eastAsia="lv-LV"/>
              </w:rPr>
            </w:pPr>
            <w:r w:rsidRPr="00B23A45">
              <w:rPr>
                <w:rFonts w:eastAsia="Times New Roman" w:cs="Times New Roman"/>
                <w:szCs w:val="24"/>
                <w:lang w:eastAsia="lv-LV"/>
              </w:rPr>
              <w:t>Likumprojekta virzība ir steidzama, jo</w:t>
            </w:r>
            <w:r w:rsidRPr="00B23A45">
              <w:rPr>
                <w:rFonts w:eastAsia="Times New Roman" w:cs="Times New Roman"/>
                <w:szCs w:val="24"/>
                <w:shd w:val="clear" w:color="auto" w:fill="FFFFFF"/>
                <w:lang w:eastAsia="lv-LV"/>
              </w:rPr>
              <w:t xml:space="preserve"> </w:t>
            </w:r>
            <w:r w:rsidR="00FB2446" w:rsidRPr="00B23A45">
              <w:rPr>
                <w:rFonts w:eastAsia="Times New Roman" w:cs="Times New Roman"/>
                <w:szCs w:val="24"/>
                <w:shd w:val="clear" w:color="auto" w:fill="FFFFFF"/>
                <w:lang w:eastAsia="lv-LV"/>
              </w:rPr>
              <w:t>nepieciešams nodrošināt l</w:t>
            </w:r>
            <w:r w:rsidRPr="00B23A45">
              <w:rPr>
                <w:rFonts w:eastAsia="Times New Roman" w:cs="Times New Roman"/>
                <w:szCs w:val="24"/>
                <w:shd w:val="clear" w:color="auto" w:fill="FFFFFF"/>
                <w:lang w:eastAsia="lv-LV"/>
              </w:rPr>
              <w:t>ikumprojekt</w:t>
            </w:r>
            <w:r w:rsidR="00FB2446" w:rsidRPr="00B23A45">
              <w:rPr>
                <w:rFonts w:eastAsia="Times New Roman" w:cs="Times New Roman"/>
                <w:szCs w:val="24"/>
                <w:shd w:val="clear" w:color="auto" w:fill="FFFFFF"/>
                <w:lang w:eastAsia="lv-LV"/>
              </w:rPr>
              <w:t xml:space="preserve">a </w:t>
            </w:r>
            <w:r w:rsidR="00E17720" w:rsidRPr="00B23A45">
              <w:rPr>
                <w:rFonts w:eastAsia="Times New Roman" w:cs="Times New Roman"/>
                <w:szCs w:val="24"/>
                <w:shd w:val="clear" w:color="auto" w:fill="FFFFFF"/>
                <w:lang w:eastAsia="lv-LV"/>
              </w:rPr>
              <w:t>izskatīšan</w:t>
            </w:r>
            <w:r w:rsidR="00FB2446" w:rsidRPr="00B23A45">
              <w:rPr>
                <w:rFonts w:eastAsia="Times New Roman" w:cs="Times New Roman"/>
                <w:szCs w:val="24"/>
                <w:shd w:val="clear" w:color="auto" w:fill="FFFFFF"/>
                <w:lang w:eastAsia="lv-LV"/>
              </w:rPr>
              <w:t>u</w:t>
            </w:r>
            <w:r w:rsidR="00E17720" w:rsidRPr="00B23A45">
              <w:rPr>
                <w:rFonts w:eastAsia="Times New Roman" w:cs="Times New Roman"/>
                <w:szCs w:val="24"/>
                <w:shd w:val="clear" w:color="auto" w:fill="FFFFFF"/>
                <w:lang w:eastAsia="lv-LV"/>
              </w:rPr>
              <w:t xml:space="preserve"> Ministru kabinetā</w:t>
            </w:r>
            <w:r w:rsidR="00B23A45" w:rsidRPr="00B23A45">
              <w:rPr>
                <w:rFonts w:eastAsia="Times New Roman" w:cs="Times New Roman"/>
                <w:szCs w:val="24"/>
                <w:shd w:val="clear" w:color="auto" w:fill="FFFFFF"/>
                <w:lang w:eastAsia="lv-LV"/>
              </w:rPr>
              <w:t>, lai</w:t>
            </w:r>
            <w:r w:rsidR="00F269B2" w:rsidRPr="00B23A45">
              <w:rPr>
                <w:rFonts w:eastAsia="Times New Roman" w:cs="Times New Roman"/>
                <w:szCs w:val="24"/>
                <w:shd w:val="clear" w:color="auto" w:fill="FFFFFF"/>
                <w:lang w:eastAsia="lv-LV"/>
              </w:rPr>
              <w:t xml:space="preserve"> uzsāktu nepieciešamo </w:t>
            </w:r>
            <w:r w:rsidR="00FB2446" w:rsidRPr="00B23A45">
              <w:rPr>
                <w:rFonts w:eastAsia="Times New Roman" w:cs="Times New Roman"/>
                <w:szCs w:val="24"/>
                <w:shd w:val="clear" w:color="auto" w:fill="FFFFFF"/>
                <w:lang w:eastAsia="lv-LV"/>
              </w:rPr>
              <w:t xml:space="preserve">programmnodrošinājumu </w:t>
            </w:r>
            <w:r w:rsidR="00F269B2" w:rsidRPr="00B23A45">
              <w:rPr>
                <w:rFonts w:eastAsia="Times New Roman" w:cs="Times New Roman"/>
                <w:szCs w:val="24"/>
                <w:shd w:val="clear" w:color="auto" w:fill="FFFFFF"/>
                <w:lang w:eastAsia="lv-LV"/>
              </w:rPr>
              <w:t>izstrādi</w:t>
            </w:r>
            <w:r w:rsidR="00A5031A">
              <w:rPr>
                <w:rFonts w:eastAsia="Times New Roman" w:cs="Times New Roman"/>
                <w:szCs w:val="24"/>
                <w:shd w:val="clear" w:color="auto" w:fill="FFFFFF"/>
                <w:lang w:eastAsia="lv-LV"/>
              </w:rPr>
              <w:t xml:space="preserve">, </w:t>
            </w:r>
            <w:r w:rsidR="00A5031A" w:rsidRPr="00A5031A">
              <w:rPr>
                <w:rFonts w:eastAsia="Times New Roman" w:cs="Times New Roman"/>
                <w:szCs w:val="24"/>
                <w:shd w:val="clear" w:color="auto" w:fill="FFFFFF"/>
                <w:lang w:eastAsia="lv-LV"/>
              </w:rPr>
              <w:t>kas pēc aptuveniem aprēķiniem varētu aizņemt 270 dienas, t.i., ārpakalpojuma risinājuma izstrādei un pielāgošanai. Vienlaikus jāparedz samērīgs laiks iepirkuma procedūras veikšanai atbilstoši Publisko iepirkumu likuma prasībām, kurās rezultātā</w:t>
            </w:r>
            <w:r w:rsidR="00A5031A">
              <w:rPr>
                <w:rFonts w:eastAsia="Times New Roman" w:cs="Times New Roman"/>
                <w:szCs w:val="24"/>
                <w:shd w:val="clear" w:color="auto" w:fill="FFFFFF"/>
                <w:lang w:eastAsia="lv-LV"/>
              </w:rPr>
              <w:t xml:space="preserve"> tiks </w:t>
            </w:r>
            <w:r w:rsidR="00C90AAE" w:rsidRPr="00B23A45">
              <w:rPr>
                <w:rFonts w:eastAsia="Times New Roman" w:cs="Times New Roman"/>
                <w:szCs w:val="24"/>
                <w:shd w:val="clear" w:color="auto" w:fill="FFFFFF"/>
                <w:lang w:eastAsia="lv-LV"/>
              </w:rPr>
              <w:t>piešķirt</w:t>
            </w:r>
            <w:r w:rsidR="00A5031A">
              <w:rPr>
                <w:rFonts w:eastAsia="Times New Roman" w:cs="Times New Roman"/>
                <w:szCs w:val="24"/>
                <w:shd w:val="clear" w:color="auto" w:fill="FFFFFF"/>
                <w:lang w:eastAsia="lv-LV"/>
              </w:rPr>
              <w:t>as</w:t>
            </w:r>
            <w:r w:rsidR="00C90AAE" w:rsidRPr="00B23A45">
              <w:rPr>
                <w:rFonts w:eastAsia="Times New Roman" w:cs="Times New Roman"/>
                <w:szCs w:val="24"/>
                <w:shd w:val="clear" w:color="auto" w:fill="FFFFFF"/>
                <w:lang w:eastAsia="lv-LV"/>
              </w:rPr>
              <w:t xml:space="preserve"> </w:t>
            </w:r>
            <w:r w:rsidR="00FB2446" w:rsidRPr="00B23A45">
              <w:rPr>
                <w:rFonts w:eastAsia="Times New Roman" w:cs="Times New Roman"/>
                <w:szCs w:val="24"/>
                <w:shd w:val="clear" w:color="auto" w:fill="FFFFFF"/>
                <w:lang w:eastAsia="lv-LV"/>
              </w:rPr>
              <w:t>tiesības čeku spēles organizēšanas un sniegšanas pakalpojumu piegādātājam</w:t>
            </w:r>
            <w:r w:rsidR="00B23A45" w:rsidRPr="00B23A45">
              <w:rPr>
                <w:rFonts w:eastAsia="Times New Roman" w:cs="Times New Roman"/>
                <w:szCs w:val="24"/>
                <w:shd w:val="clear" w:color="auto" w:fill="FFFFFF"/>
                <w:lang w:eastAsia="lv-LV"/>
              </w:rPr>
              <w:t xml:space="preserve"> </w:t>
            </w:r>
            <w:r w:rsidR="00FB2446" w:rsidRPr="00B23A45">
              <w:rPr>
                <w:rFonts w:eastAsia="Times New Roman" w:cs="Times New Roman"/>
                <w:szCs w:val="24"/>
                <w:shd w:val="clear" w:color="auto" w:fill="FFFFFF"/>
                <w:lang w:eastAsia="lv-LV"/>
              </w:rPr>
              <w:t>veikt spēles organizēšana</w:t>
            </w:r>
            <w:r w:rsidR="003670C7" w:rsidRPr="00B23A45">
              <w:rPr>
                <w:rFonts w:eastAsia="Times New Roman" w:cs="Times New Roman"/>
                <w:szCs w:val="24"/>
                <w:shd w:val="clear" w:color="auto" w:fill="FFFFFF"/>
                <w:lang w:eastAsia="lv-LV"/>
              </w:rPr>
              <w:t>s pasākumus</w:t>
            </w:r>
            <w:r w:rsidR="00B23A45" w:rsidRPr="00B23A45">
              <w:rPr>
                <w:rFonts w:eastAsia="Times New Roman" w:cs="Times New Roman"/>
                <w:szCs w:val="24"/>
                <w:shd w:val="clear" w:color="auto" w:fill="FFFFFF"/>
                <w:lang w:eastAsia="lv-LV"/>
              </w:rPr>
              <w:t>.</w:t>
            </w:r>
          </w:p>
          <w:p w14:paraId="30BC8A52" w14:textId="77777777" w:rsidR="00AF21DE" w:rsidRPr="00B23A45" w:rsidRDefault="00AF21DE" w:rsidP="00DA604A">
            <w:pPr>
              <w:ind w:right="144"/>
              <w:jc w:val="both"/>
              <w:rPr>
                <w:rFonts w:eastAsia="Times New Roman" w:cs="Times New Roman"/>
                <w:sz w:val="12"/>
                <w:szCs w:val="12"/>
                <w:lang w:eastAsia="lv-LV"/>
              </w:rPr>
            </w:pPr>
          </w:p>
        </w:tc>
      </w:tr>
    </w:tbl>
    <w:p w14:paraId="1A4084B7" w14:textId="77777777" w:rsidR="00440741" w:rsidRPr="00C21CD0" w:rsidRDefault="00440741" w:rsidP="00440741">
      <w:pPr>
        <w:ind w:firstLine="375"/>
        <w:jc w:val="both"/>
        <w:rPr>
          <w:rFonts w:eastAsia="Times New Roman" w:cs="Times New Roman"/>
          <w:szCs w:val="24"/>
          <w:lang w:eastAsia="lv-LV"/>
        </w:rPr>
      </w:pPr>
    </w:p>
    <w:p w14:paraId="38301E99" w14:textId="77777777" w:rsidR="00440741" w:rsidRPr="00C21CD0" w:rsidRDefault="00440741" w:rsidP="00440741">
      <w:pPr>
        <w:ind w:firstLine="375"/>
        <w:jc w:val="both"/>
        <w:rPr>
          <w:rFonts w:eastAsia="Times New Roman" w:cs="Times New Roman"/>
          <w:szCs w:val="24"/>
          <w:lang w:eastAsia="lv-LV"/>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2126"/>
        <w:gridCol w:w="6524"/>
      </w:tblGrid>
      <w:tr w:rsidR="00C21CD0" w:rsidRPr="00C21CD0" w14:paraId="4A29D5B6" w14:textId="77777777" w:rsidTr="0036242B">
        <w:tc>
          <w:tcPr>
            <w:tcW w:w="9071" w:type="dxa"/>
            <w:gridSpan w:val="3"/>
            <w:vAlign w:val="center"/>
          </w:tcPr>
          <w:p w14:paraId="29129D50" w14:textId="77777777" w:rsidR="00440741" w:rsidRPr="00C21CD0" w:rsidRDefault="00440741" w:rsidP="00E517FE">
            <w:pPr>
              <w:jc w:val="center"/>
              <w:rPr>
                <w:rFonts w:eastAsia="Times New Roman" w:cs="Times New Roman"/>
                <w:b/>
                <w:bCs/>
                <w:szCs w:val="24"/>
                <w:lang w:eastAsia="lv-LV"/>
              </w:rPr>
            </w:pPr>
            <w:r w:rsidRPr="00C21CD0">
              <w:rPr>
                <w:rFonts w:eastAsia="Times New Roman" w:cs="Times New Roman"/>
                <w:b/>
                <w:bCs/>
                <w:szCs w:val="24"/>
                <w:lang w:eastAsia="lv-LV"/>
              </w:rPr>
              <w:t>II. Tiesību akta projekta ietekme uz sabiedrību, tautsaimniecības attīstību un administratīvo slogu</w:t>
            </w:r>
          </w:p>
        </w:tc>
      </w:tr>
      <w:tr w:rsidR="00C21CD0" w:rsidRPr="00C21CD0" w14:paraId="263C5696" w14:textId="77777777" w:rsidTr="0036242B">
        <w:trPr>
          <w:trHeight w:val="467"/>
        </w:trPr>
        <w:tc>
          <w:tcPr>
            <w:tcW w:w="421" w:type="dxa"/>
          </w:tcPr>
          <w:p w14:paraId="41F8842E" w14:textId="77777777" w:rsidR="00440741" w:rsidRPr="00C21CD0" w:rsidRDefault="00440741" w:rsidP="00E517FE">
            <w:pPr>
              <w:jc w:val="center"/>
              <w:rPr>
                <w:rFonts w:eastAsia="Times New Roman" w:cs="Times New Roman"/>
                <w:szCs w:val="24"/>
                <w:lang w:eastAsia="lv-LV"/>
              </w:rPr>
            </w:pPr>
            <w:r w:rsidRPr="00C21CD0">
              <w:rPr>
                <w:rFonts w:eastAsia="Times New Roman" w:cs="Times New Roman"/>
                <w:szCs w:val="24"/>
                <w:lang w:eastAsia="lv-LV"/>
              </w:rPr>
              <w:t>1.</w:t>
            </w:r>
          </w:p>
        </w:tc>
        <w:tc>
          <w:tcPr>
            <w:tcW w:w="2126" w:type="dxa"/>
          </w:tcPr>
          <w:p w14:paraId="75F3A31D" w14:textId="77777777" w:rsidR="00440741" w:rsidRPr="00C21CD0" w:rsidRDefault="00440741" w:rsidP="00E517FE">
            <w:pPr>
              <w:rPr>
                <w:rFonts w:eastAsia="Times New Roman" w:cs="Times New Roman"/>
                <w:szCs w:val="24"/>
                <w:lang w:eastAsia="lv-LV"/>
              </w:rPr>
            </w:pPr>
            <w:r w:rsidRPr="00C21CD0">
              <w:rPr>
                <w:rFonts w:eastAsia="Times New Roman" w:cs="Times New Roman"/>
                <w:szCs w:val="24"/>
                <w:lang w:eastAsia="lv-LV"/>
              </w:rPr>
              <w:t xml:space="preserve">Sabiedrības </w:t>
            </w:r>
            <w:proofErr w:type="spellStart"/>
            <w:r w:rsidRPr="00C21CD0">
              <w:rPr>
                <w:rFonts w:eastAsia="Times New Roman" w:cs="Times New Roman"/>
                <w:szCs w:val="24"/>
                <w:lang w:eastAsia="lv-LV"/>
              </w:rPr>
              <w:t>mērķgrupas</w:t>
            </w:r>
            <w:proofErr w:type="spellEnd"/>
            <w:r w:rsidRPr="00C21CD0">
              <w:rPr>
                <w:rFonts w:eastAsia="Times New Roman" w:cs="Times New Roman"/>
                <w:szCs w:val="24"/>
                <w:lang w:eastAsia="lv-LV"/>
              </w:rPr>
              <w:t>, kuras tiesiskais regulējums ietekmē vai varētu ietekmēt</w:t>
            </w:r>
          </w:p>
        </w:tc>
        <w:tc>
          <w:tcPr>
            <w:tcW w:w="6520" w:type="dxa"/>
          </w:tcPr>
          <w:p w14:paraId="6A83E4E5" w14:textId="3EF47330" w:rsidR="00B64D70" w:rsidRDefault="00511FA0" w:rsidP="0036242B">
            <w:pPr>
              <w:ind w:right="142" w:firstLine="571"/>
              <w:jc w:val="both"/>
              <w:rPr>
                <w:i/>
              </w:rPr>
            </w:pPr>
            <w:r>
              <w:rPr>
                <w:rFonts w:eastAsia="Times New Roman" w:cs="Times New Roman"/>
                <w:szCs w:val="24"/>
                <w:lang w:eastAsia="lv-LV"/>
              </w:rPr>
              <w:t>F</w:t>
            </w:r>
            <w:r w:rsidRPr="00C21CD0">
              <w:rPr>
                <w:rFonts w:eastAsia="Times New Roman" w:cs="Times New Roman"/>
                <w:szCs w:val="24"/>
                <w:lang w:eastAsia="lv-LV"/>
              </w:rPr>
              <w:t>izisk</w:t>
            </w:r>
            <w:r>
              <w:rPr>
                <w:rFonts w:eastAsia="Times New Roman" w:cs="Times New Roman"/>
                <w:szCs w:val="24"/>
                <w:lang w:eastAsia="lv-LV"/>
              </w:rPr>
              <w:t>ās</w:t>
            </w:r>
            <w:r w:rsidRPr="00C21CD0">
              <w:rPr>
                <w:rFonts w:eastAsia="Times New Roman" w:cs="Times New Roman"/>
                <w:szCs w:val="24"/>
                <w:lang w:eastAsia="lv-LV"/>
              </w:rPr>
              <w:t xml:space="preserve"> person</w:t>
            </w:r>
            <w:r>
              <w:rPr>
                <w:rFonts w:eastAsia="Times New Roman" w:cs="Times New Roman"/>
                <w:szCs w:val="24"/>
                <w:lang w:eastAsia="lv-LV"/>
              </w:rPr>
              <w:t>as</w:t>
            </w:r>
            <w:r w:rsidRPr="00C21CD0">
              <w:rPr>
                <w:rFonts w:eastAsia="Times New Roman" w:cs="Times New Roman"/>
                <w:szCs w:val="24"/>
                <w:lang w:eastAsia="lv-LV"/>
              </w:rPr>
              <w:t>,</w:t>
            </w:r>
            <w:r w:rsidRPr="00C21CD0">
              <w:rPr>
                <w:lang w:eastAsia="lt-LT"/>
              </w:rPr>
              <w:t xml:space="preserve"> k</w:t>
            </w:r>
            <w:r>
              <w:rPr>
                <w:lang w:eastAsia="lt-LT"/>
              </w:rPr>
              <w:t>ura</w:t>
            </w:r>
            <w:r w:rsidRPr="00C21CD0">
              <w:rPr>
                <w:lang w:eastAsia="lt-LT"/>
              </w:rPr>
              <w:t xml:space="preserve">s piedalās čeku spēlē </w:t>
            </w:r>
            <w:r w:rsidR="0002724B">
              <w:rPr>
                <w:lang w:eastAsia="lt-LT"/>
              </w:rPr>
              <w:t>atbilstoši Č</w:t>
            </w:r>
            <w:r>
              <w:rPr>
                <w:lang w:eastAsia="lt-LT"/>
              </w:rPr>
              <w:t xml:space="preserve">eku spēles </w:t>
            </w:r>
            <w:r w:rsidR="0002724B">
              <w:t>likumā norādītajiem noteikumiem</w:t>
            </w:r>
            <w:r>
              <w:rPr>
                <w:lang w:eastAsia="lt-LT"/>
              </w:rPr>
              <w:t xml:space="preserve"> </w:t>
            </w:r>
            <w:r w:rsidRPr="00727BD3">
              <w:rPr>
                <w:lang w:eastAsia="lt-LT"/>
              </w:rPr>
              <w:t xml:space="preserve">un ir iegādājušās no preču tirgotāja preci vai no pakalpojumu sniedzēja ir saņēmušas pakalpojumu, kura </w:t>
            </w:r>
            <w:r w:rsidR="002D7FF9">
              <w:t xml:space="preserve">darījuma vērtība bez pievienotās vērtības nodokļa ir vismaz 5 </w:t>
            </w:r>
            <w:proofErr w:type="spellStart"/>
            <w:r w:rsidR="002D7FF9" w:rsidRPr="002D7FF9">
              <w:rPr>
                <w:i/>
              </w:rPr>
              <w:t>euro</w:t>
            </w:r>
            <w:proofErr w:type="spellEnd"/>
            <w:r w:rsidR="00CC0051">
              <w:rPr>
                <w:i/>
              </w:rPr>
              <w:t>.</w:t>
            </w:r>
          </w:p>
          <w:p w14:paraId="54E3DB3B" w14:textId="77777777" w:rsidR="00361A54" w:rsidRDefault="008206C5" w:rsidP="0036242B">
            <w:pPr>
              <w:ind w:right="142" w:firstLine="571"/>
              <w:jc w:val="both"/>
              <w:rPr>
                <w:lang w:eastAsia="lt-LT"/>
              </w:rPr>
            </w:pPr>
            <w:r w:rsidRPr="008206C5">
              <w:rPr>
                <w:lang w:eastAsia="lt-LT"/>
              </w:rPr>
              <w:t>VID darbinieki</w:t>
            </w:r>
            <w:r w:rsidR="0050458E">
              <w:rPr>
                <w:lang w:eastAsia="lt-LT"/>
              </w:rPr>
              <w:t xml:space="preserve"> un</w:t>
            </w:r>
            <w:r>
              <w:rPr>
                <w:lang w:eastAsia="lt-LT"/>
              </w:rPr>
              <w:t xml:space="preserve"> č</w:t>
            </w:r>
            <w:r w:rsidRPr="008206C5">
              <w:rPr>
                <w:lang w:eastAsia="lt-LT"/>
              </w:rPr>
              <w:t>eku spēles pakalpojuma sniedzēja</w:t>
            </w:r>
            <w:r>
              <w:rPr>
                <w:lang w:eastAsia="lt-LT"/>
              </w:rPr>
              <w:t xml:space="preserve"> darbinieki č</w:t>
            </w:r>
            <w:r w:rsidRPr="008206C5">
              <w:rPr>
                <w:lang w:eastAsia="lt-LT"/>
              </w:rPr>
              <w:t>eku spēlē nevar piedalīties</w:t>
            </w:r>
            <w:r>
              <w:rPr>
                <w:lang w:eastAsia="lt-LT"/>
              </w:rPr>
              <w:t>.</w:t>
            </w:r>
          </w:p>
          <w:p w14:paraId="1887A11B" w14:textId="442B86EC" w:rsidR="0032785A" w:rsidRPr="00C21CD0" w:rsidRDefault="0032785A" w:rsidP="00D82C02">
            <w:pPr>
              <w:ind w:right="113"/>
              <w:jc w:val="both"/>
              <w:rPr>
                <w:lang w:eastAsia="lt-LT"/>
              </w:rPr>
            </w:pPr>
          </w:p>
        </w:tc>
      </w:tr>
      <w:tr w:rsidR="00C21CD0" w:rsidRPr="00C21CD0" w14:paraId="06571B7C" w14:textId="77777777" w:rsidTr="0036242B">
        <w:trPr>
          <w:trHeight w:val="523"/>
        </w:trPr>
        <w:tc>
          <w:tcPr>
            <w:tcW w:w="421" w:type="dxa"/>
          </w:tcPr>
          <w:p w14:paraId="73D280CC" w14:textId="77777777" w:rsidR="00440741" w:rsidRPr="00C21CD0" w:rsidRDefault="00440741" w:rsidP="00E517FE">
            <w:pPr>
              <w:jc w:val="center"/>
              <w:rPr>
                <w:rFonts w:eastAsia="Times New Roman" w:cs="Times New Roman"/>
                <w:szCs w:val="24"/>
                <w:lang w:eastAsia="lv-LV"/>
              </w:rPr>
            </w:pPr>
            <w:r w:rsidRPr="00C21CD0">
              <w:rPr>
                <w:rFonts w:eastAsia="Times New Roman" w:cs="Times New Roman"/>
                <w:szCs w:val="24"/>
                <w:lang w:eastAsia="lv-LV"/>
              </w:rPr>
              <w:t>2.</w:t>
            </w:r>
          </w:p>
        </w:tc>
        <w:tc>
          <w:tcPr>
            <w:tcW w:w="2126" w:type="dxa"/>
          </w:tcPr>
          <w:p w14:paraId="6DA3F6CF" w14:textId="77777777" w:rsidR="00440741" w:rsidRPr="00C21CD0" w:rsidRDefault="00440741" w:rsidP="00E517FE">
            <w:pPr>
              <w:rPr>
                <w:rFonts w:eastAsia="Times New Roman" w:cs="Times New Roman"/>
                <w:szCs w:val="24"/>
                <w:lang w:eastAsia="lv-LV"/>
              </w:rPr>
            </w:pPr>
            <w:r w:rsidRPr="00C21CD0">
              <w:rPr>
                <w:rFonts w:eastAsia="Times New Roman" w:cs="Times New Roman"/>
                <w:szCs w:val="24"/>
                <w:lang w:eastAsia="lv-LV"/>
              </w:rPr>
              <w:t>Tiesiskā regulējuma ietekme uz tautsaimniecību un administratīvo slogu</w:t>
            </w:r>
          </w:p>
        </w:tc>
        <w:tc>
          <w:tcPr>
            <w:tcW w:w="6520" w:type="dxa"/>
          </w:tcPr>
          <w:p w14:paraId="46406832" w14:textId="77777777" w:rsidR="00440741" w:rsidRPr="00C21CD0" w:rsidRDefault="00440741" w:rsidP="0036242B">
            <w:pPr>
              <w:tabs>
                <w:tab w:val="left" w:pos="562"/>
              </w:tabs>
              <w:ind w:right="142" w:firstLine="573"/>
              <w:jc w:val="both"/>
              <w:rPr>
                <w:rFonts w:eastAsia="Times New Roman" w:cs="Times New Roman"/>
                <w:szCs w:val="24"/>
                <w:lang w:eastAsia="lv-LV"/>
              </w:rPr>
            </w:pPr>
            <w:r w:rsidRPr="00C21CD0">
              <w:rPr>
                <w:rFonts w:eastAsia="Times New Roman" w:cs="Times New Roman"/>
                <w:szCs w:val="24"/>
                <w:lang w:eastAsia="lv-LV"/>
              </w:rPr>
              <w:t xml:space="preserve">Likumprojektā ietvertajam tiesiskajam regulējumam ir pozitīva ietekme uz tautsaimniecību. </w:t>
            </w:r>
            <w:r w:rsidR="009F2632" w:rsidRPr="00C21CD0">
              <w:rPr>
                <w:rFonts w:eastAsia="Times New Roman" w:cs="Times New Roman"/>
                <w:szCs w:val="24"/>
                <w:lang w:eastAsia="lv-LV"/>
              </w:rPr>
              <w:t xml:space="preserve">Iesaistot fiziskās personas piedalīties </w:t>
            </w:r>
            <w:r w:rsidR="00C32D32">
              <w:rPr>
                <w:rFonts w:eastAsia="Times New Roman" w:cs="Times New Roman"/>
                <w:szCs w:val="24"/>
                <w:lang w:eastAsia="lv-LV"/>
              </w:rPr>
              <w:t>č</w:t>
            </w:r>
            <w:r w:rsidR="009F2632" w:rsidRPr="00C21CD0">
              <w:rPr>
                <w:rFonts w:eastAsia="Times New Roman" w:cs="Times New Roman"/>
                <w:szCs w:val="24"/>
                <w:lang w:eastAsia="lv-LV"/>
              </w:rPr>
              <w:t>eku spēl</w:t>
            </w:r>
            <w:r w:rsidR="00B64FD7">
              <w:rPr>
                <w:rFonts w:eastAsia="Times New Roman" w:cs="Times New Roman"/>
                <w:szCs w:val="24"/>
                <w:lang w:eastAsia="lv-LV"/>
              </w:rPr>
              <w:t>ē,</w:t>
            </w:r>
            <w:r w:rsidR="009F2632" w:rsidRPr="00C21CD0">
              <w:rPr>
                <w:rFonts w:eastAsia="Times New Roman" w:cs="Times New Roman"/>
                <w:szCs w:val="24"/>
                <w:lang w:eastAsia="lv-LV"/>
              </w:rPr>
              <w:t xml:space="preserve"> tiks sekmēta ēnu ekonomikas mazināšanās un </w:t>
            </w:r>
            <w:r w:rsidR="00B64FD7">
              <w:rPr>
                <w:rFonts w:eastAsia="Times New Roman" w:cs="Times New Roman"/>
                <w:szCs w:val="24"/>
                <w:lang w:eastAsia="lv-LV"/>
              </w:rPr>
              <w:t>tādējādi arī</w:t>
            </w:r>
            <w:r w:rsidR="009F2632" w:rsidRPr="00C21CD0">
              <w:rPr>
                <w:rFonts w:eastAsia="Times New Roman" w:cs="Times New Roman"/>
                <w:szCs w:val="24"/>
                <w:lang w:eastAsia="lv-LV"/>
              </w:rPr>
              <w:t xml:space="preserve"> sekmēta tautsaimniecības attīstības nozares, kurās tiks organizēta </w:t>
            </w:r>
            <w:r w:rsidR="00C90AAE">
              <w:rPr>
                <w:rFonts w:eastAsia="Times New Roman" w:cs="Times New Roman"/>
                <w:szCs w:val="24"/>
                <w:lang w:eastAsia="lv-LV"/>
              </w:rPr>
              <w:t>č</w:t>
            </w:r>
            <w:r w:rsidR="009F2632" w:rsidRPr="00C21CD0">
              <w:rPr>
                <w:rFonts w:eastAsia="Times New Roman" w:cs="Times New Roman"/>
                <w:szCs w:val="24"/>
                <w:lang w:eastAsia="lv-LV"/>
              </w:rPr>
              <w:t>eku spēle</w:t>
            </w:r>
            <w:r w:rsidR="00B64FD7">
              <w:rPr>
                <w:rFonts w:eastAsia="Times New Roman" w:cs="Times New Roman"/>
                <w:szCs w:val="24"/>
                <w:lang w:eastAsia="lv-LV"/>
              </w:rPr>
              <w:t>.</w:t>
            </w:r>
          </w:p>
          <w:p w14:paraId="2FEA2FE4" w14:textId="77777777" w:rsidR="00440741" w:rsidRPr="00C21CD0" w:rsidRDefault="00440741" w:rsidP="0036242B">
            <w:pPr>
              <w:tabs>
                <w:tab w:val="left" w:pos="562"/>
              </w:tabs>
              <w:ind w:right="142" w:firstLine="573"/>
              <w:jc w:val="both"/>
              <w:rPr>
                <w:rFonts w:eastAsia="Times New Roman" w:cs="Times New Roman"/>
                <w:szCs w:val="24"/>
                <w:lang w:eastAsia="lv-LV"/>
              </w:rPr>
            </w:pPr>
            <w:r w:rsidRPr="00C21CD0">
              <w:rPr>
                <w:rFonts w:eastAsia="Times New Roman" w:cs="Times New Roman"/>
                <w:szCs w:val="24"/>
                <w:lang w:eastAsia="lv-LV"/>
              </w:rPr>
              <w:t xml:space="preserve">Likumprojekts nodrošina </w:t>
            </w:r>
            <w:r w:rsidR="009F2632" w:rsidRPr="00C21CD0">
              <w:rPr>
                <w:rFonts w:eastAsia="Times New Roman" w:cs="Times New Roman"/>
                <w:szCs w:val="24"/>
                <w:lang w:eastAsia="lv-LV"/>
              </w:rPr>
              <w:t>fiziskām personām vienlīdzīgas</w:t>
            </w:r>
            <w:r w:rsidRPr="00C21CD0">
              <w:rPr>
                <w:rFonts w:eastAsia="Times New Roman" w:cs="Times New Roman"/>
                <w:szCs w:val="24"/>
                <w:lang w:eastAsia="lv-LV"/>
              </w:rPr>
              <w:t xml:space="preserve"> tiesības un iespējas.</w:t>
            </w:r>
          </w:p>
          <w:p w14:paraId="64210823" w14:textId="77777777" w:rsidR="006315ED" w:rsidRDefault="006315ED" w:rsidP="0036242B">
            <w:pPr>
              <w:tabs>
                <w:tab w:val="left" w:pos="562"/>
              </w:tabs>
              <w:ind w:right="142" w:firstLine="573"/>
              <w:jc w:val="both"/>
              <w:rPr>
                <w:rFonts w:eastAsia="Times New Roman" w:cs="Times New Roman"/>
                <w:szCs w:val="24"/>
                <w:lang w:eastAsia="lv-LV"/>
              </w:rPr>
            </w:pPr>
            <w:r>
              <w:rPr>
                <w:rFonts w:eastAsia="Times New Roman" w:cs="Times New Roman"/>
                <w:szCs w:val="24"/>
                <w:lang w:eastAsia="lv-LV"/>
              </w:rPr>
              <w:t>Likumprojekts neveido papildu administratīvo slogu, dalība čeku spēlē ir brīvprātīgs pasākums, kas veicina nodokļu maksāšanas kultūras attīstību un nodokļu ieņēmumu reģistrēšanu.</w:t>
            </w:r>
          </w:p>
          <w:p w14:paraId="463BFC9E" w14:textId="335522B3" w:rsidR="0032785A" w:rsidRPr="00C21CD0" w:rsidRDefault="0032785A" w:rsidP="00D82C02">
            <w:pPr>
              <w:tabs>
                <w:tab w:val="left" w:pos="562"/>
              </w:tabs>
              <w:ind w:right="113" w:firstLine="570"/>
              <w:jc w:val="both"/>
              <w:rPr>
                <w:rFonts w:eastAsia="EUAlbertina_Bold" w:cs="Times New Roman"/>
                <w:szCs w:val="24"/>
                <w:lang w:eastAsia="lv-LV"/>
              </w:rPr>
            </w:pPr>
          </w:p>
        </w:tc>
      </w:tr>
      <w:tr w:rsidR="00C21CD0" w:rsidRPr="00C21CD0" w14:paraId="5A80502F" w14:textId="77777777" w:rsidTr="0036242B">
        <w:trPr>
          <w:trHeight w:val="523"/>
        </w:trPr>
        <w:tc>
          <w:tcPr>
            <w:tcW w:w="421" w:type="dxa"/>
          </w:tcPr>
          <w:p w14:paraId="56C60E9B" w14:textId="77777777" w:rsidR="00440741" w:rsidRPr="00C21CD0" w:rsidRDefault="00440741" w:rsidP="00E517FE">
            <w:pPr>
              <w:jc w:val="center"/>
              <w:rPr>
                <w:rFonts w:eastAsia="Times New Roman" w:cs="Times New Roman"/>
                <w:szCs w:val="24"/>
                <w:lang w:eastAsia="lv-LV"/>
              </w:rPr>
            </w:pPr>
            <w:r w:rsidRPr="00C21CD0">
              <w:rPr>
                <w:rFonts w:eastAsia="Times New Roman" w:cs="Times New Roman"/>
                <w:szCs w:val="24"/>
                <w:lang w:eastAsia="lv-LV"/>
              </w:rPr>
              <w:t>3.</w:t>
            </w:r>
          </w:p>
        </w:tc>
        <w:tc>
          <w:tcPr>
            <w:tcW w:w="2126" w:type="dxa"/>
          </w:tcPr>
          <w:p w14:paraId="072B30BF" w14:textId="77777777" w:rsidR="00440741" w:rsidRPr="00C21CD0" w:rsidRDefault="00440741" w:rsidP="00E517FE">
            <w:pPr>
              <w:rPr>
                <w:rFonts w:eastAsia="Times New Roman" w:cs="Times New Roman"/>
                <w:szCs w:val="24"/>
                <w:lang w:eastAsia="lv-LV"/>
              </w:rPr>
            </w:pPr>
            <w:r w:rsidRPr="00C21CD0">
              <w:rPr>
                <w:rFonts w:eastAsia="Times New Roman" w:cs="Times New Roman"/>
                <w:szCs w:val="24"/>
                <w:lang w:eastAsia="lv-LV"/>
              </w:rPr>
              <w:t>Administratīvo izmaksu monetārs novērtējums</w:t>
            </w:r>
          </w:p>
        </w:tc>
        <w:tc>
          <w:tcPr>
            <w:tcW w:w="6520" w:type="dxa"/>
          </w:tcPr>
          <w:p w14:paraId="1EF9BA19" w14:textId="379E88F5" w:rsidR="00A833E7" w:rsidRDefault="002A2ED9" w:rsidP="00D82C02">
            <w:pPr>
              <w:ind w:right="113" w:firstLine="570"/>
              <w:jc w:val="both"/>
              <w:rPr>
                <w:rFonts w:eastAsia="Times New Roman" w:cs="Times New Roman"/>
                <w:szCs w:val="20"/>
                <w:lang w:eastAsia="lv-LV"/>
              </w:rPr>
            </w:pPr>
            <w:r w:rsidRPr="00B23A45">
              <w:t>S</w:t>
            </w:r>
            <w:r w:rsidR="00A833E7" w:rsidRPr="00B23A45">
              <w:t xml:space="preserve">pēles organizēšanai </w:t>
            </w:r>
            <w:r w:rsidRPr="00B23A45">
              <w:t xml:space="preserve">plānots </w:t>
            </w:r>
            <w:r w:rsidR="00A833E7" w:rsidRPr="00B23A45">
              <w:t>piesaistīt ārpakalpojumu</w:t>
            </w:r>
            <w:r w:rsidR="00D05445" w:rsidRPr="00B23A45">
              <w:t>,</w:t>
            </w:r>
            <w:r w:rsidR="00A833E7" w:rsidRPr="00B23A45">
              <w:t xml:space="preserve"> tā ietvaros izstrādāt nepieciešamo </w:t>
            </w:r>
            <w:r w:rsidR="00DE6D9F" w:rsidRPr="00B23A45">
              <w:t>programm</w:t>
            </w:r>
            <w:r w:rsidR="00DE6D9F">
              <w:t>atūru</w:t>
            </w:r>
            <w:r w:rsidR="00D05445" w:rsidRPr="00B23A45">
              <w:t>,</w:t>
            </w:r>
            <w:r w:rsidR="00A833E7" w:rsidRPr="00B23A45">
              <w:t xml:space="preserve"> un iepirkuma procedūras rezultātā atbilstoši Publisko iepirkumu likuma prasībām </w:t>
            </w:r>
            <w:r w:rsidR="00C32D32" w:rsidRPr="00B23A45">
              <w:t xml:space="preserve">piešķirt </w:t>
            </w:r>
            <w:r w:rsidR="00A833E7" w:rsidRPr="00B23A45">
              <w:t>tiesības čeku spēles organizēšanas un sniegšanas pakalpojumu piegādātājam</w:t>
            </w:r>
            <w:r w:rsidR="00B23A45" w:rsidRPr="00B23A45">
              <w:t xml:space="preserve"> </w:t>
            </w:r>
            <w:r w:rsidR="00A833E7" w:rsidRPr="00B23A45">
              <w:t xml:space="preserve">veikt spēles organizēšanas pasākumus. </w:t>
            </w:r>
            <w:r w:rsidR="00A833E7" w:rsidRPr="00E527F2">
              <w:t>Čeku spēl</w:t>
            </w:r>
            <w:r w:rsidR="00C32D32">
              <w:t>i</w:t>
            </w:r>
            <w:r w:rsidR="00A833E7" w:rsidRPr="00E527F2">
              <w:t xml:space="preserve"> plānots īstenot, izmantojot ārpakalpojumu,</w:t>
            </w:r>
            <w:r w:rsidR="00A833E7">
              <w:t xml:space="preserve"> precīzas </w:t>
            </w:r>
            <w:r w:rsidR="00A833E7">
              <w:lastRenderedPageBreak/>
              <w:t xml:space="preserve">ārpakalpojuma izmaksas </w:t>
            </w:r>
            <w:r w:rsidR="005F3D96">
              <w:t>tiks</w:t>
            </w:r>
            <w:r w:rsidR="00A833E7">
              <w:t xml:space="preserve"> noteiktas pēc publisko iepirkumu procedūras noslēgšanas.</w:t>
            </w:r>
          </w:p>
          <w:p w14:paraId="6488F7FC" w14:textId="77777777" w:rsidR="00440741" w:rsidRDefault="00FC3C4E" w:rsidP="00D82C02">
            <w:pPr>
              <w:ind w:right="113" w:firstLine="570"/>
              <w:jc w:val="both"/>
              <w:rPr>
                <w:rFonts w:eastAsia="Times New Roman" w:cs="Times New Roman"/>
                <w:szCs w:val="20"/>
                <w:lang w:eastAsia="lv-LV"/>
              </w:rPr>
            </w:pPr>
            <w:r w:rsidRPr="00C21CD0">
              <w:rPr>
                <w:rFonts w:eastAsia="Times New Roman" w:cs="Times New Roman"/>
                <w:szCs w:val="20"/>
                <w:lang w:eastAsia="lv-LV"/>
              </w:rPr>
              <w:t>Nodokļu maksātājam administratīvās izmaksas neradīs.</w:t>
            </w:r>
          </w:p>
          <w:p w14:paraId="6D651916" w14:textId="2555B838" w:rsidR="0032785A" w:rsidRPr="00C21CD0" w:rsidRDefault="0032785A" w:rsidP="00D82C02">
            <w:pPr>
              <w:ind w:right="113" w:firstLine="570"/>
              <w:jc w:val="both"/>
              <w:rPr>
                <w:rFonts w:eastAsia="EUAlbertina_Bold" w:cs="Times New Roman"/>
                <w:szCs w:val="24"/>
                <w:lang w:eastAsia="lv-LV"/>
              </w:rPr>
            </w:pPr>
          </w:p>
        </w:tc>
      </w:tr>
      <w:tr w:rsidR="00E37C0F" w:rsidRPr="00C21CD0" w14:paraId="5621B2EE" w14:textId="77777777" w:rsidTr="0036242B">
        <w:trPr>
          <w:trHeight w:val="523"/>
        </w:trPr>
        <w:tc>
          <w:tcPr>
            <w:tcW w:w="421" w:type="dxa"/>
          </w:tcPr>
          <w:p w14:paraId="0D0271F1" w14:textId="04FCC5B4" w:rsidR="00E37C0F" w:rsidRPr="00C21CD0" w:rsidRDefault="00E37C0F" w:rsidP="00E37C0F">
            <w:pPr>
              <w:jc w:val="center"/>
              <w:rPr>
                <w:rFonts w:eastAsia="Times New Roman" w:cs="Times New Roman"/>
                <w:szCs w:val="24"/>
                <w:lang w:eastAsia="lv-LV"/>
              </w:rPr>
            </w:pPr>
            <w:r>
              <w:rPr>
                <w:rFonts w:eastAsia="Times New Roman" w:cs="Times New Roman"/>
                <w:szCs w:val="24"/>
                <w:lang w:eastAsia="lv-LV"/>
              </w:rPr>
              <w:lastRenderedPageBreak/>
              <w:t>4.</w:t>
            </w:r>
          </w:p>
        </w:tc>
        <w:tc>
          <w:tcPr>
            <w:tcW w:w="2126" w:type="dxa"/>
          </w:tcPr>
          <w:p w14:paraId="31D9DE54" w14:textId="5415F667" w:rsidR="00E37C0F" w:rsidRPr="00C21CD0" w:rsidRDefault="00E37C0F" w:rsidP="00E37C0F">
            <w:pPr>
              <w:rPr>
                <w:rFonts w:eastAsia="Times New Roman" w:cs="Times New Roman"/>
                <w:szCs w:val="24"/>
                <w:lang w:eastAsia="lv-LV"/>
              </w:rPr>
            </w:pPr>
            <w:r w:rsidRPr="009626E7">
              <w:rPr>
                <w:rFonts w:eastAsia="Times New Roman" w:cs="Times New Roman"/>
                <w:iCs/>
                <w:szCs w:val="24"/>
                <w:lang w:eastAsia="lv-LV"/>
              </w:rPr>
              <w:t>Atbilstības izmaksu monetārs novērtējums</w:t>
            </w:r>
          </w:p>
        </w:tc>
        <w:tc>
          <w:tcPr>
            <w:tcW w:w="6520" w:type="dxa"/>
          </w:tcPr>
          <w:p w14:paraId="0E3303B3" w14:textId="699AA2E9" w:rsidR="00E37C0F" w:rsidRPr="00B23A45" w:rsidRDefault="00E37C0F" w:rsidP="00E37C0F">
            <w:pPr>
              <w:ind w:right="7"/>
              <w:jc w:val="both"/>
            </w:pPr>
            <w:r>
              <w:t>Nav</w:t>
            </w:r>
          </w:p>
        </w:tc>
      </w:tr>
      <w:tr w:rsidR="00E37C0F" w:rsidRPr="00C21CD0" w14:paraId="38DFCDC2" w14:textId="77777777" w:rsidTr="0036242B">
        <w:trPr>
          <w:trHeight w:val="472"/>
        </w:trPr>
        <w:tc>
          <w:tcPr>
            <w:tcW w:w="421" w:type="dxa"/>
          </w:tcPr>
          <w:p w14:paraId="07910A32" w14:textId="36844944" w:rsidR="00E37C0F" w:rsidRPr="00C21CD0" w:rsidRDefault="00E37C0F" w:rsidP="00E37C0F">
            <w:pPr>
              <w:jc w:val="center"/>
              <w:rPr>
                <w:rFonts w:eastAsia="Times New Roman" w:cs="Times New Roman"/>
                <w:szCs w:val="24"/>
                <w:lang w:eastAsia="lv-LV"/>
              </w:rPr>
            </w:pPr>
            <w:r>
              <w:rPr>
                <w:rFonts w:eastAsia="Times New Roman" w:cs="Times New Roman"/>
                <w:szCs w:val="24"/>
                <w:lang w:eastAsia="lv-LV"/>
              </w:rPr>
              <w:t>5</w:t>
            </w:r>
            <w:r w:rsidRPr="00C21CD0">
              <w:rPr>
                <w:rFonts w:eastAsia="Times New Roman" w:cs="Times New Roman"/>
                <w:szCs w:val="24"/>
                <w:lang w:eastAsia="lv-LV"/>
              </w:rPr>
              <w:t>.</w:t>
            </w:r>
          </w:p>
        </w:tc>
        <w:tc>
          <w:tcPr>
            <w:tcW w:w="2126" w:type="dxa"/>
          </w:tcPr>
          <w:p w14:paraId="6240E1F3" w14:textId="77777777" w:rsidR="00E37C0F" w:rsidRPr="00C21CD0" w:rsidRDefault="00E37C0F" w:rsidP="00E37C0F">
            <w:pPr>
              <w:rPr>
                <w:rFonts w:eastAsia="Times New Roman" w:cs="Times New Roman"/>
                <w:szCs w:val="24"/>
                <w:lang w:eastAsia="lv-LV"/>
              </w:rPr>
            </w:pPr>
            <w:r w:rsidRPr="00C21CD0">
              <w:rPr>
                <w:rFonts w:eastAsia="Times New Roman" w:cs="Times New Roman"/>
                <w:szCs w:val="24"/>
                <w:lang w:eastAsia="lv-LV"/>
              </w:rPr>
              <w:t>Cita informācija</w:t>
            </w:r>
          </w:p>
        </w:tc>
        <w:tc>
          <w:tcPr>
            <w:tcW w:w="6520" w:type="dxa"/>
          </w:tcPr>
          <w:p w14:paraId="6E29138C" w14:textId="77777777" w:rsidR="00E37C0F" w:rsidRPr="004E7163" w:rsidRDefault="00E37C0F" w:rsidP="00E37C0F">
            <w:pPr>
              <w:jc w:val="both"/>
              <w:rPr>
                <w:rFonts w:eastAsia="Times New Roman" w:cs="Times New Roman"/>
                <w:color w:val="FF0000"/>
                <w:szCs w:val="24"/>
                <w:lang w:eastAsia="lv-LV"/>
              </w:rPr>
            </w:pPr>
            <w:r w:rsidRPr="002E6632">
              <w:rPr>
                <w:rFonts w:eastAsia="Times New Roman" w:cs="Times New Roman"/>
                <w:color w:val="000000" w:themeColor="text1"/>
                <w:szCs w:val="24"/>
                <w:lang w:eastAsia="lv-LV"/>
              </w:rPr>
              <w:t>Nav</w:t>
            </w:r>
          </w:p>
        </w:tc>
      </w:tr>
    </w:tbl>
    <w:p w14:paraId="7CE55487" w14:textId="40FEFD07" w:rsidR="00EF7554" w:rsidRDefault="00EF7554" w:rsidP="00B23A45">
      <w:pPr>
        <w:jc w:val="both"/>
        <w:rPr>
          <w:rFonts w:eastAsia="Times New Roman" w:cs="Times New Roman"/>
          <w:szCs w:val="24"/>
          <w:lang w:eastAsia="lv-LV"/>
        </w:rPr>
      </w:pPr>
    </w:p>
    <w:p w14:paraId="113DC319" w14:textId="77777777" w:rsidR="00D82C02" w:rsidRDefault="00D82C02" w:rsidP="00B23A45">
      <w:pPr>
        <w:jc w:val="both"/>
        <w:rPr>
          <w:rFonts w:eastAsia="Times New Roman" w:cs="Times New Roman"/>
          <w:szCs w:val="24"/>
          <w:lang w:eastAsia="lv-LV"/>
        </w:rPr>
      </w:pPr>
    </w:p>
    <w:tbl>
      <w:tblPr>
        <w:tblW w:w="9067" w:type="dxa"/>
        <w:tblInd w:w="-3"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1408"/>
        <w:gridCol w:w="991"/>
        <w:gridCol w:w="1134"/>
        <w:gridCol w:w="992"/>
        <w:gridCol w:w="1134"/>
        <w:gridCol w:w="993"/>
        <w:gridCol w:w="1134"/>
        <w:gridCol w:w="1281"/>
      </w:tblGrid>
      <w:tr w:rsidR="00CF1DD7" w:rsidRPr="0081018C" w14:paraId="68D21080" w14:textId="77777777" w:rsidTr="0036242B">
        <w:tc>
          <w:tcPr>
            <w:tcW w:w="9067" w:type="dxa"/>
            <w:gridSpan w:val="8"/>
            <w:tcBorders>
              <w:top w:val="outset" w:sz="6" w:space="0" w:color="000000"/>
              <w:left w:val="outset" w:sz="6" w:space="0" w:color="000000"/>
              <w:bottom w:val="outset" w:sz="6" w:space="0" w:color="000000"/>
              <w:right w:val="outset" w:sz="6" w:space="0" w:color="000000"/>
            </w:tcBorders>
            <w:vAlign w:val="center"/>
          </w:tcPr>
          <w:p w14:paraId="70903F1C" w14:textId="77777777" w:rsidR="00CF1DD7" w:rsidRPr="0081018C" w:rsidRDefault="00CF1DD7" w:rsidP="0027289D">
            <w:pPr>
              <w:spacing w:before="100" w:beforeAutospacing="1" w:after="100" w:afterAutospacing="1"/>
              <w:jc w:val="center"/>
              <w:rPr>
                <w:rFonts w:eastAsia="Times New Roman" w:cs="Times New Roman"/>
                <w:sz w:val="22"/>
                <w:szCs w:val="24"/>
                <w:lang w:eastAsia="lv-LV"/>
              </w:rPr>
            </w:pPr>
            <w:r w:rsidRPr="0081018C">
              <w:rPr>
                <w:rFonts w:eastAsia="Times New Roman" w:cs="Times New Roman"/>
                <w:b/>
                <w:bCs/>
                <w:sz w:val="22"/>
                <w:szCs w:val="24"/>
                <w:lang w:eastAsia="lv-LV"/>
              </w:rPr>
              <w:t>III. Tiesību akta projekta ietekme uz valsts budžetu un pašvaldību budžetiem</w:t>
            </w:r>
          </w:p>
        </w:tc>
      </w:tr>
      <w:tr w:rsidR="00CF1DD7" w:rsidRPr="0081018C" w14:paraId="6E33537E" w14:textId="77777777" w:rsidTr="0036242B">
        <w:tc>
          <w:tcPr>
            <w:tcW w:w="1408" w:type="dxa"/>
            <w:vMerge w:val="restart"/>
            <w:tcBorders>
              <w:top w:val="outset" w:sz="6" w:space="0" w:color="000000"/>
              <w:left w:val="outset" w:sz="6" w:space="0" w:color="000000"/>
              <w:right w:val="outset" w:sz="6" w:space="0" w:color="000000"/>
            </w:tcBorders>
            <w:vAlign w:val="center"/>
          </w:tcPr>
          <w:p w14:paraId="5DCFFE1A" w14:textId="77777777" w:rsidR="00CF1DD7" w:rsidRPr="0081018C" w:rsidRDefault="00CF1DD7" w:rsidP="00CF1DD7">
            <w:pPr>
              <w:jc w:val="center"/>
              <w:rPr>
                <w:rFonts w:eastAsia="Times New Roman" w:cs="Times New Roman"/>
                <w:b/>
                <w:bCs/>
                <w:sz w:val="22"/>
                <w:szCs w:val="24"/>
                <w:lang w:eastAsia="lv-LV"/>
              </w:rPr>
            </w:pPr>
            <w:r w:rsidRPr="0081018C">
              <w:rPr>
                <w:rFonts w:eastAsia="Times New Roman" w:cs="Times New Roman"/>
                <w:b/>
                <w:bCs/>
                <w:sz w:val="22"/>
                <w:szCs w:val="24"/>
                <w:lang w:eastAsia="lv-LV"/>
              </w:rPr>
              <w:t>Rādītāji</w:t>
            </w:r>
          </w:p>
        </w:tc>
        <w:tc>
          <w:tcPr>
            <w:tcW w:w="2125" w:type="dxa"/>
            <w:gridSpan w:val="2"/>
            <w:tcBorders>
              <w:top w:val="outset" w:sz="6" w:space="0" w:color="000000"/>
              <w:left w:val="outset" w:sz="6" w:space="0" w:color="000000"/>
              <w:bottom w:val="outset" w:sz="6" w:space="0" w:color="000000"/>
              <w:right w:val="outset" w:sz="6" w:space="0" w:color="000000"/>
            </w:tcBorders>
            <w:vAlign w:val="center"/>
          </w:tcPr>
          <w:p w14:paraId="0F54121A" w14:textId="77777777" w:rsidR="00CF1DD7" w:rsidRPr="0081018C" w:rsidRDefault="00CF1DD7" w:rsidP="00CF1DD7">
            <w:pPr>
              <w:jc w:val="center"/>
              <w:rPr>
                <w:rFonts w:eastAsia="Times New Roman" w:cs="Times New Roman"/>
                <w:b/>
                <w:bCs/>
                <w:sz w:val="22"/>
                <w:szCs w:val="24"/>
                <w:lang w:eastAsia="lv-LV"/>
              </w:rPr>
            </w:pPr>
          </w:p>
        </w:tc>
        <w:tc>
          <w:tcPr>
            <w:tcW w:w="5534" w:type="dxa"/>
            <w:gridSpan w:val="5"/>
            <w:tcBorders>
              <w:top w:val="outset" w:sz="6" w:space="0" w:color="000000"/>
              <w:left w:val="outset" w:sz="6" w:space="0" w:color="000000"/>
              <w:bottom w:val="outset" w:sz="6" w:space="0" w:color="000000"/>
              <w:right w:val="outset" w:sz="6" w:space="0" w:color="000000"/>
            </w:tcBorders>
            <w:vAlign w:val="center"/>
          </w:tcPr>
          <w:p w14:paraId="27471D14" w14:textId="77777777" w:rsidR="00CF1DD7" w:rsidRPr="0081018C" w:rsidRDefault="00CF1DD7" w:rsidP="0027289D">
            <w:pPr>
              <w:spacing w:before="100" w:beforeAutospacing="1" w:after="100" w:afterAutospacing="1"/>
              <w:jc w:val="center"/>
              <w:rPr>
                <w:rFonts w:eastAsia="Times New Roman" w:cs="Times New Roman"/>
                <w:b/>
                <w:bCs/>
                <w:sz w:val="22"/>
                <w:szCs w:val="24"/>
                <w:lang w:eastAsia="lv-LV"/>
              </w:rPr>
            </w:pPr>
            <w:r w:rsidRPr="0081018C">
              <w:rPr>
                <w:rFonts w:eastAsia="Times New Roman" w:cs="Times New Roman"/>
                <w:sz w:val="22"/>
                <w:szCs w:val="24"/>
                <w:lang w:eastAsia="lv-LV"/>
              </w:rPr>
              <w:t>Turpmākie trīs gadi (</w:t>
            </w:r>
            <w:proofErr w:type="spellStart"/>
            <w:r w:rsidRPr="0081018C">
              <w:rPr>
                <w:rFonts w:eastAsia="Times New Roman" w:cs="Times New Roman"/>
                <w:i/>
                <w:iCs/>
                <w:sz w:val="22"/>
                <w:szCs w:val="24"/>
                <w:lang w:eastAsia="lv-LV"/>
              </w:rPr>
              <w:t>euro</w:t>
            </w:r>
            <w:proofErr w:type="spellEnd"/>
            <w:r w:rsidRPr="0081018C">
              <w:rPr>
                <w:rFonts w:eastAsia="Times New Roman" w:cs="Times New Roman"/>
                <w:sz w:val="22"/>
                <w:szCs w:val="24"/>
                <w:lang w:eastAsia="lv-LV"/>
              </w:rPr>
              <w:t>)</w:t>
            </w:r>
          </w:p>
        </w:tc>
      </w:tr>
      <w:tr w:rsidR="00CF1DD7" w:rsidRPr="0081018C" w14:paraId="70670621" w14:textId="77777777" w:rsidTr="0036242B">
        <w:tc>
          <w:tcPr>
            <w:tcW w:w="1408" w:type="dxa"/>
            <w:vMerge/>
            <w:tcBorders>
              <w:left w:val="outset" w:sz="6" w:space="0" w:color="000000"/>
              <w:right w:val="outset" w:sz="6" w:space="0" w:color="000000"/>
            </w:tcBorders>
            <w:vAlign w:val="center"/>
          </w:tcPr>
          <w:p w14:paraId="4216F0B3" w14:textId="77777777" w:rsidR="00CF1DD7" w:rsidRPr="0081018C" w:rsidRDefault="00CF1DD7" w:rsidP="0027289D">
            <w:pPr>
              <w:rPr>
                <w:rFonts w:eastAsia="Times New Roman" w:cs="Times New Roman"/>
                <w:b/>
                <w:bCs/>
                <w:sz w:val="22"/>
                <w:szCs w:val="24"/>
                <w:lang w:eastAsia="lv-LV"/>
              </w:rPr>
            </w:pPr>
          </w:p>
        </w:tc>
        <w:tc>
          <w:tcPr>
            <w:tcW w:w="2125" w:type="dxa"/>
            <w:gridSpan w:val="2"/>
            <w:tcBorders>
              <w:top w:val="outset" w:sz="6" w:space="0" w:color="000000"/>
              <w:left w:val="outset" w:sz="6" w:space="0" w:color="000000"/>
              <w:bottom w:val="outset" w:sz="6" w:space="0" w:color="000000"/>
              <w:right w:val="outset" w:sz="6" w:space="0" w:color="000000"/>
            </w:tcBorders>
            <w:vAlign w:val="center"/>
          </w:tcPr>
          <w:p w14:paraId="051CDA79" w14:textId="77777777" w:rsidR="00CF1DD7" w:rsidRPr="0081018C" w:rsidRDefault="00CF1DD7" w:rsidP="00CF1DD7">
            <w:pPr>
              <w:jc w:val="center"/>
              <w:rPr>
                <w:rFonts w:eastAsia="Times New Roman" w:cs="Times New Roman"/>
                <w:b/>
                <w:bCs/>
                <w:sz w:val="22"/>
                <w:szCs w:val="24"/>
                <w:lang w:eastAsia="lv-LV"/>
              </w:rPr>
            </w:pPr>
            <w:r w:rsidRPr="0081018C">
              <w:rPr>
                <w:rFonts w:eastAsia="Times New Roman" w:cs="Times New Roman"/>
                <w:b/>
                <w:bCs/>
                <w:sz w:val="22"/>
                <w:szCs w:val="24"/>
                <w:lang w:eastAsia="lv-LV"/>
              </w:rPr>
              <w:t>2018.gads</w:t>
            </w:r>
          </w:p>
        </w:tc>
        <w:tc>
          <w:tcPr>
            <w:tcW w:w="2126" w:type="dxa"/>
            <w:gridSpan w:val="2"/>
            <w:tcBorders>
              <w:top w:val="outset" w:sz="6" w:space="0" w:color="000000"/>
              <w:left w:val="outset" w:sz="6" w:space="0" w:color="000000"/>
              <w:bottom w:val="outset" w:sz="6" w:space="0" w:color="000000"/>
              <w:right w:val="outset" w:sz="6" w:space="0" w:color="000000"/>
            </w:tcBorders>
            <w:vAlign w:val="center"/>
          </w:tcPr>
          <w:p w14:paraId="3EF60676" w14:textId="77777777" w:rsidR="00CF1DD7" w:rsidRPr="0081018C" w:rsidRDefault="00CF1DD7" w:rsidP="00164BA4">
            <w:pPr>
              <w:spacing w:before="100" w:beforeAutospacing="1" w:after="100" w:afterAutospacing="1"/>
              <w:jc w:val="center"/>
              <w:rPr>
                <w:rFonts w:eastAsia="Times New Roman" w:cs="Times New Roman"/>
                <w:b/>
                <w:bCs/>
                <w:sz w:val="22"/>
                <w:szCs w:val="24"/>
                <w:lang w:eastAsia="lv-LV"/>
              </w:rPr>
            </w:pPr>
            <w:r w:rsidRPr="0081018C">
              <w:rPr>
                <w:rFonts w:eastAsia="Times New Roman" w:cs="Times New Roman"/>
                <w:b/>
                <w:bCs/>
                <w:sz w:val="22"/>
                <w:szCs w:val="24"/>
                <w:lang w:eastAsia="lv-LV"/>
              </w:rPr>
              <w:t>2019</w:t>
            </w:r>
          </w:p>
        </w:tc>
        <w:tc>
          <w:tcPr>
            <w:tcW w:w="2127" w:type="dxa"/>
            <w:gridSpan w:val="2"/>
            <w:tcBorders>
              <w:top w:val="outset" w:sz="6" w:space="0" w:color="000000"/>
              <w:left w:val="outset" w:sz="6" w:space="0" w:color="000000"/>
              <w:bottom w:val="outset" w:sz="6" w:space="0" w:color="000000"/>
              <w:right w:val="outset" w:sz="6" w:space="0" w:color="000000"/>
            </w:tcBorders>
            <w:vAlign w:val="center"/>
          </w:tcPr>
          <w:p w14:paraId="7F62A0AC" w14:textId="77777777" w:rsidR="00CF1DD7" w:rsidRPr="0081018C" w:rsidRDefault="00CF1DD7" w:rsidP="00164BA4">
            <w:pPr>
              <w:spacing w:before="100" w:beforeAutospacing="1" w:after="100" w:afterAutospacing="1"/>
              <w:jc w:val="center"/>
              <w:rPr>
                <w:rFonts w:eastAsia="Times New Roman" w:cs="Times New Roman"/>
                <w:b/>
                <w:bCs/>
                <w:sz w:val="22"/>
                <w:szCs w:val="24"/>
                <w:lang w:eastAsia="lv-LV"/>
              </w:rPr>
            </w:pPr>
            <w:r w:rsidRPr="0081018C">
              <w:rPr>
                <w:rFonts w:eastAsia="Times New Roman" w:cs="Times New Roman"/>
                <w:b/>
                <w:bCs/>
                <w:sz w:val="22"/>
                <w:szCs w:val="24"/>
                <w:lang w:eastAsia="lv-LV"/>
              </w:rPr>
              <w:t>2020</w:t>
            </w:r>
          </w:p>
        </w:tc>
        <w:tc>
          <w:tcPr>
            <w:tcW w:w="1281" w:type="dxa"/>
            <w:tcBorders>
              <w:top w:val="outset" w:sz="6" w:space="0" w:color="000000"/>
              <w:left w:val="outset" w:sz="6" w:space="0" w:color="000000"/>
              <w:bottom w:val="outset" w:sz="6" w:space="0" w:color="000000"/>
              <w:right w:val="outset" w:sz="6" w:space="0" w:color="000000"/>
            </w:tcBorders>
            <w:vAlign w:val="center"/>
          </w:tcPr>
          <w:p w14:paraId="05BAF574" w14:textId="77777777" w:rsidR="00CF1DD7" w:rsidRPr="0081018C" w:rsidRDefault="00CF1DD7" w:rsidP="0027289D">
            <w:pPr>
              <w:spacing w:before="100" w:beforeAutospacing="1" w:after="100" w:afterAutospacing="1"/>
              <w:jc w:val="center"/>
              <w:rPr>
                <w:rFonts w:eastAsia="Times New Roman" w:cs="Times New Roman"/>
                <w:b/>
                <w:bCs/>
                <w:sz w:val="22"/>
                <w:szCs w:val="24"/>
                <w:lang w:eastAsia="lv-LV"/>
              </w:rPr>
            </w:pPr>
            <w:r w:rsidRPr="0081018C">
              <w:rPr>
                <w:rFonts w:eastAsia="Times New Roman" w:cs="Times New Roman"/>
                <w:b/>
                <w:bCs/>
                <w:sz w:val="22"/>
                <w:szCs w:val="24"/>
                <w:lang w:eastAsia="lv-LV"/>
              </w:rPr>
              <w:t>2021</w:t>
            </w:r>
          </w:p>
        </w:tc>
      </w:tr>
      <w:tr w:rsidR="00CF1DD7" w:rsidRPr="0081018C" w14:paraId="16AE3AF9" w14:textId="77777777" w:rsidTr="0036242B">
        <w:trPr>
          <w:trHeight w:val="2211"/>
        </w:trPr>
        <w:tc>
          <w:tcPr>
            <w:tcW w:w="1408" w:type="dxa"/>
            <w:vMerge/>
            <w:tcBorders>
              <w:left w:val="outset" w:sz="6" w:space="0" w:color="000000"/>
              <w:bottom w:val="outset" w:sz="6" w:space="0" w:color="000000"/>
              <w:right w:val="outset" w:sz="6" w:space="0" w:color="000000"/>
            </w:tcBorders>
            <w:vAlign w:val="center"/>
          </w:tcPr>
          <w:p w14:paraId="3B631986" w14:textId="77777777" w:rsidR="00CF1DD7" w:rsidRPr="0081018C" w:rsidRDefault="00CF1DD7" w:rsidP="00CF1DD7">
            <w:pPr>
              <w:rPr>
                <w:rFonts w:eastAsia="Times New Roman" w:cs="Times New Roman"/>
                <w:b/>
                <w:bCs/>
                <w:sz w:val="22"/>
                <w:szCs w:val="24"/>
                <w:lang w:eastAsia="lv-LV"/>
              </w:rPr>
            </w:pPr>
          </w:p>
        </w:tc>
        <w:tc>
          <w:tcPr>
            <w:tcW w:w="991" w:type="dxa"/>
            <w:tcBorders>
              <w:top w:val="outset" w:sz="6" w:space="0" w:color="000000"/>
              <w:left w:val="outset" w:sz="6" w:space="0" w:color="000000"/>
              <w:bottom w:val="outset" w:sz="6" w:space="0" w:color="000000"/>
              <w:right w:val="outset" w:sz="6" w:space="0" w:color="000000"/>
            </w:tcBorders>
            <w:vAlign w:val="center"/>
          </w:tcPr>
          <w:p w14:paraId="63D6F521" w14:textId="77777777" w:rsidR="00CF1DD7" w:rsidRPr="0081018C" w:rsidRDefault="00CF1DD7" w:rsidP="00CF1DD7">
            <w:pPr>
              <w:spacing w:before="100" w:beforeAutospacing="1" w:after="100" w:afterAutospacing="1"/>
              <w:jc w:val="center"/>
              <w:rPr>
                <w:rFonts w:eastAsia="Times New Roman" w:cs="Times New Roman"/>
                <w:sz w:val="22"/>
                <w:szCs w:val="24"/>
                <w:lang w:eastAsia="lv-LV"/>
              </w:rPr>
            </w:pPr>
            <w:r w:rsidRPr="0081018C">
              <w:rPr>
                <w:rFonts w:eastAsia="Times New Roman" w:cs="Times New Roman"/>
                <w:sz w:val="22"/>
                <w:szCs w:val="24"/>
                <w:lang w:eastAsia="lv-LV"/>
              </w:rPr>
              <w:t>saskaņā ar valsts budžetu kārtējam gadam</w:t>
            </w:r>
          </w:p>
        </w:tc>
        <w:tc>
          <w:tcPr>
            <w:tcW w:w="1134" w:type="dxa"/>
            <w:tcBorders>
              <w:top w:val="outset" w:sz="6" w:space="0" w:color="000000"/>
              <w:left w:val="outset" w:sz="6" w:space="0" w:color="000000"/>
              <w:bottom w:val="outset" w:sz="6" w:space="0" w:color="000000"/>
              <w:right w:val="outset" w:sz="6" w:space="0" w:color="000000"/>
            </w:tcBorders>
            <w:vAlign w:val="center"/>
          </w:tcPr>
          <w:p w14:paraId="4886EFD2" w14:textId="77777777" w:rsidR="00CF1DD7" w:rsidRPr="0081018C" w:rsidRDefault="00CF1DD7" w:rsidP="00CF1DD7">
            <w:pPr>
              <w:spacing w:before="100" w:beforeAutospacing="1" w:after="100" w:afterAutospacing="1"/>
              <w:jc w:val="center"/>
              <w:rPr>
                <w:rFonts w:eastAsia="Times New Roman" w:cs="Times New Roman"/>
                <w:sz w:val="22"/>
                <w:szCs w:val="24"/>
                <w:lang w:eastAsia="lv-LV"/>
              </w:rPr>
            </w:pPr>
            <w:r w:rsidRPr="0081018C">
              <w:rPr>
                <w:rFonts w:eastAsia="Times New Roman" w:cs="Times New Roman"/>
                <w:sz w:val="22"/>
                <w:szCs w:val="24"/>
                <w:lang w:eastAsia="lv-LV"/>
              </w:rPr>
              <w:t>izmaiņas kārtējā gadā, salīdzinot ar budžetu kārtējam gadam</w:t>
            </w:r>
          </w:p>
        </w:tc>
        <w:tc>
          <w:tcPr>
            <w:tcW w:w="992" w:type="dxa"/>
            <w:tcBorders>
              <w:top w:val="outset" w:sz="6" w:space="0" w:color="000000"/>
              <w:left w:val="outset" w:sz="6" w:space="0" w:color="000000"/>
              <w:bottom w:val="outset" w:sz="6" w:space="0" w:color="000000"/>
              <w:right w:val="outset" w:sz="6" w:space="0" w:color="000000"/>
            </w:tcBorders>
            <w:vAlign w:val="center"/>
          </w:tcPr>
          <w:p w14:paraId="7BAB164A" w14:textId="77777777" w:rsidR="00CF1DD7" w:rsidRPr="0081018C" w:rsidRDefault="00CF1DD7" w:rsidP="00CF1DD7">
            <w:pPr>
              <w:spacing w:before="100" w:beforeAutospacing="1" w:after="100" w:afterAutospacing="1"/>
              <w:jc w:val="center"/>
              <w:rPr>
                <w:rFonts w:eastAsia="Times New Roman" w:cs="Times New Roman"/>
                <w:sz w:val="22"/>
                <w:szCs w:val="24"/>
                <w:lang w:eastAsia="lv-LV"/>
              </w:rPr>
            </w:pPr>
            <w:r w:rsidRPr="0081018C">
              <w:rPr>
                <w:rFonts w:eastAsia="Times New Roman" w:cs="Times New Roman"/>
                <w:sz w:val="22"/>
                <w:szCs w:val="24"/>
                <w:lang w:eastAsia="lv-LV"/>
              </w:rPr>
              <w:t>saskaņā ar vidēja termiņa budžeta ietvaru</w:t>
            </w:r>
          </w:p>
        </w:tc>
        <w:tc>
          <w:tcPr>
            <w:tcW w:w="1134" w:type="dxa"/>
            <w:tcBorders>
              <w:top w:val="outset" w:sz="6" w:space="0" w:color="000000"/>
              <w:left w:val="outset" w:sz="6" w:space="0" w:color="000000"/>
              <w:bottom w:val="outset" w:sz="6" w:space="0" w:color="000000"/>
              <w:right w:val="outset" w:sz="6" w:space="0" w:color="000000"/>
            </w:tcBorders>
            <w:vAlign w:val="center"/>
          </w:tcPr>
          <w:p w14:paraId="6D830E44" w14:textId="77777777" w:rsidR="00CF1DD7" w:rsidRPr="0081018C" w:rsidRDefault="00CF1DD7" w:rsidP="00CF1DD7">
            <w:pPr>
              <w:spacing w:before="100" w:beforeAutospacing="1" w:after="100" w:afterAutospacing="1"/>
              <w:jc w:val="center"/>
              <w:rPr>
                <w:rFonts w:eastAsia="Times New Roman" w:cs="Times New Roman"/>
                <w:sz w:val="22"/>
                <w:szCs w:val="24"/>
                <w:lang w:eastAsia="lv-LV"/>
              </w:rPr>
            </w:pPr>
            <w:r w:rsidRPr="0081018C">
              <w:rPr>
                <w:rFonts w:eastAsia="Times New Roman" w:cs="Times New Roman"/>
                <w:sz w:val="22"/>
                <w:szCs w:val="24"/>
                <w:lang w:eastAsia="lv-LV"/>
              </w:rPr>
              <w:t>izmaiņas, salīdzinot ar vidēja termiņa budžeta ietvaru 2019. gadam</w:t>
            </w:r>
          </w:p>
        </w:tc>
        <w:tc>
          <w:tcPr>
            <w:tcW w:w="993" w:type="dxa"/>
            <w:tcBorders>
              <w:top w:val="outset" w:sz="6" w:space="0" w:color="000000"/>
              <w:left w:val="outset" w:sz="6" w:space="0" w:color="000000"/>
              <w:bottom w:val="outset" w:sz="6" w:space="0" w:color="000000"/>
              <w:right w:val="outset" w:sz="6" w:space="0" w:color="000000"/>
            </w:tcBorders>
            <w:vAlign w:val="center"/>
          </w:tcPr>
          <w:p w14:paraId="57C72A6E" w14:textId="77777777" w:rsidR="00CF1DD7" w:rsidRPr="0081018C" w:rsidRDefault="00CF1DD7" w:rsidP="00CF1DD7">
            <w:pPr>
              <w:spacing w:before="100" w:beforeAutospacing="1" w:after="100" w:afterAutospacing="1"/>
              <w:jc w:val="center"/>
              <w:rPr>
                <w:rFonts w:eastAsia="Times New Roman" w:cs="Times New Roman"/>
                <w:sz w:val="22"/>
                <w:szCs w:val="24"/>
                <w:lang w:eastAsia="lv-LV"/>
              </w:rPr>
            </w:pPr>
            <w:r w:rsidRPr="0081018C">
              <w:rPr>
                <w:rFonts w:eastAsia="Times New Roman" w:cs="Times New Roman"/>
                <w:sz w:val="22"/>
                <w:szCs w:val="24"/>
                <w:lang w:eastAsia="lv-LV"/>
              </w:rPr>
              <w:t>saskaņā ar vidēja termiņa budžeta ietvaru</w:t>
            </w:r>
          </w:p>
        </w:tc>
        <w:tc>
          <w:tcPr>
            <w:tcW w:w="1134" w:type="dxa"/>
            <w:tcBorders>
              <w:top w:val="outset" w:sz="6" w:space="0" w:color="000000"/>
              <w:left w:val="outset" w:sz="6" w:space="0" w:color="000000"/>
              <w:bottom w:val="outset" w:sz="6" w:space="0" w:color="000000"/>
              <w:right w:val="outset" w:sz="6" w:space="0" w:color="000000"/>
            </w:tcBorders>
            <w:vAlign w:val="center"/>
          </w:tcPr>
          <w:p w14:paraId="0EB3B52D" w14:textId="77777777" w:rsidR="00CF1DD7" w:rsidRPr="0081018C" w:rsidRDefault="00CF1DD7" w:rsidP="00CF1DD7">
            <w:pPr>
              <w:jc w:val="center"/>
              <w:rPr>
                <w:rFonts w:eastAsia="Times New Roman" w:cs="Times New Roman"/>
                <w:sz w:val="22"/>
                <w:szCs w:val="24"/>
                <w:lang w:eastAsia="lv-LV"/>
              </w:rPr>
            </w:pPr>
            <w:r w:rsidRPr="0081018C">
              <w:rPr>
                <w:rFonts w:eastAsia="Times New Roman" w:cs="Times New Roman"/>
                <w:sz w:val="22"/>
                <w:szCs w:val="24"/>
                <w:lang w:eastAsia="lv-LV"/>
              </w:rPr>
              <w:t>izmaiņas, salīdzinot ar vidēja termiņa budžeta ietvaru 2020. gadam</w:t>
            </w:r>
          </w:p>
        </w:tc>
        <w:tc>
          <w:tcPr>
            <w:tcW w:w="1281" w:type="dxa"/>
            <w:tcBorders>
              <w:top w:val="outset" w:sz="6" w:space="0" w:color="000000"/>
              <w:left w:val="outset" w:sz="6" w:space="0" w:color="000000"/>
              <w:bottom w:val="outset" w:sz="6" w:space="0" w:color="000000"/>
              <w:right w:val="outset" w:sz="6" w:space="0" w:color="000000"/>
            </w:tcBorders>
          </w:tcPr>
          <w:p w14:paraId="1F3A3273" w14:textId="77777777" w:rsidR="00CF1DD7" w:rsidRPr="0081018C" w:rsidRDefault="00CF1DD7" w:rsidP="00CF1DD7">
            <w:pPr>
              <w:spacing w:before="100" w:beforeAutospacing="1" w:after="100" w:afterAutospacing="1"/>
              <w:jc w:val="center"/>
              <w:rPr>
                <w:rFonts w:eastAsia="Times New Roman" w:cs="Times New Roman"/>
                <w:sz w:val="22"/>
                <w:szCs w:val="24"/>
                <w:lang w:eastAsia="lv-LV"/>
              </w:rPr>
            </w:pPr>
            <w:r w:rsidRPr="0081018C">
              <w:rPr>
                <w:rFonts w:eastAsia="Times New Roman" w:cs="Times New Roman"/>
                <w:sz w:val="22"/>
                <w:szCs w:val="24"/>
                <w:lang w:eastAsia="lv-LV"/>
              </w:rPr>
              <w:t>izmaiņas, salīdzinot ar vidēja termiņa budžeta ietvaru 2020. gadam</w:t>
            </w:r>
          </w:p>
        </w:tc>
      </w:tr>
      <w:tr w:rsidR="00CF1DD7" w:rsidRPr="0081018C" w14:paraId="2EA886B8" w14:textId="77777777" w:rsidTr="0036242B">
        <w:tc>
          <w:tcPr>
            <w:tcW w:w="1408" w:type="dxa"/>
            <w:tcBorders>
              <w:top w:val="outset" w:sz="6" w:space="0" w:color="000000"/>
              <w:left w:val="outset" w:sz="6" w:space="0" w:color="000000"/>
              <w:bottom w:val="outset" w:sz="6" w:space="0" w:color="000000"/>
              <w:right w:val="outset" w:sz="6" w:space="0" w:color="000000"/>
            </w:tcBorders>
            <w:vAlign w:val="center"/>
          </w:tcPr>
          <w:p w14:paraId="35192A17" w14:textId="77777777" w:rsidR="00CF1DD7" w:rsidRPr="0081018C" w:rsidRDefault="00CF1DD7" w:rsidP="00CF1DD7">
            <w:pPr>
              <w:spacing w:before="100" w:beforeAutospacing="1" w:after="100" w:afterAutospacing="1"/>
              <w:jc w:val="center"/>
              <w:rPr>
                <w:rFonts w:eastAsia="Times New Roman" w:cs="Times New Roman"/>
                <w:sz w:val="22"/>
                <w:szCs w:val="24"/>
                <w:lang w:eastAsia="lv-LV"/>
              </w:rPr>
            </w:pPr>
            <w:r w:rsidRPr="0081018C">
              <w:rPr>
                <w:rFonts w:eastAsia="Times New Roman" w:cs="Times New Roman"/>
                <w:sz w:val="22"/>
                <w:szCs w:val="24"/>
                <w:lang w:eastAsia="lv-LV"/>
              </w:rPr>
              <w:t>1</w:t>
            </w:r>
          </w:p>
        </w:tc>
        <w:tc>
          <w:tcPr>
            <w:tcW w:w="991" w:type="dxa"/>
            <w:tcBorders>
              <w:top w:val="outset" w:sz="6" w:space="0" w:color="000000"/>
              <w:left w:val="outset" w:sz="6" w:space="0" w:color="000000"/>
              <w:bottom w:val="outset" w:sz="6" w:space="0" w:color="000000"/>
              <w:right w:val="outset" w:sz="6" w:space="0" w:color="000000"/>
            </w:tcBorders>
            <w:vAlign w:val="center"/>
          </w:tcPr>
          <w:p w14:paraId="217080B6" w14:textId="77777777" w:rsidR="00CF1DD7" w:rsidRPr="0081018C" w:rsidRDefault="00CF1DD7" w:rsidP="00CF1DD7">
            <w:pPr>
              <w:spacing w:before="100" w:beforeAutospacing="1" w:after="100" w:afterAutospacing="1"/>
              <w:jc w:val="center"/>
              <w:rPr>
                <w:rFonts w:eastAsia="Times New Roman" w:cs="Times New Roman"/>
                <w:sz w:val="22"/>
                <w:szCs w:val="24"/>
                <w:lang w:eastAsia="lv-LV"/>
              </w:rPr>
            </w:pPr>
            <w:r w:rsidRPr="0081018C">
              <w:rPr>
                <w:rFonts w:eastAsia="Times New Roman" w:cs="Times New Roman"/>
                <w:sz w:val="22"/>
                <w:szCs w:val="24"/>
                <w:lang w:eastAsia="lv-LV"/>
              </w:rPr>
              <w:t>2</w:t>
            </w:r>
          </w:p>
        </w:tc>
        <w:tc>
          <w:tcPr>
            <w:tcW w:w="1134" w:type="dxa"/>
            <w:tcBorders>
              <w:top w:val="outset" w:sz="6" w:space="0" w:color="000000"/>
              <w:left w:val="outset" w:sz="6" w:space="0" w:color="000000"/>
              <w:bottom w:val="outset" w:sz="6" w:space="0" w:color="000000"/>
              <w:right w:val="outset" w:sz="6" w:space="0" w:color="000000"/>
            </w:tcBorders>
            <w:vAlign w:val="center"/>
          </w:tcPr>
          <w:p w14:paraId="74067D1D" w14:textId="77777777" w:rsidR="00CF1DD7" w:rsidRPr="0081018C" w:rsidRDefault="00CF1DD7" w:rsidP="00CF1DD7">
            <w:pPr>
              <w:spacing w:before="100" w:beforeAutospacing="1" w:after="100" w:afterAutospacing="1"/>
              <w:jc w:val="center"/>
              <w:rPr>
                <w:rFonts w:eastAsia="Times New Roman" w:cs="Times New Roman"/>
                <w:sz w:val="22"/>
                <w:szCs w:val="24"/>
                <w:lang w:eastAsia="lv-LV"/>
              </w:rPr>
            </w:pPr>
            <w:r w:rsidRPr="0081018C">
              <w:rPr>
                <w:rFonts w:eastAsia="Times New Roman" w:cs="Times New Roman"/>
                <w:sz w:val="22"/>
                <w:szCs w:val="24"/>
                <w:lang w:eastAsia="lv-LV"/>
              </w:rPr>
              <w:t>3</w:t>
            </w:r>
          </w:p>
        </w:tc>
        <w:tc>
          <w:tcPr>
            <w:tcW w:w="992" w:type="dxa"/>
            <w:tcBorders>
              <w:top w:val="outset" w:sz="6" w:space="0" w:color="000000"/>
              <w:left w:val="outset" w:sz="6" w:space="0" w:color="000000"/>
              <w:bottom w:val="outset" w:sz="6" w:space="0" w:color="000000"/>
              <w:right w:val="outset" w:sz="6" w:space="0" w:color="000000"/>
            </w:tcBorders>
            <w:vAlign w:val="center"/>
          </w:tcPr>
          <w:p w14:paraId="37FAA7D0" w14:textId="77777777" w:rsidR="00CF1DD7" w:rsidRPr="0081018C" w:rsidRDefault="00CF1DD7" w:rsidP="00CF1DD7">
            <w:pPr>
              <w:spacing w:before="100" w:beforeAutospacing="1" w:after="100" w:afterAutospacing="1"/>
              <w:jc w:val="center"/>
              <w:rPr>
                <w:rFonts w:eastAsia="Times New Roman" w:cs="Times New Roman"/>
                <w:sz w:val="22"/>
                <w:szCs w:val="24"/>
                <w:lang w:eastAsia="lv-LV"/>
              </w:rPr>
            </w:pPr>
            <w:r w:rsidRPr="0081018C">
              <w:rPr>
                <w:rFonts w:eastAsia="Times New Roman" w:cs="Times New Roman"/>
                <w:sz w:val="22"/>
                <w:szCs w:val="24"/>
                <w:lang w:eastAsia="lv-LV"/>
              </w:rPr>
              <w:t>4</w:t>
            </w:r>
          </w:p>
        </w:tc>
        <w:tc>
          <w:tcPr>
            <w:tcW w:w="1134" w:type="dxa"/>
            <w:tcBorders>
              <w:top w:val="outset" w:sz="6" w:space="0" w:color="000000"/>
              <w:left w:val="outset" w:sz="6" w:space="0" w:color="000000"/>
              <w:bottom w:val="outset" w:sz="6" w:space="0" w:color="000000"/>
              <w:right w:val="outset" w:sz="6" w:space="0" w:color="000000"/>
            </w:tcBorders>
          </w:tcPr>
          <w:p w14:paraId="2604AE28" w14:textId="77777777" w:rsidR="00CF1DD7" w:rsidRPr="0081018C" w:rsidRDefault="00CF1DD7" w:rsidP="00CF1DD7">
            <w:pPr>
              <w:spacing w:before="100" w:beforeAutospacing="1" w:after="100" w:afterAutospacing="1"/>
              <w:jc w:val="center"/>
              <w:rPr>
                <w:rFonts w:eastAsia="Times New Roman" w:cs="Times New Roman"/>
                <w:sz w:val="22"/>
                <w:szCs w:val="24"/>
                <w:lang w:eastAsia="lv-LV"/>
              </w:rPr>
            </w:pPr>
            <w:r w:rsidRPr="0081018C">
              <w:rPr>
                <w:rFonts w:eastAsia="Times New Roman" w:cs="Times New Roman"/>
                <w:sz w:val="22"/>
                <w:szCs w:val="24"/>
                <w:lang w:eastAsia="lv-LV"/>
              </w:rPr>
              <w:t>5</w:t>
            </w:r>
          </w:p>
        </w:tc>
        <w:tc>
          <w:tcPr>
            <w:tcW w:w="993" w:type="dxa"/>
            <w:tcBorders>
              <w:top w:val="outset" w:sz="6" w:space="0" w:color="000000"/>
              <w:left w:val="outset" w:sz="6" w:space="0" w:color="000000"/>
              <w:bottom w:val="outset" w:sz="6" w:space="0" w:color="000000"/>
              <w:right w:val="outset" w:sz="6" w:space="0" w:color="000000"/>
            </w:tcBorders>
            <w:vAlign w:val="center"/>
          </w:tcPr>
          <w:p w14:paraId="1C99F4F9" w14:textId="77777777" w:rsidR="00CF1DD7" w:rsidRPr="0081018C" w:rsidRDefault="00CF1DD7" w:rsidP="00CF1DD7">
            <w:pPr>
              <w:spacing w:before="100" w:beforeAutospacing="1" w:after="100" w:afterAutospacing="1"/>
              <w:jc w:val="center"/>
              <w:rPr>
                <w:rFonts w:eastAsia="Times New Roman" w:cs="Times New Roman"/>
                <w:sz w:val="22"/>
                <w:szCs w:val="24"/>
                <w:lang w:eastAsia="lv-LV"/>
              </w:rPr>
            </w:pPr>
            <w:r w:rsidRPr="0081018C">
              <w:rPr>
                <w:rFonts w:eastAsia="Times New Roman" w:cs="Times New Roman"/>
                <w:sz w:val="22"/>
                <w:szCs w:val="24"/>
                <w:lang w:eastAsia="lv-LV"/>
              </w:rPr>
              <w:t>6</w:t>
            </w:r>
          </w:p>
        </w:tc>
        <w:tc>
          <w:tcPr>
            <w:tcW w:w="1134" w:type="dxa"/>
            <w:tcBorders>
              <w:top w:val="outset" w:sz="6" w:space="0" w:color="000000"/>
              <w:left w:val="outset" w:sz="6" w:space="0" w:color="000000"/>
              <w:bottom w:val="outset" w:sz="6" w:space="0" w:color="000000"/>
              <w:right w:val="outset" w:sz="6" w:space="0" w:color="000000"/>
            </w:tcBorders>
          </w:tcPr>
          <w:p w14:paraId="5957B006" w14:textId="77777777" w:rsidR="00CF1DD7" w:rsidRPr="0081018C" w:rsidRDefault="00CF1DD7" w:rsidP="00CF1DD7">
            <w:pPr>
              <w:spacing w:before="100" w:beforeAutospacing="1" w:after="100" w:afterAutospacing="1"/>
              <w:jc w:val="center"/>
              <w:rPr>
                <w:rFonts w:eastAsia="Times New Roman" w:cs="Times New Roman"/>
                <w:sz w:val="22"/>
                <w:szCs w:val="24"/>
                <w:lang w:eastAsia="lv-LV"/>
              </w:rPr>
            </w:pPr>
            <w:r w:rsidRPr="0081018C">
              <w:rPr>
                <w:rFonts w:eastAsia="Times New Roman" w:cs="Times New Roman"/>
                <w:sz w:val="22"/>
                <w:szCs w:val="24"/>
                <w:lang w:eastAsia="lv-LV"/>
              </w:rPr>
              <w:t>7</w:t>
            </w:r>
          </w:p>
        </w:tc>
        <w:tc>
          <w:tcPr>
            <w:tcW w:w="1281" w:type="dxa"/>
            <w:tcBorders>
              <w:top w:val="outset" w:sz="6" w:space="0" w:color="000000"/>
              <w:left w:val="outset" w:sz="6" w:space="0" w:color="000000"/>
              <w:bottom w:val="outset" w:sz="6" w:space="0" w:color="000000"/>
              <w:right w:val="outset" w:sz="6" w:space="0" w:color="000000"/>
            </w:tcBorders>
            <w:vAlign w:val="center"/>
          </w:tcPr>
          <w:p w14:paraId="1408BF88" w14:textId="77777777" w:rsidR="00CF1DD7" w:rsidRPr="0081018C" w:rsidRDefault="00CF1DD7" w:rsidP="00CF1DD7">
            <w:pPr>
              <w:spacing w:before="100" w:beforeAutospacing="1" w:after="100" w:afterAutospacing="1"/>
              <w:jc w:val="center"/>
              <w:rPr>
                <w:rFonts w:eastAsia="Times New Roman" w:cs="Times New Roman"/>
                <w:sz w:val="22"/>
                <w:szCs w:val="24"/>
                <w:lang w:eastAsia="lv-LV"/>
              </w:rPr>
            </w:pPr>
            <w:r w:rsidRPr="0081018C">
              <w:rPr>
                <w:rFonts w:eastAsia="Times New Roman" w:cs="Times New Roman"/>
                <w:sz w:val="22"/>
                <w:szCs w:val="24"/>
                <w:lang w:eastAsia="lv-LV"/>
              </w:rPr>
              <w:t>8</w:t>
            </w:r>
          </w:p>
        </w:tc>
      </w:tr>
      <w:tr w:rsidR="00CF1DD7" w:rsidRPr="0081018C" w14:paraId="2C91B9F9" w14:textId="77777777" w:rsidTr="0036242B">
        <w:tc>
          <w:tcPr>
            <w:tcW w:w="1408" w:type="dxa"/>
            <w:tcBorders>
              <w:top w:val="outset" w:sz="6" w:space="0" w:color="000000"/>
              <w:left w:val="outset" w:sz="6" w:space="0" w:color="000000"/>
              <w:bottom w:val="outset" w:sz="6" w:space="0" w:color="000000"/>
              <w:right w:val="outset" w:sz="6" w:space="0" w:color="000000"/>
            </w:tcBorders>
          </w:tcPr>
          <w:p w14:paraId="1245112C" w14:textId="77777777" w:rsidR="00CF1DD7" w:rsidRPr="0081018C" w:rsidRDefault="00CF1DD7" w:rsidP="00CF1DD7">
            <w:pPr>
              <w:spacing w:before="100" w:beforeAutospacing="1" w:after="100" w:afterAutospacing="1"/>
              <w:rPr>
                <w:rFonts w:eastAsia="Times New Roman" w:cs="Times New Roman"/>
                <w:sz w:val="22"/>
                <w:szCs w:val="24"/>
                <w:lang w:eastAsia="lv-LV"/>
              </w:rPr>
            </w:pPr>
            <w:r w:rsidRPr="0081018C">
              <w:rPr>
                <w:rFonts w:eastAsia="Times New Roman" w:cs="Times New Roman"/>
                <w:sz w:val="22"/>
                <w:szCs w:val="24"/>
                <w:lang w:eastAsia="lv-LV"/>
              </w:rPr>
              <w:t>1. Budžeta ieņēmumi:</w:t>
            </w:r>
          </w:p>
        </w:tc>
        <w:tc>
          <w:tcPr>
            <w:tcW w:w="99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EB06DAB"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200 000</w:t>
            </w:r>
          </w:p>
        </w:tc>
        <w:tc>
          <w:tcPr>
            <w:tcW w:w="1134" w:type="dxa"/>
            <w:tcBorders>
              <w:top w:val="outset" w:sz="6" w:space="0" w:color="000000"/>
              <w:left w:val="outset" w:sz="6" w:space="0" w:color="000000"/>
              <w:bottom w:val="outset" w:sz="6" w:space="0" w:color="000000"/>
              <w:right w:val="outset" w:sz="6" w:space="0" w:color="000000"/>
            </w:tcBorders>
            <w:vAlign w:val="center"/>
          </w:tcPr>
          <w:p w14:paraId="516C2B29"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0</w:t>
            </w:r>
          </w:p>
        </w:tc>
        <w:tc>
          <w:tcPr>
            <w:tcW w:w="992" w:type="dxa"/>
            <w:tcBorders>
              <w:top w:val="outset" w:sz="6" w:space="0" w:color="000000"/>
              <w:left w:val="outset" w:sz="6" w:space="0" w:color="000000"/>
              <w:bottom w:val="outset" w:sz="6" w:space="0" w:color="000000"/>
              <w:right w:val="outset" w:sz="6" w:space="0" w:color="000000"/>
            </w:tcBorders>
            <w:vAlign w:val="center"/>
          </w:tcPr>
          <w:p w14:paraId="3DC0AF6B"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3 250 000</w:t>
            </w:r>
          </w:p>
        </w:tc>
        <w:tc>
          <w:tcPr>
            <w:tcW w:w="1134" w:type="dxa"/>
            <w:tcBorders>
              <w:top w:val="outset" w:sz="6" w:space="0" w:color="000000"/>
              <w:left w:val="outset" w:sz="6" w:space="0" w:color="000000"/>
              <w:bottom w:val="outset" w:sz="6" w:space="0" w:color="000000"/>
              <w:right w:val="outset" w:sz="6" w:space="0" w:color="000000"/>
            </w:tcBorders>
            <w:vAlign w:val="center"/>
          </w:tcPr>
          <w:p w14:paraId="24166873"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-250 000</w:t>
            </w:r>
          </w:p>
        </w:tc>
        <w:tc>
          <w:tcPr>
            <w:tcW w:w="993" w:type="dxa"/>
            <w:tcBorders>
              <w:top w:val="outset" w:sz="6" w:space="0" w:color="000000"/>
              <w:left w:val="outset" w:sz="6" w:space="0" w:color="000000"/>
              <w:bottom w:val="outset" w:sz="6" w:space="0" w:color="000000"/>
              <w:right w:val="outset" w:sz="6" w:space="0" w:color="000000"/>
            </w:tcBorders>
            <w:vAlign w:val="center"/>
          </w:tcPr>
          <w:p w14:paraId="0AB1CFAF"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3 250 000</w:t>
            </w:r>
          </w:p>
        </w:tc>
        <w:tc>
          <w:tcPr>
            <w:tcW w:w="1134" w:type="dxa"/>
            <w:tcBorders>
              <w:top w:val="outset" w:sz="6" w:space="0" w:color="000000"/>
              <w:left w:val="outset" w:sz="6" w:space="0" w:color="000000"/>
              <w:bottom w:val="outset" w:sz="6" w:space="0" w:color="000000"/>
              <w:right w:val="outset" w:sz="6" w:space="0" w:color="000000"/>
            </w:tcBorders>
            <w:vAlign w:val="center"/>
          </w:tcPr>
          <w:p w14:paraId="62792020"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 -458 000</w:t>
            </w:r>
          </w:p>
        </w:tc>
        <w:tc>
          <w:tcPr>
            <w:tcW w:w="1281" w:type="dxa"/>
            <w:tcBorders>
              <w:top w:val="outset" w:sz="6" w:space="0" w:color="000000"/>
              <w:left w:val="outset" w:sz="6" w:space="0" w:color="000000"/>
              <w:bottom w:val="outset" w:sz="6" w:space="0" w:color="000000"/>
              <w:right w:val="outset" w:sz="6" w:space="0" w:color="000000"/>
            </w:tcBorders>
            <w:vAlign w:val="center"/>
          </w:tcPr>
          <w:p w14:paraId="5BD24444"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 xml:space="preserve">-1 256 000   </w:t>
            </w:r>
          </w:p>
        </w:tc>
      </w:tr>
      <w:tr w:rsidR="00CF1DD7" w:rsidRPr="0081018C" w14:paraId="7A442D8B" w14:textId="77777777" w:rsidTr="0036242B">
        <w:tc>
          <w:tcPr>
            <w:tcW w:w="1408" w:type="dxa"/>
            <w:tcBorders>
              <w:top w:val="outset" w:sz="6" w:space="0" w:color="000000"/>
              <w:left w:val="outset" w:sz="6" w:space="0" w:color="000000"/>
              <w:bottom w:val="outset" w:sz="6" w:space="0" w:color="000000"/>
              <w:right w:val="outset" w:sz="6" w:space="0" w:color="000000"/>
            </w:tcBorders>
          </w:tcPr>
          <w:p w14:paraId="6D98540E" w14:textId="77777777" w:rsidR="00CF1DD7" w:rsidRPr="0081018C" w:rsidRDefault="00CF1DD7" w:rsidP="00CF1DD7">
            <w:pPr>
              <w:spacing w:before="100" w:beforeAutospacing="1" w:after="100" w:afterAutospacing="1"/>
              <w:rPr>
                <w:rFonts w:eastAsia="Times New Roman" w:cs="Times New Roman"/>
                <w:sz w:val="22"/>
                <w:szCs w:val="24"/>
                <w:lang w:eastAsia="lv-LV"/>
              </w:rPr>
            </w:pPr>
            <w:r w:rsidRPr="0081018C">
              <w:rPr>
                <w:rFonts w:eastAsia="Times New Roman" w:cs="Times New Roman"/>
                <w:sz w:val="22"/>
                <w:szCs w:val="24"/>
                <w:lang w:eastAsia="lv-LV"/>
              </w:rPr>
              <w:t>1.1. valsts pamatbudžets, tai skaitā ieņēmumi no maksas pakalpojumiem un citi pašu ieņēmumi</w:t>
            </w:r>
          </w:p>
        </w:tc>
        <w:tc>
          <w:tcPr>
            <w:tcW w:w="99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7DD8BAF"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200 000</w:t>
            </w:r>
          </w:p>
        </w:tc>
        <w:tc>
          <w:tcPr>
            <w:tcW w:w="1134" w:type="dxa"/>
            <w:tcBorders>
              <w:top w:val="outset" w:sz="6" w:space="0" w:color="000000"/>
              <w:left w:val="outset" w:sz="6" w:space="0" w:color="000000"/>
              <w:bottom w:val="outset" w:sz="6" w:space="0" w:color="000000"/>
              <w:right w:val="outset" w:sz="6" w:space="0" w:color="000000"/>
            </w:tcBorders>
            <w:vAlign w:val="center"/>
          </w:tcPr>
          <w:p w14:paraId="59446FF2"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0</w:t>
            </w:r>
          </w:p>
        </w:tc>
        <w:tc>
          <w:tcPr>
            <w:tcW w:w="992" w:type="dxa"/>
            <w:tcBorders>
              <w:top w:val="outset" w:sz="6" w:space="0" w:color="000000"/>
              <w:left w:val="outset" w:sz="6" w:space="0" w:color="000000"/>
              <w:bottom w:val="outset" w:sz="6" w:space="0" w:color="000000"/>
              <w:right w:val="outset" w:sz="6" w:space="0" w:color="000000"/>
            </w:tcBorders>
            <w:vAlign w:val="center"/>
          </w:tcPr>
          <w:p w14:paraId="318779AC"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3 010 000</w:t>
            </w:r>
          </w:p>
        </w:tc>
        <w:tc>
          <w:tcPr>
            <w:tcW w:w="1134" w:type="dxa"/>
            <w:tcBorders>
              <w:top w:val="outset" w:sz="6" w:space="0" w:color="000000"/>
              <w:left w:val="outset" w:sz="6" w:space="0" w:color="000000"/>
              <w:bottom w:val="outset" w:sz="6" w:space="0" w:color="000000"/>
              <w:right w:val="outset" w:sz="6" w:space="0" w:color="000000"/>
            </w:tcBorders>
            <w:vAlign w:val="center"/>
          </w:tcPr>
          <w:p w14:paraId="35537E65"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-10 000</w:t>
            </w:r>
          </w:p>
        </w:tc>
        <w:tc>
          <w:tcPr>
            <w:tcW w:w="993" w:type="dxa"/>
            <w:tcBorders>
              <w:top w:val="outset" w:sz="6" w:space="0" w:color="000000"/>
              <w:left w:val="outset" w:sz="6" w:space="0" w:color="000000"/>
              <w:bottom w:val="outset" w:sz="6" w:space="0" w:color="000000"/>
              <w:right w:val="outset" w:sz="6" w:space="0" w:color="000000"/>
            </w:tcBorders>
            <w:vAlign w:val="center"/>
          </w:tcPr>
          <w:p w14:paraId="5F24CA65"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3 010 000</w:t>
            </w:r>
          </w:p>
        </w:tc>
        <w:tc>
          <w:tcPr>
            <w:tcW w:w="1134" w:type="dxa"/>
            <w:tcBorders>
              <w:top w:val="outset" w:sz="6" w:space="0" w:color="000000"/>
              <w:left w:val="outset" w:sz="6" w:space="0" w:color="000000"/>
              <w:bottom w:val="outset" w:sz="6" w:space="0" w:color="000000"/>
              <w:right w:val="outset" w:sz="6" w:space="0" w:color="000000"/>
            </w:tcBorders>
            <w:vAlign w:val="center"/>
          </w:tcPr>
          <w:p w14:paraId="21757F80"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-257 200</w:t>
            </w:r>
          </w:p>
        </w:tc>
        <w:tc>
          <w:tcPr>
            <w:tcW w:w="1281" w:type="dxa"/>
            <w:tcBorders>
              <w:top w:val="outset" w:sz="6" w:space="0" w:color="000000"/>
              <w:left w:val="outset" w:sz="6" w:space="0" w:color="000000"/>
              <w:bottom w:val="outset" w:sz="6" w:space="0" w:color="000000"/>
              <w:right w:val="outset" w:sz="6" w:space="0" w:color="000000"/>
            </w:tcBorders>
            <w:vAlign w:val="center"/>
          </w:tcPr>
          <w:p w14:paraId="33A9202D"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 xml:space="preserve">-1 047 200   </w:t>
            </w:r>
          </w:p>
        </w:tc>
      </w:tr>
      <w:tr w:rsidR="00CF1DD7" w:rsidRPr="0081018C" w14:paraId="3CEED89B" w14:textId="77777777" w:rsidTr="0036242B">
        <w:tc>
          <w:tcPr>
            <w:tcW w:w="1408" w:type="dxa"/>
            <w:tcBorders>
              <w:top w:val="outset" w:sz="6" w:space="0" w:color="000000"/>
              <w:left w:val="outset" w:sz="6" w:space="0" w:color="000000"/>
              <w:bottom w:val="outset" w:sz="6" w:space="0" w:color="000000"/>
              <w:right w:val="outset" w:sz="6" w:space="0" w:color="000000"/>
            </w:tcBorders>
          </w:tcPr>
          <w:p w14:paraId="24942D7A" w14:textId="77777777" w:rsidR="00CF1DD7" w:rsidRPr="0081018C" w:rsidRDefault="00CF1DD7" w:rsidP="00CF1DD7">
            <w:pPr>
              <w:spacing w:before="100" w:beforeAutospacing="1" w:after="100" w:afterAutospacing="1"/>
              <w:rPr>
                <w:rFonts w:eastAsia="Times New Roman" w:cs="Times New Roman"/>
                <w:sz w:val="22"/>
                <w:szCs w:val="24"/>
                <w:lang w:eastAsia="lv-LV"/>
              </w:rPr>
            </w:pPr>
            <w:r w:rsidRPr="0081018C">
              <w:rPr>
                <w:rFonts w:eastAsia="Times New Roman" w:cs="Times New Roman"/>
                <w:sz w:val="22"/>
                <w:szCs w:val="24"/>
                <w:lang w:eastAsia="lv-LV"/>
              </w:rPr>
              <w:t>1.2. valsts speciālais budžets</w:t>
            </w:r>
          </w:p>
        </w:tc>
        <w:tc>
          <w:tcPr>
            <w:tcW w:w="991" w:type="dxa"/>
            <w:tcBorders>
              <w:top w:val="outset" w:sz="6" w:space="0" w:color="000000"/>
              <w:left w:val="outset" w:sz="6" w:space="0" w:color="000000"/>
              <w:bottom w:val="outset" w:sz="6" w:space="0" w:color="000000"/>
              <w:right w:val="outset" w:sz="6" w:space="0" w:color="000000"/>
            </w:tcBorders>
            <w:vAlign w:val="center"/>
          </w:tcPr>
          <w:p w14:paraId="63A15E16"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0</w:t>
            </w:r>
          </w:p>
        </w:tc>
        <w:tc>
          <w:tcPr>
            <w:tcW w:w="1134" w:type="dxa"/>
            <w:tcBorders>
              <w:top w:val="outset" w:sz="6" w:space="0" w:color="000000"/>
              <w:left w:val="outset" w:sz="6" w:space="0" w:color="000000"/>
              <w:bottom w:val="outset" w:sz="6" w:space="0" w:color="000000"/>
              <w:right w:val="outset" w:sz="6" w:space="0" w:color="000000"/>
            </w:tcBorders>
            <w:vAlign w:val="center"/>
          </w:tcPr>
          <w:p w14:paraId="40A357BF"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0</w:t>
            </w:r>
          </w:p>
        </w:tc>
        <w:tc>
          <w:tcPr>
            <w:tcW w:w="992" w:type="dxa"/>
            <w:tcBorders>
              <w:top w:val="outset" w:sz="6" w:space="0" w:color="000000"/>
              <w:left w:val="outset" w:sz="6" w:space="0" w:color="000000"/>
              <w:bottom w:val="outset" w:sz="6" w:space="0" w:color="000000"/>
              <w:right w:val="outset" w:sz="6" w:space="0" w:color="000000"/>
            </w:tcBorders>
            <w:vAlign w:val="center"/>
          </w:tcPr>
          <w:p w14:paraId="556A077D"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0</w:t>
            </w:r>
          </w:p>
        </w:tc>
        <w:tc>
          <w:tcPr>
            <w:tcW w:w="1134" w:type="dxa"/>
            <w:tcBorders>
              <w:top w:val="outset" w:sz="6" w:space="0" w:color="000000"/>
              <w:left w:val="outset" w:sz="6" w:space="0" w:color="000000"/>
              <w:bottom w:val="outset" w:sz="6" w:space="0" w:color="000000"/>
              <w:right w:val="outset" w:sz="6" w:space="0" w:color="000000"/>
            </w:tcBorders>
            <w:vAlign w:val="center"/>
          </w:tcPr>
          <w:p w14:paraId="5FAE1CBA"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0</w:t>
            </w:r>
          </w:p>
        </w:tc>
        <w:tc>
          <w:tcPr>
            <w:tcW w:w="993" w:type="dxa"/>
            <w:tcBorders>
              <w:top w:val="outset" w:sz="6" w:space="0" w:color="000000"/>
              <w:left w:val="outset" w:sz="6" w:space="0" w:color="000000"/>
              <w:bottom w:val="outset" w:sz="6" w:space="0" w:color="000000"/>
              <w:right w:val="outset" w:sz="6" w:space="0" w:color="000000"/>
            </w:tcBorders>
            <w:vAlign w:val="center"/>
          </w:tcPr>
          <w:p w14:paraId="3590EF00"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0</w:t>
            </w:r>
          </w:p>
        </w:tc>
        <w:tc>
          <w:tcPr>
            <w:tcW w:w="1134" w:type="dxa"/>
            <w:tcBorders>
              <w:top w:val="outset" w:sz="6" w:space="0" w:color="000000"/>
              <w:left w:val="outset" w:sz="6" w:space="0" w:color="000000"/>
              <w:bottom w:val="outset" w:sz="6" w:space="0" w:color="000000"/>
              <w:right w:val="outset" w:sz="6" w:space="0" w:color="000000"/>
            </w:tcBorders>
            <w:vAlign w:val="center"/>
          </w:tcPr>
          <w:p w14:paraId="142DAE44"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0</w:t>
            </w:r>
          </w:p>
        </w:tc>
        <w:tc>
          <w:tcPr>
            <w:tcW w:w="1281" w:type="dxa"/>
            <w:tcBorders>
              <w:top w:val="outset" w:sz="6" w:space="0" w:color="000000"/>
              <w:left w:val="outset" w:sz="6" w:space="0" w:color="000000"/>
              <w:bottom w:val="outset" w:sz="6" w:space="0" w:color="000000"/>
              <w:right w:val="outset" w:sz="6" w:space="0" w:color="000000"/>
            </w:tcBorders>
            <w:vAlign w:val="center"/>
          </w:tcPr>
          <w:p w14:paraId="37832352"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0</w:t>
            </w:r>
          </w:p>
        </w:tc>
      </w:tr>
      <w:tr w:rsidR="00CF1DD7" w:rsidRPr="0081018C" w14:paraId="5FB3A798" w14:textId="77777777" w:rsidTr="0036242B">
        <w:tc>
          <w:tcPr>
            <w:tcW w:w="1408" w:type="dxa"/>
            <w:tcBorders>
              <w:top w:val="outset" w:sz="6" w:space="0" w:color="000000"/>
              <w:left w:val="outset" w:sz="6" w:space="0" w:color="000000"/>
              <w:bottom w:val="outset" w:sz="6" w:space="0" w:color="000000"/>
              <w:right w:val="outset" w:sz="6" w:space="0" w:color="000000"/>
            </w:tcBorders>
            <w:vAlign w:val="center"/>
          </w:tcPr>
          <w:p w14:paraId="31F887A7" w14:textId="77777777" w:rsidR="00CF1DD7" w:rsidRPr="0081018C" w:rsidRDefault="00CF1DD7" w:rsidP="00CF1DD7">
            <w:pPr>
              <w:spacing w:before="100" w:beforeAutospacing="1" w:after="100" w:afterAutospacing="1"/>
              <w:rPr>
                <w:rFonts w:eastAsia="Times New Roman" w:cs="Times New Roman"/>
                <w:sz w:val="22"/>
                <w:szCs w:val="24"/>
                <w:lang w:eastAsia="lv-LV"/>
              </w:rPr>
            </w:pPr>
            <w:r w:rsidRPr="0081018C">
              <w:rPr>
                <w:rFonts w:eastAsia="Times New Roman" w:cs="Times New Roman"/>
                <w:sz w:val="22"/>
                <w:szCs w:val="24"/>
                <w:lang w:eastAsia="lv-LV"/>
              </w:rPr>
              <w:t>1.3. pašvaldību budžets</w:t>
            </w:r>
          </w:p>
        </w:tc>
        <w:tc>
          <w:tcPr>
            <w:tcW w:w="991" w:type="dxa"/>
            <w:tcBorders>
              <w:top w:val="outset" w:sz="6" w:space="0" w:color="000000"/>
              <w:left w:val="outset" w:sz="6" w:space="0" w:color="000000"/>
              <w:bottom w:val="outset" w:sz="6" w:space="0" w:color="000000"/>
              <w:right w:val="outset" w:sz="6" w:space="0" w:color="000000"/>
            </w:tcBorders>
            <w:vAlign w:val="center"/>
          </w:tcPr>
          <w:p w14:paraId="2678E73D"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0</w:t>
            </w:r>
          </w:p>
        </w:tc>
        <w:tc>
          <w:tcPr>
            <w:tcW w:w="1134" w:type="dxa"/>
            <w:tcBorders>
              <w:top w:val="outset" w:sz="6" w:space="0" w:color="000000"/>
              <w:left w:val="outset" w:sz="6" w:space="0" w:color="000000"/>
              <w:bottom w:val="outset" w:sz="6" w:space="0" w:color="000000"/>
              <w:right w:val="outset" w:sz="6" w:space="0" w:color="000000"/>
            </w:tcBorders>
            <w:vAlign w:val="center"/>
          </w:tcPr>
          <w:p w14:paraId="074BD346"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0</w:t>
            </w:r>
          </w:p>
        </w:tc>
        <w:tc>
          <w:tcPr>
            <w:tcW w:w="992" w:type="dxa"/>
            <w:tcBorders>
              <w:top w:val="outset" w:sz="6" w:space="0" w:color="000000"/>
              <w:left w:val="outset" w:sz="6" w:space="0" w:color="000000"/>
              <w:bottom w:val="outset" w:sz="6" w:space="0" w:color="000000"/>
              <w:right w:val="outset" w:sz="6" w:space="0" w:color="000000"/>
            </w:tcBorders>
            <w:vAlign w:val="center"/>
          </w:tcPr>
          <w:p w14:paraId="02F4DC2E"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240 000</w:t>
            </w:r>
          </w:p>
        </w:tc>
        <w:tc>
          <w:tcPr>
            <w:tcW w:w="1134" w:type="dxa"/>
            <w:tcBorders>
              <w:top w:val="outset" w:sz="6" w:space="0" w:color="000000"/>
              <w:left w:val="outset" w:sz="6" w:space="0" w:color="000000"/>
              <w:bottom w:val="outset" w:sz="6" w:space="0" w:color="000000"/>
              <w:right w:val="outset" w:sz="6" w:space="0" w:color="000000"/>
            </w:tcBorders>
            <w:vAlign w:val="center"/>
          </w:tcPr>
          <w:p w14:paraId="06AF8996"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-240 000</w:t>
            </w:r>
          </w:p>
        </w:tc>
        <w:tc>
          <w:tcPr>
            <w:tcW w:w="993" w:type="dxa"/>
            <w:tcBorders>
              <w:top w:val="outset" w:sz="6" w:space="0" w:color="000000"/>
              <w:left w:val="outset" w:sz="6" w:space="0" w:color="000000"/>
              <w:bottom w:val="outset" w:sz="6" w:space="0" w:color="000000"/>
              <w:right w:val="outset" w:sz="6" w:space="0" w:color="000000"/>
            </w:tcBorders>
            <w:vAlign w:val="center"/>
          </w:tcPr>
          <w:p w14:paraId="173DEDCE"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240 000</w:t>
            </w:r>
          </w:p>
        </w:tc>
        <w:tc>
          <w:tcPr>
            <w:tcW w:w="1134" w:type="dxa"/>
            <w:tcBorders>
              <w:top w:val="outset" w:sz="6" w:space="0" w:color="000000"/>
              <w:left w:val="outset" w:sz="6" w:space="0" w:color="000000"/>
              <w:bottom w:val="outset" w:sz="6" w:space="0" w:color="000000"/>
              <w:right w:val="outset" w:sz="6" w:space="0" w:color="000000"/>
            </w:tcBorders>
            <w:vAlign w:val="center"/>
          </w:tcPr>
          <w:p w14:paraId="3DD8A5AF"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 -200 800</w:t>
            </w:r>
          </w:p>
        </w:tc>
        <w:tc>
          <w:tcPr>
            <w:tcW w:w="1281" w:type="dxa"/>
            <w:tcBorders>
              <w:top w:val="outset" w:sz="6" w:space="0" w:color="000000"/>
              <w:left w:val="outset" w:sz="6" w:space="0" w:color="000000"/>
              <w:bottom w:val="outset" w:sz="6" w:space="0" w:color="000000"/>
              <w:right w:val="outset" w:sz="6" w:space="0" w:color="000000"/>
            </w:tcBorders>
            <w:vAlign w:val="center"/>
          </w:tcPr>
          <w:p w14:paraId="3B58FB76"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 -208 800</w:t>
            </w:r>
          </w:p>
        </w:tc>
      </w:tr>
      <w:tr w:rsidR="00CF1DD7" w:rsidRPr="0081018C" w14:paraId="566D99C6" w14:textId="77777777" w:rsidTr="0036242B">
        <w:tc>
          <w:tcPr>
            <w:tcW w:w="1408" w:type="dxa"/>
            <w:tcBorders>
              <w:top w:val="outset" w:sz="6" w:space="0" w:color="000000"/>
              <w:left w:val="outset" w:sz="6" w:space="0" w:color="000000"/>
              <w:bottom w:val="outset" w:sz="6" w:space="0" w:color="000000"/>
              <w:right w:val="outset" w:sz="6" w:space="0" w:color="000000"/>
            </w:tcBorders>
            <w:vAlign w:val="center"/>
          </w:tcPr>
          <w:p w14:paraId="0A31683C" w14:textId="77777777" w:rsidR="00CF1DD7" w:rsidRPr="0081018C" w:rsidRDefault="00CF1DD7" w:rsidP="00CF1DD7">
            <w:pPr>
              <w:spacing w:before="100" w:beforeAutospacing="1" w:after="100" w:afterAutospacing="1"/>
              <w:rPr>
                <w:rFonts w:eastAsia="Times New Roman" w:cs="Times New Roman"/>
                <w:sz w:val="22"/>
                <w:szCs w:val="24"/>
                <w:lang w:eastAsia="lv-LV"/>
              </w:rPr>
            </w:pPr>
            <w:r w:rsidRPr="0081018C">
              <w:rPr>
                <w:rFonts w:eastAsia="Times New Roman" w:cs="Times New Roman"/>
                <w:sz w:val="22"/>
                <w:szCs w:val="24"/>
                <w:lang w:eastAsia="lv-LV"/>
              </w:rPr>
              <w:t>2. Budžeta izdevumi</w:t>
            </w:r>
          </w:p>
        </w:tc>
        <w:tc>
          <w:tcPr>
            <w:tcW w:w="991" w:type="dxa"/>
            <w:tcBorders>
              <w:top w:val="outset" w:sz="6" w:space="0" w:color="000000"/>
              <w:left w:val="outset" w:sz="6" w:space="0" w:color="000000"/>
              <w:bottom w:val="outset" w:sz="6" w:space="0" w:color="000000"/>
              <w:right w:val="outset" w:sz="6" w:space="0" w:color="000000"/>
            </w:tcBorders>
            <w:vAlign w:val="center"/>
          </w:tcPr>
          <w:p w14:paraId="24787C7F"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200 000</w:t>
            </w:r>
          </w:p>
        </w:tc>
        <w:tc>
          <w:tcPr>
            <w:tcW w:w="1134" w:type="dxa"/>
            <w:tcBorders>
              <w:top w:val="outset" w:sz="6" w:space="0" w:color="000000"/>
              <w:left w:val="outset" w:sz="6" w:space="0" w:color="000000"/>
              <w:bottom w:val="outset" w:sz="6" w:space="0" w:color="000000"/>
              <w:right w:val="outset" w:sz="6" w:space="0" w:color="000000"/>
            </w:tcBorders>
            <w:vAlign w:val="center"/>
          </w:tcPr>
          <w:p w14:paraId="3D4CDE8A"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0</w:t>
            </w:r>
          </w:p>
        </w:tc>
        <w:tc>
          <w:tcPr>
            <w:tcW w:w="992" w:type="dxa"/>
            <w:tcBorders>
              <w:top w:val="outset" w:sz="6" w:space="0" w:color="000000"/>
              <w:left w:val="outset" w:sz="6" w:space="0" w:color="000000"/>
              <w:bottom w:val="outset" w:sz="6" w:space="0" w:color="000000"/>
              <w:right w:val="outset" w:sz="6" w:space="0" w:color="000000"/>
            </w:tcBorders>
            <w:vAlign w:val="center"/>
          </w:tcPr>
          <w:p w14:paraId="49023C22"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250 000</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5C9C2AF"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 0</w:t>
            </w:r>
          </w:p>
        </w:tc>
        <w:tc>
          <w:tcPr>
            <w:tcW w:w="993"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83EA7B6"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250 000</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6B4DFEF"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 0</w:t>
            </w:r>
          </w:p>
        </w:tc>
        <w:tc>
          <w:tcPr>
            <w:tcW w:w="128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3FFC678"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9 000</w:t>
            </w:r>
          </w:p>
        </w:tc>
      </w:tr>
      <w:tr w:rsidR="00CF1DD7" w:rsidRPr="0081018C" w14:paraId="447DBAB0" w14:textId="77777777" w:rsidTr="0036242B">
        <w:tc>
          <w:tcPr>
            <w:tcW w:w="1408" w:type="dxa"/>
            <w:tcBorders>
              <w:top w:val="outset" w:sz="6" w:space="0" w:color="000000"/>
              <w:left w:val="outset" w:sz="6" w:space="0" w:color="000000"/>
              <w:bottom w:val="outset" w:sz="6" w:space="0" w:color="000000"/>
              <w:right w:val="outset" w:sz="6" w:space="0" w:color="000000"/>
            </w:tcBorders>
            <w:vAlign w:val="center"/>
          </w:tcPr>
          <w:p w14:paraId="45B112E7" w14:textId="77777777" w:rsidR="00CF1DD7" w:rsidRPr="0081018C" w:rsidRDefault="00CF1DD7" w:rsidP="00CF1DD7">
            <w:pPr>
              <w:spacing w:before="100" w:beforeAutospacing="1" w:after="100" w:afterAutospacing="1"/>
              <w:rPr>
                <w:rFonts w:eastAsia="Times New Roman" w:cs="Times New Roman"/>
                <w:sz w:val="22"/>
                <w:szCs w:val="24"/>
                <w:lang w:eastAsia="lv-LV"/>
              </w:rPr>
            </w:pPr>
            <w:r w:rsidRPr="0081018C">
              <w:rPr>
                <w:rFonts w:eastAsia="Times New Roman" w:cs="Times New Roman"/>
                <w:sz w:val="22"/>
                <w:szCs w:val="24"/>
                <w:lang w:eastAsia="lv-LV"/>
              </w:rPr>
              <w:t>2.1. valsts pamatbudžets</w:t>
            </w:r>
          </w:p>
        </w:tc>
        <w:tc>
          <w:tcPr>
            <w:tcW w:w="991" w:type="dxa"/>
            <w:tcBorders>
              <w:top w:val="outset" w:sz="6" w:space="0" w:color="000000"/>
              <w:left w:val="outset" w:sz="6" w:space="0" w:color="000000"/>
              <w:bottom w:val="outset" w:sz="6" w:space="0" w:color="000000"/>
              <w:right w:val="outset" w:sz="6" w:space="0" w:color="000000"/>
            </w:tcBorders>
            <w:vAlign w:val="center"/>
          </w:tcPr>
          <w:p w14:paraId="352EF6D2"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200 000</w:t>
            </w:r>
          </w:p>
        </w:tc>
        <w:tc>
          <w:tcPr>
            <w:tcW w:w="1134" w:type="dxa"/>
            <w:tcBorders>
              <w:top w:val="outset" w:sz="6" w:space="0" w:color="000000"/>
              <w:left w:val="outset" w:sz="6" w:space="0" w:color="000000"/>
              <w:bottom w:val="outset" w:sz="6" w:space="0" w:color="000000"/>
              <w:right w:val="outset" w:sz="6" w:space="0" w:color="000000"/>
            </w:tcBorders>
            <w:vAlign w:val="center"/>
          </w:tcPr>
          <w:p w14:paraId="65BF9407"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0</w:t>
            </w:r>
          </w:p>
        </w:tc>
        <w:tc>
          <w:tcPr>
            <w:tcW w:w="992" w:type="dxa"/>
            <w:tcBorders>
              <w:top w:val="outset" w:sz="6" w:space="0" w:color="000000"/>
              <w:left w:val="outset" w:sz="6" w:space="0" w:color="000000"/>
              <w:bottom w:val="outset" w:sz="6" w:space="0" w:color="000000"/>
              <w:right w:val="outset" w:sz="6" w:space="0" w:color="000000"/>
            </w:tcBorders>
            <w:vAlign w:val="center"/>
          </w:tcPr>
          <w:p w14:paraId="019EC429"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250 000</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2D816C9"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0</w:t>
            </w:r>
          </w:p>
        </w:tc>
        <w:tc>
          <w:tcPr>
            <w:tcW w:w="993"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6EEF835"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250 000</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8B4F0BB"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0</w:t>
            </w:r>
          </w:p>
        </w:tc>
        <w:tc>
          <w:tcPr>
            <w:tcW w:w="128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08409ED"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9 000</w:t>
            </w:r>
          </w:p>
        </w:tc>
      </w:tr>
      <w:tr w:rsidR="00CF1DD7" w:rsidRPr="0081018C" w14:paraId="43B19692" w14:textId="77777777" w:rsidTr="0036242B">
        <w:trPr>
          <w:trHeight w:val="485"/>
        </w:trPr>
        <w:tc>
          <w:tcPr>
            <w:tcW w:w="1408" w:type="dxa"/>
            <w:tcBorders>
              <w:top w:val="outset" w:sz="6" w:space="0" w:color="000000"/>
              <w:left w:val="outset" w:sz="6" w:space="0" w:color="000000"/>
              <w:bottom w:val="outset" w:sz="6" w:space="0" w:color="000000"/>
              <w:right w:val="outset" w:sz="6" w:space="0" w:color="000000"/>
            </w:tcBorders>
          </w:tcPr>
          <w:p w14:paraId="266FD9DD" w14:textId="77777777" w:rsidR="00CF1DD7" w:rsidRPr="0081018C" w:rsidRDefault="00CF1DD7" w:rsidP="00CF1DD7">
            <w:pPr>
              <w:spacing w:before="100" w:beforeAutospacing="1" w:after="100" w:afterAutospacing="1"/>
              <w:rPr>
                <w:rFonts w:eastAsia="Times New Roman" w:cs="Times New Roman"/>
                <w:sz w:val="22"/>
                <w:szCs w:val="24"/>
                <w:lang w:eastAsia="lv-LV"/>
              </w:rPr>
            </w:pPr>
            <w:r w:rsidRPr="0081018C">
              <w:rPr>
                <w:rFonts w:eastAsia="Times New Roman" w:cs="Times New Roman"/>
                <w:sz w:val="22"/>
                <w:szCs w:val="24"/>
                <w:lang w:eastAsia="lv-LV"/>
              </w:rPr>
              <w:t>2.2. valsts speciālais budžets</w:t>
            </w:r>
          </w:p>
        </w:tc>
        <w:tc>
          <w:tcPr>
            <w:tcW w:w="991" w:type="dxa"/>
            <w:tcBorders>
              <w:top w:val="outset" w:sz="6" w:space="0" w:color="000000"/>
              <w:left w:val="outset" w:sz="6" w:space="0" w:color="000000"/>
              <w:bottom w:val="outset" w:sz="6" w:space="0" w:color="000000"/>
              <w:right w:val="outset" w:sz="6" w:space="0" w:color="000000"/>
            </w:tcBorders>
            <w:vAlign w:val="center"/>
          </w:tcPr>
          <w:p w14:paraId="2C05CAA7"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0</w:t>
            </w:r>
          </w:p>
        </w:tc>
        <w:tc>
          <w:tcPr>
            <w:tcW w:w="1134" w:type="dxa"/>
            <w:tcBorders>
              <w:top w:val="outset" w:sz="6" w:space="0" w:color="000000"/>
              <w:left w:val="outset" w:sz="6" w:space="0" w:color="000000"/>
              <w:bottom w:val="outset" w:sz="6" w:space="0" w:color="000000"/>
              <w:right w:val="outset" w:sz="6" w:space="0" w:color="000000"/>
            </w:tcBorders>
            <w:vAlign w:val="center"/>
          </w:tcPr>
          <w:p w14:paraId="753C3A90"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0</w:t>
            </w:r>
          </w:p>
        </w:tc>
        <w:tc>
          <w:tcPr>
            <w:tcW w:w="992" w:type="dxa"/>
            <w:tcBorders>
              <w:top w:val="outset" w:sz="6" w:space="0" w:color="000000"/>
              <w:left w:val="outset" w:sz="6" w:space="0" w:color="000000"/>
              <w:bottom w:val="outset" w:sz="6" w:space="0" w:color="000000"/>
              <w:right w:val="outset" w:sz="6" w:space="0" w:color="000000"/>
            </w:tcBorders>
            <w:vAlign w:val="center"/>
          </w:tcPr>
          <w:p w14:paraId="229F949C"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0</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F14E688"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0</w:t>
            </w:r>
          </w:p>
        </w:tc>
        <w:tc>
          <w:tcPr>
            <w:tcW w:w="993"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FDCE2A5"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0</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7EFBBB8"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0</w:t>
            </w:r>
          </w:p>
        </w:tc>
        <w:tc>
          <w:tcPr>
            <w:tcW w:w="128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3014B46"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0</w:t>
            </w:r>
          </w:p>
        </w:tc>
      </w:tr>
      <w:tr w:rsidR="00CF1DD7" w:rsidRPr="0081018C" w14:paraId="4233DE45" w14:textId="77777777" w:rsidTr="0036242B">
        <w:tc>
          <w:tcPr>
            <w:tcW w:w="1408" w:type="dxa"/>
            <w:tcBorders>
              <w:top w:val="outset" w:sz="6" w:space="0" w:color="000000"/>
              <w:left w:val="outset" w:sz="6" w:space="0" w:color="000000"/>
              <w:bottom w:val="outset" w:sz="6" w:space="0" w:color="000000"/>
              <w:right w:val="outset" w:sz="6" w:space="0" w:color="000000"/>
            </w:tcBorders>
          </w:tcPr>
          <w:p w14:paraId="0EEA2639" w14:textId="77777777" w:rsidR="00CF1DD7" w:rsidRPr="0081018C" w:rsidRDefault="00CF1DD7" w:rsidP="00CF1DD7">
            <w:pPr>
              <w:spacing w:before="100" w:beforeAutospacing="1" w:after="100" w:afterAutospacing="1"/>
              <w:rPr>
                <w:rFonts w:eastAsia="Times New Roman" w:cs="Times New Roman"/>
                <w:sz w:val="22"/>
                <w:szCs w:val="24"/>
                <w:lang w:eastAsia="lv-LV"/>
              </w:rPr>
            </w:pPr>
            <w:r w:rsidRPr="0081018C">
              <w:rPr>
                <w:rFonts w:eastAsia="Times New Roman" w:cs="Times New Roman"/>
                <w:sz w:val="22"/>
                <w:szCs w:val="24"/>
                <w:lang w:eastAsia="lv-LV"/>
              </w:rPr>
              <w:t>2.3. pašvaldību budžets</w:t>
            </w:r>
          </w:p>
        </w:tc>
        <w:tc>
          <w:tcPr>
            <w:tcW w:w="991" w:type="dxa"/>
            <w:tcBorders>
              <w:top w:val="outset" w:sz="6" w:space="0" w:color="000000"/>
              <w:left w:val="outset" w:sz="6" w:space="0" w:color="000000"/>
              <w:bottom w:val="outset" w:sz="6" w:space="0" w:color="000000"/>
              <w:right w:val="outset" w:sz="6" w:space="0" w:color="000000"/>
            </w:tcBorders>
            <w:vAlign w:val="center"/>
          </w:tcPr>
          <w:p w14:paraId="47C9219D"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0</w:t>
            </w:r>
          </w:p>
        </w:tc>
        <w:tc>
          <w:tcPr>
            <w:tcW w:w="1134" w:type="dxa"/>
            <w:tcBorders>
              <w:top w:val="outset" w:sz="6" w:space="0" w:color="000000"/>
              <w:left w:val="outset" w:sz="6" w:space="0" w:color="000000"/>
              <w:bottom w:val="outset" w:sz="6" w:space="0" w:color="000000"/>
              <w:right w:val="outset" w:sz="6" w:space="0" w:color="000000"/>
            </w:tcBorders>
            <w:vAlign w:val="center"/>
          </w:tcPr>
          <w:p w14:paraId="0A1B53C3"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0</w:t>
            </w:r>
          </w:p>
        </w:tc>
        <w:tc>
          <w:tcPr>
            <w:tcW w:w="992" w:type="dxa"/>
            <w:tcBorders>
              <w:top w:val="outset" w:sz="6" w:space="0" w:color="000000"/>
              <w:left w:val="outset" w:sz="6" w:space="0" w:color="000000"/>
              <w:bottom w:val="outset" w:sz="6" w:space="0" w:color="000000"/>
              <w:right w:val="outset" w:sz="6" w:space="0" w:color="000000"/>
            </w:tcBorders>
            <w:vAlign w:val="center"/>
          </w:tcPr>
          <w:p w14:paraId="55691D81"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0</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C9DCA83"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0</w:t>
            </w:r>
          </w:p>
        </w:tc>
        <w:tc>
          <w:tcPr>
            <w:tcW w:w="993"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C6EC59B"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0</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09F7FC3"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0</w:t>
            </w:r>
          </w:p>
        </w:tc>
        <w:tc>
          <w:tcPr>
            <w:tcW w:w="128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1F51502"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0</w:t>
            </w:r>
          </w:p>
        </w:tc>
      </w:tr>
      <w:tr w:rsidR="00CF1DD7" w:rsidRPr="0081018C" w14:paraId="3A06E287" w14:textId="77777777" w:rsidTr="0036242B">
        <w:tc>
          <w:tcPr>
            <w:tcW w:w="1408" w:type="dxa"/>
            <w:tcBorders>
              <w:top w:val="outset" w:sz="6" w:space="0" w:color="000000"/>
              <w:left w:val="outset" w:sz="6" w:space="0" w:color="000000"/>
              <w:bottom w:val="outset" w:sz="6" w:space="0" w:color="000000"/>
              <w:right w:val="outset" w:sz="6" w:space="0" w:color="000000"/>
            </w:tcBorders>
          </w:tcPr>
          <w:p w14:paraId="5AE2D029" w14:textId="77777777" w:rsidR="00CF1DD7" w:rsidRPr="0081018C" w:rsidRDefault="00CF1DD7" w:rsidP="00CF1DD7">
            <w:pPr>
              <w:spacing w:before="100" w:beforeAutospacing="1" w:after="100" w:afterAutospacing="1"/>
              <w:rPr>
                <w:rFonts w:eastAsia="Times New Roman" w:cs="Times New Roman"/>
                <w:sz w:val="22"/>
                <w:szCs w:val="24"/>
                <w:lang w:eastAsia="lv-LV"/>
              </w:rPr>
            </w:pPr>
            <w:r w:rsidRPr="0081018C">
              <w:rPr>
                <w:rFonts w:eastAsia="Times New Roman" w:cs="Times New Roman"/>
                <w:sz w:val="22"/>
                <w:szCs w:val="24"/>
                <w:lang w:eastAsia="lv-LV"/>
              </w:rPr>
              <w:t>3. Finansiālā ietekme</w:t>
            </w:r>
          </w:p>
        </w:tc>
        <w:tc>
          <w:tcPr>
            <w:tcW w:w="991" w:type="dxa"/>
            <w:tcBorders>
              <w:top w:val="outset" w:sz="6" w:space="0" w:color="000000"/>
              <w:left w:val="outset" w:sz="6" w:space="0" w:color="000000"/>
              <w:bottom w:val="outset" w:sz="6" w:space="0" w:color="000000"/>
              <w:right w:val="outset" w:sz="6" w:space="0" w:color="000000"/>
            </w:tcBorders>
            <w:vAlign w:val="center"/>
          </w:tcPr>
          <w:p w14:paraId="4A589F98"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0</w:t>
            </w:r>
          </w:p>
        </w:tc>
        <w:tc>
          <w:tcPr>
            <w:tcW w:w="1134" w:type="dxa"/>
            <w:tcBorders>
              <w:top w:val="outset" w:sz="6" w:space="0" w:color="000000"/>
              <w:left w:val="outset" w:sz="6" w:space="0" w:color="000000"/>
              <w:bottom w:val="outset" w:sz="6" w:space="0" w:color="000000"/>
              <w:right w:val="outset" w:sz="6" w:space="0" w:color="000000"/>
            </w:tcBorders>
            <w:vAlign w:val="center"/>
          </w:tcPr>
          <w:p w14:paraId="44EF56DF"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0</w:t>
            </w:r>
          </w:p>
        </w:tc>
        <w:tc>
          <w:tcPr>
            <w:tcW w:w="992" w:type="dxa"/>
            <w:tcBorders>
              <w:top w:val="outset" w:sz="6" w:space="0" w:color="000000"/>
              <w:left w:val="outset" w:sz="6" w:space="0" w:color="000000"/>
              <w:bottom w:val="outset" w:sz="6" w:space="0" w:color="000000"/>
              <w:right w:val="outset" w:sz="6" w:space="0" w:color="000000"/>
            </w:tcBorders>
            <w:vAlign w:val="center"/>
          </w:tcPr>
          <w:p w14:paraId="2CE47BE2"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3 000 000</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47162E5"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-250 000</w:t>
            </w:r>
          </w:p>
        </w:tc>
        <w:tc>
          <w:tcPr>
            <w:tcW w:w="993"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CEBC435"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3 000 000</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BD2F701"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-458 000</w:t>
            </w:r>
          </w:p>
        </w:tc>
        <w:tc>
          <w:tcPr>
            <w:tcW w:w="128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75A9B5D"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-1 265 000</w:t>
            </w:r>
          </w:p>
        </w:tc>
      </w:tr>
      <w:tr w:rsidR="00CF1DD7" w:rsidRPr="0081018C" w14:paraId="103EAD97" w14:textId="77777777" w:rsidTr="0036242B">
        <w:tc>
          <w:tcPr>
            <w:tcW w:w="1408" w:type="dxa"/>
            <w:tcBorders>
              <w:top w:val="outset" w:sz="6" w:space="0" w:color="000000"/>
              <w:left w:val="outset" w:sz="6" w:space="0" w:color="000000"/>
              <w:bottom w:val="outset" w:sz="6" w:space="0" w:color="000000"/>
              <w:right w:val="outset" w:sz="6" w:space="0" w:color="000000"/>
            </w:tcBorders>
          </w:tcPr>
          <w:p w14:paraId="352D212C" w14:textId="77777777" w:rsidR="00CF1DD7" w:rsidRPr="0081018C" w:rsidRDefault="00CF1DD7" w:rsidP="00CF1DD7">
            <w:pPr>
              <w:spacing w:before="100" w:beforeAutospacing="1" w:after="100" w:afterAutospacing="1"/>
              <w:rPr>
                <w:rFonts w:eastAsia="Times New Roman" w:cs="Times New Roman"/>
                <w:sz w:val="22"/>
                <w:szCs w:val="24"/>
                <w:lang w:eastAsia="lv-LV"/>
              </w:rPr>
            </w:pPr>
            <w:r w:rsidRPr="0081018C">
              <w:rPr>
                <w:rFonts w:eastAsia="Times New Roman" w:cs="Times New Roman"/>
                <w:sz w:val="22"/>
                <w:szCs w:val="24"/>
                <w:lang w:eastAsia="lv-LV"/>
              </w:rPr>
              <w:lastRenderedPageBreak/>
              <w:t>3.1. valsts pamatbudžets</w:t>
            </w:r>
          </w:p>
        </w:tc>
        <w:tc>
          <w:tcPr>
            <w:tcW w:w="991" w:type="dxa"/>
            <w:tcBorders>
              <w:top w:val="outset" w:sz="6" w:space="0" w:color="000000"/>
              <w:left w:val="outset" w:sz="6" w:space="0" w:color="000000"/>
              <w:bottom w:val="outset" w:sz="6" w:space="0" w:color="000000"/>
              <w:right w:val="outset" w:sz="6" w:space="0" w:color="000000"/>
            </w:tcBorders>
            <w:vAlign w:val="center"/>
          </w:tcPr>
          <w:p w14:paraId="1F5E5D71"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0</w:t>
            </w:r>
          </w:p>
        </w:tc>
        <w:tc>
          <w:tcPr>
            <w:tcW w:w="1134" w:type="dxa"/>
            <w:tcBorders>
              <w:top w:val="outset" w:sz="6" w:space="0" w:color="000000"/>
              <w:left w:val="outset" w:sz="6" w:space="0" w:color="000000"/>
              <w:bottom w:val="outset" w:sz="6" w:space="0" w:color="000000"/>
              <w:right w:val="outset" w:sz="6" w:space="0" w:color="000000"/>
            </w:tcBorders>
            <w:vAlign w:val="center"/>
          </w:tcPr>
          <w:p w14:paraId="02338455"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0</w:t>
            </w:r>
          </w:p>
        </w:tc>
        <w:tc>
          <w:tcPr>
            <w:tcW w:w="992" w:type="dxa"/>
            <w:tcBorders>
              <w:top w:val="outset" w:sz="6" w:space="0" w:color="000000"/>
              <w:left w:val="outset" w:sz="6" w:space="0" w:color="000000"/>
              <w:bottom w:val="outset" w:sz="6" w:space="0" w:color="000000"/>
              <w:right w:val="outset" w:sz="6" w:space="0" w:color="000000"/>
            </w:tcBorders>
            <w:vAlign w:val="center"/>
          </w:tcPr>
          <w:p w14:paraId="0D6860E9"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2 760 000</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85A8EAE"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-10 000</w:t>
            </w:r>
          </w:p>
        </w:tc>
        <w:tc>
          <w:tcPr>
            <w:tcW w:w="993"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520975B"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2 760 000</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E5B5880"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-257 200</w:t>
            </w:r>
          </w:p>
        </w:tc>
        <w:tc>
          <w:tcPr>
            <w:tcW w:w="128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15EE331"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 -1 056 200</w:t>
            </w:r>
          </w:p>
        </w:tc>
      </w:tr>
      <w:tr w:rsidR="00CF1DD7" w:rsidRPr="0081018C" w14:paraId="4D8EC435" w14:textId="77777777" w:rsidTr="0036242B">
        <w:tc>
          <w:tcPr>
            <w:tcW w:w="1408" w:type="dxa"/>
            <w:tcBorders>
              <w:top w:val="outset" w:sz="6" w:space="0" w:color="000000"/>
              <w:left w:val="outset" w:sz="6" w:space="0" w:color="000000"/>
              <w:bottom w:val="outset" w:sz="6" w:space="0" w:color="000000"/>
              <w:right w:val="outset" w:sz="6" w:space="0" w:color="000000"/>
            </w:tcBorders>
          </w:tcPr>
          <w:p w14:paraId="4F9624B7" w14:textId="77777777" w:rsidR="00CF1DD7" w:rsidRPr="0081018C" w:rsidRDefault="00CF1DD7" w:rsidP="00CF1DD7">
            <w:pPr>
              <w:spacing w:before="100" w:beforeAutospacing="1" w:after="100" w:afterAutospacing="1"/>
              <w:rPr>
                <w:rFonts w:eastAsia="Times New Roman" w:cs="Times New Roman"/>
                <w:sz w:val="22"/>
                <w:szCs w:val="24"/>
                <w:lang w:eastAsia="lv-LV"/>
              </w:rPr>
            </w:pPr>
            <w:r w:rsidRPr="0081018C">
              <w:rPr>
                <w:rFonts w:eastAsia="Times New Roman" w:cs="Times New Roman"/>
                <w:sz w:val="22"/>
                <w:szCs w:val="24"/>
                <w:lang w:eastAsia="lv-LV"/>
              </w:rPr>
              <w:t>3.2. speciālais budžets</w:t>
            </w:r>
          </w:p>
        </w:tc>
        <w:tc>
          <w:tcPr>
            <w:tcW w:w="991" w:type="dxa"/>
            <w:tcBorders>
              <w:top w:val="outset" w:sz="6" w:space="0" w:color="000000"/>
              <w:left w:val="outset" w:sz="6" w:space="0" w:color="000000"/>
              <w:bottom w:val="outset" w:sz="6" w:space="0" w:color="000000"/>
              <w:right w:val="outset" w:sz="6" w:space="0" w:color="000000"/>
            </w:tcBorders>
            <w:vAlign w:val="center"/>
          </w:tcPr>
          <w:p w14:paraId="4E0B566C"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0</w:t>
            </w:r>
          </w:p>
        </w:tc>
        <w:tc>
          <w:tcPr>
            <w:tcW w:w="1134" w:type="dxa"/>
            <w:tcBorders>
              <w:top w:val="outset" w:sz="6" w:space="0" w:color="000000"/>
              <w:left w:val="outset" w:sz="6" w:space="0" w:color="000000"/>
              <w:bottom w:val="outset" w:sz="6" w:space="0" w:color="000000"/>
              <w:right w:val="outset" w:sz="6" w:space="0" w:color="000000"/>
            </w:tcBorders>
            <w:vAlign w:val="center"/>
          </w:tcPr>
          <w:p w14:paraId="23FF5430"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0</w:t>
            </w:r>
          </w:p>
        </w:tc>
        <w:tc>
          <w:tcPr>
            <w:tcW w:w="992" w:type="dxa"/>
            <w:tcBorders>
              <w:top w:val="outset" w:sz="6" w:space="0" w:color="000000"/>
              <w:left w:val="outset" w:sz="6" w:space="0" w:color="000000"/>
              <w:bottom w:val="outset" w:sz="6" w:space="0" w:color="000000"/>
              <w:right w:val="outset" w:sz="6" w:space="0" w:color="000000"/>
            </w:tcBorders>
            <w:vAlign w:val="center"/>
          </w:tcPr>
          <w:p w14:paraId="154D7EF2"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0</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90BC4A8"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0</w:t>
            </w:r>
          </w:p>
        </w:tc>
        <w:tc>
          <w:tcPr>
            <w:tcW w:w="993"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3844A75"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0</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52933C8"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0</w:t>
            </w:r>
          </w:p>
        </w:tc>
        <w:tc>
          <w:tcPr>
            <w:tcW w:w="128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8B47239"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0</w:t>
            </w:r>
          </w:p>
        </w:tc>
      </w:tr>
      <w:tr w:rsidR="00CF1DD7" w:rsidRPr="0081018C" w14:paraId="005A8453" w14:textId="77777777" w:rsidTr="0036242B">
        <w:tc>
          <w:tcPr>
            <w:tcW w:w="1408" w:type="dxa"/>
            <w:tcBorders>
              <w:top w:val="outset" w:sz="6" w:space="0" w:color="000000"/>
              <w:left w:val="outset" w:sz="6" w:space="0" w:color="000000"/>
              <w:bottom w:val="outset" w:sz="6" w:space="0" w:color="000000"/>
              <w:right w:val="outset" w:sz="6" w:space="0" w:color="000000"/>
            </w:tcBorders>
          </w:tcPr>
          <w:p w14:paraId="7909F460" w14:textId="77777777" w:rsidR="00CF1DD7" w:rsidRPr="0081018C" w:rsidRDefault="00CF1DD7" w:rsidP="00CF1DD7">
            <w:pPr>
              <w:spacing w:before="100" w:beforeAutospacing="1" w:after="100" w:afterAutospacing="1"/>
              <w:rPr>
                <w:rFonts w:eastAsia="Times New Roman" w:cs="Times New Roman"/>
                <w:sz w:val="22"/>
                <w:szCs w:val="24"/>
                <w:lang w:eastAsia="lv-LV"/>
              </w:rPr>
            </w:pPr>
            <w:r w:rsidRPr="0081018C">
              <w:rPr>
                <w:rFonts w:eastAsia="Times New Roman" w:cs="Times New Roman"/>
                <w:sz w:val="22"/>
                <w:szCs w:val="24"/>
                <w:lang w:eastAsia="lv-LV"/>
              </w:rPr>
              <w:t>3.3. pašvaldību budžets</w:t>
            </w:r>
          </w:p>
        </w:tc>
        <w:tc>
          <w:tcPr>
            <w:tcW w:w="991" w:type="dxa"/>
            <w:tcBorders>
              <w:top w:val="outset" w:sz="6" w:space="0" w:color="000000"/>
              <w:left w:val="outset" w:sz="6" w:space="0" w:color="000000"/>
              <w:bottom w:val="outset" w:sz="6" w:space="0" w:color="000000"/>
              <w:right w:val="outset" w:sz="6" w:space="0" w:color="000000"/>
            </w:tcBorders>
            <w:vAlign w:val="center"/>
          </w:tcPr>
          <w:p w14:paraId="0DF0FFE3"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0</w:t>
            </w:r>
          </w:p>
        </w:tc>
        <w:tc>
          <w:tcPr>
            <w:tcW w:w="1134" w:type="dxa"/>
            <w:tcBorders>
              <w:top w:val="outset" w:sz="6" w:space="0" w:color="000000"/>
              <w:left w:val="outset" w:sz="6" w:space="0" w:color="000000"/>
              <w:bottom w:val="outset" w:sz="6" w:space="0" w:color="000000"/>
              <w:right w:val="outset" w:sz="6" w:space="0" w:color="000000"/>
            </w:tcBorders>
            <w:vAlign w:val="center"/>
          </w:tcPr>
          <w:p w14:paraId="7195686D"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0</w:t>
            </w:r>
          </w:p>
        </w:tc>
        <w:tc>
          <w:tcPr>
            <w:tcW w:w="992" w:type="dxa"/>
            <w:tcBorders>
              <w:top w:val="outset" w:sz="6" w:space="0" w:color="000000"/>
              <w:left w:val="outset" w:sz="6" w:space="0" w:color="000000"/>
              <w:bottom w:val="outset" w:sz="6" w:space="0" w:color="000000"/>
              <w:right w:val="outset" w:sz="6" w:space="0" w:color="000000"/>
            </w:tcBorders>
            <w:vAlign w:val="center"/>
          </w:tcPr>
          <w:p w14:paraId="0BD409F3"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240 000</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08E5590"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-240 000</w:t>
            </w:r>
          </w:p>
        </w:tc>
        <w:tc>
          <w:tcPr>
            <w:tcW w:w="993"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F756E8C" w14:textId="77777777" w:rsidR="00CF1DD7" w:rsidRPr="0081018C" w:rsidRDefault="00CF1DD7" w:rsidP="00CF1DD7">
            <w:pPr>
              <w:spacing w:line="270" w:lineRule="atLeast"/>
              <w:jc w:val="center"/>
              <w:rPr>
                <w:rFonts w:eastAsia="Times New Roman" w:cs="Times New Roman"/>
                <w:b/>
                <w:color w:val="000000" w:themeColor="text1"/>
                <w:sz w:val="22"/>
                <w:szCs w:val="24"/>
                <w:lang w:eastAsia="lv-LV"/>
              </w:rPr>
            </w:pPr>
            <w:r w:rsidRPr="0081018C">
              <w:rPr>
                <w:rFonts w:eastAsia="Times New Roman" w:cs="Times New Roman"/>
                <w:color w:val="000000" w:themeColor="text1"/>
                <w:sz w:val="22"/>
                <w:szCs w:val="24"/>
                <w:lang w:eastAsia="lv-LV"/>
              </w:rPr>
              <w:t>240 000</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71EC6A6"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-200 800</w:t>
            </w:r>
          </w:p>
        </w:tc>
        <w:tc>
          <w:tcPr>
            <w:tcW w:w="128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2B7CDAF"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-208 800</w:t>
            </w:r>
          </w:p>
        </w:tc>
      </w:tr>
      <w:tr w:rsidR="00CF1DD7" w:rsidRPr="0081018C" w14:paraId="3E97AEBF" w14:textId="77777777" w:rsidTr="0036242B">
        <w:tc>
          <w:tcPr>
            <w:tcW w:w="1408" w:type="dxa"/>
            <w:tcBorders>
              <w:top w:val="outset" w:sz="6" w:space="0" w:color="000000"/>
              <w:left w:val="outset" w:sz="6" w:space="0" w:color="000000"/>
              <w:bottom w:val="outset" w:sz="6" w:space="0" w:color="000000"/>
              <w:right w:val="outset" w:sz="6" w:space="0" w:color="000000"/>
            </w:tcBorders>
          </w:tcPr>
          <w:p w14:paraId="2B931E26" w14:textId="77777777" w:rsidR="00CF1DD7" w:rsidRPr="0081018C" w:rsidRDefault="00CF1DD7" w:rsidP="00CF1DD7">
            <w:pPr>
              <w:spacing w:before="100" w:beforeAutospacing="1" w:after="100" w:afterAutospacing="1"/>
              <w:rPr>
                <w:rFonts w:eastAsia="Times New Roman" w:cs="Times New Roman"/>
                <w:sz w:val="22"/>
                <w:szCs w:val="24"/>
                <w:lang w:eastAsia="lv-LV"/>
              </w:rPr>
            </w:pPr>
            <w:r w:rsidRPr="0081018C">
              <w:rPr>
                <w:rFonts w:eastAsia="Times New Roman" w:cs="Times New Roman"/>
                <w:sz w:val="22"/>
                <w:szCs w:val="24"/>
                <w:lang w:eastAsia="lv-LV"/>
              </w:rPr>
              <w:t>4. Finanšu līdzekļi papildu izdevumu finansēšanai (kompensējošu izdevumu samazinājumu norāda ar "+" zīmi)</w:t>
            </w:r>
          </w:p>
        </w:tc>
        <w:tc>
          <w:tcPr>
            <w:tcW w:w="991" w:type="dxa"/>
            <w:tcBorders>
              <w:top w:val="outset" w:sz="6" w:space="0" w:color="000000"/>
              <w:left w:val="outset" w:sz="6" w:space="0" w:color="000000"/>
              <w:bottom w:val="outset" w:sz="6" w:space="0" w:color="000000"/>
              <w:right w:val="outset" w:sz="6" w:space="0" w:color="000000"/>
            </w:tcBorders>
            <w:vAlign w:val="center"/>
          </w:tcPr>
          <w:p w14:paraId="45F861E9"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0</w:t>
            </w:r>
          </w:p>
        </w:tc>
        <w:tc>
          <w:tcPr>
            <w:tcW w:w="1134" w:type="dxa"/>
            <w:tcBorders>
              <w:top w:val="outset" w:sz="6" w:space="0" w:color="000000"/>
              <w:left w:val="outset" w:sz="6" w:space="0" w:color="000000"/>
              <w:bottom w:val="outset" w:sz="6" w:space="0" w:color="000000"/>
              <w:right w:val="outset" w:sz="6" w:space="0" w:color="000000"/>
            </w:tcBorders>
            <w:vAlign w:val="center"/>
          </w:tcPr>
          <w:p w14:paraId="64D10228"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0</w:t>
            </w:r>
          </w:p>
        </w:tc>
        <w:tc>
          <w:tcPr>
            <w:tcW w:w="992" w:type="dxa"/>
            <w:tcBorders>
              <w:top w:val="outset" w:sz="6" w:space="0" w:color="000000"/>
              <w:left w:val="outset" w:sz="6" w:space="0" w:color="000000"/>
              <w:bottom w:val="outset" w:sz="6" w:space="0" w:color="000000"/>
              <w:right w:val="outset" w:sz="6" w:space="0" w:color="000000"/>
            </w:tcBorders>
            <w:vAlign w:val="center"/>
          </w:tcPr>
          <w:p w14:paraId="414CA28E"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X</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404FC40"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0</w:t>
            </w:r>
          </w:p>
        </w:tc>
        <w:tc>
          <w:tcPr>
            <w:tcW w:w="993"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E4DF4D9"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X</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FB6FB41"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0</w:t>
            </w:r>
          </w:p>
        </w:tc>
        <w:tc>
          <w:tcPr>
            <w:tcW w:w="128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9D1BEF6"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9 000</w:t>
            </w:r>
          </w:p>
        </w:tc>
      </w:tr>
      <w:tr w:rsidR="00CF1DD7" w:rsidRPr="0081018C" w14:paraId="33F1EDF6" w14:textId="77777777" w:rsidTr="0036242B">
        <w:tc>
          <w:tcPr>
            <w:tcW w:w="1408" w:type="dxa"/>
            <w:tcBorders>
              <w:top w:val="outset" w:sz="6" w:space="0" w:color="000000"/>
              <w:left w:val="outset" w:sz="6" w:space="0" w:color="000000"/>
              <w:bottom w:val="outset" w:sz="6" w:space="0" w:color="000000"/>
              <w:right w:val="outset" w:sz="6" w:space="0" w:color="000000"/>
            </w:tcBorders>
          </w:tcPr>
          <w:p w14:paraId="5C17A4E2" w14:textId="77777777" w:rsidR="00CF1DD7" w:rsidRPr="0081018C" w:rsidRDefault="00CF1DD7" w:rsidP="00CF1DD7">
            <w:pPr>
              <w:spacing w:before="100" w:beforeAutospacing="1" w:after="100" w:afterAutospacing="1"/>
              <w:rPr>
                <w:rFonts w:eastAsia="Times New Roman" w:cs="Times New Roman"/>
                <w:sz w:val="22"/>
                <w:szCs w:val="24"/>
                <w:lang w:eastAsia="lv-LV"/>
              </w:rPr>
            </w:pPr>
            <w:r w:rsidRPr="0081018C">
              <w:rPr>
                <w:rFonts w:eastAsia="Times New Roman" w:cs="Times New Roman"/>
                <w:sz w:val="22"/>
                <w:szCs w:val="24"/>
                <w:lang w:eastAsia="lv-LV"/>
              </w:rPr>
              <w:t>5. Precizēta finansiālā ietekme</w:t>
            </w:r>
          </w:p>
        </w:tc>
        <w:tc>
          <w:tcPr>
            <w:tcW w:w="991" w:type="dxa"/>
            <w:vMerge w:val="restart"/>
            <w:tcBorders>
              <w:top w:val="outset" w:sz="6" w:space="0" w:color="000000"/>
              <w:left w:val="outset" w:sz="6" w:space="0" w:color="000000"/>
              <w:right w:val="outset" w:sz="6" w:space="0" w:color="000000"/>
            </w:tcBorders>
            <w:vAlign w:val="center"/>
          </w:tcPr>
          <w:p w14:paraId="121D6798" w14:textId="77777777" w:rsidR="00CF1DD7" w:rsidRPr="0081018C" w:rsidRDefault="00CF1DD7" w:rsidP="00CF1DD7">
            <w:pPr>
              <w:spacing w:before="100" w:beforeAutospacing="1" w:after="100" w:afterAutospacing="1"/>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X</w:t>
            </w:r>
          </w:p>
        </w:tc>
        <w:tc>
          <w:tcPr>
            <w:tcW w:w="1134" w:type="dxa"/>
            <w:tcBorders>
              <w:top w:val="outset" w:sz="6" w:space="0" w:color="000000"/>
              <w:left w:val="outset" w:sz="6" w:space="0" w:color="000000"/>
              <w:bottom w:val="outset" w:sz="6" w:space="0" w:color="000000"/>
              <w:right w:val="outset" w:sz="6" w:space="0" w:color="000000"/>
            </w:tcBorders>
            <w:vAlign w:val="center"/>
          </w:tcPr>
          <w:p w14:paraId="0D1BDE81"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0</w:t>
            </w:r>
          </w:p>
        </w:tc>
        <w:tc>
          <w:tcPr>
            <w:tcW w:w="992" w:type="dxa"/>
            <w:vMerge w:val="restart"/>
            <w:tcBorders>
              <w:top w:val="outset" w:sz="6" w:space="0" w:color="000000"/>
              <w:left w:val="outset" w:sz="6" w:space="0" w:color="000000"/>
              <w:right w:val="outset" w:sz="6" w:space="0" w:color="000000"/>
            </w:tcBorders>
            <w:vAlign w:val="center"/>
          </w:tcPr>
          <w:p w14:paraId="0133BBC1"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X</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8B69A21"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-250 000</w:t>
            </w:r>
          </w:p>
        </w:tc>
        <w:tc>
          <w:tcPr>
            <w:tcW w:w="993" w:type="dxa"/>
            <w:vMerge w:val="restart"/>
            <w:tcBorders>
              <w:top w:val="outset" w:sz="6" w:space="0" w:color="000000"/>
              <w:left w:val="outset" w:sz="6" w:space="0" w:color="000000"/>
              <w:right w:val="outset" w:sz="6" w:space="0" w:color="000000"/>
            </w:tcBorders>
            <w:shd w:val="clear" w:color="auto" w:fill="auto"/>
            <w:vAlign w:val="center"/>
          </w:tcPr>
          <w:p w14:paraId="5043B49D"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p>
          <w:p w14:paraId="5074BB0F"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p>
          <w:p w14:paraId="293907FE"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X</w:t>
            </w:r>
          </w:p>
          <w:p w14:paraId="0BF45113"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p>
          <w:p w14:paraId="36D7096A"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cs="Times New Roman"/>
                <w:color w:val="000000" w:themeColor="text1"/>
                <w:sz w:val="22"/>
                <w:szCs w:val="24"/>
              </w:rPr>
              <w:t> </w:t>
            </w: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290F43B"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-458 000</w:t>
            </w:r>
          </w:p>
        </w:tc>
        <w:tc>
          <w:tcPr>
            <w:tcW w:w="128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DF67BA3"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-1 256 000</w:t>
            </w:r>
          </w:p>
        </w:tc>
      </w:tr>
      <w:tr w:rsidR="00CF1DD7" w:rsidRPr="0081018C" w14:paraId="565C5D89" w14:textId="77777777" w:rsidTr="0036242B">
        <w:tc>
          <w:tcPr>
            <w:tcW w:w="1408" w:type="dxa"/>
            <w:tcBorders>
              <w:top w:val="outset" w:sz="6" w:space="0" w:color="000000"/>
              <w:left w:val="outset" w:sz="6" w:space="0" w:color="000000"/>
              <w:bottom w:val="outset" w:sz="6" w:space="0" w:color="000000"/>
              <w:right w:val="outset" w:sz="6" w:space="0" w:color="000000"/>
            </w:tcBorders>
          </w:tcPr>
          <w:p w14:paraId="6342D6B9" w14:textId="77777777" w:rsidR="00CF1DD7" w:rsidRPr="0081018C" w:rsidRDefault="00CF1DD7" w:rsidP="00CF1DD7">
            <w:pPr>
              <w:spacing w:before="100" w:beforeAutospacing="1" w:after="100" w:afterAutospacing="1"/>
              <w:rPr>
                <w:rFonts w:eastAsia="Times New Roman" w:cs="Times New Roman"/>
                <w:sz w:val="22"/>
                <w:szCs w:val="24"/>
                <w:lang w:eastAsia="lv-LV"/>
              </w:rPr>
            </w:pPr>
            <w:r w:rsidRPr="0081018C">
              <w:rPr>
                <w:rFonts w:eastAsia="Times New Roman" w:cs="Times New Roman"/>
                <w:sz w:val="22"/>
                <w:szCs w:val="24"/>
                <w:lang w:eastAsia="lv-LV"/>
              </w:rPr>
              <w:t>5.1. valsts pamatbudžets</w:t>
            </w:r>
          </w:p>
        </w:tc>
        <w:tc>
          <w:tcPr>
            <w:tcW w:w="991" w:type="dxa"/>
            <w:vMerge/>
            <w:tcBorders>
              <w:left w:val="outset" w:sz="6" w:space="0" w:color="000000"/>
              <w:right w:val="outset" w:sz="6" w:space="0" w:color="000000"/>
            </w:tcBorders>
            <w:vAlign w:val="center"/>
          </w:tcPr>
          <w:p w14:paraId="163467AD" w14:textId="77777777" w:rsidR="00CF1DD7" w:rsidRPr="0081018C" w:rsidRDefault="00CF1DD7" w:rsidP="00CF1DD7">
            <w:pPr>
              <w:spacing w:before="100" w:beforeAutospacing="1" w:after="100" w:afterAutospacing="1"/>
              <w:jc w:val="center"/>
              <w:rPr>
                <w:rFonts w:eastAsia="Times New Roman" w:cs="Times New Roman"/>
                <w:color w:val="000000" w:themeColor="text1"/>
                <w:sz w:val="22"/>
                <w:szCs w:val="24"/>
                <w:lang w:eastAsia="lv-LV"/>
              </w:rPr>
            </w:pPr>
          </w:p>
        </w:tc>
        <w:tc>
          <w:tcPr>
            <w:tcW w:w="1134" w:type="dxa"/>
            <w:tcBorders>
              <w:top w:val="outset" w:sz="6" w:space="0" w:color="000000"/>
              <w:left w:val="outset" w:sz="6" w:space="0" w:color="000000"/>
              <w:bottom w:val="outset" w:sz="6" w:space="0" w:color="000000"/>
              <w:right w:val="outset" w:sz="6" w:space="0" w:color="000000"/>
            </w:tcBorders>
            <w:vAlign w:val="center"/>
          </w:tcPr>
          <w:p w14:paraId="737A23F9"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0</w:t>
            </w:r>
          </w:p>
        </w:tc>
        <w:tc>
          <w:tcPr>
            <w:tcW w:w="992" w:type="dxa"/>
            <w:vMerge/>
            <w:tcBorders>
              <w:left w:val="outset" w:sz="6" w:space="0" w:color="000000"/>
              <w:right w:val="outset" w:sz="6" w:space="0" w:color="000000"/>
            </w:tcBorders>
            <w:vAlign w:val="center"/>
          </w:tcPr>
          <w:p w14:paraId="2FC2F647"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56ECE25"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-10 000</w:t>
            </w:r>
          </w:p>
        </w:tc>
        <w:tc>
          <w:tcPr>
            <w:tcW w:w="993" w:type="dxa"/>
            <w:vMerge/>
            <w:tcBorders>
              <w:left w:val="outset" w:sz="6" w:space="0" w:color="000000"/>
              <w:right w:val="outset" w:sz="6" w:space="0" w:color="000000"/>
            </w:tcBorders>
            <w:shd w:val="clear" w:color="auto" w:fill="auto"/>
            <w:vAlign w:val="center"/>
          </w:tcPr>
          <w:p w14:paraId="66E73ECD"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p>
        </w:tc>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06124C0"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-257 200</w:t>
            </w:r>
          </w:p>
        </w:tc>
        <w:tc>
          <w:tcPr>
            <w:tcW w:w="128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9CBB144"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 xml:space="preserve">-1 047 200 </w:t>
            </w:r>
          </w:p>
        </w:tc>
      </w:tr>
      <w:tr w:rsidR="00CF1DD7" w:rsidRPr="0081018C" w14:paraId="401881A8" w14:textId="77777777" w:rsidTr="0036242B">
        <w:tc>
          <w:tcPr>
            <w:tcW w:w="1408" w:type="dxa"/>
            <w:vMerge w:val="restart"/>
            <w:tcBorders>
              <w:top w:val="outset" w:sz="6" w:space="0" w:color="000000"/>
              <w:left w:val="outset" w:sz="6" w:space="0" w:color="000000"/>
              <w:bottom w:val="outset" w:sz="6" w:space="0" w:color="000000"/>
              <w:right w:val="outset" w:sz="6" w:space="0" w:color="000000"/>
            </w:tcBorders>
          </w:tcPr>
          <w:p w14:paraId="307D36D3" w14:textId="77777777" w:rsidR="00CF1DD7" w:rsidRPr="0081018C" w:rsidRDefault="00CF1DD7" w:rsidP="00CF1DD7">
            <w:pPr>
              <w:spacing w:before="100" w:beforeAutospacing="1" w:after="100" w:afterAutospacing="1"/>
              <w:rPr>
                <w:rFonts w:eastAsia="Times New Roman" w:cs="Times New Roman"/>
                <w:sz w:val="22"/>
                <w:szCs w:val="24"/>
                <w:lang w:eastAsia="lv-LV"/>
              </w:rPr>
            </w:pPr>
            <w:r w:rsidRPr="0081018C">
              <w:rPr>
                <w:rFonts w:eastAsia="Times New Roman" w:cs="Times New Roman"/>
                <w:sz w:val="22"/>
                <w:szCs w:val="24"/>
                <w:lang w:eastAsia="lv-LV"/>
              </w:rPr>
              <w:t>5.2. speciālais budžets</w:t>
            </w:r>
            <w:r w:rsidRPr="0081018C" w:rsidDel="0027289D">
              <w:rPr>
                <w:rFonts w:eastAsia="Times New Roman" w:cs="Times New Roman"/>
                <w:sz w:val="22"/>
                <w:szCs w:val="24"/>
                <w:lang w:eastAsia="lv-LV"/>
              </w:rPr>
              <w:t xml:space="preserve"> </w:t>
            </w:r>
          </w:p>
        </w:tc>
        <w:tc>
          <w:tcPr>
            <w:tcW w:w="991" w:type="dxa"/>
            <w:vMerge/>
            <w:tcBorders>
              <w:left w:val="outset" w:sz="6" w:space="0" w:color="000000"/>
              <w:right w:val="outset" w:sz="6" w:space="0" w:color="000000"/>
            </w:tcBorders>
          </w:tcPr>
          <w:p w14:paraId="4EACFF43" w14:textId="77777777" w:rsidR="00CF1DD7" w:rsidRPr="0081018C" w:rsidRDefault="00CF1DD7" w:rsidP="00CF1DD7">
            <w:pPr>
              <w:spacing w:before="100" w:beforeAutospacing="1" w:after="100" w:afterAutospacing="1"/>
              <w:jc w:val="center"/>
              <w:rPr>
                <w:rFonts w:eastAsia="Times New Roman" w:cs="Times New Roman"/>
                <w:color w:val="000000" w:themeColor="text1"/>
                <w:sz w:val="22"/>
                <w:szCs w:val="24"/>
                <w:lang w:eastAsia="lv-LV"/>
              </w:rPr>
            </w:pPr>
          </w:p>
        </w:tc>
        <w:tc>
          <w:tcPr>
            <w:tcW w:w="1134" w:type="dxa"/>
            <w:tcBorders>
              <w:top w:val="outset" w:sz="6" w:space="0" w:color="000000"/>
              <w:left w:val="outset" w:sz="6" w:space="0" w:color="000000"/>
              <w:bottom w:val="outset" w:sz="6" w:space="0" w:color="000000"/>
              <w:right w:val="outset" w:sz="6" w:space="0" w:color="000000"/>
            </w:tcBorders>
          </w:tcPr>
          <w:p w14:paraId="5DC99989"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0</w:t>
            </w:r>
          </w:p>
        </w:tc>
        <w:tc>
          <w:tcPr>
            <w:tcW w:w="992" w:type="dxa"/>
            <w:vMerge/>
            <w:tcBorders>
              <w:left w:val="outset" w:sz="6" w:space="0" w:color="000000"/>
              <w:right w:val="outset" w:sz="6" w:space="0" w:color="000000"/>
            </w:tcBorders>
          </w:tcPr>
          <w:p w14:paraId="1A1401B3"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p>
        </w:tc>
        <w:tc>
          <w:tcPr>
            <w:tcW w:w="1134" w:type="dxa"/>
            <w:tcBorders>
              <w:top w:val="outset" w:sz="6" w:space="0" w:color="000000"/>
              <w:left w:val="outset" w:sz="6" w:space="0" w:color="000000"/>
              <w:bottom w:val="outset" w:sz="6" w:space="0" w:color="000000"/>
              <w:right w:val="outset" w:sz="6" w:space="0" w:color="000000"/>
            </w:tcBorders>
          </w:tcPr>
          <w:p w14:paraId="0C91FD35"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0</w:t>
            </w:r>
          </w:p>
        </w:tc>
        <w:tc>
          <w:tcPr>
            <w:tcW w:w="993" w:type="dxa"/>
            <w:vMerge/>
            <w:tcBorders>
              <w:left w:val="outset" w:sz="6" w:space="0" w:color="000000"/>
              <w:right w:val="outset" w:sz="6" w:space="0" w:color="000000"/>
            </w:tcBorders>
          </w:tcPr>
          <w:p w14:paraId="57AB912D"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p>
        </w:tc>
        <w:tc>
          <w:tcPr>
            <w:tcW w:w="1134" w:type="dxa"/>
            <w:tcBorders>
              <w:top w:val="outset" w:sz="6" w:space="0" w:color="000000"/>
              <w:left w:val="outset" w:sz="6" w:space="0" w:color="000000"/>
              <w:bottom w:val="outset" w:sz="6" w:space="0" w:color="000000"/>
              <w:right w:val="outset" w:sz="6" w:space="0" w:color="000000"/>
            </w:tcBorders>
          </w:tcPr>
          <w:p w14:paraId="6BED4AA7"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0</w:t>
            </w:r>
          </w:p>
        </w:tc>
        <w:tc>
          <w:tcPr>
            <w:tcW w:w="1281" w:type="dxa"/>
            <w:tcBorders>
              <w:top w:val="outset" w:sz="6" w:space="0" w:color="000000"/>
              <w:left w:val="outset" w:sz="6" w:space="0" w:color="000000"/>
              <w:bottom w:val="outset" w:sz="6" w:space="0" w:color="000000"/>
              <w:right w:val="outset" w:sz="6" w:space="0" w:color="000000"/>
            </w:tcBorders>
          </w:tcPr>
          <w:p w14:paraId="0955EAAC"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0</w:t>
            </w:r>
          </w:p>
        </w:tc>
      </w:tr>
      <w:tr w:rsidR="00CF1DD7" w:rsidRPr="0081018C" w14:paraId="3AFF9FED" w14:textId="77777777" w:rsidTr="0036242B">
        <w:tc>
          <w:tcPr>
            <w:tcW w:w="1408" w:type="dxa"/>
            <w:vMerge/>
            <w:tcBorders>
              <w:top w:val="outset" w:sz="6" w:space="0" w:color="000000"/>
              <w:left w:val="outset" w:sz="6" w:space="0" w:color="000000"/>
              <w:bottom w:val="outset" w:sz="6" w:space="0" w:color="000000"/>
              <w:right w:val="outset" w:sz="6" w:space="0" w:color="000000"/>
            </w:tcBorders>
            <w:vAlign w:val="center"/>
          </w:tcPr>
          <w:p w14:paraId="0732D437" w14:textId="77777777" w:rsidR="00CF1DD7" w:rsidRPr="0081018C" w:rsidRDefault="00CF1DD7" w:rsidP="00CF1DD7">
            <w:pPr>
              <w:rPr>
                <w:rFonts w:eastAsia="Times New Roman" w:cs="Times New Roman"/>
                <w:sz w:val="22"/>
                <w:szCs w:val="24"/>
                <w:lang w:eastAsia="lv-LV"/>
              </w:rPr>
            </w:pPr>
          </w:p>
        </w:tc>
        <w:tc>
          <w:tcPr>
            <w:tcW w:w="991" w:type="dxa"/>
            <w:vMerge/>
            <w:tcBorders>
              <w:left w:val="outset" w:sz="6" w:space="0" w:color="000000"/>
              <w:right w:val="outset" w:sz="6" w:space="0" w:color="000000"/>
            </w:tcBorders>
            <w:vAlign w:val="center"/>
          </w:tcPr>
          <w:p w14:paraId="4403EEB6" w14:textId="77777777" w:rsidR="00CF1DD7" w:rsidRPr="0081018C" w:rsidRDefault="00CF1DD7" w:rsidP="00CF1DD7">
            <w:pPr>
              <w:spacing w:before="100" w:beforeAutospacing="1" w:after="100" w:afterAutospacing="1"/>
              <w:jc w:val="center"/>
              <w:rPr>
                <w:rFonts w:eastAsia="Times New Roman" w:cs="Times New Roman"/>
                <w:color w:val="000000" w:themeColor="text1"/>
                <w:sz w:val="22"/>
                <w:szCs w:val="24"/>
                <w:lang w:eastAsia="lv-LV"/>
              </w:rPr>
            </w:pPr>
          </w:p>
        </w:tc>
        <w:tc>
          <w:tcPr>
            <w:tcW w:w="1134" w:type="dxa"/>
            <w:tcBorders>
              <w:top w:val="outset" w:sz="6" w:space="0" w:color="000000"/>
              <w:left w:val="outset" w:sz="6" w:space="0" w:color="000000"/>
              <w:bottom w:val="outset" w:sz="6" w:space="0" w:color="000000"/>
              <w:right w:val="outset" w:sz="6" w:space="0" w:color="000000"/>
            </w:tcBorders>
          </w:tcPr>
          <w:p w14:paraId="65E9A6D0"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0</w:t>
            </w:r>
          </w:p>
        </w:tc>
        <w:tc>
          <w:tcPr>
            <w:tcW w:w="992" w:type="dxa"/>
            <w:vMerge/>
            <w:tcBorders>
              <w:left w:val="outset" w:sz="6" w:space="0" w:color="000000"/>
              <w:right w:val="outset" w:sz="6" w:space="0" w:color="000000"/>
            </w:tcBorders>
          </w:tcPr>
          <w:p w14:paraId="4FB16C94"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p>
        </w:tc>
        <w:tc>
          <w:tcPr>
            <w:tcW w:w="1134" w:type="dxa"/>
            <w:tcBorders>
              <w:top w:val="outset" w:sz="6" w:space="0" w:color="000000"/>
              <w:left w:val="outset" w:sz="6" w:space="0" w:color="000000"/>
              <w:bottom w:val="outset" w:sz="6" w:space="0" w:color="000000"/>
              <w:right w:val="outset" w:sz="6" w:space="0" w:color="000000"/>
            </w:tcBorders>
          </w:tcPr>
          <w:p w14:paraId="649F3CA2"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0</w:t>
            </w:r>
          </w:p>
        </w:tc>
        <w:tc>
          <w:tcPr>
            <w:tcW w:w="993" w:type="dxa"/>
            <w:vMerge/>
            <w:tcBorders>
              <w:left w:val="outset" w:sz="6" w:space="0" w:color="000000"/>
              <w:right w:val="outset" w:sz="6" w:space="0" w:color="000000"/>
            </w:tcBorders>
          </w:tcPr>
          <w:p w14:paraId="4BE60F02"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p>
        </w:tc>
        <w:tc>
          <w:tcPr>
            <w:tcW w:w="1134" w:type="dxa"/>
            <w:tcBorders>
              <w:top w:val="outset" w:sz="6" w:space="0" w:color="000000"/>
              <w:left w:val="outset" w:sz="6" w:space="0" w:color="000000"/>
              <w:bottom w:val="outset" w:sz="6" w:space="0" w:color="000000"/>
              <w:right w:val="outset" w:sz="6" w:space="0" w:color="000000"/>
            </w:tcBorders>
          </w:tcPr>
          <w:p w14:paraId="53DA98BE"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0</w:t>
            </w:r>
          </w:p>
        </w:tc>
        <w:tc>
          <w:tcPr>
            <w:tcW w:w="1281" w:type="dxa"/>
            <w:tcBorders>
              <w:top w:val="outset" w:sz="6" w:space="0" w:color="000000"/>
              <w:left w:val="outset" w:sz="6" w:space="0" w:color="000000"/>
              <w:bottom w:val="outset" w:sz="6" w:space="0" w:color="000000"/>
              <w:right w:val="outset" w:sz="6" w:space="0" w:color="000000"/>
            </w:tcBorders>
          </w:tcPr>
          <w:p w14:paraId="042282C6"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0</w:t>
            </w:r>
          </w:p>
        </w:tc>
      </w:tr>
      <w:tr w:rsidR="00CF1DD7" w:rsidRPr="0081018C" w14:paraId="3D2C90E5" w14:textId="77777777" w:rsidTr="0036242B">
        <w:tc>
          <w:tcPr>
            <w:tcW w:w="1408" w:type="dxa"/>
            <w:vMerge/>
            <w:tcBorders>
              <w:top w:val="outset" w:sz="6" w:space="0" w:color="000000"/>
              <w:left w:val="outset" w:sz="6" w:space="0" w:color="000000"/>
              <w:bottom w:val="outset" w:sz="6" w:space="0" w:color="000000"/>
              <w:right w:val="outset" w:sz="6" w:space="0" w:color="000000"/>
            </w:tcBorders>
            <w:vAlign w:val="center"/>
          </w:tcPr>
          <w:p w14:paraId="7BA71133" w14:textId="77777777" w:rsidR="00CF1DD7" w:rsidRPr="0081018C" w:rsidRDefault="00CF1DD7" w:rsidP="00CF1DD7">
            <w:pPr>
              <w:rPr>
                <w:rFonts w:eastAsia="Times New Roman" w:cs="Times New Roman"/>
                <w:sz w:val="22"/>
                <w:szCs w:val="24"/>
                <w:lang w:eastAsia="lv-LV"/>
              </w:rPr>
            </w:pPr>
          </w:p>
        </w:tc>
        <w:tc>
          <w:tcPr>
            <w:tcW w:w="991" w:type="dxa"/>
            <w:vMerge/>
            <w:tcBorders>
              <w:left w:val="outset" w:sz="6" w:space="0" w:color="000000"/>
              <w:right w:val="outset" w:sz="6" w:space="0" w:color="000000"/>
            </w:tcBorders>
            <w:vAlign w:val="center"/>
          </w:tcPr>
          <w:p w14:paraId="534BC404" w14:textId="77777777" w:rsidR="00CF1DD7" w:rsidRPr="0081018C" w:rsidRDefault="00CF1DD7" w:rsidP="00CF1DD7">
            <w:pPr>
              <w:spacing w:before="100" w:beforeAutospacing="1" w:after="100" w:afterAutospacing="1"/>
              <w:jc w:val="center"/>
              <w:rPr>
                <w:rFonts w:eastAsia="Times New Roman" w:cs="Times New Roman"/>
                <w:color w:val="000000" w:themeColor="text1"/>
                <w:sz w:val="22"/>
                <w:szCs w:val="24"/>
                <w:lang w:eastAsia="lv-LV"/>
              </w:rPr>
            </w:pPr>
          </w:p>
        </w:tc>
        <w:tc>
          <w:tcPr>
            <w:tcW w:w="1134" w:type="dxa"/>
            <w:tcBorders>
              <w:top w:val="outset" w:sz="6" w:space="0" w:color="000000"/>
              <w:left w:val="outset" w:sz="6" w:space="0" w:color="000000"/>
              <w:bottom w:val="outset" w:sz="6" w:space="0" w:color="000000"/>
              <w:right w:val="outset" w:sz="6" w:space="0" w:color="000000"/>
            </w:tcBorders>
          </w:tcPr>
          <w:p w14:paraId="1CABBC46"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0</w:t>
            </w:r>
          </w:p>
        </w:tc>
        <w:tc>
          <w:tcPr>
            <w:tcW w:w="992" w:type="dxa"/>
            <w:vMerge/>
            <w:tcBorders>
              <w:left w:val="outset" w:sz="6" w:space="0" w:color="000000"/>
              <w:right w:val="outset" w:sz="6" w:space="0" w:color="000000"/>
            </w:tcBorders>
          </w:tcPr>
          <w:p w14:paraId="036295B6"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p>
        </w:tc>
        <w:tc>
          <w:tcPr>
            <w:tcW w:w="1134" w:type="dxa"/>
            <w:tcBorders>
              <w:top w:val="outset" w:sz="6" w:space="0" w:color="000000"/>
              <w:left w:val="outset" w:sz="6" w:space="0" w:color="000000"/>
              <w:bottom w:val="outset" w:sz="6" w:space="0" w:color="000000"/>
              <w:right w:val="outset" w:sz="6" w:space="0" w:color="000000"/>
            </w:tcBorders>
          </w:tcPr>
          <w:p w14:paraId="78161725"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0</w:t>
            </w:r>
          </w:p>
        </w:tc>
        <w:tc>
          <w:tcPr>
            <w:tcW w:w="993" w:type="dxa"/>
            <w:vMerge/>
            <w:tcBorders>
              <w:left w:val="outset" w:sz="6" w:space="0" w:color="000000"/>
              <w:right w:val="outset" w:sz="6" w:space="0" w:color="000000"/>
            </w:tcBorders>
          </w:tcPr>
          <w:p w14:paraId="0282D0D8"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p>
        </w:tc>
        <w:tc>
          <w:tcPr>
            <w:tcW w:w="1134" w:type="dxa"/>
            <w:tcBorders>
              <w:top w:val="outset" w:sz="6" w:space="0" w:color="000000"/>
              <w:left w:val="outset" w:sz="6" w:space="0" w:color="000000"/>
              <w:bottom w:val="outset" w:sz="6" w:space="0" w:color="000000"/>
              <w:right w:val="outset" w:sz="6" w:space="0" w:color="000000"/>
            </w:tcBorders>
          </w:tcPr>
          <w:p w14:paraId="6F929F3F"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0</w:t>
            </w:r>
          </w:p>
        </w:tc>
        <w:tc>
          <w:tcPr>
            <w:tcW w:w="1281" w:type="dxa"/>
            <w:tcBorders>
              <w:top w:val="outset" w:sz="6" w:space="0" w:color="000000"/>
              <w:left w:val="outset" w:sz="6" w:space="0" w:color="000000"/>
              <w:bottom w:val="outset" w:sz="6" w:space="0" w:color="000000"/>
              <w:right w:val="outset" w:sz="6" w:space="0" w:color="000000"/>
            </w:tcBorders>
          </w:tcPr>
          <w:p w14:paraId="66F4173E"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0</w:t>
            </w:r>
          </w:p>
        </w:tc>
      </w:tr>
      <w:tr w:rsidR="00CF1DD7" w:rsidRPr="0081018C" w14:paraId="6E34647C" w14:textId="77777777" w:rsidTr="0036242B">
        <w:tc>
          <w:tcPr>
            <w:tcW w:w="1408" w:type="dxa"/>
            <w:tcBorders>
              <w:top w:val="outset" w:sz="6" w:space="0" w:color="000000"/>
              <w:left w:val="outset" w:sz="6" w:space="0" w:color="000000"/>
              <w:bottom w:val="outset" w:sz="6" w:space="0" w:color="000000"/>
              <w:right w:val="outset" w:sz="6" w:space="0" w:color="000000"/>
            </w:tcBorders>
          </w:tcPr>
          <w:p w14:paraId="71BF8631" w14:textId="77777777" w:rsidR="00CF1DD7" w:rsidRPr="0081018C" w:rsidRDefault="00CF1DD7" w:rsidP="00CF1DD7">
            <w:pPr>
              <w:spacing w:before="100" w:beforeAutospacing="1" w:after="100" w:afterAutospacing="1"/>
              <w:rPr>
                <w:rFonts w:eastAsia="Times New Roman" w:cs="Times New Roman"/>
                <w:sz w:val="22"/>
                <w:szCs w:val="24"/>
                <w:lang w:eastAsia="lv-LV"/>
              </w:rPr>
            </w:pPr>
            <w:r w:rsidRPr="0081018C">
              <w:rPr>
                <w:rFonts w:eastAsia="Times New Roman" w:cs="Times New Roman"/>
                <w:sz w:val="22"/>
                <w:szCs w:val="24"/>
                <w:lang w:eastAsia="lv-LV"/>
              </w:rPr>
              <w:t>5.3. pašvaldību budžets</w:t>
            </w:r>
          </w:p>
        </w:tc>
        <w:tc>
          <w:tcPr>
            <w:tcW w:w="991" w:type="dxa"/>
            <w:vMerge/>
            <w:tcBorders>
              <w:left w:val="outset" w:sz="6" w:space="0" w:color="000000"/>
              <w:bottom w:val="outset" w:sz="6" w:space="0" w:color="000000"/>
              <w:right w:val="outset" w:sz="6" w:space="0" w:color="000000"/>
            </w:tcBorders>
            <w:vAlign w:val="center"/>
          </w:tcPr>
          <w:p w14:paraId="5B8C004F" w14:textId="77777777" w:rsidR="00CF1DD7" w:rsidRPr="0081018C" w:rsidRDefault="00CF1DD7" w:rsidP="00CF1DD7">
            <w:pPr>
              <w:spacing w:before="100" w:beforeAutospacing="1" w:after="100" w:afterAutospacing="1"/>
              <w:jc w:val="center"/>
              <w:rPr>
                <w:rFonts w:eastAsia="Times New Roman" w:cs="Times New Roman"/>
                <w:color w:val="000000" w:themeColor="text1"/>
                <w:sz w:val="22"/>
                <w:szCs w:val="24"/>
                <w:lang w:eastAsia="lv-LV"/>
              </w:rPr>
            </w:pPr>
          </w:p>
        </w:tc>
        <w:tc>
          <w:tcPr>
            <w:tcW w:w="1134" w:type="dxa"/>
            <w:tcBorders>
              <w:top w:val="outset" w:sz="6" w:space="0" w:color="000000"/>
              <w:left w:val="outset" w:sz="6" w:space="0" w:color="000000"/>
              <w:bottom w:val="outset" w:sz="6" w:space="0" w:color="000000"/>
              <w:right w:val="outset" w:sz="6" w:space="0" w:color="000000"/>
            </w:tcBorders>
            <w:vAlign w:val="center"/>
          </w:tcPr>
          <w:p w14:paraId="24F4AFF1"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0</w:t>
            </w:r>
          </w:p>
        </w:tc>
        <w:tc>
          <w:tcPr>
            <w:tcW w:w="992" w:type="dxa"/>
            <w:vMerge/>
            <w:tcBorders>
              <w:left w:val="outset" w:sz="6" w:space="0" w:color="000000"/>
              <w:bottom w:val="outset" w:sz="6" w:space="0" w:color="000000"/>
              <w:right w:val="outset" w:sz="6" w:space="0" w:color="000000"/>
            </w:tcBorders>
            <w:vAlign w:val="center"/>
          </w:tcPr>
          <w:p w14:paraId="5A0E70D7"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p>
        </w:tc>
        <w:tc>
          <w:tcPr>
            <w:tcW w:w="1134" w:type="dxa"/>
            <w:tcBorders>
              <w:top w:val="outset" w:sz="6" w:space="0" w:color="000000"/>
              <w:left w:val="outset" w:sz="6" w:space="0" w:color="000000"/>
              <w:bottom w:val="outset" w:sz="6" w:space="0" w:color="000000"/>
              <w:right w:val="outset" w:sz="6" w:space="0" w:color="000000"/>
            </w:tcBorders>
            <w:vAlign w:val="center"/>
          </w:tcPr>
          <w:p w14:paraId="770BBC19"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-240 000</w:t>
            </w:r>
          </w:p>
        </w:tc>
        <w:tc>
          <w:tcPr>
            <w:tcW w:w="993" w:type="dxa"/>
            <w:vMerge/>
            <w:tcBorders>
              <w:left w:val="outset" w:sz="6" w:space="0" w:color="000000"/>
              <w:bottom w:val="outset" w:sz="6" w:space="0" w:color="000000"/>
              <w:right w:val="outset" w:sz="6" w:space="0" w:color="000000"/>
            </w:tcBorders>
            <w:vAlign w:val="center"/>
          </w:tcPr>
          <w:p w14:paraId="183BFCAD"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p>
        </w:tc>
        <w:tc>
          <w:tcPr>
            <w:tcW w:w="1134" w:type="dxa"/>
            <w:tcBorders>
              <w:top w:val="outset" w:sz="6" w:space="0" w:color="000000"/>
              <w:left w:val="outset" w:sz="6" w:space="0" w:color="000000"/>
              <w:bottom w:val="outset" w:sz="6" w:space="0" w:color="000000"/>
              <w:right w:val="outset" w:sz="6" w:space="0" w:color="000000"/>
            </w:tcBorders>
            <w:vAlign w:val="center"/>
          </w:tcPr>
          <w:p w14:paraId="50593A69"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-200 800</w:t>
            </w:r>
          </w:p>
        </w:tc>
        <w:tc>
          <w:tcPr>
            <w:tcW w:w="1281" w:type="dxa"/>
            <w:tcBorders>
              <w:top w:val="outset" w:sz="6" w:space="0" w:color="000000"/>
              <w:left w:val="outset" w:sz="6" w:space="0" w:color="000000"/>
              <w:bottom w:val="outset" w:sz="6" w:space="0" w:color="000000"/>
              <w:right w:val="outset" w:sz="6" w:space="0" w:color="000000"/>
            </w:tcBorders>
            <w:vAlign w:val="center"/>
          </w:tcPr>
          <w:p w14:paraId="0A22A584" w14:textId="77777777" w:rsidR="00CF1DD7" w:rsidRPr="0081018C" w:rsidRDefault="00CF1DD7" w:rsidP="00CF1DD7">
            <w:pPr>
              <w:spacing w:line="270" w:lineRule="atLeast"/>
              <w:jc w:val="center"/>
              <w:rPr>
                <w:rFonts w:eastAsia="Times New Roman" w:cs="Times New Roman"/>
                <w:color w:val="000000" w:themeColor="text1"/>
                <w:sz w:val="22"/>
                <w:szCs w:val="24"/>
                <w:lang w:eastAsia="lv-LV"/>
              </w:rPr>
            </w:pPr>
            <w:r w:rsidRPr="0081018C">
              <w:rPr>
                <w:rFonts w:eastAsia="Times New Roman" w:cs="Times New Roman"/>
                <w:color w:val="000000" w:themeColor="text1"/>
                <w:sz w:val="22"/>
                <w:szCs w:val="24"/>
                <w:lang w:eastAsia="lv-LV"/>
              </w:rPr>
              <w:t>-208 800</w:t>
            </w:r>
          </w:p>
        </w:tc>
      </w:tr>
      <w:tr w:rsidR="00CF1DD7" w:rsidRPr="0081018C" w14:paraId="10E7AA42" w14:textId="77777777" w:rsidTr="0036242B">
        <w:tc>
          <w:tcPr>
            <w:tcW w:w="1408" w:type="dxa"/>
            <w:tcBorders>
              <w:top w:val="outset" w:sz="6" w:space="0" w:color="000000"/>
              <w:left w:val="outset" w:sz="6" w:space="0" w:color="000000"/>
              <w:bottom w:val="outset" w:sz="6" w:space="0" w:color="000000"/>
              <w:right w:val="outset" w:sz="6" w:space="0" w:color="000000"/>
            </w:tcBorders>
          </w:tcPr>
          <w:p w14:paraId="6AFFD757" w14:textId="77777777" w:rsidR="00CF1DD7" w:rsidRPr="0081018C" w:rsidRDefault="00CF1DD7" w:rsidP="00CF1DD7">
            <w:pPr>
              <w:spacing w:before="100" w:beforeAutospacing="1" w:after="100" w:afterAutospacing="1"/>
              <w:rPr>
                <w:rFonts w:eastAsia="Times New Roman" w:cs="Times New Roman"/>
                <w:sz w:val="22"/>
                <w:szCs w:val="24"/>
                <w:lang w:eastAsia="lv-LV"/>
              </w:rPr>
            </w:pPr>
            <w:r w:rsidRPr="0081018C">
              <w:rPr>
                <w:rFonts w:eastAsia="Times New Roman" w:cs="Times New Roman"/>
                <w:sz w:val="22"/>
                <w:szCs w:val="24"/>
                <w:lang w:eastAsia="lv-LV"/>
              </w:rPr>
              <w:t>6. Detalizēts ieņēmumu un izdevumu aprēķins</w:t>
            </w:r>
          </w:p>
          <w:p w14:paraId="73F50CD4" w14:textId="77777777" w:rsidR="00CF1DD7" w:rsidRPr="0081018C" w:rsidRDefault="00CF1DD7" w:rsidP="00CF1DD7">
            <w:pPr>
              <w:spacing w:before="100" w:beforeAutospacing="1" w:after="100" w:afterAutospacing="1"/>
              <w:rPr>
                <w:rFonts w:eastAsia="Times New Roman" w:cs="Times New Roman"/>
                <w:sz w:val="22"/>
                <w:szCs w:val="24"/>
                <w:lang w:eastAsia="lv-LV"/>
              </w:rPr>
            </w:pPr>
            <w:r w:rsidRPr="0081018C">
              <w:rPr>
                <w:rFonts w:eastAsia="Times New Roman" w:cs="Times New Roman"/>
                <w:sz w:val="22"/>
                <w:szCs w:val="24"/>
                <w:lang w:eastAsia="lv-LV"/>
              </w:rPr>
              <w:t>6.1.detalizēts ieņēmumu aprēķins</w:t>
            </w:r>
          </w:p>
          <w:p w14:paraId="1AFA1455" w14:textId="77777777" w:rsidR="00CF1DD7" w:rsidRPr="0081018C" w:rsidRDefault="00CF1DD7" w:rsidP="00CF1DD7">
            <w:pPr>
              <w:spacing w:before="100" w:beforeAutospacing="1" w:after="100" w:afterAutospacing="1"/>
              <w:rPr>
                <w:rFonts w:eastAsia="Times New Roman" w:cs="Times New Roman"/>
                <w:sz w:val="22"/>
                <w:szCs w:val="24"/>
                <w:lang w:eastAsia="lv-LV"/>
              </w:rPr>
            </w:pPr>
          </w:p>
          <w:p w14:paraId="06EAC957" w14:textId="77777777" w:rsidR="00CF1DD7" w:rsidRPr="0081018C" w:rsidRDefault="00CF1DD7" w:rsidP="00CF1DD7">
            <w:pPr>
              <w:spacing w:before="100" w:beforeAutospacing="1" w:after="100" w:afterAutospacing="1"/>
              <w:rPr>
                <w:rFonts w:eastAsia="Times New Roman" w:cs="Times New Roman"/>
                <w:sz w:val="22"/>
                <w:szCs w:val="24"/>
                <w:lang w:eastAsia="lv-LV"/>
              </w:rPr>
            </w:pPr>
            <w:r w:rsidRPr="0081018C">
              <w:rPr>
                <w:rFonts w:eastAsia="Times New Roman" w:cs="Times New Roman"/>
                <w:sz w:val="22"/>
                <w:szCs w:val="24"/>
                <w:lang w:eastAsia="lv-LV"/>
              </w:rPr>
              <w:t>6.2. detalizēts izdevumu aprēķins</w:t>
            </w:r>
          </w:p>
          <w:p w14:paraId="783AB484" w14:textId="77777777" w:rsidR="00CF1DD7" w:rsidRPr="0081018C" w:rsidRDefault="00CF1DD7" w:rsidP="00CF1DD7">
            <w:pPr>
              <w:rPr>
                <w:rFonts w:eastAsia="Times New Roman" w:cs="Times New Roman"/>
                <w:sz w:val="22"/>
                <w:szCs w:val="24"/>
                <w:lang w:eastAsia="lv-LV"/>
              </w:rPr>
            </w:pPr>
          </w:p>
        </w:tc>
        <w:tc>
          <w:tcPr>
            <w:tcW w:w="7659" w:type="dxa"/>
            <w:gridSpan w:val="7"/>
            <w:tcBorders>
              <w:top w:val="outset" w:sz="6" w:space="0" w:color="000000"/>
              <w:left w:val="outset" w:sz="6" w:space="0" w:color="000000"/>
              <w:bottom w:val="outset" w:sz="6" w:space="0" w:color="000000"/>
              <w:right w:val="outset" w:sz="6" w:space="0" w:color="000000"/>
            </w:tcBorders>
          </w:tcPr>
          <w:p w14:paraId="7F2C28B5" w14:textId="77777777" w:rsidR="00CF1DD7" w:rsidRPr="0081018C" w:rsidRDefault="00CF1DD7" w:rsidP="00DA604A">
            <w:pPr>
              <w:spacing w:line="270" w:lineRule="atLeast"/>
              <w:ind w:right="114" w:firstLine="540"/>
              <w:jc w:val="both"/>
              <w:rPr>
                <w:rFonts w:eastAsia="Times New Roman" w:cs="Times New Roman"/>
                <w:color w:val="000000" w:themeColor="text1"/>
                <w:szCs w:val="24"/>
                <w:lang w:eastAsia="lv-LV"/>
              </w:rPr>
            </w:pPr>
            <w:r w:rsidRPr="0081018C">
              <w:rPr>
                <w:rFonts w:eastAsia="Times New Roman" w:cs="Times New Roman"/>
                <w:color w:val="000000" w:themeColor="text1"/>
                <w:szCs w:val="24"/>
                <w:lang w:eastAsia="lv-LV"/>
              </w:rPr>
              <w:t>Fiskālas ietekmes ieņēmumi prognozēti individuāli katrai no analizētajām nozarēm, balstoties uz sekojošiem datiem un pieņēmumiem:</w:t>
            </w:r>
          </w:p>
          <w:p w14:paraId="5C22923A" w14:textId="77777777" w:rsidR="00CF1DD7" w:rsidRPr="0081018C" w:rsidRDefault="00CF1DD7" w:rsidP="00DA604A">
            <w:pPr>
              <w:pStyle w:val="ListParagraph"/>
              <w:numPr>
                <w:ilvl w:val="0"/>
                <w:numId w:val="17"/>
              </w:numPr>
              <w:spacing w:line="270" w:lineRule="atLeast"/>
              <w:ind w:left="535" w:right="114"/>
              <w:jc w:val="both"/>
              <w:rPr>
                <w:rFonts w:eastAsia="Times New Roman" w:cs="Times New Roman"/>
                <w:color w:val="000000" w:themeColor="text1"/>
                <w:szCs w:val="24"/>
                <w:lang w:eastAsia="lv-LV"/>
              </w:rPr>
            </w:pPr>
            <w:r w:rsidRPr="0081018C">
              <w:rPr>
                <w:rFonts w:eastAsia="Times New Roman" w:cs="Times New Roman"/>
                <w:color w:val="000000" w:themeColor="text1"/>
                <w:szCs w:val="24"/>
                <w:lang w:eastAsia="lv-LV"/>
              </w:rPr>
              <w:t>Aprēķina atskaites punkts ir iemaksai budžetā deklarētā pievienotās vērtības nodokļa (turpmāk – PVN) summa, kuru 2017.gadā ir deklarējuši nodokļu maksātāji, kuriem ir reģistrēti kases aparāti vai kuri iesniedza pārskatu par 2017.gadā izlietotiem kvītīm un kuru pamatdarbības veids atbilst NACE 2 redakcijas kodiem: 01; 46; 47; 45; 33; 36; 38; 39; 43; 55; 56; 71; 75; 77; 79; 80; 81; 85; 86; 87; 88; 90; 91; 93; 95; 96; 4932.</w:t>
            </w:r>
          </w:p>
          <w:p w14:paraId="35509942" w14:textId="77777777" w:rsidR="00CF1DD7" w:rsidRPr="0081018C" w:rsidRDefault="00CF1DD7" w:rsidP="00DA604A">
            <w:pPr>
              <w:pStyle w:val="ListParagraph"/>
              <w:numPr>
                <w:ilvl w:val="0"/>
                <w:numId w:val="17"/>
              </w:numPr>
              <w:spacing w:line="270" w:lineRule="atLeast"/>
              <w:ind w:left="535" w:right="114"/>
              <w:jc w:val="both"/>
              <w:rPr>
                <w:rFonts w:eastAsia="Times New Roman" w:cs="Times New Roman"/>
                <w:color w:val="000000" w:themeColor="text1"/>
                <w:szCs w:val="24"/>
                <w:lang w:eastAsia="lv-LV"/>
              </w:rPr>
            </w:pPr>
            <w:r w:rsidRPr="0081018C">
              <w:rPr>
                <w:rFonts w:eastAsia="Times New Roman" w:cs="Times New Roman"/>
                <w:color w:val="000000" w:themeColor="text1"/>
                <w:szCs w:val="24"/>
                <w:lang w:eastAsia="lv-LV"/>
              </w:rPr>
              <w:t>PVN iemaksai deklarētā PVN ieņēmumu summa tika reizinātā ar nacionālo kontu datiem par minēto nozaru mājsaimniecību gala patēriņa īpatsvaru kopējā izlietojumā (kas atkarībā no nozares svārstās diapazonā no 0,004 līdz 0,91), iegūstot potenciālo PVN summu, kas var tikt apzināta no fizisko personu iesniegtajiem čekiem un kvītīm;</w:t>
            </w:r>
          </w:p>
          <w:p w14:paraId="701438D0" w14:textId="77777777" w:rsidR="00CF1DD7" w:rsidRPr="0081018C" w:rsidRDefault="00CF1DD7" w:rsidP="00DA604A">
            <w:pPr>
              <w:pStyle w:val="ListParagraph"/>
              <w:numPr>
                <w:ilvl w:val="0"/>
                <w:numId w:val="17"/>
              </w:numPr>
              <w:spacing w:line="270" w:lineRule="atLeast"/>
              <w:ind w:left="535" w:right="114"/>
              <w:jc w:val="both"/>
              <w:rPr>
                <w:rFonts w:eastAsia="Times New Roman" w:cs="Times New Roman"/>
                <w:color w:val="000000" w:themeColor="text1"/>
                <w:szCs w:val="24"/>
                <w:lang w:eastAsia="lv-LV"/>
              </w:rPr>
            </w:pPr>
            <w:r w:rsidRPr="0081018C">
              <w:rPr>
                <w:rFonts w:eastAsia="Times New Roman" w:cs="Times New Roman"/>
                <w:color w:val="000000" w:themeColor="text1"/>
                <w:szCs w:val="24"/>
                <w:lang w:eastAsia="lv-LV"/>
              </w:rPr>
              <w:t>Potenciālā mājsaimniecību čeku summa, tika reizinātā ar nedeklarēto PVN saistību īpatsvars kopējos potenciālos PVN ieņēmumos  2016.gadā – 17,7 % (VID aprēķini), tādā veida apzinot nodokļu izvairīšanas riska lielumu, kas varētu tikt samazināts ar pasākumu;</w:t>
            </w:r>
          </w:p>
          <w:p w14:paraId="52D47A79" w14:textId="77777777" w:rsidR="00CF1DD7" w:rsidRPr="0081018C" w:rsidRDefault="00CF1DD7" w:rsidP="00DA604A">
            <w:pPr>
              <w:pStyle w:val="ListParagraph"/>
              <w:numPr>
                <w:ilvl w:val="0"/>
                <w:numId w:val="17"/>
              </w:numPr>
              <w:spacing w:line="270" w:lineRule="atLeast"/>
              <w:ind w:left="535" w:right="114"/>
              <w:jc w:val="both"/>
              <w:rPr>
                <w:rFonts w:eastAsia="Times New Roman" w:cs="Times New Roman"/>
                <w:color w:val="000000" w:themeColor="text1"/>
                <w:szCs w:val="24"/>
                <w:lang w:eastAsia="lv-LV"/>
              </w:rPr>
            </w:pPr>
            <w:r w:rsidRPr="0081018C">
              <w:rPr>
                <w:rFonts w:eastAsia="Times New Roman" w:cs="Times New Roman"/>
                <w:color w:val="000000" w:themeColor="text1"/>
                <w:szCs w:val="24"/>
                <w:lang w:eastAsia="lv-LV"/>
              </w:rPr>
              <w:t>Balstoties uz citu valstu pieredzi čeku loteriju organizēšanas jomā, tiek pieņemts pasākuma preventīvais efekts uz nedeklarēto PVN saistību samazināšanu preču piegādēm – 4 % apmērā un pakalpojumu sniegšanai – 10 % apmērā. Preventīvā efekta koeficients reizināts ar riska novērtējumu, iegūstot PVN papildu ieņēmumus no projekta.</w:t>
            </w:r>
          </w:p>
          <w:p w14:paraId="3C6B57FD" w14:textId="77777777" w:rsidR="00CF1DD7" w:rsidRPr="0081018C" w:rsidRDefault="00CF1DD7" w:rsidP="00DA604A">
            <w:pPr>
              <w:pStyle w:val="ListParagraph"/>
              <w:numPr>
                <w:ilvl w:val="0"/>
                <w:numId w:val="17"/>
              </w:numPr>
              <w:spacing w:line="270" w:lineRule="atLeast"/>
              <w:ind w:left="535" w:right="114"/>
              <w:jc w:val="both"/>
              <w:rPr>
                <w:rFonts w:eastAsia="Times New Roman" w:cs="Times New Roman"/>
                <w:color w:val="000000" w:themeColor="text1"/>
                <w:szCs w:val="24"/>
                <w:lang w:eastAsia="lv-LV"/>
              </w:rPr>
            </w:pPr>
            <w:r w:rsidRPr="0081018C">
              <w:rPr>
                <w:rFonts w:eastAsia="Times New Roman" w:cs="Times New Roman"/>
                <w:color w:val="000000" w:themeColor="text1"/>
                <w:szCs w:val="24"/>
                <w:lang w:eastAsia="lv-LV"/>
              </w:rPr>
              <w:t xml:space="preserve">Lietojot identificētus PVN papildu ieņēmumus un datus par  attiecīgu nozaru nodokļu ieņēmumu veidu attiecībām, novērtēti arī papildu </w:t>
            </w:r>
            <w:r w:rsidRPr="0081018C">
              <w:rPr>
                <w:rFonts w:eastAsia="Times New Roman" w:cs="Times New Roman"/>
                <w:color w:val="000000" w:themeColor="text1"/>
                <w:szCs w:val="24"/>
                <w:lang w:eastAsia="lv-LV"/>
              </w:rPr>
              <w:lastRenderedPageBreak/>
              <w:t>uzņēmuma ienākuma nodokļa (turpmāk – UIN) un iedzīvotāju ienākuma nodokļa (turpmāk – IIN) ieņēmumi. UIN un IIN papildu ieņēmumi ir paredzami ne ātrāk par 2020. gadu, kas ir periods, kurā tiek apzināti ienākuma nodokļa maksājumu par 2019. gadu.</w:t>
            </w:r>
          </w:p>
          <w:p w14:paraId="7D1B4B31" w14:textId="77777777" w:rsidR="00CF1DD7" w:rsidRPr="0081018C" w:rsidRDefault="00CF1DD7" w:rsidP="00DA604A">
            <w:pPr>
              <w:pStyle w:val="ListParagraph"/>
              <w:numPr>
                <w:ilvl w:val="0"/>
                <w:numId w:val="17"/>
              </w:numPr>
              <w:spacing w:line="270" w:lineRule="atLeast"/>
              <w:ind w:left="535" w:right="114"/>
              <w:jc w:val="both"/>
              <w:rPr>
                <w:rFonts w:eastAsia="Times New Roman" w:cs="Times New Roman"/>
                <w:color w:val="000000" w:themeColor="text1"/>
                <w:szCs w:val="24"/>
                <w:lang w:eastAsia="lv-LV"/>
              </w:rPr>
            </w:pPr>
            <w:r w:rsidRPr="0081018C">
              <w:rPr>
                <w:rFonts w:eastAsia="Times New Roman" w:cs="Times New Roman"/>
                <w:color w:val="000000" w:themeColor="text1"/>
                <w:szCs w:val="24"/>
                <w:lang w:eastAsia="lv-LV"/>
              </w:rPr>
              <w:t>Prognozējot ieņēmumus tiek pieņemts, ka pasākuma preventīvais efekts laika gaitā pakāpeniski samazināsies, jo nodokļu maksātāji adaptēs alternatīvus nodokļu optimizācijas veidus, kādēļ 2020. gadā papildu nodokļu ieņēmumiem tiek piemērota samazināšanas korekcija 20 % apmērā pret 2019. gadu, savukārt 2021. gadam – 30 % korekcija pret 2020. gadu.</w:t>
            </w:r>
          </w:p>
          <w:p w14:paraId="1B207F2E" w14:textId="77777777" w:rsidR="00CF1DD7" w:rsidRPr="0081018C" w:rsidRDefault="00CF1DD7" w:rsidP="00DA604A">
            <w:pPr>
              <w:spacing w:line="270" w:lineRule="atLeast"/>
              <w:ind w:right="114" w:firstLine="540"/>
              <w:jc w:val="both"/>
              <w:rPr>
                <w:rFonts w:eastAsia="Times New Roman" w:cs="Times New Roman"/>
                <w:color w:val="000000" w:themeColor="text1"/>
                <w:szCs w:val="24"/>
                <w:lang w:eastAsia="lv-LV"/>
              </w:rPr>
            </w:pPr>
            <w:r w:rsidRPr="0081018C">
              <w:rPr>
                <w:rFonts w:eastAsia="Times New Roman" w:cs="Times New Roman"/>
                <w:color w:val="000000" w:themeColor="text1"/>
                <w:szCs w:val="24"/>
                <w:lang w:eastAsia="lv-LV"/>
              </w:rPr>
              <w:t>Prognoze balstās uz pieņēmumu, ka pasākuma rezultātā iegūtā informācija paplašinās nodokļu administrācijas iespējas identificēt nodokļu maksātājus, kuri izvairās no nodokļu nomaksas saistību godprātīgas izpildes - iegūtā informācija palīdzēs identificēt nereģistrētus kases aparātus vai nereģistrētu saimniecisko darbību, ļaus identificēt nodokļu maksātājus, kuri darījumu apliecinošu dokumentu izsniegšanai izmanto ierīces, kuras nav paredzētas normatīvajos aktos, kā arī identificēt saimnieciskās darbības ieņēmumu nedeklarēšanas riskus.</w:t>
            </w:r>
          </w:p>
          <w:p w14:paraId="48BBBC3C" w14:textId="77777777" w:rsidR="00CF1DD7" w:rsidRPr="0081018C" w:rsidRDefault="00CF1DD7" w:rsidP="00DA604A">
            <w:pPr>
              <w:ind w:right="114" w:firstLine="541"/>
              <w:jc w:val="both"/>
              <w:rPr>
                <w:rFonts w:eastAsia="Times New Roman" w:cs="Times New Roman"/>
                <w:color w:val="000000" w:themeColor="text1"/>
                <w:szCs w:val="24"/>
                <w:lang w:eastAsia="lv-LV"/>
              </w:rPr>
            </w:pPr>
            <w:r w:rsidRPr="0081018C">
              <w:rPr>
                <w:rFonts w:eastAsia="Times New Roman" w:cs="Times New Roman"/>
                <w:color w:val="000000" w:themeColor="text1"/>
                <w:szCs w:val="24"/>
                <w:lang w:eastAsia="lv-LV"/>
              </w:rPr>
              <w:t xml:space="preserve">Pārrēķinātie nodokļu </w:t>
            </w:r>
            <w:r w:rsidRPr="0081018C">
              <w:rPr>
                <w:rFonts w:cs="Times New Roman"/>
                <w:color w:val="000000" w:themeColor="text1"/>
                <w:szCs w:val="24"/>
              </w:rPr>
              <w:t>ieņēmumi sadalījumā pa nodokļu veidiem ir pievienoti šīs anotācijas pielikumā.</w:t>
            </w:r>
          </w:p>
          <w:p w14:paraId="6531304C" w14:textId="76483F0E" w:rsidR="00CF1DD7" w:rsidRPr="0081018C" w:rsidRDefault="00CF1DD7" w:rsidP="00DA604A">
            <w:pPr>
              <w:ind w:right="114" w:firstLine="541"/>
              <w:jc w:val="both"/>
              <w:rPr>
                <w:rFonts w:eastAsia="Times New Roman" w:cs="Times New Roman"/>
                <w:szCs w:val="24"/>
                <w:lang w:eastAsia="lv-LV"/>
              </w:rPr>
            </w:pPr>
            <w:r w:rsidRPr="0081018C">
              <w:rPr>
                <w:rFonts w:cs="Times New Roman"/>
                <w:szCs w:val="24"/>
              </w:rPr>
              <w:t>Pamatojoties uz Ministru kabineta 2017. gada 8. septembra sēdē atbalstīto informatīvo ziņojumu “Par fiskālās telpas pasākumiem un izdevumiem prioritārajiem pasākumiem valsts budžetam 2018.gadam un ietvaram 2018.–2020.gadam” (</w:t>
            </w:r>
            <w:proofErr w:type="spellStart"/>
            <w:r w:rsidRPr="0081018C">
              <w:rPr>
                <w:rFonts w:cs="Times New Roman"/>
                <w:szCs w:val="24"/>
              </w:rPr>
              <w:t>protokollēmums</w:t>
            </w:r>
            <w:proofErr w:type="spellEnd"/>
            <w:r w:rsidRPr="0081018C">
              <w:rPr>
                <w:rFonts w:cs="Times New Roman"/>
                <w:szCs w:val="24"/>
              </w:rPr>
              <w:t xml:space="preserve"> Nr. 44 1.§), </w:t>
            </w:r>
            <w:r w:rsidRPr="0081018C">
              <w:rPr>
                <w:rFonts w:eastAsia="Times New Roman" w:cs="Times New Roman"/>
                <w:szCs w:val="24"/>
                <w:lang w:eastAsia="lv-LV"/>
              </w:rPr>
              <w:t xml:space="preserve">Finanšu ministrijas budžeta programmā 33.00.00 “Valsts ieņēmumu un muitas politikas nodrošināšana” paredzēts finansējums  2018. gadā 200 000 </w:t>
            </w:r>
            <w:proofErr w:type="spellStart"/>
            <w:r w:rsidRPr="0081018C">
              <w:rPr>
                <w:rFonts w:eastAsia="Times New Roman" w:cs="Times New Roman"/>
                <w:i/>
                <w:szCs w:val="24"/>
                <w:lang w:eastAsia="lv-LV"/>
              </w:rPr>
              <w:t>euro</w:t>
            </w:r>
            <w:proofErr w:type="spellEnd"/>
            <w:r w:rsidRPr="0081018C">
              <w:rPr>
                <w:rFonts w:eastAsia="Times New Roman" w:cs="Times New Roman"/>
                <w:szCs w:val="24"/>
                <w:lang w:eastAsia="lv-LV"/>
              </w:rPr>
              <w:t xml:space="preserve"> apmērā iepirkuma un IT sistēmu nodrošināšanai, 2019. un 2020. gadā 25</w:t>
            </w:r>
            <w:r w:rsidR="00B91D7D">
              <w:rPr>
                <w:rFonts w:eastAsia="Times New Roman" w:cs="Times New Roman"/>
                <w:szCs w:val="24"/>
                <w:lang w:eastAsia="lv-LV"/>
              </w:rPr>
              <w:t>0</w:t>
            </w:r>
            <w:r w:rsidR="00527FE2">
              <w:rPr>
                <w:rFonts w:eastAsia="Times New Roman" w:cs="Times New Roman"/>
                <w:szCs w:val="24"/>
                <w:lang w:eastAsia="lv-LV"/>
              </w:rPr>
              <w:t> </w:t>
            </w:r>
            <w:r w:rsidRPr="0081018C">
              <w:rPr>
                <w:rFonts w:eastAsia="Times New Roman" w:cs="Times New Roman"/>
                <w:szCs w:val="24"/>
                <w:lang w:eastAsia="lv-LV"/>
              </w:rPr>
              <w:t>000</w:t>
            </w:r>
            <w:r w:rsidR="00527FE2">
              <w:rPr>
                <w:rFonts w:eastAsia="Times New Roman" w:cs="Times New Roman"/>
                <w:szCs w:val="24"/>
                <w:lang w:eastAsia="lv-LV"/>
              </w:rPr>
              <w:t> </w:t>
            </w:r>
            <w:proofErr w:type="spellStart"/>
            <w:r w:rsidRPr="0081018C">
              <w:rPr>
                <w:rFonts w:eastAsia="Times New Roman" w:cs="Times New Roman"/>
                <w:i/>
                <w:szCs w:val="24"/>
                <w:lang w:eastAsia="lv-LV"/>
              </w:rPr>
              <w:t>euro</w:t>
            </w:r>
            <w:proofErr w:type="spellEnd"/>
            <w:r w:rsidRPr="0081018C">
              <w:rPr>
                <w:rFonts w:eastAsia="Times New Roman" w:cs="Times New Roman"/>
                <w:szCs w:val="24"/>
                <w:lang w:eastAsia="lv-LV"/>
              </w:rPr>
              <w:t xml:space="preserve"> ik gadu administrēšanai un balvu fondam. </w:t>
            </w:r>
          </w:p>
          <w:p w14:paraId="2B16C008" w14:textId="77777777" w:rsidR="00CF1DD7" w:rsidRPr="0081018C" w:rsidRDefault="00CF1DD7" w:rsidP="00DA604A">
            <w:pPr>
              <w:numPr>
                <w:ilvl w:val="0"/>
                <w:numId w:val="9"/>
              </w:numPr>
              <w:spacing w:line="270" w:lineRule="atLeast"/>
              <w:ind w:left="541" w:right="114"/>
              <w:rPr>
                <w:rFonts w:eastAsia="Times New Roman" w:cs="Times New Roman"/>
                <w:szCs w:val="24"/>
                <w:lang w:eastAsia="lv-LV"/>
              </w:rPr>
            </w:pPr>
            <w:r w:rsidRPr="0081018C">
              <w:rPr>
                <w:rFonts w:eastAsia="Times New Roman" w:cs="Times New Roman"/>
                <w:szCs w:val="24"/>
                <w:lang w:eastAsia="lv-LV"/>
              </w:rPr>
              <w:t xml:space="preserve">2018.gadā 200 000 </w:t>
            </w:r>
            <w:proofErr w:type="spellStart"/>
            <w:r w:rsidRPr="0081018C">
              <w:rPr>
                <w:rFonts w:eastAsia="Times New Roman" w:cs="Times New Roman"/>
                <w:i/>
                <w:szCs w:val="24"/>
                <w:lang w:eastAsia="lv-LV"/>
              </w:rPr>
              <w:t>euro</w:t>
            </w:r>
            <w:proofErr w:type="spellEnd"/>
            <w:r w:rsidRPr="0081018C">
              <w:rPr>
                <w:rFonts w:eastAsia="Times New Roman" w:cs="Times New Roman"/>
                <w:szCs w:val="24"/>
                <w:lang w:eastAsia="lv-LV"/>
              </w:rPr>
              <w:t xml:space="preserve"> apmērā:</w:t>
            </w:r>
          </w:p>
          <w:p w14:paraId="22D1C661" w14:textId="07B0828D" w:rsidR="00CF1DD7" w:rsidRPr="0081018C" w:rsidRDefault="00CF1DD7" w:rsidP="00DA604A">
            <w:pPr>
              <w:pStyle w:val="ListParagraph"/>
              <w:numPr>
                <w:ilvl w:val="0"/>
                <w:numId w:val="14"/>
              </w:numPr>
              <w:ind w:right="114"/>
              <w:rPr>
                <w:rFonts w:eastAsia="Times New Roman" w:cs="Times New Roman"/>
                <w:szCs w:val="24"/>
                <w:lang w:eastAsia="lv-LV"/>
              </w:rPr>
            </w:pPr>
            <w:r w:rsidRPr="0081018C">
              <w:rPr>
                <w:rFonts w:eastAsia="Times New Roman" w:cs="Times New Roman"/>
                <w:szCs w:val="24"/>
                <w:lang w:eastAsia="lv-LV"/>
              </w:rPr>
              <w:t xml:space="preserve">200 000 </w:t>
            </w:r>
            <w:proofErr w:type="spellStart"/>
            <w:r w:rsidRPr="0081018C">
              <w:rPr>
                <w:rFonts w:eastAsia="Times New Roman" w:cs="Times New Roman"/>
                <w:szCs w:val="24"/>
                <w:lang w:eastAsia="lv-LV"/>
              </w:rPr>
              <w:t>euro</w:t>
            </w:r>
            <w:proofErr w:type="spellEnd"/>
            <w:r w:rsidRPr="0081018C">
              <w:rPr>
                <w:rFonts w:eastAsia="Times New Roman" w:cs="Times New Roman"/>
                <w:szCs w:val="24"/>
                <w:lang w:eastAsia="lv-LV"/>
              </w:rPr>
              <w:t xml:space="preserve"> – </w:t>
            </w:r>
            <w:r w:rsidR="002A4284">
              <w:rPr>
                <w:rFonts w:eastAsia="Times New Roman" w:cs="Times New Roman"/>
                <w:szCs w:val="24"/>
                <w:lang w:eastAsia="lv-LV"/>
              </w:rPr>
              <w:t>spēles</w:t>
            </w:r>
            <w:r w:rsidRPr="0081018C">
              <w:rPr>
                <w:rFonts w:eastAsia="Times New Roman" w:cs="Times New Roman"/>
                <w:szCs w:val="24"/>
                <w:lang w:eastAsia="lv-LV"/>
              </w:rPr>
              <w:t xml:space="preserve"> organizēšanas, ārpakalpojuma izdevumi 2018.gadā;</w:t>
            </w:r>
          </w:p>
          <w:p w14:paraId="64B4380D" w14:textId="77777777" w:rsidR="00CF1DD7" w:rsidRPr="0081018C" w:rsidRDefault="00CF1DD7" w:rsidP="00DA604A">
            <w:pPr>
              <w:numPr>
                <w:ilvl w:val="0"/>
                <w:numId w:val="9"/>
              </w:numPr>
              <w:spacing w:line="270" w:lineRule="atLeast"/>
              <w:ind w:left="541" w:right="114"/>
              <w:rPr>
                <w:rFonts w:eastAsia="Times New Roman" w:cs="Times New Roman"/>
                <w:szCs w:val="24"/>
                <w:lang w:eastAsia="lv-LV"/>
              </w:rPr>
            </w:pPr>
            <w:r w:rsidRPr="0081018C">
              <w:rPr>
                <w:rFonts w:eastAsia="Times New Roman" w:cs="Times New Roman"/>
                <w:szCs w:val="24"/>
                <w:lang w:eastAsia="lv-LV"/>
              </w:rPr>
              <w:t xml:space="preserve">2019. gadā 250 000 </w:t>
            </w:r>
            <w:proofErr w:type="spellStart"/>
            <w:r w:rsidRPr="0081018C">
              <w:rPr>
                <w:rFonts w:eastAsia="Times New Roman" w:cs="Times New Roman"/>
                <w:i/>
                <w:szCs w:val="24"/>
                <w:lang w:eastAsia="lv-LV"/>
              </w:rPr>
              <w:t>euro</w:t>
            </w:r>
            <w:proofErr w:type="spellEnd"/>
            <w:r w:rsidRPr="0081018C">
              <w:rPr>
                <w:rFonts w:eastAsia="Times New Roman" w:cs="Times New Roman"/>
                <w:szCs w:val="24"/>
                <w:lang w:eastAsia="lv-LV"/>
              </w:rPr>
              <w:t xml:space="preserve"> apmērā:</w:t>
            </w:r>
          </w:p>
          <w:p w14:paraId="70D72921" w14:textId="7C42DE9B" w:rsidR="00CF1DD7" w:rsidRPr="0081018C" w:rsidRDefault="00CF1DD7" w:rsidP="00DA604A">
            <w:pPr>
              <w:numPr>
                <w:ilvl w:val="0"/>
                <w:numId w:val="2"/>
              </w:numPr>
              <w:spacing w:line="270" w:lineRule="atLeast"/>
              <w:ind w:left="1108" w:right="114"/>
              <w:rPr>
                <w:rFonts w:eastAsia="Times New Roman" w:cs="Times New Roman"/>
                <w:szCs w:val="24"/>
                <w:lang w:eastAsia="lv-LV"/>
              </w:rPr>
            </w:pPr>
            <w:r w:rsidRPr="0081018C">
              <w:rPr>
                <w:rFonts w:eastAsia="Times New Roman" w:cs="Times New Roman"/>
                <w:szCs w:val="24"/>
                <w:lang w:eastAsia="lv-LV"/>
              </w:rPr>
              <w:t xml:space="preserve">76 040 </w:t>
            </w:r>
            <w:proofErr w:type="spellStart"/>
            <w:r w:rsidRPr="0081018C">
              <w:rPr>
                <w:rFonts w:eastAsia="Times New Roman" w:cs="Times New Roman"/>
                <w:i/>
                <w:szCs w:val="24"/>
                <w:lang w:eastAsia="lv-LV"/>
              </w:rPr>
              <w:t>euro</w:t>
            </w:r>
            <w:proofErr w:type="spellEnd"/>
            <w:r w:rsidRPr="0081018C">
              <w:rPr>
                <w:rFonts w:eastAsia="Times New Roman" w:cs="Times New Roman"/>
                <w:szCs w:val="24"/>
                <w:lang w:eastAsia="lv-LV"/>
              </w:rPr>
              <w:t xml:space="preserve"> – </w:t>
            </w:r>
            <w:r w:rsidR="002A4284">
              <w:rPr>
                <w:rFonts w:eastAsia="Times New Roman" w:cs="Times New Roman"/>
                <w:szCs w:val="24"/>
                <w:lang w:eastAsia="lv-LV"/>
              </w:rPr>
              <w:t>spēles</w:t>
            </w:r>
            <w:r w:rsidRPr="0081018C">
              <w:rPr>
                <w:rFonts w:eastAsia="Times New Roman" w:cs="Times New Roman"/>
                <w:szCs w:val="24"/>
                <w:lang w:eastAsia="lv-LV"/>
              </w:rPr>
              <w:t xml:space="preserve"> organizēšanas, ārpakalpojuma uzturēšanas izdevumi 2019.gadā;</w:t>
            </w:r>
          </w:p>
          <w:p w14:paraId="0951D219" w14:textId="77777777" w:rsidR="00CF1DD7" w:rsidRPr="0081018C" w:rsidRDefault="00CF1DD7" w:rsidP="00DA604A">
            <w:pPr>
              <w:numPr>
                <w:ilvl w:val="0"/>
                <w:numId w:val="2"/>
              </w:numPr>
              <w:spacing w:line="270" w:lineRule="atLeast"/>
              <w:ind w:left="1108" w:right="114"/>
              <w:rPr>
                <w:rFonts w:eastAsia="Times New Roman" w:cs="Times New Roman"/>
                <w:szCs w:val="24"/>
                <w:lang w:eastAsia="lv-LV"/>
              </w:rPr>
            </w:pPr>
            <w:r w:rsidRPr="0081018C">
              <w:rPr>
                <w:rFonts w:eastAsia="Times New Roman" w:cs="Times New Roman"/>
                <w:szCs w:val="24"/>
                <w:lang w:eastAsia="lv-LV"/>
              </w:rPr>
              <w:t xml:space="preserve">83 000 </w:t>
            </w:r>
            <w:proofErr w:type="spellStart"/>
            <w:r w:rsidRPr="0081018C">
              <w:rPr>
                <w:rFonts w:eastAsia="Times New Roman" w:cs="Times New Roman"/>
                <w:i/>
                <w:szCs w:val="24"/>
                <w:lang w:eastAsia="lv-LV"/>
              </w:rPr>
              <w:t>euro</w:t>
            </w:r>
            <w:proofErr w:type="spellEnd"/>
            <w:r w:rsidRPr="0081018C">
              <w:rPr>
                <w:rFonts w:eastAsia="Times New Roman" w:cs="Times New Roman"/>
                <w:szCs w:val="24"/>
                <w:lang w:eastAsia="lv-LV"/>
              </w:rPr>
              <w:t xml:space="preserve"> – balvu izmaksai;</w:t>
            </w:r>
          </w:p>
          <w:p w14:paraId="22F5CD58" w14:textId="77777777" w:rsidR="00CF1DD7" w:rsidRPr="0081018C" w:rsidRDefault="00CF1DD7" w:rsidP="00DA604A">
            <w:pPr>
              <w:numPr>
                <w:ilvl w:val="0"/>
                <w:numId w:val="2"/>
              </w:numPr>
              <w:spacing w:line="270" w:lineRule="atLeast"/>
              <w:ind w:left="1108" w:right="114"/>
              <w:rPr>
                <w:rFonts w:eastAsia="Times New Roman" w:cs="Times New Roman"/>
                <w:szCs w:val="24"/>
                <w:lang w:eastAsia="lv-LV"/>
              </w:rPr>
            </w:pPr>
            <w:r w:rsidRPr="0081018C">
              <w:rPr>
                <w:rFonts w:eastAsia="Times New Roman" w:cs="Times New Roman"/>
                <w:szCs w:val="24"/>
                <w:lang w:eastAsia="lv-LV"/>
              </w:rPr>
              <w:t xml:space="preserve">60 800 </w:t>
            </w:r>
            <w:proofErr w:type="spellStart"/>
            <w:r w:rsidRPr="0081018C">
              <w:rPr>
                <w:rFonts w:eastAsia="Times New Roman" w:cs="Times New Roman"/>
                <w:i/>
                <w:szCs w:val="24"/>
                <w:lang w:eastAsia="lv-LV"/>
              </w:rPr>
              <w:t>euro</w:t>
            </w:r>
            <w:proofErr w:type="spellEnd"/>
            <w:r w:rsidRPr="0081018C">
              <w:rPr>
                <w:rFonts w:eastAsia="Times New Roman" w:cs="Times New Roman"/>
                <w:szCs w:val="24"/>
                <w:lang w:eastAsia="lv-LV"/>
              </w:rPr>
              <w:t xml:space="preserve"> – reklāmas kampaņas aktivitāšu realizēšana;</w:t>
            </w:r>
          </w:p>
          <w:p w14:paraId="4AD36EA7" w14:textId="77777777" w:rsidR="00CF1DD7" w:rsidRPr="0081018C" w:rsidRDefault="00CF1DD7" w:rsidP="00DA604A">
            <w:pPr>
              <w:numPr>
                <w:ilvl w:val="0"/>
                <w:numId w:val="2"/>
              </w:numPr>
              <w:spacing w:line="270" w:lineRule="atLeast"/>
              <w:ind w:left="1108" w:right="114"/>
              <w:jc w:val="both"/>
              <w:rPr>
                <w:rFonts w:eastAsia="Times New Roman" w:cs="Times New Roman"/>
                <w:szCs w:val="24"/>
                <w:lang w:eastAsia="lv-LV"/>
              </w:rPr>
            </w:pPr>
            <w:r w:rsidRPr="0081018C">
              <w:rPr>
                <w:rFonts w:eastAsia="Times New Roman" w:cs="Times New Roman"/>
                <w:szCs w:val="24"/>
                <w:lang w:eastAsia="lv-LV"/>
              </w:rPr>
              <w:t>30 160</w:t>
            </w:r>
            <w:r w:rsidRPr="0081018C">
              <w:rPr>
                <w:rFonts w:eastAsia="Times New Roman" w:cs="Times New Roman"/>
                <w:i/>
                <w:szCs w:val="24"/>
                <w:lang w:eastAsia="lv-LV"/>
              </w:rPr>
              <w:t xml:space="preserve"> </w:t>
            </w:r>
            <w:proofErr w:type="spellStart"/>
            <w:r w:rsidRPr="0081018C">
              <w:rPr>
                <w:rFonts w:eastAsia="Times New Roman" w:cs="Times New Roman"/>
                <w:i/>
                <w:szCs w:val="24"/>
                <w:lang w:eastAsia="lv-LV"/>
              </w:rPr>
              <w:t>euro</w:t>
            </w:r>
            <w:proofErr w:type="spellEnd"/>
            <w:r w:rsidRPr="0081018C">
              <w:rPr>
                <w:rFonts w:eastAsia="Times New Roman" w:cs="Times New Roman"/>
                <w:szCs w:val="24"/>
                <w:lang w:eastAsia="lv-LV"/>
              </w:rPr>
              <w:t xml:space="preserve"> – izdevumi par datu nodošanu čeku spēles organizatoriem, datu saņemšanu un analīzi nodokļu kontroles ietvaros un datu glabāšanu;</w:t>
            </w:r>
          </w:p>
          <w:p w14:paraId="2C48D3A9" w14:textId="77777777" w:rsidR="00CF1DD7" w:rsidRPr="0081018C" w:rsidRDefault="00CF1DD7" w:rsidP="00DA604A">
            <w:pPr>
              <w:numPr>
                <w:ilvl w:val="0"/>
                <w:numId w:val="11"/>
              </w:numPr>
              <w:spacing w:line="270" w:lineRule="atLeast"/>
              <w:ind w:left="541" w:right="114"/>
              <w:rPr>
                <w:rFonts w:eastAsia="Times New Roman" w:cs="Times New Roman"/>
                <w:szCs w:val="24"/>
                <w:lang w:eastAsia="lv-LV"/>
              </w:rPr>
            </w:pPr>
            <w:r w:rsidRPr="0081018C">
              <w:rPr>
                <w:rFonts w:eastAsia="Times New Roman" w:cs="Times New Roman"/>
                <w:szCs w:val="24"/>
                <w:lang w:eastAsia="lv-LV"/>
              </w:rPr>
              <w:t xml:space="preserve">2020.gadā 250 000 </w:t>
            </w:r>
            <w:proofErr w:type="spellStart"/>
            <w:r w:rsidRPr="0081018C">
              <w:rPr>
                <w:rFonts w:eastAsia="Times New Roman" w:cs="Times New Roman"/>
                <w:i/>
                <w:szCs w:val="24"/>
                <w:lang w:eastAsia="lv-LV"/>
              </w:rPr>
              <w:t>euro</w:t>
            </w:r>
            <w:proofErr w:type="spellEnd"/>
            <w:r w:rsidRPr="0081018C">
              <w:rPr>
                <w:rFonts w:eastAsia="Times New Roman" w:cs="Times New Roman"/>
                <w:i/>
                <w:szCs w:val="24"/>
                <w:lang w:eastAsia="lv-LV"/>
              </w:rPr>
              <w:t xml:space="preserve"> </w:t>
            </w:r>
            <w:r w:rsidRPr="0081018C">
              <w:rPr>
                <w:rFonts w:eastAsia="Times New Roman" w:cs="Times New Roman"/>
                <w:szCs w:val="24"/>
                <w:lang w:eastAsia="lv-LV"/>
              </w:rPr>
              <w:t>apmērā:</w:t>
            </w:r>
          </w:p>
          <w:p w14:paraId="00ECCFD1" w14:textId="77777777" w:rsidR="00CF1DD7" w:rsidRPr="0081018C" w:rsidRDefault="00CF1DD7" w:rsidP="00DA604A">
            <w:pPr>
              <w:numPr>
                <w:ilvl w:val="0"/>
                <w:numId w:val="2"/>
              </w:numPr>
              <w:spacing w:line="270" w:lineRule="atLeast"/>
              <w:ind w:left="1108" w:right="114"/>
              <w:rPr>
                <w:rFonts w:eastAsia="Times New Roman" w:cs="Times New Roman"/>
                <w:szCs w:val="24"/>
                <w:lang w:eastAsia="lv-LV"/>
              </w:rPr>
            </w:pPr>
            <w:r w:rsidRPr="0081018C">
              <w:rPr>
                <w:rFonts w:eastAsia="Times New Roman" w:cs="Times New Roman"/>
                <w:szCs w:val="24"/>
                <w:lang w:eastAsia="lv-LV"/>
              </w:rPr>
              <w:t xml:space="preserve">140 000 </w:t>
            </w:r>
            <w:proofErr w:type="spellStart"/>
            <w:r w:rsidRPr="0081018C">
              <w:rPr>
                <w:rFonts w:eastAsia="Times New Roman" w:cs="Times New Roman"/>
                <w:i/>
                <w:szCs w:val="24"/>
                <w:lang w:eastAsia="lv-LV"/>
              </w:rPr>
              <w:t>euro</w:t>
            </w:r>
            <w:proofErr w:type="spellEnd"/>
            <w:r w:rsidRPr="0081018C">
              <w:rPr>
                <w:rFonts w:eastAsia="Times New Roman" w:cs="Times New Roman"/>
                <w:szCs w:val="24"/>
                <w:lang w:eastAsia="lv-LV"/>
              </w:rPr>
              <w:t xml:space="preserve"> – balvu izmaksai;</w:t>
            </w:r>
          </w:p>
          <w:p w14:paraId="17ED3B1A" w14:textId="30257BDD" w:rsidR="00CF1DD7" w:rsidRPr="0081018C" w:rsidRDefault="00CF1DD7" w:rsidP="00DA604A">
            <w:pPr>
              <w:numPr>
                <w:ilvl w:val="0"/>
                <w:numId w:val="2"/>
              </w:numPr>
              <w:spacing w:line="270" w:lineRule="atLeast"/>
              <w:ind w:left="1108" w:right="114"/>
              <w:rPr>
                <w:rFonts w:eastAsia="Times New Roman" w:cs="Times New Roman"/>
                <w:szCs w:val="24"/>
                <w:lang w:eastAsia="lv-LV"/>
              </w:rPr>
            </w:pPr>
            <w:r w:rsidRPr="0081018C">
              <w:rPr>
                <w:rFonts w:eastAsia="Times New Roman" w:cs="Times New Roman"/>
                <w:szCs w:val="24"/>
                <w:lang w:eastAsia="lv-LV"/>
              </w:rPr>
              <w:t xml:space="preserve">65 500 </w:t>
            </w:r>
            <w:proofErr w:type="spellStart"/>
            <w:r w:rsidRPr="0081018C">
              <w:rPr>
                <w:rFonts w:eastAsia="Times New Roman" w:cs="Times New Roman"/>
                <w:i/>
                <w:szCs w:val="24"/>
                <w:lang w:eastAsia="lv-LV"/>
              </w:rPr>
              <w:t>euro</w:t>
            </w:r>
            <w:proofErr w:type="spellEnd"/>
            <w:r w:rsidRPr="0081018C">
              <w:rPr>
                <w:rFonts w:eastAsia="Times New Roman" w:cs="Times New Roman"/>
                <w:szCs w:val="24"/>
                <w:lang w:eastAsia="lv-LV"/>
              </w:rPr>
              <w:t xml:space="preserve"> – </w:t>
            </w:r>
            <w:r w:rsidR="002A4284">
              <w:rPr>
                <w:rFonts w:eastAsia="Times New Roman" w:cs="Times New Roman"/>
                <w:szCs w:val="24"/>
                <w:lang w:eastAsia="lv-LV"/>
              </w:rPr>
              <w:t>spēles</w:t>
            </w:r>
            <w:r w:rsidRPr="0081018C">
              <w:rPr>
                <w:rFonts w:eastAsia="Times New Roman" w:cs="Times New Roman"/>
                <w:szCs w:val="24"/>
                <w:lang w:eastAsia="lv-LV"/>
              </w:rPr>
              <w:t xml:space="preserve"> uzturēšanas izdevumi 2020.gadā;</w:t>
            </w:r>
          </w:p>
          <w:p w14:paraId="03011470" w14:textId="77777777" w:rsidR="00CF1DD7" w:rsidRPr="0081018C" w:rsidRDefault="00CF1DD7" w:rsidP="00DA604A">
            <w:pPr>
              <w:pStyle w:val="ListParagraph"/>
              <w:numPr>
                <w:ilvl w:val="0"/>
                <w:numId w:val="2"/>
              </w:numPr>
              <w:ind w:left="1108" w:right="114"/>
              <w:rPr>
                <w:rFonts w:eastAsia="Times New Roman" w:cs="Times New Roman"/>
                <w:szCs w:val="24"/>
                <w:lang w:eastAsia="lv-LV"/>
              </w:rPr>
            </w:pPr>
            <w:r w:rsidRPr="0081018C">
              <w:rPr>
                <w:rFonts w:eastAsia="Times New Roman" w:cs="Times New Roman"/>
                <w:szCs w:val="24"/>
                <w:lang w:eastAsia="lv-LV"/>
              </w:rPr>
              <w:t xml:space="preserve">44 500 </w:t>
            </w:r>
            <w:proofErr w:type="spellStart"/>
            <w:r w:rsidRPr="0081018C">
              <w:rPr>
                <w:rFonts w:eastAsia="Times New Roman" w:cs="Times New Roman"/>
                <w:i/>
                <w:szCs w:val="24"/>
                <w:lang w:eastAsia="lv-LV"/>
              </w:rPr>
              <w:t>euro</w:t>
            </w:r>
            <w:proofErr w:type="spellEnd"/>
            <w:r w:rsidRPr="0081018C">
              <w:rPr>
                <w:rFonts w:eastAsia="Times New Roman" w:cs="Times New Roman"/>
                <w:szCs w:val="24"/>
                <w:lang w:eastAsia="lv-LV"/>
              </w:rPr>
              <w:t xml:space="preserve"> – reklāmas kampaņas aktivitāšu realizēšana;</w:t>
            </w:r>
          </w:p>
          <w:p w14:paraId="5B79D04F" w14:textId="77777777" w:rsidR="00CF1DD7" w:rsidRPr="0081018C" w:rsidRDefault="00CF1DD7" w:rsidP="00DA604A">
            <w:pPr>
              <w:spacing w:line="270" w:lineRule="atLeast"/>
              <w:ind w:right="114" w:firstLine="541"/>
              <w:jc w:val="both"/>
              <w:rPr>
                <w:rFonts w:eastAsia="Times New Roman" w:cs="Times New Roman"/>
                <w:szCs w:val="24"/>
                <w:lang w:eastAsia="lv-LV"/>
              </w:rPr>
            </w:pPr>
            <w:r w:rsidRPr="0081018C">
              <w:rPr>
                <w:rFonts w:eastAsia="Times New Roman" w:cs="Times New Roman"/>
                <w:szCs w:val="24"/>
                <w:lang w:eastAsia="lv-LV"/>
              </w:rPr>
              <w:t>Ievērojot iepirkuma procedūras realizācijas termiņus, 2018. gadā ir plānots noslēgt ārpakalpojuma līgumu un norēķinus veikt 2018. gadā un 2019.gadā. Turklāt par 2020. gada decembra trīs nedēļu un mēneša izlozēm laimestu izmaksa tiks veikta 2021. gada janvārī.</w:t>
            </w:r>
          </w:p>
          <w:p w14:paraId="6B39510F" w14:textId="3402381D" w:rsidR="0032785A" w:rsidRPr="0081018C" w:rsidRDefault="00CF1DD7" w:rsidP="0036242B">
            <w:pPr>
              <w:spacing w:line="270" w:lineRule="atLeast"/>
              <w:ind w:right="114" w:firstLine="541"/>
              <w:jc w:val="both"/>
              <w:rPr>
                <w:rFonts w:eastAsia="Times New Roman" w:cs="Times New Roman"/>
                <w:szCs w:val="24"/>
                <w:lang w:eastAsia="lv-LV"/>
              </w:rPr>
            </w:pPr>
            <w:r w:rsidRPr="0081018C">
              <w:rPr>
                <w:rFonts w:eastAsia="Times New Roman" w:cs="Times New Roman"/>
                <w:szCs w:val="24"/>
                <w:lang w:eastAsia="lv-LV"/>
              </w:rPr>
              <w:t>Lai nodrošinātu balvu izmaksu par periodu 16.12.-31.12.2020, Valsts ieņēmumu dienestam 2021.gadam ir nepieciešam</w:t>
            </w:r>
            <w:r w:rsidR="00A95269">
              <w:rPr>
                <w:rFonts w:eastAsia="Times New Roman" w:cs="Times New Roman"/>
                <w:szCs w:val="24"/>
                <w:lang w:eastAsia="lv-LV"/>
              </w:rPr>
              <w:t>s</w:t>
            </w:r>
            <w:r w:rsidRPr="0081018C">
              <w:rPr>
                <w:rFonts w:eastAsia="Times New Roman" w:cs="Times New Roman"/>
                <w:szCs w:val="24"/>
                <w:lang w:eastAsia="lv-LV"/>
              </w:rPr>
              <w:t xml:space="preserve"> finansējums 9 000 </w:t>
            </w:r>
            <w:proofErr w:type="spellStart"/>
            <w:r w:rsidRPr="00A95269">
              <w:rPr>
                <w:rFonts w:eastAsia="Times New Roman" w:cs="Times New Roman"/>
                <w:i/>
                <w:szCs w:val="24"/>
                <w:lang w:eastAsia="lv-LV"/>
              </w:rPr>
              <w:t>euro</w:t>
            </w:r>
            <w:proofErr w:type="spellEnd"/>
            <w:r w:rsidRPr="0081018C">
              <w:rPr>
                <w:rFonts w:eastAsia="Times New Roman" w:cs="Times New Roman"/>
                <w:szCs w:val="24"/>
                <w:lang w:eastAsia="lv-LV"/>
              </w:rPr>
              <w:t xml:space="preserve"> apmērā, kas tiks nodrošināts Finanšu ministrijas budžeta programmā 33.00.00 </w:t>
            </w:r>
            <w:r w:rsidRPr="0081018C">
              <w:rPr>
                <w:rFonts w:eastAsia="Times New Roman" w:cs="Times New Roman"/>
                <w:szCs w:val="24"/>
                <w:lang w:eastAsia="lv-LV"/>
              </w:rPr>
              <w:lastRenderedPageBreak/>
              <w:t>“Valsts ieņēmumu un muitas politikas nodrošināšana” piešķirto līdzekļu ietvaros.</w:t>
            </w:r>
          </w:p>
        </w:tc>
      </w:tr>
      <w:tr w:rsidR="00CF1DD7" w:rsidRPr="0081018C" w14:paraId="4FF77643" w14:textId="77777777" w:rsidTr="0036242B">
        <w:trPr>
          <w:trHeight w:val="664"/>
        </w:trPr>
        <w:tc>
          <w:tcPr>
            <w:tcW w:w="1408" w:type="dxa"/>
            <w:tcBorders>
              <w:top w:val="outset" w:sz="6" w:space="0" w:color="000000"/>
              <w:left w:val="outset" w:sz="6" w:space="0" w:color="000000"/>
              <w:bottom w:val="outset" w:sz="6" w:space="0" w:color="000000"/>
              <w:right w:val="outset" w:sz="6" w:space="0" w:color="000000"/>
            </w:tcBorders>
          </w:tcPr>
          <w:p w14:paraId="227B588E" w14:textId="77777777" w:rsidR="00CF1DD7" w:rsidRPr="0081018C" w:rsidRDefault="00CF1DD7" w:rsidP="00CF1DD7">
            <w:pPr>
              <w:rPr>
                <w:rFonts w:eastAsia="Times New Roman" w:cs="Times New Roman"/>
                <w:sz w:val="22"/>
                <w:szCs w:val="24"/>
                <w:lang w:eastAsia="lv-LV"/>
              </w:rPr>
            </w:pPr>
            <w:r w:rsidRPr="0081018C">
              <w:rPr>
                <w:rFonts w:eastAsia="Times New Roman" w:cs="Times New Roman"/>
                <w:sz w:val="22"/>
                <w:szCs w:val="24"/>
                <w:lang w:eastAsia="lv-LV"/>
              </w:rPr>
              <w:lastRenderedPageBreak/>
              <w:t>7. Amata vietu skaita izmaiņas</w:t>
            </w:r>
          </w:p>
        </w:tc>
        <w:tc>
          <w:tcPr>
            <w:tcW w:w="7659" w:type="dxa"/>
            <w:gridSpan w:val="7"/>
            <w:tcBorders>
              <w:top w:val="outset" w:sz="6" w:space="0" w:color="000000"/>
              <w:left w:val="outset" w:sz="6" w:space="0" w:color="000000"/>
              <w:bottom w:val="outset" w:sz="6" w:space="0" w:color="000000"/>
              <w:right w:val="outset" w:sz="6" w:space="0" w:color="000000"/>
            </w:tcBorders>
          </w:tcPr>
          <w:p w14:paraId="71010A5D" w14:textId="1F4F63DB" w:rsidR="00CF1DD7" w:rsidRPr="0081018C" w:rsidRDefault="00155C18" w:rsidP="00CF1DD7">
            <w:pPr>
              <w:ind w:right="1"/>
              <w:jc w:val="both"/>
              <w:rPr>
                <w:rFonts w:eastAsia="Times New Roman" w:cs="Times New Roman"/>
                <w:szCs w:val="24"/>
                <w:lang w:eastAsia="lv-LV"/>
              </w:rPr>
            </w:pPr>
            <w:r>
              <w:rPr>
                <w:rFonts w:eastAsia="Times New Roman" w:cs="Times New Roman"/>
                <w:szCs w:val="24"/>
                <w:lang w:eastAsia="lv-LV"/>
              </w:rPr>
              <w:t>Projekts šo jomu neskar.</w:t>
            </w:r>
          </w:p>
        </w:tc>
      </w:tr>
      <w:tr w:rsidR="00CF1DD7" w:rsidRPr="0081018C" w14:paraId="29923C69" w14:textId="77777777" w:rsidTr="0036242B">
        <w:trPr>
          <w:trHeight w:val="456"/>
        </w:trPr>
        <w:tc>
          <w:tcPr>
            <w:tcW w:w="1408" w:type="dxa"/>
            <w:tcBorders>
              <w:top w:val="outset" w:sz="6" w:space="0" w:color="000000"/>
              <w:left w:val="outset" w:sz="6" w:space="0" w:color="000000"/>
              <w:bottom w:val="outset" w:sz="6" w:space="0" w:color="000000"/>
              <w:right w:val="outset" w:sz="6" w:space="0" w:color="000000"/>
            </w:tcBorders>
          </w:tcPr>
          <w:p w14:paraId="6380D881" w14:textId="77777777" w:rsidR="00CF1DD7" w:rsidRPr="0081018C" w:rsidRDefault="00CF1DD7" w:rsidP="00CF1DD7">
            <w:pPr>
              <w:spacing w:before="100" w:beforeAutospacing="1" w:after="100" w:afterAutospacing="1"/>
              <w:rPr>
                <w:rFonts w:eastAsia="Times New Roman" w:cs="Times New Roman"/>
                <w:sz w:val="22"/>
                <w:szCs w:val="24"/>
                <w:lang w:eastAsia="lv-LV"/>
              </w:rPr>
            </w:pPr>
            <w:r w:rsidRPr="0081018C">
              <w:rPr>
                <w:rFonts w:eastAsia="Times New Roman" w:cs="Times New Roman"/>
                <w:sz w:val="22"/>
                <w:szCs w:val="24"/>
                <w:lang w:eastAsia="lv-LV"/>
              </w:rPr>
              <w:t>8. Cita informācija</w:t>
            </w:r>
          </w:p>
        </w:tc>
        <w:tc>
          <w:tcPr>
            <w:tcW w:w="7659" w:type="dxa"/>
            <w:gridSpan w:val="7"/>
            <w:tcBorders>
              <w:top w:val="outset" w:sz="6" w:space="0" w:color="000000"/>
              <w:left w:val="outset" w:sz="6" w:space="0" w:color="000000"/>
              <w:bottom w:val="outset" w:sz="6" w:space="0" w:color="000000"/>
              <w:right w:val="outset" w:sz="6" w:space="0" w:color="000000"/>
            </w:tcBorders>
          </w:tcPr>
          <w:p w14:paraId="60FEC9D8" w14:textId="77777777" w:rsidR="00CF1DD7" w:rsidRPr="0081018C" w:rsidRDefault="00CF1DD7" w:rsidP="00CF1DD7">
            <w:pPr>
              <w:jc w:val="both"/>
              <w:rPr>
                <w:rFonts w:eastAsia="Times New Roman" w:cs="Times New Roman"/>
                <w:szCs w:val="24"/>
                <w:lang w:eastAsia="lv-LV"/>
              </w:rPr>
            </w:pPr>
            <w:r w:rsidRPr="0081018C">
              <w:rPr>
                <w:rFonts w:cs="Times New Roman"/>
                <w:szCs w:val="24"/>
              </w:rPr>
              <w:t>Nav</w:t>
            </w:r>
          </w:p>
        </w:tc>
      </w:tr>
    </w:tbl>
    <w:p w14:paraId="5C307649" w14:textId="72D2BB1D" w:rsidR="005B1E3C" w:rsidRDefault="005B1E3C"/>
    <w:p w14:paraId="196133A9" w14:textId="77777777" w:rsidR="0036242B" w:rsidRDefault="0036242B"/>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2420"/>
        <w:gridCol w:w="6099"/>
      </w:tblGrid>
      <w:tr w:rsidR="00C21CD0" w:rsidRPr="00C21CD0" w14:paraId="7A7763B5" w14:textId="77777777" w:rsidTr="0036242B">
        <w:tc>
          <w:tcPr>
            <w:tcW w:w="9071" w:type="dxa"/>
            <w:gridSpan w:val="3"/>
            <w:tcBorders>
              <w:top w:val="single" w:sz="4" w:space="0" w:color="auto"/>
              <w:left w:val="single" w:sz="4" w:space="0" w:color="auto"/>
              <w:bottom w:val="single" w:sz="4" w:space="0" w:color="auto"/>
              <w:right w:val="single" w:sz="4" w:space="0" w:color="auto"/>
            </w:tcBorders>
            <w:hideMark/>
          </w:tcPr>
          <w:p w14:paraId="1F6B4AA7" w14:textId="519364FB" w:rsidR="00C6774C" w:rsidRPr="0036242B" w:rsidRDefault="003A7B9C" w:rsidP="0036242B">
            <w:pPr>
              <w:tabs>
                <w:tab w:val="left" w:pos="963"/>
                <w:tab w:val="center" w:pos="4711"/>
              </w:tabs>
              <w:spacing w:before="100" w:beforeAutospacing="1" w:after="100" w:afterAutospacing="1"/>
              <w:rPr>
                <w:rFonts w:eastAsia="Times New Roman" w:cs="Times New Roman"/>
                <w:b/>
                <w:bCs/>
                <w:szCs w:val="24"/>
                <w:lang w:eastAsia="lv-LV"/>
              </w:rPr>
            </w:pPr>
            <w:r>
              <w:rPr>
                <w:rFonts w:eastAsia="Times New Roman" w:cs="Times New Roman"/>
                <w:b/>
                <w:bCs/>
                <w:szCs w:val="24"/>
                <w:lang w:eastAsia="lv-LV"/>
              </w:rPr>
              <w:tab/>
            </w:r>
            <w:r>
              <w:rPr>
                <w:rFonts w:eastAsia="Times New Roman" w:cs="Times New Roman"/>
                <w:b/>
                <w:bCs/>
                <w:szCs w:val="24"/>
                <w:lang w:eastAsia="lv-LV"/>
              </w:rPr>
              <w:tab/>
            </w:r>
            <w:r w:rsidR="00C6774C" w:rsidRPr="00C21CD0">
              <w:rPr>
                <w:rFonts w:eastAsia="Times New Roman" w:cs="Times New Roman"/>
                <w:b/>
                <w:bCs/>
                <w:szCs w:val="24"/>
                <w:lang w:eastAsia="lv-LV"/>
              </w:rPr>
              <w:t>IV. Tiesību akta projekta ietekme uz spēkā esošo tiesību normu sistēmu</w:t>
            </w:r>
          </w:p>
        </w:tc>
      </w:tr>
      <w:tr w:rsidR="00511FA0" w:rsidRPr="00C21CD0" w14:paraId="1BE4E4B4" w14:textId="77777777" w:rsidTr="0036242B">
        <w:trPr>
          <w:trHeight w:val="1573"/>
        </w:trPr>
        <w:tc>
          <w:tcPr>
            <w:tcW w:w="552" w:type="dxa"/>
            <w:tcBorders>
              <w:top w:val="single" w:sz="4" w:space="0" w:color="auto"/>
              <w:left w:val="single" w:sz="4" w:space="0" w:color="auto"/>
              <w:bottom w:val="single" w:sz="4" w:space="0" w:color="auto"/>
              <w:right w:val="single" w:sz="4" w:space="0" w:color="auto"/>
            </w:tcBorders>
            <w:hideMark/>
          </w:tcPr>
          <w:p w14:paraId="51390CC4" w14:textId="77777777" w:rsidR="00511FA0" w:rsidRPr="00C21CD0" w:rsidRDefault="00511FA0" w:rsidP="00511FA0">
            <w:pPr>
              <w:spacing w:before="100" w:beforeAutospacing="1" w:after="100" w:afterAutospacing="1"/>
              <w:jc w:val="center"/>
              <w:rPr>
                <w:rFonts w:eastAsia="Times New Roman" w:cs="Times New Roman"/>
                <w:bCs/>
                <w:szCs w:val="24"/>
                <w:lang w:eastAsia="lv-LV"/>
              </w:rPr>
            </w:pPr>
            <w:r w:rsidRPr="00C21CD0">
              <w:rPr>
                <w:rFonts w:eastAsia="Times New Roman" w:cs="Times New Roman"/>
                <w:bCs/>
                <w:szCs w:val="24"/>
                <w:lang w:eastAsia="lv-LV"/>
              </w:rPr>
              <w:t>1.</w:t>
            </w:r>
          </w:p>
        </w:tc>
        <w:tc>
          <w:tcPr>
            <w:tcW w:w="2420" w:type="dxa"/>
            <w:tcBorders>
              <w:top w:val="single" w:sz="4" w:space="0" w:color="auto"/>
              <w:left w:val="single" w:sz="4" w:space="0" w:color="auto"/>
              <w:bottom w:val="single" w:sz="4" w:space="0" w:color="auto"/>
              <w:right w:val="single" w:sz="4" w:space="0" w:color="auto"/>
            </w:tcBorders>
            <w:hideMark/>
          </w:tcPr>
          <w:p w14:paraId="14AB9858" w14:textId="5CA96A95" w:rsidR="00511FA0" w:rsidRPr="00C21CD0" w:rsidRDefault="00E37C0F" w:rsidP="00E37C0F">
            <w:pPr>
              <w:spacing w:before="100" w:beforeAutospacing="1" w:after="100" w:afterAutospacing="1"/>
              <w:jc w:val="both"/>
              <w:rPr>
                <w:rFonts w:eastAsia="Times New Roman" w:cs="Times New Roman"/>
                <w:bCs/>
                <w:szCs w:val="24"/>
                <w:lang w:eastAsia="lv-LV"/>
              </w:rPr>
            </w:pPr>
            <w:r>
              <w:rPr>
                <w:rFonts w:eastAsia="Times New Roman" w:cs="Times New Roman"/>
                <w:bCs/>
                <w:szCs w:val="24"/>
                <w:lang w:eastAsia="lv-LV"/>
              </w:rPr>
              <w:t>S</w:t>
            </w:r>
            <w:r w:rsidR="00511FA0" w:rsidRPr="00C21CD0">
              <w:rPr>
                <w:rFonts w:eastAsia="Times New Roman" w:cs="Times New Roman"/>
                <w:bCs/>
                <w:szCs w:val="24"/>
                <w:lang w:eastAsia="lv-LV"/>
              </w:rPr>
              <w:t>aistītie tiesību aktu projekti</w:t>
            </w:r>
          </w:p>
        </w:tc>
        <w:tc>
          <w:tcPr>
            <w:tcW w:w="6095" w:type="dxa"/>
            <w:tcBorders>
              <w:top w:val="single" w:sz="4" w:space="0" w:color="auto"/>
              <w:left w:val="single" w:sz="4" w:space="0" w:color="auto"/>
              <w:bottom w:val="single" w:sz="4" w:space="0" w:color="auto"/>
              <w:right w:val="single" w:sz="4" w:space="0" w:color="auto"/>
            </w:tcBorders>
            <w:hideMark/>
          </w:tcPr>
          <w:p w14:paraId="160012FB" w14:textId="77777777" w:rsidR="00511FA0" w:rsidRPr="00C21CD0" w:rsidRDefault="00511FA0" w:rsidP="007E5FB4">
            <w:pPr>
              <w:shd w:val="clear" w:color="auto" w:fill="FFFFFF"/>
              <w:spacing w:before="100" w:beforeAutospacing="1" w:after="100" w:afterAutospacing="1"/>
              <w:ind w:left="-28"/>
              <w:jc w:val="both"/>
              <w:rPr>
                <w:rFonts w:eastAsia="Times New Roman" w:cs="Times New Roman"/>
                <w:szCs w:val="24"/>
                <w:lang w:eastAsia="lv-LV"/>
              </w:rPr>
            </w:pPr>
            <w:r w:rsidRPr="00C21CD0">
              <w:rPr>
                <w:rFonts w:eastAsia="Times New Roman" w:cs="Times New Roman"/>
                <w:szCs w:val="24"/>
                <w:shd w:val="clear" w:color="auto" w:fill="FFFFFF"/>
                <w:lang w:eastAsia="lv-LV"/>
              </w:rPr>
              <w:t xml:space="preserve">Pamatojoties uz </w:t>
            </w:r>
            <w:r>
              <w:rPr>
                <w:rFonts w:eastAsia="Times New Roman" w:cs="Times New Roman"/>
                <w:szCs w:val="24"/>
                <w:shd w:val="clear" w:color="auto" w:fill="FFFFFF"/>
                <w:lang w:eastAsia="lv-LV"/>
              </w:rPr>
              <w:t>l</w:t>
            </w:r>
            <w:r w:rsidRPr="00C21CD0">
              <w:rPr>
                <w:rFonts w:eastAsia="Times New Roman" w:cs="Times New Roman"/>
                <w:szCs w:val="24"/>
                <w:shd w:val="clear" w:color="auto" w:fill="FFFFFF"/>
                <w:lang w:eastAsia="lv-LV"/>
              </w:rPr>
              <w:t>ikumprojekt</w:t>
            </w:r>
            <w:r>
              <w:rPr>
                <w:rFonts w:eastAsia="Times New Roman" w:cs="Times New Roman"/>
                <w:szCs w:val="24"/>
                <w:shd w:val="clear" w:color="auto" w:fill="FFFFFF"/>
                <w:lang w:eastAsia="lv-LV"/>
              </w:rPr>
              <w:t>ā</w:t>
            </w:r>
            <w:r w:rsidRPr="00C21CD0">
              <w:rPr>
                <w:rFonts w:eastAsia="Times New Roman" w:cs="Times New Roman"/>
                <w:szCs w:val="24"/>
                <w:shd w:val="clear" w:color="auto" w:fill="FFFFFF"/>
                <w:lang w:eastAsia="lv-LV"/>
              </w:rPr>
              <w:t xml:space="preserve"> noteikto, nepieciešams izstrādāt</w:t>
            </w:r>
            <w:r w:rsidRPr="00C21CD0">
              <w:rPr>
                <w:rFonts w:eastAsia="Times New Roman" w:cs="Times New Roman"/>
                <w:szCs w:val="24"/>
                <w:lang w:eastAsia="lv-LV"/>
              </w:rPr>
              <w:t xml:space="preserve"> grozījumus likumā “Par iedzīvotāju ienākuma nodokli”</w:t>
            </w:r>
            <w:r>
              <w:rPr>
                <w:rFonts w:eastAsia="Times New Roman" w:cs="Times New Roman"/>
                <w:szCs w:val="24"/>
                <w:lang w:eastAsia="lv-LV"/>
              </w:rPr>
              <w:t>, paredzot, ka čeku spēles laimests ir ar iedzīvotāju ienākuma nodokli neapliekams ienākums, p</w:t>
            </w:r>
            <w:r w:rsidRPr="00C21CD0">
              <w:rPr>
                <w:rFonts w:eastAsia="Times New Roman" w:cs="Times New Roman"/>
                <w:szCs w:val="24"/>
                <w:lang w:eastAsia="lv-LV"/>
              </w:rPr>
              <w:t>apildin</w:t>
            </w:r>
            <w:r>
              <w:rPr>
                <w:rFonts w:eastAsia="Times New Roman" w:cs="Times New Roman"/>
                <w:szCs w:val="24"/>
                <w:lang w:eastAsia="lv-LV"/>
              </w:rPr>
              <w:t>o</w:t>
            </w:r>
            <w:r w:rsidRPr="00C21CD0">
              <w:rPr>
                <w:rFonts w:eastAsia="Times New Roman" w:cs="Times New Roman"/>
                <w:szCs w:val="24"/>
                <w:lang w:eastAsia="lv-LV"/>
              </w:rPr>
              <w:t>t</w:t>
            </w:r>
            <w:r>
              <w:rPr>
                <w:rFonts w:eastAsia="Times New Roman" w:cs="Times New Roman"/>
                <w:szCs w:val="24"/>
                <w:lang w:eastAsia="lv-LV"/>
              </w:rPr>
              <w:t xml:space="preserve"> likuma “Par iedzīvotāju ienākuma nodokli”</w:t>
            </w:r>
            <w:r w:rsidRPr="00C21CD0">
              <w:rPr>
                <w:rFonts w:eastAsia="Times New Roman" w:cs="Times New Roman"/>
                <w:szCs w:val="24"/>
                <w:lang w:eastAsia="lv-LV"/>
              </w:rPr>
              <w:t xml:space="preserve"> 9.panta pirmo daļu ar 26.</w:t>
            </w:r>
            <w:r w:rsidRPr="00C21CD0">
              <w:rPr>
                <w:rFonts w:eastAsia="Times New Roman" w:cs="Times New Roman"/>
                <w:szCs w:val="24"/>
                <w:vertAlign w:val="superscript"/>
                <w:lang w:eastAsia="lv-LV"/>
              </w:rPr>
              <w:t>1</w:t>
            </w:r>
            <w:r w:rsidRPr="00C21CD0">
              <w:rPr>
                <w:rFonts w:eastAsia="Times New Roman" w:cs="Times New Roman"/>
                <w:szCs w:val="24"/>
                <w:lang w:eastAsia="lv-LV"/>
              </w:rPr>
              <w:t xml:space="preserve"> punktu šādā redakcijā:</w:t>
            </w:r>
            <w:r>
              <w:rPr>
                <w:rFonts w:eastAsia="Times New Roman" w:cs="Times New Roman"/>
                <w:szCs w:val="24"/>
                <w:lang w:eastAsia="lv-LV"/>
              </w:rPr>
              <w:t xml:space="preserve"> </w:t>
            </w:r>
            <w:r w:rsidRPr="00C21CD0">
              <w:rPr>
                <w:rFonts w:eastAsia="Times New Roman" w:cs="Times New Roman"/>
                <w:szCs w:val="24"/>
                <w:lang w:eastAsia="lv-LV"/>
              </w:rPr>
              <w:t>“26.</w:t>
            </w:r>
            <w:r w:rsidRPr="00C21CD0">
              <w:rPr>
                <w:rFonts w:eastAsia="Times New Roman" w:cs="Times New Roman"/>
                <w:szCs w:val="24"/>
                <w:vertAlign w:val="superscript"/>
                <w:lang w:eastAsia="lv-LV"/>
              </w:rPr>
              <w:t>1</w:t>
            </w:r>
            <w:r w:rsidRPr="00C21CD0">
              <w:rPr>
                <w:rFonts w:eastAsia="Times New Roman" w:cs="Times New Roman"/>
                <w:szCs w:val="24"/>
                <w:lang w:eastAsia="lv-LV"/>
              </w:rPr>
              <w:t>) čeku spēļu laimesti;”.</w:t>
            </w:r>
          </w:p>
        </w:tc>
      </w:tr>
      <w:tr w:rsidR="00C21CD0" w:rsidRPr="00C21CD0" w14:paraId="73F58D1D" w14:textId="77777777" w:rsidTr="0036242B">
        <w:trPr>
          <w:trHeight w:val="417"/>
        </w:trPr>
        <w:tc>
          <w:tcPr>
            <w:tcW w:w="552" w:type="dxa"/>
            <w:tcBorders>
              <w:top w:val="single" w:sz="4" w:space="0" w:color="auto"/>
              <w:left w:val="single" w:sz="4" w:space="0" w:color="auto"/>
              <w:bottom w:val="single" w:sz="4" w:space="0" w:color="auto"/>
              <w:right w:val="single" w:sz="4" w:space="0" w:color="auto"/>
            </w:tcBorders>
            <w:hideMark/>
          </w:tcPr>
          <w:p w14:paraId="372685BD" w14:textId="77777777" w:rsidR="00C6774C" w:rsidRPr="00C21CD0" w:rsidRDefault="00C6774C" w:rsidP="00C6774C">
            <w:pPr>
              <w:spacing w:before="100" w:beforeAutospacing="1" w:after="100" w:afterAutospacing="1"/>
              <w:jc w:val="center"/>
              <w:rPr>
                <w:rFonts w:eastAsia="Times New Roman" w:cs="Times New Roman"/>
                <w:bCs/>
                <w:szCs w:val="24"/>
                <w:lang w:eastAsia="lv-LV"/>
              </w:rPr>
            </w:pPr>
            <w:r w:rsidRPr="00C21CD0">
              <w:rPr>
                <w:rFonts w:eastAsia="Times New Roman" w:cs="Times New Roman"/>
                <w:bCs/>
                <w:szCs w:val="24"/>
                <w:lang w:eastAsia="lv-LV"/>
              </w:rPr>
              <w:t>2.</w:t>
            </w:r>
          </w:p>
        </w:tc>
        <w:tc>
          <w:tcPr>
            <w:tcW w:w="2420" w:type="dxa"/>
            <w:tcBorders>
              <w:top w:val="single" w:sz="4" w:space="0" w:color="auto"/>
              <w:left w:val="single" w:sz="4" w:space="0" w:color="auto"/>
              <w:bottom w:val="single" w:sz="4" w:space="0" w:color="auto"/>
              <w:right w:val="single" w:sz="4" w:space="0" w:color="auto"/>
            </w:tcBorders>
            <w:hideMark/>
          </w:tcPr>
          <w:p w14:paraId="5BE56DEA" w14:textId="77777777" w:rsidR="00C6774C" w:rsidRPr="00C21CD0" w:rsidRDefault="00C6774C" w:rsidP="00C6774C">
            <w:pPr>
              <w:tabs>
                <w:tab w:val="left" w:pos="2628"/>
              </w:tabs>
              <w:spacing w:before="100" w:beforeAutospacing="1" w:after="100" w:afterAutospacing="1"/>
              <w:jc w:val="both"/>
              <w:rPr>
                <w:rFonts w:eastAsia="Times New Roman" w:cs="Times New Roman"/>
                <w:szCs w:val="24"/>
                <w:lang w:eastAsia="lv-LV"/>
              </w:rPr>
            </w:pPr>
            <w:r w:rsidRPr="00C21CD0">
              <w:rPr>
                <w:rFonts w:eastAsia="Times New Roman" w:cs="Times New Roman"/>
                <w:szCs w:val="24"/>
                <w:lang w:eastAsia="lv-LV"/>
              </w:rPr>
              <w:t>Atbildīgā institūcija</w:t>
            </w:r>
          </w:p>
        </w:tc>
        <w:tc>
          <w:tcPr>
            <w:tcW w:w="6095" w:type="dxa"/>
            <w:tcBorders>
              <w:top w:val="single" w:sz="4" w:space="0" w:color="auto"/>
              <w:left w:val="single" w:sz="4" w:space="0" w:color="auto"/>
              <w:bottom w:val="single" w:sz="4" w:space="0" w:color="auto"/>
              <w:right w:val="single" w:sz="4" w:space="0" w:color="auto"/>
            </w:tcBorders>
            <w:hideMark/>
          </w:tcPr>
          <w:p w14:paraId="0BB68413" w14:textId="77777777" w:rsidR="00C6774C" w:rsidRPr="00C21CD0" w:rsidRDefault="00C6774C" w:rsidP="007E5FB4">
            <w:pPr>
              <w:tabs>
                <w:tab w:val="left" w:pos="2628"/>
              </w:tabs>
              <w:spacing w:before="100" w:beforeAutospacing="1" w:after="100" w:afterAutospacing="1"/>
              <w:ind w:left="-28"/>
              <w:jc w:val="both"/>
              <w:rPr>
                <w:rFonts w:eastAsia="Times New Roman" w:cs="Times New Roman"/>
                <w:iCs/>
                <w:szCs w:val="24"/>
                <w:lang w:eastAsia="lv-LV"/>
              </w:rPr>
            </w:pPr>
            <w:r w:rsidRPr="00C21CD0">
              <w:rPr>
                <w:rFonts w:eastAsia="Times New Roman" w:cs="Times New Roman"/>
                <w:szCs w:val="24"/>
                <w:lang w:eastAsia="lv-LV"/>
              </w:rPr>
              <w:t>Finanšu ministrija</w:t>
            </w:r>
          </w:p>
        </w:tc>
      </w:tr>
      <w:tr w:rsidR="00C6774C" w:rsidRPr="00C21CD0" w14:paraId="4DD8299E" w14:textId="77777777" w:rsidTr="0036242B">
        <w:trPr>
          <w:trHeight w:val="396"/>
        </w:trPr>
        <w:tc>
          <w:tcPr>
            <w:tcW w:w="552" w:type="dxa"/>
            <w:tcBorders>
              <w:top w:val="single" w:sz="4" w:space="0" w:color="auto"/>
              <w:left w:val="single" w:sz="4" w:space="0" w:color="auto"/>
              <w:bottom w:val="single" w:sz="4" w:space="0" w:color="auto"/>
              <w:right w:val="single" w:sz="4" w:space="0" w:color="auto"/>
            </w:tcBorders>
            <w:hideMark/>
          </w:tcPr>
          <w:p w14:paraId="2E3384ED" w14:textId="77777777" w:rsidR="00C6774C" w:rsidRPr="00C21CD0" w:rsidRDefault="00C6774C" w:rsidP="00C6774C">
            <w:pPr>
              <w:spacing w:before="100" w:beforeAutospacing="1" w:after="100" w:afterAutospacing="1"/>
              <w:jc w:val="center"/>
              <w:rPr>
                <w:rFonts w:eastAsia="Times New Roman" w:cs="Times New Roman"/>
                <w:bCs/>
                <w:szCs w:val="24"/>
                <w:lang w:eastAsia="lv-LV"/>
              </w:rPr>
            </w:pPr>
            <w:r w:rsidRPr="00C21CD0">
              <w:rPr>
                <w:rFonts w:eastAsia="Times New Roman" w:cs="Times New Roman"/>
                <w:bCs/>
                <w:szCs w:val="24"/>
                <w:lang w:eastAsia="lv-LV"/>
              </w:rPr>
              <w:t>3.</w:t>
            </w:r>
          </w:p>
        </w:tc>
        <w:tc>
          <w:tcPr>
            <w:tcW w:w="2420" w:type="dxa"/>
            <w:tcBorders>
              <w:top w:val="single" w:sz="4" w:space="0" w:color="auto"/>
              <w:left w:val="single" w:sz="4" w:space="0" w:color="auto"/>
              <w:bottom w:val="single" w:sz="4" w:space="0" w:color="auto"/>
              <w:right w:val="single" w:sz="4" w:space="0" w:color="auto"/>
            </w:tcBorders>
            <w:hideMark/>
          </w:tcPr>
          <w:p w14:paraId="097F4773" w14:textId="77777777" w:rsidR="00C6774C" w:rsidRPr="00C21CD0" w:rsidRDefault="00C6774C" w:rsidP="00C6774C">
            <w:pPr>
              <w:tabs>
                <w:tab w:val="left" w:pos="2628"/>
              </w:tabs>
              <w:spacing w:before="100" w:beforeAutospacing="1" w:after="100" w:afterAutospacing="1"/>
              <w:jc w:val="both"/>
              <w:rPr>
                <w:rFonts w:eastAsia="Times New Roman" w:cs="Times New Roman"/>
                <w:iCs/>
                <w:szCs w:val="24"/>
                <w:lang w:eastAsia="lv-LV"/>
              </w:rPr>
            </w:pPr>
            <w:r w:rsidRPr="00C21CD0">
              <w:rPr>
                <w:rFonts w:eastAsia="Times New Roman" w:cs="Times New Roman"/>
                <w:szCs w:val="24"/>
                <w:lang w:eastAsia="lv-LV"/>
              </w:rPr>
              <w:t>Cita informācija</w:t>
            </w:r>
          </w:p>
        </w:tc>
        <w:tc>
          <w:tcPr>
            <w:tcW w:w="6095" w:type="dxa"/>
            <w:tcBorders>
              <w:top w:val="single" w:sz="4" w:space="0" w:color="auto"/>
              <w:left w:val="single" w:sz="4" w:space="0" w:color="auto"/>
              <w:bottom w:val="single" w:sz="4" w:space="0" w:color="auto"/>
              <w:right w:val="single" w:sz="4" w:space="0" w:color="auto"/>
            </w:tcBorders>
            <w:hideMark/>
          </w:tcPr>
          <w:p w14:paraId="72E4C7F6" w14:textId="77777777" w:rsidR="00C6774C" w:rsidRPr="00C21CD0" w:rsidRDefault="00850009" w:rsidP="007E5FB4">
            <w:pPr>
              <w:tabs>
                <w:tab w:val="left" w:pos="2628"/>
              </w:tabs>
              <w:spacing w:before="100" w:beforeAutospacing="1" w:after="100" w:afterAutospacing="1"/>
              <w:ind w:left="-28"/>
              <w:jc w:val="both"/>
              <w:rPr>
                <w:rFonts w:eastAsia="Times New Roman" w:cs="Times New Roman"/>
                <w:iCs/>
                <w:szCs w:val="24"/>
                <w:lang w:eastAsia="lv-LV"/>
              </w:rPr>
            </w:pPr>
            <w:r>
              <w:rPr>
                <w:rFonts w:eastAsia="Times New Roman" w:cs="Times New Roman"/>
                <w:szCs w:val="24"/>
                <w:lang w:eastAsia="lv-LV"/>
              </w:rPr>
              <w:t>Grozījumi likumā “Par iedzīvotāju ienākuma nodokli” tiks iesniegti kopā ar citiem grozījumiem likumā 2018.gadā.</w:t>
            </w:r>
          </w:p>
        </w:tc>
      </w:tr>
    </w:tbl>
    <w:p w14:paraId="78C178F9" w14:textId="77777777" w:rsidR="00440741" w:rsidRPr="00C21CD0" w:rsidRDefault="00440741" w:rsidP="00902C6D">
      <w:pPr>
        <w:jc w:val="both"/>
        <w:rPr>
          <w:rFonts w:eastAsia="Times New Roman" w:cs="Times New Roman"/>
          <w:szCs w:val="24"/>
          <w:lang w:eastAsia="lv-LV"/>
        </w:rPr>
      </w:pPr>
    </w:p>
    <w:p w14:paraId="314ADBD9" w14:textId="77777777" w:rsidR="00C6774C" w:rsidRPr="00EC29D6" w:rsidRDefault="00C6774C" w:rsidP="00902C6D">
      <w:pPr>
        <w:jc w:val="both"/>
        <w:rPr>
          <w:rFonts w:eastAsia="Times New Roman" w:cs="Times New Roman"/>
          <w:sz w:val="18"/>
          <w:szCs w:val="24"/>
          <w:lang w:eastAsia="lv-LV"/>
        </w:rPr>
      </w:pPr>
    </w:p>
    <w:tbl>
      <w:tblPr>
        <w:tblW w:w="9071"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firstRow="1" w:lastRow="0" w:firstColumn="1" w:lastColumn="0" w:noHBand="0" w:noVBand="0"/>
      </w:tblPr>
      <w:tblGrid>
        <w:gridCol w:w="9064"/>
        <w:gridCol w:w="7"/>
      </w:tblGrid>
      <w:tr w:rsidR="00C21CD0" w:rsidRPr="00C21CD0" w14:paraId="11784344" w14:textId="77777777" w:rsidTr="0036242B">
        <w:tc>
          <w:tcPr>
            <w:tcW w:w="9071" w:type="dxa"/>
            <w:gridSpan w:val="2"/>
            <w:tcBorders>
              <w:top w:val="outset" w:sz="6" w:space="0" w:color="auto"/>
              <w:bottom w:val="outset" w:sz="6" w:space="0" w:color="auto"/>
            </w:tcBorders>
          </w:tcPr>
          <w:p w14:paraId="1FE0E32F" w14:textId="77777777" w:rsidR="00440741" w:rsidRPr="00C21CD0" w:rsidRDefault="00440741" w:rsidP="00E517FE">
            <w:pPr>
              <w:autoSpaceDE w:val="0"/>
              <w:autoSpaceDN w:val="0"/>
              <w:adjustRightInd w:val="0"/>
              <w:ind w:firstLine="470"/>
              <w:jc w:val="both"/>
              <w:rPr>
                <w:rFonts w:eastAsia="Calibri" w:cs="Times New Roman"/>
                <w:szCs w:val="24"/>
              </w:rPr>
            </w:pPr>
            <w:r w:rsidRPr="00C21CD0">
              <w:rPr>
                <w:rFonts w:eastAsia="Calibri" w:cs="Times New Roman"/>
                <w:b/>
                <w:szCs w:val="24"/>
              </w:rPr>
              <w:t>V. Tiesību akta projekta atbilstība Latvijas Republikas starptautiskajām saistībām</w:t>
            </w:r>
          </w:p>
        </w:tc>
      </w:tr>
      <w:tr w:rsidR="00440741" w:rsidRPr="00C21CD0" w14:paraId="56486392" w14:textId="77777777" w:rsidTr="0036242B">
        <w:trPr>
          <w:gridAfter w:val="1"/>
          <w:wAfter w:w="7" w:type="dxa"/>
        </w:trPr>
        <w:tc>
          <w:tcPr>
            <w:tcW w:w="9064" w:type="dxa"/>
            <w:tcBorders>
              <w:top w:val="outset" w:sz="6" w:space="0" w:color="auto"/>
              <w:bottom w:val="outset" w:sz="6" w:space="0" w:color="auto"/>
            </w:tcBorders>
          </w:tcPr>
          <w:p w14:paraId="4DB93C3A" w14:textId="77777777" w:rsidR="00440741" w:rsidRPr="00C21CD0" w:rsidRDefault="00440741" w:rsidP="00E517FE">
            <w:pPr>
              <w:autoSpaceDE w:val="0"/>
              <w:autoSpaceDN w:val="0"/>
              <w:adjustRightInd w:val="0"/>
              <w:ind w:firstLine="470"/>
              <w:jc w:val="center"/>
              <w:rPr>
                <w:rFonts w:eastAsia="Calibri" w:cs="Times New Roman"/>
                <w:b/>
                <w:i/>
                <w:szCs w:val="24"/>
              </w:rPr>
            </w:pPr>
            <w:r w:rsidRPr="00C21CD0">
              <w:rPr>
                <w:rFonts w:eastAsia="Times New Roman" w:cs="Times New Roman"/>
                <w:bCs/>
                <w:i/>
                <w:szCs w:val="24"/>
                <w:lang w:eastAsia="lv-LV"/>
              </w:rPr>
              <w:t>Projekts šo jomu neskar.</w:t>
            </w:r>
          </w:p>
        </w:tc>
      </w:tr>
    </w:tbl>
    <w:p w14:paraId="3220C476" w14:textId="77777777" w:rsidR="00440741" w:rsidRDefault="00440741" w:rsidP="00440741">
      <w:pPr>
        <w:ind w:firstLine="375"/>
        <w:jc w:val="both"/>
        <w:rPr>
          <w:rFonts w:eastAsia="Times New Roman" w:cs="Times New Roman"/>
          <w:szCs w:val="24"/>
          <w:lang w:eastAsia="lv-LV"/>
        </w:rPr>
      </w:pPr>
    </w:p>
    <w:p w14:paraId="2E1DB657" w14:textId="77777777" w:rsidR="003B1697" w:rsidRPr="00EC29D6" w:rsidRDefault="003B1697" w:rsidP="00440741">
      <w:pPr>
        <w:ind w:firstLine="375"/>
        <w:jc w:val="both"/>
        <w:rPr>
          <w:rFonts w:eastAsia="Times New Roman" w:cs="Times New Roman"/>
          <w:sz w:val="18"/>
          <w:szCs w:val="20"/>
          <w:lang w:eastAsia="lv-LV"/>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2576"/>
        <w:gridCol w:w="6099"/>
      </w:tblGrid>
      <w:tr w:rsidR="00C21CD0" w:rsidRPr="00C21CD0" w14:paraId="36292F48" w14:textId="77777777" w:rsidTr="0036242B">
        <w:trPr>
          <w:trHeight w:val="209"/>
        </w:trPr>
        <w:tc>
          <w:tcPr>
            <w:tcW w:w="9071" w:type="dxa"/>
            <w:gridSpan w:val="3"/>
            <w:shd w:val="clear" w:color="auto" w:fill="auto"/>
          </w:tcPr>
          <w:p w14:paraId="44E8E86B" w14:textId="77777777" w:rsidR="00440741" w:rsidRPr="00C21CD0" w:rsidRDefault="00440741" w:rsidP="00E517FE">
            <w:pPr>
              <w:ind w:firstLine="322"/>
              <w:jc w:val="center"/>
              <w:rPr>
                <w:rFonts w:eastAsia="Times New Roman" w:cs="Times New Roman"/>
                <w:szCs w:val="24"/>
                <w:lang w:eastAsia="lv-LV"/>
              </w:rPr>
            </w:pPr>
            <w:r w:rsidRPr="00C21CD0">
              <w:rPr>
                <w:rFonts w:eastAsia="Times New Roman" w:cs="Times New Roman"/>
                <w:b/>
                <w:szCs w:val="24"/>
                <w:lang w:eastAsia="lv-LV"/>
              </w:rPr>
              <w:t>VI. Sabiedrības līdzdalība un komunikācijas aktivitātes</w:t>
            </w:r>
          </w:p>
        </w:tc>
      </w:tr>
      <w:tr w:rsidR="00C21CD0" w:rsidRPr="00C21CD0" w14:paraId="3AEAF8A9" w14:textId="77777777" w:rsidTr="0036242B">
        <w:trPr>
          <w:trHeight w:val="789"/>
        </w:trPr>
        <w:tc>
          <w:tcPr>
            <w:tcW w:w="396" w:type="dxa"/>
            <w:shd w:val="clear" w:color="auto" w:fill="auto"/>
          </w:tcPr>
          <w:p w14:paraId="6507B1E6" w14:textId="77777777" w:rsidR="00440741" w:rsidRPr="00C21CD0" w:rsidRDefault="00440741" w:rsidP="00E517FE">
            <w:pPr>
              <w:jc w:val="center"/>
              <w:rPr>
                <w:rFonts w:eastAsia="Times New Roman" w:cs="Times New Roman"/>
                <w:szCs w:val="24"/>
                <w:lang w:eastAsia="lv-LV"/>
              </w:rPr>
            </w:pPr>
            <w:r w:rsidRPr="00C21CD0">
              <w:rPr>
                <w:rFonts w:eastAsia="Times New Roman" w:cs="Times New Roman"/>
                <w:szCs w:val="24"/>
                <w:lang w:eastAsia="lv-LV"/>
              </w:rPr>
              <w:t>1.</w:t>
            </w:r>
          </w:p>
        </w:tc>
        <w:tc>
          <w:tcPr>
            <w:tcW w:w="2576" w:type="dxa"/>
            <w:shd w:val="clear" w:color="auto" w:fill="auto"/>
          </w:tcPr>
          <w:p w14:paraId="7340AF1A" w14:textId="77777777" w:rsidR="00440741" w:rsidRPr="00C21CD0" w:rsidRDefault="00440741" w:rsidP="00E517FE">
            <w:pPr>
              <w:jc w:val="both"/>
              <w:rPr>
                <w:rFonts w:eastAsia="Times New Roman" w:cs="Times New Roman"/>
                <w:szCs w:val="24"/>
                <w:lang w:eastAsia="lv-LV"/>
              </w:rPr>
            </w:pPr>
            <w:r w:rsidRPr="00C21CD0">
              <w:rPr>
                <w:rFonts w:eastAsia="Times New Roman" w:cs="Times New Roman"/>
                <w:szCs w:val="24"/>
                <w:lang w:eastAsia="lv-LV"/>
              </w:rPr>
              <w:t>Plānotās sabiedrības līdzdalības un komunikācijas aktivitātes saistībā ar projektu</w:t>
            </w:r>
          </w:p>
        </w:tc>
        <w:tc>
          <w:tcPr>
            <w:tcW w:w="6095" w:type="dxa"/>
            <w:shd w:val="clear" w:color="auto" w:fill="auto"/>
          </w:tcPr>
          <w:p w14:paraId="5C3FA234" w14:textId="77777777" w:rsidR="00850009" w:rsidRDefault="00896BCD" w:rsidP="00EC29D6">
            <w:pPr>
              <w:ind w:firstLine="457"/>
              <w:jc w:val="both"/>
            </w:pPr>
            <w:r w:rsidRPr="00C21CD0">
              <w:t xml:space="preserve">Likumprojektā ietvertais regulējums tika </w:t>
            </w:r>
            <w:r w:rsidR="003B1697" w:rsidRPr="00C21CD0">
              <w:t>apspriest</w:t>
            </w:r>
            <w:r w:rsidR="003B1697">
              <w:t>s</w:t>
            </w:r>
            <w:r w:rsidR="003B1697" w:rsidRPr="00C21CD0">
              <w:t xml:space="preserve"> </w:t>
            </w:r>
            <w:r w:rsidRPr="00C21CD0">
              <w:t xml:space="preserve">kopā ar </w:t>
            </w:r>
            <w:r w:rsidR="00850009" w:rsidRPr="00850009">
              <w:t xml:space="preserve">likumu </w:t>
            </w:r>
            <w:r w:rsidR="003B1697">
              <w:t>“</w:t>
            </w:r>
            <w:r w:rsidR="00850009" w:rsidRPr="00850009">
              <w:t xml:space="preserve">Par vidēja termiņa budžeta ietvaru 2018., 2019. un 2020.gadam” </w:t>
            </w:r>
            <w:r w:rsidR="00850009">
              <w:t xml:space="preserve">un </w:t>
            </w:r>
            <w:r w:rsidR="003B1697">
              <w:t>i</w:t>
            </w:r>
            <w:r w:rsidRPr="00C21CD0">
              <w:t>nformatīv</w:t>
            </w:r>
            <w:r w:rsidR="00D13B9E" w:rsidRPr="00C21CD0">
              <w:t>o ziņojumu</w:t>
            </w:r>
            <w:r w:rsidRPr="00C21CD0">
              <w:t xml:space="preserve"> </w:t>
            </w:r>
            <w:r w:rsidR="003B1697">
              <w:t>“</w:t>
            </w:r>
            <w:r w:rsidRPr="00C21CD0">
              <w:t>Par fiskālās telpas pasākumiem un izdevumiem prioritārajiem pasākumiem valsts budžetam 2018.gadam un ietvaram 2018.–2020.gadam</w:t>
            </w:r>
            <w:r w:rsidR="003B1697">
              <w:t>”</w:t>
            </w:r>
            <w:r w:rsidR="00850009">
              <w:t>.</w:t>
            </w:r>
            <w:r w:rsidR="00EC29D6">
              <w:t xml:space="preserve"> </w:t>
            </w:r>
            <w:r w:rsidR="00850009">
              <w:t xml:space="preserve">Likumprojekts </w:t>
            </w:r>
            <w:r w:rsidR="00C301F4">
              <w:t xml:space="preserve">ir </w:t>
            </w:r>
            <w:r w:rsidR="00850009">
              <w:t xml:space="preserve">ievietots Finanšu ministrijas </w:t>
            </w:r>
            <w:r w:rsidR="003B1697">
              <w:t xml:space="preserve">tīmekļa </w:t>
            </w:r>
            <w:r w:rsidR="00850009">
              <w:t>vietnē.</w:t>
            </w:r>
          </w:p>
          <w:p w14:paraId="3E32B8DE" w14:textId="666F709A" w:rsidR="0036242B" w:rsidRPr="00C21CD0" w:rsidRDefault="0036242B" w:rsidP="00EC29D6">
            <w:pPr>
              <w:ind w:firstLine="457"/>
              <w:jc w:val="both"/>
              <w:rPr>
                <w:rFonts w:eastAsia="Times New Roman" w:cs="Times New Roman"/>
                <w:szCs w:val="24"/>
                <w:lang w:eastAsia="lv-LV"/>
              </w:rPr>
            </w:pPr>
          </w:p>
        </w:tc>
      </w:tr>
      <w:tr w:rsidR="00C21CD0" w:rsidRPr="00C21CD0" w14:paraId="6F718703" w14:textId="77777777" w:rsidTr="0036242B">
        <w:trPr>
          <w:trHeight w:val="689"/>
        </w:trPr>
        <w:tc>
          <w:tcPr>
            <w:tcW w:w="396" w:type="dxa"/>
            <w:shd w:val="clear" w:color="auto" w:fill="auto"/>
          </w:tcPr>
          <w:p w14:paraId="63524754" w14:textId="77777777" w:rsidR="00440741" w:rsidRPr="00C21CD0" w:rsidRDefault="00440741" w:rsidP="00E517FE">
            <w:pPr>
              <w:jc w:val="center"/>
              <w:rPr>
                <w:rFonts w:eastAsia="Times New Roman" w:cs="Times New Roman"/>
                <w:szCs w:val="24"/>
                <w:lang w:eastAsia="lv-LV"/>
              </w:rPr>
            </w:pPr>
            <w:r w:rsidRPr="00C21CD0">
              <w:rPr>
                <w:rFonts w:eastAsia="Times New Roman" w:cs="Times New Roman"/>
                <w:szCs w:val="24"/>
                <w:lang w:eastAsia="lv-LV"/>
              </w:rPr>
              <w:t>2.</w:t>
            </w:r>
          </w:p>
        </w:tc>
        <w:tc>
          <w:tcPr>
            <w:tcW w:w="2576" w:type="dxa"/>
            <w:shd w:val="clear" w:color="auto" w:fill="auto"/>
          </w:tcPr>
          <w:p w14:paraId="66875CD8" w14:textId="77777777" w:rsidR="00440741" w:rsidRPr="00C21CD0" w:rsidRDefault="00440741" w:rsidP="00E517FE">
            <w:pPr>
              <w:jc w:val="both"/>
              <w:rPr>
                <w:rFonts w:eastAsia="Times New Roman" w:cs="Times New Roman"/>
                <w:szCs w:val="24"/>
                <w:lang w:eastAsia="lv-LV"/>
              </w:rPr>
            </w:pPr>
            <w:r w:rsidRPr="00C21CD0">
              <w:rPr>
                <w:rFonts w:eastAsia="Times New Roman" w:cs="Times New Roman"/>
                <w:szCs w:val="24"/>
                <w:lang w:eastAsia="lv-LV"/>
              </w:rPr>
              <w:t>Sabiedrības līdzdalība projekta izstrādē</w:t>
            </w:r>
          </w:p>
        </w:tc>
        <w:tc>
          <w:tcPr>
            <w:tcW w:w="6095" w:type="dxa"/>
            <w:shd w:val="clear" w:color="auto" w:fill="auto"/>
          </w:tcPr>
          <w:p w14:paraId="0F7622FF" w14:textId="2E3B7075" w:rsidR="00440741" w:rsidRDefault="00511FA0" w:rsidP="00EC29D6">
            <w:pPr>
              <w:pStyle w:val="naisnod"/>
              <w:spacing w:before="0" w:after="0"/>
              <w:ind w:right="57"/>
              <w:jc w:val="both"/>
              <w:rPr>
                <w:b w:val="0"/>
              </w:rPr>
            </w:pPr>
            <w:r>
              <w:rPr>
                <w:b w:val="0"/>
              </w:rPr>
              <w:t>Informācija par likumprojekta izstrādi 2018.gada</w:t>
            </w:r>
            <w:r w:rsidR="00A23AB0">
              <w:rPr>
                <w:b w:val="0"/>
              </w:rPr>
              <w:t xml:space="preserve"> </w:t>
            </w:r>
            <w:r w:rsidR="00047B96">
              <w:rPr>
                <w:b w:val="0"/>
              </w:rPr>
              <w:t>19.</w:t>
            </w:r>
            <w:r>
              <w:rPr>
                <w:b w:val="0"/>
              </w:rPr>
              <w:t xml:space="preserve">februārī publicēta internetā Finanšu ministrijas </w:t>
            </w:r>
            <w:r w:rsidR="00C10BD9" w:rsidRPr="00C10BD9">
              <w:rPr>
                <w:b w:val="0"/>
              </w:rPr>
              <w:t xml:space="preserve">tīmekļa vietnē </w:t>
            </w:r>
            <w:r>
              <w:rPr>
                <w:b w:val="0"/>
              </w:rPr>
              <w:t xml:space="preserve">“Sabiedrības līdzdalība” </w:t>
            </w:r>
            <w:r w:rsidR="0036242B" w:rsidRPr="0036242B">
              <w:rPr>
                <w:b w:val="0"/>
              </w:rPr>
              <w:t>http://www.fm.gov.lv/lv/sabiedribas_lidzdaliba/tiesibu_aktu_projekti/azartspelu_un_izlozu_organizesanas_politika/#project448</w:t>
            </w:r>
          </w:p>
          <w:p w14:paraId="49AC3B73" w14:textId="265113ED" w:rsidR="0036242B" w:rsidRPr="00EC29D6" w:rsidRDefault="0036242B" w:rsidP="00EC29D6">
            <w:pPr>
              <w:pStyle w:val="naisnod"/>
              <w:spacing w:before="0" w:after="0"/>
              <w:ind w:right="57"/>
              <w:jc w:val="both"/>
              <w:rPr>
                <w:b w:val="0"/>
              </w:rPr>
            </w:pPr>
          </w:p>
        </w:tc>
      </w:tr>
      <w:tr w:rsidR="00C21CD0" w:rsidRPr="00C21CD0" w14:paraId="2BC7C53A" w14:textId="77777777" w:rsidTr="0036242B">
        <w:tc>
          <w:tcPr>
            <w:tcW w:w="396" w:type="dxa"/>
            <w:shd w:val="clear" w:color="auto" w:fill="auto"/>
          </w:tcPr>
          <w:p w14:paraId="71556EEE" w14:textId="77777777" w:rsidR="00440741" w:rsidRPr="00C21CD0" w:rsidRDefault="00440741" w:rsidP="00E517FE">
            <w:pPr>
              <w:jc w:val="center"/>
              <w:rPr>
                <w:rFonts w:eastAsia="Times New Roman" w:cs="Times New Roman"/>
                <w:szCs w:val="24"/>
                <w:lang w:eastAsia="lv-LV"/>
              </w:rPr>
            </w:pPr>
            <w:r w:rsidRPr="00C21CD0">
              <w:rPr>
                <w:rFonts w:eastAsia="Times New Roman" w:cs="Times New Roman"/>
                <w:szCs w:val="24"/>
                <w:lang w:eastAsia="lv-LV"/>
              </w:rPr>
              <w:t>3.</w:t>
            </w:r>
          </w:p>
        </w:tc>
        <w:tc>
          <w:tcPr>
            <w:tcW w:w="2576" w:type="dxa"/>
            <w:shd w:val="clear" w:color="auto" w:fill="auto"/>
          </w:tcPr>
          <w:p w14:paraId="758D8F94" w14:textId="77777777" w:rsidR="00440741" w:rsidRPr="00C21CD0" w:rsidRDefault="00440741" w:rsidP="00E517FE">
            <w:pPr>
              <w:jc w:val="both"/>
              <w:rPr>
                <w:rFonts w:eastAsia="Times New Roman" w:cs="Times New Roman"/>
                <w:szCs w:val="24"/>
                <w:lang w:eastAsia="lv-LV"/>
              </w:rPr>
            </w:pPr>
            <w:r w:rsidRPr="00C21CD0">
              <w:rPr>
                <w:rFonts w:eastAsia="Times New Roman" w:cs="Times New Roman"/>
                <w:szCs w:val="24"/>
                <w:lang w:eastAsia="lv-LV"/>
              </w:rPr>
              <w:t>Sabiedrības līdzdalības rezultāti</w:t>
            </w:r>
          </w:p>
        </w:tc>
        <w:tc>
          <w:tcPr>
            <w:tcW w:w="6095" w:type="dxa"/>
            <w:shd w:val="clear" w:color="auto" w:fill="auto"/>
          </w:tcPr>
          <w:p w14:paraId="52CA08FD" w14:textId="7FE69D06" w:rsidR="00440741" w:rsidRPr="00C21CD0" w:rsidRDefault="004F5D9E" w:rsidP="00F830AE">
            <w:pPr>
              <w:jc w:val="both"/>
              <w:rPr>
                <w:rFonts w:eastAsia="Times New Roman" w:cs="Times New Roman"/>
                <w:szCs w:val="24"/>
                <w:lang w:eastAsia="lv-LV"/>
              </w:rPr>
            </w:pPr>
            <w:r w:rsidRPr="004F5D9E">
              <w:rPr>
                <w:rFonts w:eastAsia="Times New Roman" w:cs="Times New Roman"/>
                <w:szCs w:val="24"/>
                <w:lang w:eastAsia="lv-LV"/>
              </w:rPr>
              <w:t>Iebildumi par Projekta saturu vai virzību nav saņemti.</w:t>
            </w:r>
          </w:p>
        </w:tc>
      </w:tr>
      <w:tr w:rsidR="00440741" w:rsidRPr="00C21CD0" w14:paraId="5A0FCFE8" w14:textId="77777777" w:rsidTr="0036242B">
        <w:tc>
          <w:tcPr>
            <w:tcW w:w="396" w:type="dxa"/>
            <w:shd w:val="clear" w:color="auto" w:fill="auto"/>
          </w:tcPr>
          <w:p w14:paraId="29E60A74" w14:textId="77777777" w:rsidR="00440741" w:rsidRPr="00C21CD0" w:rsidRDefault="00440741" w:rsidP="00E517FE">
            <w:pPr>
              <w:jc w:val="center"/>
              <w:rPr>
                <w:rFonts w:eastAsia="Times New Roman" w:cs="Times New Roman"/>
                <w:szCs w:val="24"/>
                <w:lang w:eastAsia="lv-LV"/>
              </w:rPr>
            </w:pPr>
            <w:r w:rsidRPr="00C21CD0">
              <w:rPr>
                <w:rFonts w:eastAsia="Times New Roman" w:cs="Times New Roman"/>
                <w:szCs w:val="24"/>
                <w:lang w:eastAsia="lv-LV"/>
              </w:rPr>
              <w:t>4.</w:t>
            </w:r>
          </w:p>
        </w:tc>
        <w:tc>
          <w:tcPr>
            <w:tcW w:w="2576" w:type="dxa"/>
            <w:shd w:val="clear" w:color="auto" w:fill="auto"/>
          </w:tcPr>
          <w:p w14:paraId="792BC972" w14:textId="77777777" w:rsidR="00440741" w:rsidRPr="00C21CD0" w:rsidRDefault="00440741" w:rsidP="00E517FE">
            <w:pPr>
              <w:jc w:val="both"/>
              <w:rPr>
                <w:rFonts w:eastAsia="Times New Roman" w:cs="Times New Roman"/>
                <w:szCs w:val="24"/>
                <w:lang w:eastAsia="lv-LV"/>
              </w:rPr>
            </w:pPr>
            <w:r w:rsidRPr="00C21CD0">
              <w:rPr>
                <w:rFonts w:eastAsia="Times New Roman" w:cs="Times New Roman"/>
                <w:szCs w:val="24"/>
                <w:lang w:eastAsia="lv-LV"/>
              </w:rPr>
              <w:t>Cita informācija </w:t>
            </w:r>
          </w:p>
        </w:tc>
        <w:tc>
          <w:tcPr>
            <w:tcW w:w="6095" w:type="dxa"/>
            <w:shd w:val="clear" w:color="auto" w:fill="auto"/>
          </w:tcPr>
          <w:p w14:paraId="1FDC1B4B" w14:textId="77777777" w:rsidR="00440741" w:rsidRPr="00C21CD0" w:rsidRDefault="00440741" w:rsidP="00A95793">
            <w:pPr>
              <w:jc w:val="both"/>
              <w:rPr>
                <w:rFonts w:eastAsia="Times New Roman" w:cs="Times New Roman"/>
                <w:szCs w:val="24"/>
                <w:lang w:eastAsia="lv-LV"/>
              </w:rPr>
            </w:pPr>
            <w:r w:rsidRPr="00C21CD0">
              <w:rPr>
                <w:rFonts w:eastAsia="Times New Roman" w:cs="Times New Roman"/>
                <w:szCs w:val="24"/>
                <w:lang w:eastAsia="lv-LV"/>
              </w:rPr>
              <w:t>Nav</w:t>
            </w:r>
          </w:p>
        </w:tc>
      </w:tr>
    </w:tbl>
    <w:p w14:paraId="2BA7D1F2" w14:textId="77777777" w:rsidR="00440741" w:rsidRDefault="00440741" w:rsidP="00440741">
      <w:pPr>
        <w:tabs>
          <w:tab w:val="left" w:pos="2628"/>
        </w:tabs>
        <w:rPr>
          <w:rFonts w:eastAsia="Times New Roman" w:cs="Times New Roman"/>
          <w:i/>
          <w:szCs w:val="24"/>
          <w:lang w:eastAsia="lv-LV"/>
        </w:rPr>
      </w:pPr>
    </w:p>
    <w:p w14:paraId="602E0282" w14:textId="77777777" w:rsidR="009A2EAF" w:rsidRPr="00EC29D6" w:rsidRDefault="009A2EAF" w:rsidP="00440741">
      <w:pPr>
        <w:tabs>
          <w:tab w:val="left" w:pos="2628"/>
        </w:tabs>
        <w:rPr>
          <w:rFonts w:eastAsia="Times New Roman" w:cs="Times New Roman"/>
          <w:sz w:val="18"/>
          <w:szCs w:val="24"/>
          <w:lang w:eastAsia="lv-LV"/>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9"/>
        <w:gridCol w:w="3943"/>
        <w:gridCol w:w="4689"/>
      </w:tblGrid>
      <w:tr w:rsidR="00C21CD0" w:rsidRPr="00C21CD0" w14:paraId="40A8FB70" w14:textId="77777777" w:rsidTr="00BA244F">
        <w:trPr>
          <w:trHeight w:val="237"/>
        </w:trPr>
        <w:tc>
          <w:tcPr>
            <w:tcW w:w="9071" w:type="dxa"/>
            <w:gridSpan w:val="3"/>
            <w:tcBorders>
              <w:top w:val="single" w:sz="4" w:space="0" w:color="auto"/>
              <w:left w:val="single" w:sz="4" w:space="0" w:color="auto"/>
              <w:bottom w:val="single" w:sz="4" w:space="0" w:color="auto"/>
              <w:right w:val="single" w:sz="4" w:space="0" w:color="auto"/>
            </w:tcBorders>
          </w:tcPr>
          <w:p w14:paraId="60232E02" w14:textId="77777777" w:rsidR="00440741" w:rsidRPr="00C21CD0" w:rsidRDefault="00440741" w:rsidP="00E517FE">
            <w:pPr>
              <w:ind w:left="57" w:right="57"/>
              <w:jc w:val="center"/>
              <w:rPr>
                <w:rFonts w:eastAsia="Times New Roman" w:cs="Times New Roman"/>
                <w:b/>
                <w:bCs/>
                <w:szCs w:val="24"/>
                <w:lang w:eastAsia="lv-LV"/>
              </w:rPr>
            </w:pPr>
            <w:r w:rsidRPr="00C21CD0">
              <w:rPr>
                <w:rFonts w:eastAsia="Times New Roman" w:cs="Times New Roman"/>
                <w:b/>
                <w:bCs/>
                <w:szCs w:val="24"/>
                <w:lang w:eastAsia="lv-LV"/>
              </w:rPr>
              <w:t>VII. Tiesību akta projekta izpildes nodrošināšana un tās ietekme uz institūcijām</w:t>
            </w:r>
          </w:p>
        </w:tc>
      </w:tr>
      <w:tr w:rsidR="00C21CD0" w:rsidRPr="00C21CD0" w14:paraId="7869541A" w14:textId="77777777" w:rsidTr="00BA244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439" w:type="dxa"/>
            <w:tcBorders>
              <w:top w:val="outset" w:sz="6" w:space="0" w:color="000000"/>
              <w:left w:val="outset" w:sz="6" w:space="0" w:color="000000"/>
              <w:bottom w:val="outset" w:sz="6" w:space="0" w:color="000000"/>
              <w:right w:val="outset" w:sz="6" w:space="0" w:color="000000"/>
            </w:tcBorders>
            <w:hideMark/>
          </w:tcPr>
          <w:p w14:paraId="2DC2C311" w14:textId="77777777" w:rsidR="00440741" w:rsidRPr="00C21CD0" w:rsidRDefault="00440741" w:rsidP="00E517FE">
            <w:pPr>
              <w:jc w:val="center"/>
              <w:rPr>
                <w:rFonts w:eastAsia="Arial Unicode MS" w:cs="Times New Roman"/>
                <w:szCs w:val="24"/>
              </w:rPr>
            </w:pPr>
            <w:r w:rsidRPr="00C21CD0">
              <w:rPr>
                <w:rFonts w:eastAsia="Arial Unicode MS" w:cs="Times New Roman"/>
                <w:szCs w:val="24"/>
              </w:rPr>
              <w:t>1.</w:t>
            </w:r>
          </w:p>
        </w:tc>
        <w:tc>
          <w:tcPr>
            <w:tcW w:w="3943" w:type="dxa"/>
            <w:tcBorders>
              <w:top w:val="outset" w:sz="6" w:space="0" w:color="000000"/>
              <w:left w:val="outset" w:sz="6" w:space="0" w:color="000000"/>
              <w:bottom w:val="outset" w:sz="6" w:space="0" w:color="000000"/>
              <w:right w:val="outset" w:sz="6" w:space="0" w:color="000000"/>
            </w:tcBorders>
            <w:hideMark/>
          </w:tcPr>
          <w:p w14:paraId="23C232AD" w14:textId="77777777" w:rsidR="00440741" w:rsidRPr="00C21CD0" w:rsidRDefault="00440741" w:rsidP="00E517FE">
            <w:pPr>
              <w:rPr>
                <w:rFonts w:eastAsia="Arial Unicode MS" w:cs="Times New Roman"/>
                <w:szCs w:val="24"/>
              </w:rPr>
            </w:pPr>
            <w:r w:rsidRPr="00C21CD0">
              <w:rPr>
                <w:rFonts w:eastAsia="Arial Unicode MS" w:cs="Times New Roman"/>
                <w:szCs w:val="24"/>
              </w:rPr>
              <w:t>Projekta izpildē iesaistītās institūcijas</w:t>
            </w:r>
          </w:p>
        </w:tc>
        <w:tc>
          <w:tcPr>
            <w:tcW w:w="4689" w:type="dxa"/>
            <w:tcBorders>
              <w:top w:val="outset" w:sz="6" w:space="0" w:color="000000"/>
              <w:left w:val="outset" w:sz="6" w:space="0" w:color="000000"/>
              <w:bottom w:val="outset" w:sz="6" w:space="0" w:color="000000"/>
              <w:right w:val="outset" w:sz="6" w:space="0" w:color="000000"/>
            </w:tcBorders>
            <w:hideMark/>
          </w:tcPr>
          <w:p w14:paraId="6C1EE5F8" w14:textId="77777777" w:rsidR="00440741" w:rsidRPr="00C21CD0" w:rsidRDefault="00440741" w:rsidP="00A95793">
            <w:pPr>
              <w:jc w:val="both"/>
              <w:rPr>
                <w:rFonts w:eastAsia="Arial Unicode MS" w:cs="Times New Roman"/>
                <w:szCs w:val="24"/>
              </w:rPr>
            </w:pPr>
            <w:r w:rsidRPr="00C21CD0">
              <w:rPr>
                <w:rFonts w:eastAsia="Arial Unicode MS" w:cs="Times New Roman"/>
                <w:szCs w:val="24"/>
              </w:rPr>
              <w:t>V</w:t>
            </w:r>
            <w:r w:rsidR="00850009">
              <w:rPr>
                <w:rFonts w:eastAsia="Arial Unicode MS" w:cs="Times New Roman"/>
                <w:szCs w:val="24"/>
              </w:rPr>
              <w:t>alsts ieņēmumu dienests</w:t>
            </w:r>
          </w:p>
        </w:tc>
      </w:tr>
      <w:tr w:rsidR="00C21CD0" w:rsidRPr="00C21CD0" w14:paraId="35B9AC68" w14:textId="77777777" w:rsidTr="00BA244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439" w:type="dxa"/>
            <w:tcBorders>
              <w:top w:val="outset" w:sz="6" w:space="0" w:color="000000"/>
              <w:left w:val="outset" w:sz="6" w:space="0" w:color="000000"/>
              <w:bottom w:val="outset" w:sz="6" w:space="0" w:color="000000"/>
              <w:right w:val="outset" w:sz="6" w:space="0" w:color="000000"/>
            </w:tcBorders>
            <w:hideMark/>
          </w:tcPr>
          <w:p w14:paraId="7BCC50C5" w14:textId="77777777" w:rsidR="00440741" w:rsidRPr="00C21CD0" w:rsidRDefault="00440741" w:rsidP="00E517FE">
            <w:pPr>
              <w:jc w:val="center"/>
              <w:rPr>
                <w:rFonts w:eastAsia="Arial Unicode MS" w:cs="Times New Roman"/>
                <w:szCs w:val="24"/>
              </w:rPr>
            </w:pPr>
            <w:r w:rsidRPr="00C21CD0">
              <w:rPr>
                <w:rFonts w:eastAsia="Arial Unicode MS" w:cs="Times New Roman"/>
                <w:szCs w:val="24"/>
              </w:rPr>
              <w:lastRenderedPageBreak/>
              <w:t>2.</w:t>
            </w:r>
          </w:p>
        </w:tc>
        <w:tc>
          <w:tcPr>
            <w:tcW w:w="3943" w:type="dxa"/>
            <w:tcBorders>
              <w:top w:val="outset" w:sz="6" w:space="0" w:color="000000"/>
              <w:left w:val="outset" w:sz="6" w:space="0" w:color="000000"/>
              <w:bottom w:val="outset" w:sz="6" w:space="0" w:color="000000"/>
              <w:right w:val="outset" w:sz="6" w:space="0" w:color="000000"/>
            </w:tcBorders>
            <w:hideMark/>
          </w:tcPr>
          <w:p w14:paraId="684381FC" w14:textId="77777777" w:rsidR="00440741" w:rsidRPr="00C21CD0" w:rsidRDefault="00440741" w:rsidP="00E517FE">
            <w:pPr>
              <w:rPr>
                <w:rFonts w:eastAsia="Arial Unicode MS" w:cs="Times New Roman"/>
                <w:szCs w:val="24"/>
              </w:rPr>
            </w:pPr>
            <w:r w:rsidRPr="00C21CD0">
              <w:rPr>
                <w:rFonts w:eastAsia="Arial Unicode MS" w:cs="Times New Roman"/>
                <w:szCs w:val="24"/>
              </w:rPr>
              <w:t>Projekta izpildes ietekme uz pārvaldes funkcijām un institucionālo struktūru.</w:t>
            </w:r>
          </w:p>
          <w:p w14:paraId="00DE9A76" w14:textId="77777777" w:rsidR="00440741" w:rsidRPr="00C21CD0" w:rsidRDefault="00440741" w:rsidP="00E517FE">
            <w:pPr>
              <w:rPr>
                <w:rFonts w:eastAsia="Arial Unicode MS" w:cs="Times New Roman"/>
                <w:szCs w:val="24"/>
              </w:rPr>
            </w:pPr>
            <w:r w:rsidRPr="00C21CD0">
              <w:rPr>
                <w:rFonts w:eastAsia="Arial Unicode MS" w:cs="Times New Roman"/>
                <w:szCs w:val="24"/>
              </w:rPr>
              <w:t>Jaunu institūciju izveide, esošo institūciju likvidācija vai reorganizācija, to ietekme uz institūcijas cilvēkresursiem</w:t>
            </w:r>
          </w:p>
        </w:tc>
        <w:tc>
          <w:tcPr>
            <w:tcW w:w="4689" w:type="dxa"/>
            <w:tcBorders>
              <w:top w:val="outset" w:sz="6" w:space="0" w:color="000000"/>
              <w:left w:val="outset" w:sz="6" w:space="0" w:color="000000"/>
              <w:bottom w:val="outset" w:sz="6" w:space="0" w:color="000000"/>
              <w:right w:val="outset" w:sz="6" w:space="0" w:color="000000"/>
            </w:tcBorders>
            <w:hideMark/>
          </w:tcPr>
          <w:p w14:paraId="76D84248" w14:textId="77777777" w:rsidR="00440741" w:rsidRPr="00C21CD0" w:rsidRDefault="00440741" w:rsidP="00DA604A">
            <w:pPr>
              <w:ind w:right="119"/>
              <w:jc w:val="both"/>
              <w:rPr>
                <w:rFonts w:eastAsia="Times New Roman" w:cs="Times New Roman"/>
                <w:szCs w:val="24"/>
                <w:lang w:eastAsia="lv-LV"/>
              </w:rPr>
            </w:pPr>
            <w:r w:rsidRPr="00C21CD0">
              <w:rPr>
                <w:rFonts w:eastAsia="Times New Roman" w:cs="Times New Roman"/>
                <w:szCs w:val="24"/>
                <w:lang w:eastAsia="lv-LV"/>
              </w:rPr>
              <w:t>Likumprojekts neparedz veidot jaunas institūcijas, reorganizēt vai likvidēt esošās institūcijas.</w:t>
            </w:r>
          </w:p>
          <w:p w14:paraId="6173C4CF" w14:textId="77777777" w:rsidR="00440741" w:rsidRDefault="00440741" w:rsidP="00DA604A">
            <w:pPr>
              <w:ind w:right="119"/>
              <w:jc w:val="both"/>
              <w:rPr>
                <w:rFonts w:eastAsia="Times New Roman" w:cs="Times New Roman"/>
                <w:szCs w:val="24"/>
                <w:lang w:eastAsia="lv-LV"/>
              </w:rPr>
            </w:pPr>
            <w:r w:rsidRPr="00C21CD0">
              <w:rPr>
                <w:rFonts w:eastAsia="Times New Roman" w:cs="Times New Roman"/>
                <w:szCs w:val="24"/>
                <w:lang w:eastAsia="lv-LV"/>
              </w:rPr>
              <w:t xml:space="preserve">Likumprojekta izpilde tiks nodrošināta </w:t>
            </w:r>
            <w:r w:rsidR="00850009">
              <w:rPr>
                <w:rFonts w:eastAsia="Times New Roman" w:cs="Times New Roman"/>
                <w:szCs w:val="24"/>
                <w:lang w:eastAsia="lv-LV"/>
              </w:rPr>
              <w:t xml:space="preserve">Valsts ieņēmumu dienestam piešķirto </w:t>
            </w:r>
            <w:r w:rsidRPr="00C21CD0">
              <w:rPr>
                <w:rFonts w:eastAsia="Times New Roman" w:cs="Times New Roman"/>
                <w:szCs w:val="24"/>
                <w:lang w:eastAsia="lv-LV"/>
              </w:rPr>
              <w:t>resursu ietvaros.</w:t>
            </w:r>
          </w:p>
          <w:p w14:paraId="315219EF" w14:textId="77777777" w:rsidR="00511FA0" w:rsidRPr="00C21CD0" w:rsidRDefault="00511FA0" w:rsidP="00DA604A">
            <w:pPr>
              <w:ind w:right="119"/>
              <w:jc w:val="both"/>
              <w:rPr>
                <w:rFonts w:eastAsia="Times New Roman" w:cs="Times New Roman"/>
                <w:iCs/>
                <w:szCs w:val="24"/>
                <w:lang w:eastAsia="lv-LV"/>
              </w:rPr>
            </w:pPr>
            <w:r>
              <w:rPr>
                <w:rFonts w:eastAsia="Times New Roman" w:cs="Times New Roman"/>
                <w:szCs w:val="24"/>
                <w:lang w:eastAsia="lv-LV"/>
              </w:rPr>
              <w:t>Papildus cilvēkresursi nav nepieciešami.</w:t>
            </w:r>
          </w:p>
        </w:tc>
      </w:tr>
      <w:tr w:rsidR="00440741" w:rsidRPr="00C21CD0" w14:paraId="4BDEF8A8" w14:textId="77777777" w:rsidTr="00BA244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trHeight w:val="35"/>
        </w:trPr>
        <w:tc>
          <w:tcPr>
            <w:tcW w:w="439" w:type="dxa"/>
            <w:tcBorders>
              <w:top w:val="outset" w:sz="6" w:space="0" w:color="000000"/>
              <w:left w:val="outset" w:sz="6" w:space="0" w:color="000000"/>
              <w:bottom w:val="outset" w:sz="6" w:space="0" w:color="000000"/>
              <w:right w:val="outset" w:sz="6" w:space="0" w:color="000000"/>
            </w:tcBorders>
            <w:hideMark/>
          </w:tcPr>
          <w:p w14:paraId="2F17EFAB" w14:textId="77777777" w:rsidR="00440741" w:rsidRPr="00C21CD0" w:rsidRDefault="00440741" w:rsidP="00E517FE">
            <w:pPr>
              <w:jc w:val="center"/>
              <w:rPr>
                <w:rFonts w:eastAsia="Arial Unicode MS" w:cs="Times New Roman"/>
                <w:szCs w:val="24"/>
              </w:rPr>
            </w:pPr>
            <w:r w:rsidRPr="00C21CD0">
              <w:rPr>
                <w:rFonts w:eastAsia="Arial Unicode MS" w:cs="Times New Roman"/>
                <w:szCs w:val="24"/>
              </w:rPr>
              <w:t>3.</w:t>
            </w:r>
          </w:p>
        </w:tc>
        <w:tc>
          <w:tcPr>
            <w:tcW w:w="3943" w:type="dxa"/>
            <w:tcBorders>
              <w:top w:val="outset" w:sz="6" w:space="0" w:color="000000"/>
              <w:left w:val="outset" w:sz="6" w:space="0" w:color="000000"/>
              <w:bottom w:val="outset" w:sz="6" w:space="0" w:color="000000"/>
              <w:right w:val="outset" w:sz="6" w:space="0" w:color="000000"/>
            </w:tcBorders>
            <w:hideMark/>
          </w:tcPr>
          <w:p w14:paraId="44523D73" w14:textId="77777777" w:rsidR="00440741" w:rsidRPr="00C21CD0" w:rsidRDefault="00440741" w:rsidP="00E517FE">
            <w:pPr>
              <w:rPr>
                <w:rFonts w:eastAsia="Arial Unicode MS" w:cs="Times New Roman"/>
                <w:szCs w:val="24"/>
              </w:rPr>
            </w:pPr>
            <w:r w:rsidRPr="00C21CD0">
              <w:rPr>
                <w:rFonts w:eastAsia="Arial Unicode MS" w:cs="Times New Roman"/>
                <w:szCs w:val="24"/>
              </w:rPr>
              <w:t>Cita informācija</w:t>
            </w:r>
          </w:p>
        </w:tc>
        <w:tc>
          <w:tcPr>
            <w:tcW w:w="4689" w:type="dxa"/>
            <w:tcBorders>
              <w:top w:val="outset" w:sz="6" w:space="0" w:color="000000"/>
              <w:left w:val="outset" w:sz="6" w:space="0" w:color="000000"/>
              <w:bottom w:val="outset" w:sz="6" w:space="0" w:color="000000"/>
              <w:right w:val="outset" w:sz="6" w:space="0" w:color="000000"/>
            </w:tcBorders>
            <w:hideMark/>
          </w:tcPr>
          <w:p w14:paraId="220C45D0" w14:textId="77777777" w:rsidR="00440741" w:rsidRPr="00C21CD0" w:rsidRDefault="00440741" w:rsidP="00A95793">
            <w:pPr>
              <w:rPr>
                <w:rFonts w:eastAsia="Arial Unicode MS" w:cs="Times New Roman"/>
                <w:szCs w:val="24"/>
              </w:rPr>
            </w:pPr>
            <w:r w:rsidRPr="00C21CD0">
              <w:rPr>
                <w:rFonts w:eastAsia="Arial Unicode MS" w:cs="Times New Roman"/>
                <w:szCs w:val="24"/>
              </w:rPr>
              <w:t>Nav</w:t>
            </w:r>
          </w:p>
        </w:tc>
      </w:tr>
    </w:tbl>
    <w:p w14:paraId="43F6126F" w14:textId="3B16A91D" w:rsidR="00440741" w:rsidRDefault="00440741" w:rsidP="00440741">
      <w:pPr>
        <w:tabs>
          <w:tab w:val="left" w:pos="6804"/>
        </w:tabs>
        <w:jc w:val="both"/>
        <w:rPr>
          <w:rFonts w:eastAsia="Times New Roman" w:cs="Times New Roman"/>
          <w:szCs w:val="24"/>
          <w:lang w:eastAsia="lv-LV"/>
        </w:rPr>
      </w:pPr>
    </w:p>
    <w:p w14:paraId="6F628F0E" w14:textId="77777777" w:rsidR="0036242B" w:rsidRPr="00C21CD0" w:rsidRDefault="0036242B" w:rsidP="00440741">
      <w:pPr>
        <w:tabs>
          <w:tab w:val="left" w:pos="6804"/>
        </w:tabs>
        <w:jc w:val="both"/>
        <w:rPr>
          <w:rFonts w:eastAsia="Times New Roman" w:cs="Times New Roman"/>
          <w:szCs w:val="24"/>
          <w:lang w:eastAsia="lv-LV"/>
        </w:rPr>
      </w:pPr>
    </w:p>
    <w:p w14:paraId="522DF827" w14:textId="77777777" w:rsidR="00440741" w:rsidRPr="005D692D" w:rsidRDefault="00440741" w:rsidP="00440741">
      <w:pPr>
        <w:tabs>
          <w:tab w:val="left" w:pos="6804"/>
        </w:tabs>
        <w:jc w:val="both"/>
        <w:rPr>
          <w:rFonts w:eastAsia="Times New Roman" w:cs="Times New Roman"/>
          <w:szCs w:val="24"/>
          <w:lang w:val="en-US" w:eastAsia="lv-LV"/>
        </w:rPr>
      </w:pPr>
    </w:p>
    <w:p w14:paraId="4895C31D" w14:textId="77777777" w:rsidR="00440741" w:rsidRPr="00C21CD0" w:rsidRDefault="003B1697" w:rsidP="003B1697">
      <w:pPr>
        <w:tabs>
          <w:tab w:val="left" w:pos="6379"/>
        </w:tabs>
        <w:jc w:val="both"/>
        <w:rPr>
          <w:rFonts w:eastAsia="Times New Roman" w:cs="Times New Roman"/>
          <w:szCs w:val="24"/>
          <w:lang w:eastAsia="lv-LV"/>
        </w:rPr>
      </w:pPr>
      <w:r>
        <w:rPr>
          <w:rFonts w:eastAsia="Times New Roman" w:cs="Times New Roman"/>
          <w:szCs w:val="24"/>
          <w:lang w:eastAsia="lv-LV"/>
        </w:rPr>
        <w:t>Finanšu ministre</w:t>
      </w:r>
      <w:r>
        <w:rPr>
          <w:rFonts w:eastAsia="Times New Roman" w:cs="Times New Roman"/>
          <w:szCs w:val="24"/>
          <w:lang w:eastAsia="lv-LV"/>
        </w:rPr>
        <w:tab/>
      </w:r>
      <w:proofErr w:type="spellStart"/>
      <w:r>
        <w:rPr>
          <w:rFonts w:eastAsia="Times New Roman" w:cs="Times New Roman"/>
          <w:szCs w:val="24"/>
          <w:lang w:eastAsia="lv-LV"/>
        </w:rPr>
        <w:t>D.Reizniece</w:t>
      </w:r>
      <w:proofErr w:type="spellEnd"/>
      <w:r>
        <w:rPr>
          <w:rFonts w:eastAsia="Times New Roman" w:cs="Times New Roman"/>
          <w:szCs w:val="24"/>
          <w:lang w:eastAsia="lv-LV"/>
        </w:rPr>
        <w:t>-Ozola</w:t>
      </w:r>
    </w:p>
    <w:p w14:paraId="346B0C4C" w14:textId="5385C215" w:rsidR="00E517FE" w:rsidRDefault="00E517FE"/>
    <w:p w14:paraId="4D738D79" w14:textId="4BD107DF" w:rsidR="0036242B" w:rsidRDefault="0036242B"/>
    <w:p w14:paraId="2D27C1FE" w14:textId="77777777" w:rsidR="00EB1D72" w:rsidRDefault="00EB1D72">
      <w:bookmarkStart w:id="0" w:name="_GoBack"/>
      <w:bookmarkEnd w:id="0"/>
    </w:p>
    <w:p w14:paraId="3DC314EA" w14:textId="77777777" w:rsidR="0036242B" w:rsidRPr="00945280" w:rsidRDefault="0036242B"/>
    <w:p w14:paraId="2F24EAFC" w14:textId="77777777" w:rsidR="003B1697" w:rsidRPr="00945280" w:rsidRDefault="003B1697">
      <w:pPr>
        <w:rPr>
          <w:i/>
          <w:sz w:val="20"/>
          <w:szCs w:val="20"/>
        </w:rPr>
      </w:pPr>
      <w:r w:rsidRPr="00945280">
        <w:rPr>
          <w:sz w:val="20"/>
          <w:szCs w:val="20"/>
        </w:rPr>
        <w:t xml:space="preserve">Šapovala </w:t>
      </w:r>
      <w:r w:rsidR="00945280" w:rsidRPr="00945280">
        <w:rPr>
          <w:i/>
          <w:sz w:val="20"/>
          <w:szCs w:val="20"/>
        </w:rPr>
        <w:t>67122697</w:t>
      </w:r>
    </w:p>
    <w:p w14:paraId="3657A262" w14:textId="77777777" w:rsidR="003B1697" w:rsidRDefault="00EB1D72">
      <w:pPr>
        <w:rPr>
          <w:sz w:val="20"/>
          <w:szCs w:val="20"/>
        </w:rPr>
      </w:pPr>
      <w:hyperlink r:id="rId8" w:history="1">
        <w:r w:rsidR="003A19DA" w:rsidRPr="00E56F75">
          <w:rPr>
            <w:rStyle w:val="Hyperlink"/>
            <w:sz w:val="20"/>
            <w:szCs w:val="20"/>
          </w:rPr>
          <w:t>anna.sapovala@vid.gov.lv</w:t>
        </w:r>
      </w:hyperlink>
    </w:p>
    <w:p w14:paraId="69BE65CF" w14:textId="58CCC414" w:rsidR="00EC29D6" w:rsidRDefault="00EC29D6">
      <w:pPr>
        <w:rPr>
          <w:sz w:val="20"/>
          <w:szCs w:val="20"/>
        </w:rPr>
      </w:pPr>
    </w:p>
    <w:p w14:paraId="428B15A6" w14:textId="77777777" w:rsidR="00180E07" w:rsidRDefault="00180E07">
      <w:pPr>
        <w:rPr>
          <w:sz w:val="20"/>
          <w:szCs w:val="20"/>
        </w:rPr>
      </w:pPr>
    </w:p>
    <w:p w14:paraId="462A543B" w14:textId="79AC802E" w:rsidR="003A19DA" w:rsidRDefault="003A19DA">
      <w:pPr>
        <w:rPr>
          <w:sz w:val="20"/>
          <w:szCs w:val="20"/>
        </w:rPr>
      </w:pPr>
      <w:r>
        <w:rPr>
          <w:sz w:val="20"/>
          <w:szCs w:val="20"/>
        </w:rPr>
        <w:t xml:space="preserve">Boriseviča </w:t>
      </w:r>
      <w:r w:rsidRPr="003A19DA">
        <w:rPr>
          <w:i/>
          <w:sz w:val="20"/>
          <w:szCs w:val="20"/>
        </w:rPr>
        <w:t>67095512</w:t>
      </w:r>
    </w:p>
    <w:p w14:paraId="60EE38A5" w14:textId="77777777" w:rsidR="003A19DA" w:rsidRDefault="00EB1D72">
      <w:pPr>
        <w:rPr>
          <w:sz w:val="20"/>
          <w:szCs w:val="20"/>
        </w:rPr>
      </w:pPr>
      <w:hyperlink r:id="rId9" w:history="1">
        <w:r w:rsidR="003A19DA" w:rsidRPr="00E56F75">
          <w:rPr>
            <w:rStyle w:val="Hyperlink"/>
            <w:sz w:val="20"/>
            <w:szCs w:val="20"/>
          </w:rPr>
          <w:t>alesja.borisevica@fm.gov.lv</w:t>
        </w:r>
      </w:hyperlink>
    </w:p>
    <w:p w14:paraId="2DFFEA49" w14:textId="77777777" w:rsidR="003A19DA" w:rsidRDefault="003A19DA">
      <w:pPr>
        <w:rPr>
          <w:sz w:val="20"/>
          <w:szCs w:val="20"/>
        </w:rPr>
      </w:pPr>
    </w:p>
    <w:p w14:paraId="4DCBABEA" w14:textId="77777777" w:rsidR="003A19DA" w:rsidRPr="00945280" w:rsidRDefault="003A19DA">
      <w:pPr>
        <w:rPr>
          <w:sz w:val="20"/>
          <w:szCs w:val="20"/>
        </w:rPr>
      </w:pPr>
    </w:p>
    <w:sectPr w:rsidR="003A19DA" w:rsidRPr="00945280" w:rsidSect="00D82C02">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FE84A" w14:textId="77777777" w:rsidR="00912E67" w:rsidRDefault="00912E67" w:rsidP="00D44D3C">
      <w:r>
        <w:separator/>
      </w:r>
    </w:p>
  </w:endnote>
  <w:endnote w:type="continuationSeparator" w:id="0">
    <w:p w14:paraId="78872E75" w14:textId="77777777" w:rsidR="00912E67" w:rsidRDefault="00912E67" w:rsidP="00D44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UAlbertina_Bold">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3A20D" w14:textId="36C07940" w:rsidR="008627B9" w:rsidRDefault="004A57A3">
    <w:pPr>
      <w:pStyle w:val="Footer"/>
    </w:pPr>
    <w:r>
      <w:rPr>
        <w:rFonts w:cs="Times New Roman"/>
        <w:noProof/>
        <w:sz w:val="20"/>
        <w:szCs w:val="20"/>
      </w:rPr>
      <w:t>FManot_</w:t>
    </w:r>
    <w:r w:rsidR="00EC29D6">
      <w:rPr>
        <w:rFonts w:cs="Times New Roman"/>
        <w:noProof/>
        <w:sz w:val="20"/>
        <w:szCs w:val="20"/>
      </w:rPr>
      <w:t>0</w:t>
    </w:r>
    <w:r w:rsidR="00E3168E">
      <w:rPr>
        <w:rFonts w:cs="Times New Roman"/>
        <w:noProof/>
        <w:sz w:val="20"/>
        <w:szCs w:val="20"/>
      </w:rPr>
      <w:t>9</w:t>
    </w:r>
    <w:r w:rsidR="00EC29D6">
      <w:rPr>
        <w:rFonts w:cs="Times New Roman"/>
        <w:noProof/>
        <w:sz w:val="20"/>
        <w:szCs w:val="20"/>
      </w:rPr>
      <w:t>05</w:t>
    </w:r>
    <w:r w:rsidR="008627B9">
      <w:rPr>
        <w:rFonts w:cs="Times New Roman"/>
        <w:noProof/>
        <w:sz w:val="20"/>
        <w:szCs w:val="20"/>
      </w:rPr>
      <w:t>18_Cekuspele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26FC2" w14:textId="6D80D546" w:rsidR="000E1EE5" w:rsidRDefault="000E1EE5">
    <w:pPr>
      <w:pStyle w:val="Footer"/>
    </w:pPr>
    <w:r>
      <w:rPr>
        <w:rFonts w:cs="Times New Roman"/>
        <w:noProof/>
        <w:sz w:val="20"/>
        <w:szCs w:val="20"/>
      </w:rPr>
      <w:t>FManot_</w:t>
    </w:r>
    <w:r w:rsidR="00E3168E">
      <w:rPr>
        <w:rFonts w:cs="Times New Roman"/>
        <w:noProof/>
        <w:sz w:val="20"/>
        <w:szCs w:val="20"/>
      </w:rPr>
      <w:t>09</w:t>
    </w:r>
    <w:r w:rsidR="00EC29D6">
      <w:rPr>
        <w:rFonts w:cs="Times New Roman"/>
        <w:noProof/>
        <w:sz w:val="20"/>
        <w:szCs w:val="20"/>
      </w:rPr>
      <w:t>05</w:t>
    </w:r>
    <w:r>
      <w:rPr>
        <w:rFonts w:cs="Times New Roman"/>
        <w:noProof/>
        <w:sz w:val="20"/>
        <w:szCs w:val="20"/>
      </w:rPr>
      <w:t>18_Cekuspele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930CC" w14:textId="77777777" w:rsidR="00912E67" w:rsidRDefault="00912E67" w:rsidP="00D44D3C">
      <w:r>
        <w:separator/>
      </w:r>
    </w:p>
  </w:footnote>
  <w:footnote w:type="continuationSeparator" w:id="0">
    <w:p w14:paraId="62615B0A" w14:textId="77777777" w:rsidR="00912E67" w:rsidRDefault="00912E67" w:rsidP="00D44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317102"/>
      <w:docPartObj>
        <w:docPartGallery w:val="Page Numbers (Top of Page)"/>
        <w:docPartUnique/>
      </w:docPartObj>
    </w:sdtPr>
    <w:sdtEndPr>
      <w:rPr>
        <w:noProof/>
      </w:rPr>
    </w:sdtEndPr>
    <w:sdtContent>
      <w:p w14:paraId="0D00F268" w14:textId="1BC1C87B" w:rsidR="00D44D3C" w:rsidRDefault="00D44D3C">
        <w:pPr>
          <w:pStyle w:val="Header"/>
          <w:jc w:val="center"/>
        </w:pPr>
        <w:r>
          <w:fldChar w:fldCharType="begin"/>
        </w:r>
        <w:r>
          <w:instrText xml:space="preserve"> PAGE   \* MERGEFORMAT </w:instrText>
        </w:r>
        <w:r>
          <w:fldChar w:fldCharType="separate"/>
        </w:r>
        <w:r w:rsidR="00EB1D72">
          <w:rPr>
            <w:noProof/>
          </w:rPr>
          <w:t>9</w:t>
        </w:r>
        <w:r>
          <w:rPr>
            <w:noProof/>
          </w:rPr>
          <w:fldChar w:fldCharType="end"/>
        </w:r>
      </w:p>
    </w:sdtContent>
  </w:sdt>
  <w:p w14:paraId="7860252B" w14:textId="77777777" w:rsidR="00D44D3C" w:rsidRDefault="00D44D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092E"/>
    <w:multiLevelType w:val="hybridMultilevel"/>
    <w:tmpl w:val="B1E2C0CA"/>
    <w:lvl w:ilvl="0" w:tplc="FC32D686">
      <w:start w:val="1"/>
      <w:numFmt w:val="bullet"/>
      <w:lvlText w:val=""/>
      <w:lvlJc w:val="left"/>
      <w:pPr>
        <w:ind w:left="1080" w:hanging="360"/>
      </w:pPr>
      <w:rPr>
        <w:rFonts w:ascii="Symbol" w:hAnsi="Symbol" w:hint="default"/>
      </w:rPr>
    </w:lvl>
    <w:lvl w:ilvl="1" w:tplc="C8666CE2">
      <w:start w:val="1"/>
      <w:numFmt w:val="bullet"/>
      <w:lvlText w:val="o"/>
      <w:lvlJc w:val="left"/>
      <w:pPr>
        <w:ind w:left="1800" w:hanging="360"/>
      </w:pPr>
      <w:rPr>
        <w:rFonts w:ascii="Courier New" w:hAnsi="Courier New" w:cs="Courier New" w:hint="default"/>
      </w:rPr>
    </w:lvl>
    <w:lvl w:ilvl="2" w:tplc="974268A0">
      <w:start w:val="1"/>
      <w:numFmt w:val="bullet"/>
      <w:lvlText w:val=""/>
      <w:lvlJc w:val="left"/>
      <w:pPr>
        <w:ind w:left="2520" w:hanging="360"/>
      </w:pPr>
      <w:rPr>
        <w:rFonts w:ascii="Wingdings" w:hAnsi="Wingdings" w:hint="default"/>
      </w:rPr>
    </w:lvl>
    <w:lvl w:ilvl="3" w:tplc="2EC817C4">
      <w:start w:val="1"/>
      <w:numFmt w:val="bullet"/>
      <w:lvlText w:val=""/>
      <w:lvlJc w:val="left"/>
      <w:pPr>
        <w:ind w:left="3240" w:hanging="360"/>
      </w:pPr>
      <w:rPr>
        <w:rFonts w:ascii="Symbol" w:hAnsi="Symbol" w:hint="default"/>
      </w:rPr>
    </w:lvl>
    <w:lvl w:ilvl="4" w:tplc="00CE4C08">
      <w:start w:val="1"/>
      <w:numFmt w:val="bullet"/>
      <w:lvlText w:val="o"/>
      <w:lvlJc w:val="left"/>
      <w:pPr>
        <w:ind w:left="3960" w:hanging="360"/>
      </w:pPr>
      <w:rPr>
        <w:rFonts w:ascii="Courier New" w:hAnsi="Courier New" w:cs="Courier New" w:hint="default"/>
      </w:rPr>
    </w:lvl>
    <w:lvl w:ilvl="5" w:tplc="60C86190">
      <w:start w:val="1"/>
      <w:numFmt w:val="bullet"/>
      <w:lvlText w:val=""/>
      <w:lvlJc w:val="left"/>
      <w:pPr>
        <w:ind w:left="4680" w:hanging="360"/>
      </w:pPr>
      <w:rPr>
        <w:rFonts w:ascii="Wingdings" w:hAnsi="Wingdings" w:hint="default"/>
      </w:rPr>
    </w:lvl>
    <w:lvl w:ilvl="6" w:tplc="2732319E">
      <w:start w:val="1"/>
      <w:numFmt w:val="bullet"/>
      <w:lvlText w:val=""/>
      <w:lvlJc w:val="left"/>
      <w:pPr>
        <w:ind w:left="5400" w:hanging="360"/>
      </w:pPr>
      <w:rPr>
        <w:rFonts w:ascii="Symbol" w:hAnsi="Symbol" w:hint="default"/>
      </w:rPr>
    </w:lvl>
    <w:lvl w:ilvl="7" w:tplc="000077E8">
      <w:start w:val="1"/>
      <w:numFmt w:val="bullet"/>
      <w:lvlText w:val="o"/>
      <w:lvlJc w:val="left"/>
      <w:pPr>
        <w:ind w:left="6120" w:hanging="360"/>
      </w:pPr>
      <w:rPr>
        <w:rFonts w:ascii="Courier New" w:hAnsi="Courier New" w:cs="Courier New" w:hint="default"/>
      </w:rPr>
    </w:lvl>
    <w:lvl w:ilvl="8" w:tplc="71287812">
      <w:start w:val="1"/>
      <w:numFmt w:val="bullet"/>
      <w:lvlText w:val=""/>
      <w:lvlJc w:val="left"/>
      <w:pPr>
        <w:ind w:left="6840" w:hanging="360"/>
      </w:pPr>
      <w:rPr>
        <w:rFonts w:ascii="Wingdings" w:hAnsi="Wingdings" w:hint="default"/>
      </w:rPr>
    </w:lvl>
  </w:abstractNum>
  <w:abstractNum w:abstractNumId="1" w15:restartNumberingAfterBreak="0">
    <w:nsid w:val="0B0F6195"/>
    <w:multiLevelType w:val="hybridMultilevel"/>
    <w:tmpl w:val="DC068A0E"/>
    <w:lvl w:ilvl="0" w:tplc="FC32D686">
      <w:start w:val="1"/>
      <w:numFmt w:val="bullet"/>
      <w:lvlText w:val=""/>
      <w:lvlJc w:val="left"/>
      <w:pPr>
        <w:ind w:left="1080" w:hanging="360"/>
      </w:pPr>
      <w:rPr>
        <w:rFonts w:ascii="Symbol" w:hAnsi="Symbol" w:hint="default"/>
      </w:rPr>
    </w:lvl>
    <w:lvl w:ilvl="1" w:tplc="C8666CE2">
      <w:start w:val="1"/>
      <w:numFmt w:val="bullet"/>
      <w:lvlText w:val="o"/>
      <w:lvlJc w:val="left"/>
      <w:pPr>
        <w:ind w:left="1800" w:hanging="360"/>
      </w:pPr>
      <w:rPr>
        <w:rFonts w:ascii="Courier New" w:hAnsi="Courier New" w:cs="Courier New" w:hint="default"/>
      </w:rPr>
    </w:lvl>
    <w:lvl w:ilvl="2" w:tplc="974268A0">
      <w:start w:val="1"/>
      <w:numFmt w:val="bullet"/>
      <w:lvlText w:val=""/>
      <w:lvlJc w:val="left"/>
      <w:pPr>
        <w:ind w:left="2520" w:hanging="360"/>
      </w:pPr>
      <w:rPr>
        <w:rFonts w:ascii="Wingdings" w:hAnsi="Wingdings" w:hint="default"/>
      </w:rPr>
    </w:lvl>
    <w:lvl w:ilvl="3" w:tplc="2EC817C4">
      <w:start w:val="1"/>
      <w:numFmt w:val="bullet"/>
      <w:lvlText w:val=""/>
      <w:lvlJc w:val="left"/>
      <w:pPr>
        <w:ind w:left="3240" w:hanging="360"/>
      </w:pPr>
      <w:rPr>
        <w:rFonts w:ascii="Symbol" w:hAnsi="Symbol" w:hint="default"/>
      </w:rPr>
    </w:lvl>
    <w:lvl w:ilvl="4" w:tplc="00CE4C08">
      <w:start w:val="1"/>
      <w:numFmt w:val="bullet"/>
      <w:lvlText w:val="o"/>
      <w:lvlJc w:val="left"/>
      <w:pPr>
        <w:ind w:left="3960" w:hanging="360"/>
      </w:pPr>
      <w:rPr>
        <w:rFonts w:ascii="Courier New" w:hAnsi="Courier New" w:cs="Courier New" w:hint="default"/>
      </w:rPr>
    </w:lvl>
    <w:lvl w:ilvl="5" w:tplc="60C86190">
      <w:start w:val="1"/>
      <w:numFmt w:val="bullet"/>
      <w:lvlText w:val=""/>
      <w:lvlJc w:val="left"/>
      <w:pPr>
        <w:ind w:left="4680" w:hanging="360"/>
      </w:pPr>
      <w:rPr>
        <w:rFonts w:ascii="Wingdings" w:hAnsi="Wingdings" w:hint="default"/>
      </w:rPr>
    </w:lvl>
    <w:lvl w:ilvl="6" w:tplc="2732319E">
      <w:start w:val="1"/>
      <w:numFmt w:val="bullet"/>
      <w:lvlText w:val=""/>
      <w:lvlJc w:val="left"/>
      <w:pPr>
        <w:ind w:left="5400" w:hanging="360"/>
      </w:pPr>
      <w:rPr>
        <w:rFonts w:ascii="Symbol" w:hAnsi="Symbol" w:hint="default"/>
      </w:rPr>
    </w:lvl>
    <w:lvl w:ilvl="7" w:tplc="000077E8">
      <w:start w:val="1"/>
      <w:numFmt w:val="bullet"/>
      <w:lvlText w:val="o"/>
      <w:lvlJc w:val="left"/>
      <w:pPr>
        <w:ind w:left="6120" w:hanging="360"/>
      </w:pPr>
      <w:rPr>
        <w:rFonts w:ascii="Courier New" w:hAnsi="Courier New" w:cs="Courier New" w:hint="default"/>
      </w:rPr>
    </w:lvl>
    <w:lvl w:ilvl="8" w:tplc="71287812">
      <w:start w:val="1"/>
      <w:numFmt w:val="bullet"/>
      <w:lvlText w:val=""/>
      <w:lvlJc w:val="left"/>
      <w:pPr>
        <w:ind w:left="6840" w:hanging="360"/>
      </w:pPr>
      <w:rPr>
        <w:rFonts w:ascii="Wingdings" w:hAnsi="Wingdings" w:hint="default"/>
      </w:rPr>
    </w:lvl>
  </w:abstractNum>
  <w:abstractNum w:abstractNumId="2" w15:restartNumberingAfterBreak="0">
    <w:nsid w:val="1EDE7517"/>
    <w:multiLevelType w:val="hybridMultilevel"/>
    <w:tmpl w:val="787A81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BD54B4A"/>
    <w:multiLevelType w:val="hybridMultilevel"/>
    <w:tmpl w:val="29980136"/>
    <w:lvl w:ilvl="0" w:tplc="BE60E522">
      <w:start w:val="1"/>
      <w:numFmt w:val="bullet"/>
      <w:lvlText w:val="o"/>
      <w:lvlJc w:val="left"/>
      <w:pPr>
        <w:ind w:left="1440" w:hanging="360"/>
      </w:pPr>
      <w:rPr>
        <w:rFonts w:ascii="Courier New" w:hAnsi="Courier New" w:cs="Courier New" w:hint="default"/>
      </w:rPr>
    </w:lvl>
    <w:lvl w:ilvl="1" w:tplc="C8666CE2">
      <w:start w:val="1"/>
      <w:numFmt w:val="bullet"/>
      <w:lvlText w:val="o"/>
      <w:lvlJc w:val="left"/>
      <w:pPr>
        <w:ind w:left="2160" w:hanging="360"/>
      </w:pPr>
      <w:rPr>
        <w:rFonts w:ascii="Courier New" w:hAnsi="Courier New" w:cs="Courier New" w:hint="default"/>
      </w:rPr>
    </w:lvl>
    <w:lvl w:ilvl="2" w:tplc="974268A0">
      <w:start w:val="1"/>
      <w:numFmt w:val="bullet"/>
      <w:lvlText w:val=""/>
      <w:lvlJc w:val="left"/>
      <w:pPr>
        <w:ind w:left="2880" w:hanging="360"/>
      </w:pPr>
      <w:rPr>
        <w:rFonts w:ascii="Wingdings" w:hAnsi="Wingdings" w:hint="default"/>
      </w:rPr>
    </w:lvl>
    <w:lvl w:ilvl="3" w:tplc="2EC817C4">
      <w:start w:val="1"/>
      <w:numFmt w:val="bullet"/>
      <w:lvlText w:val=""/>
      <w:lvlJc w:val="left"/>
      <w:pPr>
        <w:ind w:left="3600" w:hanging="360"/>
      </w:pPr>
      <w:rPr>
        <w:rFonts w:ascii="Symbol" w:hAnsi="Symbol" w:hint="default"/>
      </w:rPr>
    </w:lvl>
    <w:lvl w:ilvl="4" w:tplc="00CE4C08">
      <w:start w:val="1"/>
      <w:numFmt w:val="bullet"/>
      <w:lvlText w:val="o"/>
      <w:lvlJc w:val="left"/>
      <w:pPr>
        <w:ind w:left="4320" w:hanging="360"/>
      </w:pPr>
      <w:rPr>
        <w:rFonts w:ascii="Courier New" w:hAnsi="Courier New" w:cs="Courier New" w:hint="default"/>
      </w:rPr>
    </w:lvl>
    <w:lvl w:ilvl="5" w:tplc="60C86190">
      <w:start w:val="1"/>
      <w:numFmt w:val="bullet"/>
      <w:lvlText w:val=""/>
      <w:lvlJc w:val="left"/>
      <w:pPr>
        <w:ind w:left="5040" w:hanging="360"/>
      </w:pPr>
      <w:rPr>
        <w:rFonts w:ascii="Wingdings" w:hAnsi="Wingdings" w:hint="default"/>
      </w:rPr>
    </w:lvl>
    <w:lvl w:ilvl="6" w:tplc="2732319E">
      <w:start w:val="1"/>
      <w:numFmt w:val="bullet"/>
      <w:lvlText w:val=""/>
      <w:lvlJc w:val="left"/>
      <w:pPr>
        <w:ind w:left="5760" w:hanging="360"/>
      </w:pPr>
      <w:rPr>
        <w:rFonts w:ascii="Symbol" w:hAnsi="Symbol" w:hint="default"/>
      </w:rPr>
    </w:lvl>
    <w:lvl w:ilvl="7" w:tplc="000077E8">
      <w:start w:val="1"/>
      <w:numFmt w:val="bullet"/>
      <w:lvlText w:val="o"/>
      <w:lvlJc w:val="left"/>
      <w:pPr>
        <w:ind w:left="6480" w:hanging="360"/>
      </w:pPr>
      <w:rPr>
        <w:rFonts w:ascii="Courier New" w:hAnsi="Courier New" w:cs="Courier New" w:hint="default"/>
      </w:rPr>
    </w:lvl>
    <w:lvl w:ilvl="8" w:tplc="71287812">
      <w:start w:val="1"/>
      <w:numFmt w:val="bullet"/>
      <w:lvlText w:val=""/>
      <w:lvlJc w:val="left"/>
      <w:pPr>
        <w:ind w:left="7200" w:hanging="360"/>
      </w:pPr>
      <w:rPr>
        <w:rFonts w:ascii="Wingdings" w:hAnsi="Wingdings" w:hint="default"/>
      </w:rPr>
    </w:lvl>
  </w:abstractNum>
  <w:abstractNum w:abstractNumId="4" w15:restartNumberingAfterBreak="0">
    <w:nsid w:val="2FEF1A3E"/>
    <w:multiLevelType w:val="hybridMultilevel"/>
    <w:tmpl w:val="892A8270"/>
    <w:lvl w:ilvl="0" w:tplc="8AF2C74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0F13A06"/>
    <w:multiLevelType w:val="hybridMultilevel"/>
    <w:tmpl w:val="710EC5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44157BE"/>
    <w:multiLevelType w:val="hybridMultilevel"/>
    <w:tmpl w:val="6BA4D1C4"/>
    <w:lvl w:ilvl="0" w:tplc="14A0C35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660465C"/>
    <w:multiLevelType w:val="hybridMultilevel"/>
    <w:tmpl w:val="7496FC76"/>
    <w:lvl w:ilvl="0" w:tplc="A622E944">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A8E1268"/>
    <w:multiLevelType w:val="hybridMultilevel"/>
    <w:tmpl w:val="83BADB8E"/>
    <w:lvl w:ilvl="0" w:tplc="F214801C">
      <w:start w:val="1"/>
      <w:numFmt w:val="bullet"/>
      <w:lvlText w:val="o"/>
      <w:lvlJc w:val="left"/>
      <w:pPr>
        <w:ind w:left="1440" w:hanging="360"/>
      </w:pPr>
      <w:rPr>
        <w:rFonts w:ascii="Courier New" w:hAnsi="Courier New" w:cs="Courier New" w:hint="default"/>
      </w:rPr>
    </w:lvl>
    <w:lvl w:ilvl="1" w:tplc="2ACC4CB2">
      <w:start w:val="1"/>
      <w:numFmt w:val="bullet"/>
      <w:lvlText w:val="o"/>
      <w:lvlJc w:val="left"/>
      <w:pPr>
        <w:ind w:left="2160" w:hanging="360"/>
      </w:pPr>
      <w:rPr>
        <w:rFonts w:ascii="Courier New" w:hAnsi="Courier New" w:cs="Courier New" w:hint="default"/>
      </w:rPr>
    </w:lvl>
    <w:lvl w:ilvl="2" w:tplc="A66E6992">
      <w:start w:val="1"/>
      <w:numFmt w:val="bullet"/>
      <w:lvlText w:val=""/>
      <w:lvlJc w:val="left"/>
      <w:pPr>
        <w:ind w:left="2880" w:hanging="360"/>
      </w:pPr>
      <w:rPr>
        <w:rFonts w:ascii="Wingdings" w:hAnsi="Wingdings" w:hint="default"/>
      </w:rPr>
    </w:lvl>
    <w:lvl w:ilvl="3" w:tplc="A48E771E">
      <w:start w:val="1"/>
      <w:numFmt w:val="bullet"/>
      <w:lvlText w:val=""/>
      <w:lvlJc w:val="left"/>
      <w:pPr>
        <w:ind w:left="3600" w:hanging="360"/>
      </w:pPr>
      <w:rPr>
        <w:rFonts w:ascii="Symbol" w:hAnsi="Symbol" w:hint="default"/>
      </w:rPr>
    </w:lvl>
    <w:lvl w:ilvl="4" w:tplc="4882F7FA">
      <w:start w:val="1"/>
      <w:numFmt w:val="bullet"/>
      <w:lvlText w:val="o"/>
      <w:lvlJc w:val="left"/>
      <w:pPr>
        <w:ind w:left="4320" w:hanging="360"/>
      </w:pPr>
      <w:rPr>
        <w:rFonts w:ascii="Courier New" w:hAnsi="Courier New" w:cs="Courier New" w:hint="default"/>
      </w:rPr>
    </w:lvl>
    <w:lvl w:ilvl="5" w:tplc="E460FB8C">
      <w:start w:val="1"/>
      <w:numFmt w:val="bullet"/>
      <w:lvlText w:val=""/>
      <w:lvlJc w:val="left"/>
      <w:pPr>
        <w:ind w:left="5040" w:hanging="360"/>
      </w:pPr>
      <w:rPr>
        <w:rFonts w:ascii="Wingdings" w:hAnsi="Wingdings" w:hint="default"/>
      </w:rPr>
    </w:lvl>
    <w:lvl w:ilvl="6" w:tplc="D6E80502">
      <w:start w:val="1"/>
      <w:numFmt w:val="bullet"/>
      <w:lvlText w:val=""/>
      <w:lvlJc w:val="left"/>
      <w:pPr>
        <w:ind w:left="5760" w:hanging="360"/>
      </w:pPr>
      <w:rPr>
        <w:rFonts w:ascii="Symbol" w:hAnsi="Symbol" w:hint="default"/>
      </w:rPr>
    </w:lvl>
    <w:lvl w:ilvl="7" w:tplc="95DA673C">
      <w:start w:val="1"/>
      <w:numFmt w:val="bullet"/>
      <w:lvlText w:val="o"/>
      <w:lvlJc w:val="left"/>
      <w:pPr>
        <w:ind w:left="6480" w:hanging="360"/>
      </w:pPr>
      <w:rPr>
        <w:rFonts w:ascii="Courier New" w:hAnsi="Courier New" w:cs="Courier New" w:hint="default"/>
      </w:rPr>
    </w:lvl>
    <w:lvl w:ilvl="8" w:tplc="FB64DF0C">
      <w:start w:val="1"/>
      <w:numFmt w:val="bullet"/>
      <w:lvlText w:val=""/>
      <w:lvlJc w:val="left"/>
      <w:pPr>
        <w:ind w:left="7200" w:hanging="360"/>
      </w:pPr>
      <w:rPr>
        <w:rFonts w:ascii="Wingdings" w:hAnsi="Wingdings" w:hint="default"/>
      </w:rPr>
    </w:lvl>
  </w:abstractNum>
  <w:abstractNum w:abstractNumId="9" w15:restartNumberingAfterBreak="0">
    <w:nsid w:val="4076216D"/>
    <w:multiLevelType w:val="hybridMultilevel"/>
    <w:tmpl w:val="A0DA5ADA"/>
    <w:lvl w:ilvl="0" w:tplc="CDCE07B6">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36C4FCE"/>
    <w:multiLevelType w:val="hybridMultilevel"/>
    <w:tmpl w:val="0B5C28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9B5592D"/>
    <w:multiLevelType w:val="hybridMultilevel"/>
    <w:tmpl w:val="125EDE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BCF7716"/>
    <w:multiLevelType w:val="hybridMultilevel"/>
    <w:tmpl w:val="BE00BD6C"/>
    <w:lvl w:ilvl="0" w:tplc="FC32D686">
      <w:start w:val="1"/>
      <w:numFmt w:val="bullet"/>
      <w:lvlText w:val=""/>
      <w:lvlJc w:val="left"/>
      <w:pPr>
        <w:ind w:left="720" w:hanging="360"/>
      </w:pPr>
      <w:rPr>
        <w:rFonts w:ascii="Symbol" w:hAnsi="Symbol" w:hint="default"/>
      </w:rPr>
    </w:lvl>
    <w:lvl w:ilvl="1" w:tplc="90DE163A">
      <w:start w:val="1"/>
      <w:numFmt w:val="bullet"/>
      <w:lvlText w:val="o"/>
      <w:lvlJc w:val="left"/>
      <w:pPr>
        <w:ind w:left="1440" w:hanging="360"/>
      </w:pPr>
      <w:rPr>
        <w:rFonts w:ascii="Courier New" w:hAnsi="Courier New" w:cs="Courier New" w:hint="default"/>
      </w:rPr>
    </w:lvl>
    <w:lvl w:ilvl="2" w:tplc="22C2E698">
      <w:start w:val="1"/>
      <w:numFmt w:val="bullet"/>
      <w:lvlText w:val=""/>
      <w:lvlJc w:val="left"/>
      <w:pPr>
        <w:ind w:left="2160" w:hanging="360"/>
      </w:pPr>
      <w:rPr>
        <w:rFonts w:ascii="Wingdings" w:hAnsi="Wingdings" w:hint="default"/>
      </w:rPr>
    </w:lvl>
    <w:lvl w:ilvl="3" w:tplc="E65AA482">
      <w:start w:val="1"/>
      <w:numFmt w:val="bullet"/>
      <w:lvlText w:val=""/>
      <w:lvlJc w:val="left"/>
      <w:pPr>
        <w:ind w:left="2880" w:hanging="360"/>
      </w:pPr>
      <w:rPr>
        <w:rFonts w:ascii="Symbol" w:hAnsi="Symbol" w:hint="default"/>
      </w:rPr>
    </w:lvl>
    <w:lvl w:ilvl="4" w:tplc="8E00207E">
      <w:start w:val="1"/>
      <w:numFmt w:val="bullet"/>
      <w:lvlText w:val="o"/>
      <w:lvlJc w:val="left"/>
      <w:pPr>
        <w:ind w:left="3600" w:hanging="360"/>
      </w:pPr>
      <w:rPr>
        <w:rFonts w:ascii="Courier New" w:hAnsi="Courier New" w:cs="Courier New" w:hint="default"/>
      </w:rPr>
    </w:lvl>
    <w:lvl w:ilvl="5" w:tplc="050C10DE">
      <w:start w:val="1"/>
      <w:numFmt w:val="bullet"/>
      <w:lvlText w:val=""/>
      <w:lvlJc w:val="left"/>
      <w:pPr>
        <w:ind w:left="4320" w:hanging="360"/>
      </w:pPr>
      <w:rPr>
        <w:rFonts w:ascii="Wingdings" w:hAnsi="Wingdings" w:hint="default"/>
      </w:rPr>
    </w:lvl>
    <w:lvl w:ilvl="6" w:tplc="5266954C">
      <w:start w:val="1"/>
      <w:numFmt w:val="bullet"/>
      <w:lvlText w:val=""/>
      <w:lvlJc w:val="left"/>
      <w:pPr>
        <w:ind w:left="5040" w:hanging="360"/>
      </w:pPr>
      <w:rPr>
        <w:rFonts w:ascii="Symbol" w:hAnsi="Symbol" w:hint="default"/>
      </w:rPr>
    </w:lvl>
    <w:lvl w:ilvl="7" w:tplc="19DECE14">
      <w:start w:val="1"/>
      <w:numFmt w:val="bullet"/>
      <w:lvlText w:val="o"/>
      <w:lvlJc w:val="left"/>
      <w:pPr>
        <w:ind w:left="5760" w:hanging="360"/>
      </w:pPr>
      <w:rPr>
        <w:rFonts w:ascii="Courier New" w:hAnsi="Courier New" w:cs="Courier New" w:hint="default"/>
      </w:rPr>
    </w:lvl>
    <w:lvl w:ilvl="8" w:tplc="76CCE5EA">
      <w:start w:val="1"/>
      <w:numFmt w:val="bullet"/>
      <w:lvlText w:val=""/>
      <w:lvlJc w:val="left"/>
      <w:pPr>
        <w:ind w:left="6480" w:hanging="360"/>
      </w:pPr>
      <w:rPr>
        <w:rFonts w:ascii="Wingdings" w:hAnsi="Wingdings" w:hint="default"/>
      </w:rPr>
    </w:lvl>
  </w:abstractNum>
  <w:abstractNum w:abstractNumId="13" w15:restartNumberingAfterBreak="0">
    <w:nsid w:val="4EAD772A"/>
    <w:multiLevelType w:val="hybridMultilevel"/>
    <w:tmpl w:val="C854E716"/>
    <w:lvl w:ilvl="0" w:tplc="04260003">
      <w:start w:val="1"/>
      <w:numFmt w:val="bullet"/>
      <w:lvlText w:val="o"/>
      <w:lvlJc w:val="left"/>
      <w:pPr>
        <w:ind w:left="1080" w:hanging="360"/>
      </w:pPr>
      <w:rPr>
        <w:rFonts w:ascii="Courier New" w:hAnsi="Courier New" w:cs="Courier New" w:hint="default"/>
      </w:rPr>
    </w:lvl>
    <w:lvl w:ilvl="1" w:tplc="C8666CE2">
      <w:start w:val="1"/>
      <w:numFmt w:val="bullet"/>
      <w:lvlText w:val="o"/>
      <w:lvlJc w:val="left"/>
      <w:pPr>
        <w:ind w:left="1800" w:hanging="360"/>
      </w:pPr>
      <w:rPr>
        <w:rFonts w:ascii="Courier New" w:hAnsi="Courier New" w:cs="Courier New" w:hint="default"/>
      </w:rPr>
    </w:lvl>
    <w:lvl w:ilvl="2" w:tplc="974268A0">
      <w:start w:val="1"/>
      <w:numFmt w:val="bullet"/>
      <w:lvlText w:val=""/>
      <w:lvlJc w:val="left"/>
      <w:pPr>
        <w:ind w:left="2520" w:hanging="360"/>
      </w:pPr>
      <w:rPr>
        <w:rFonts w:ascii="Wingdings" w:hAnsi="Wingdings" w:hint="default"/>
      </w:rPr>
    </w:lvl>
    <w:lvl w:ilvl="3" w:tplc="2EC817C4">
      <w:start w:val="1"/>
      <w:numFmt w:val="bullet"/>
      <w:lvlText w:val=""/>
      <w:lvlJc w:val="left"/>
      <w:pPr>
        <w:ind w:left="3240" w:hanging="360"/>
      </w:pPr>
      <w:rPr>
        <w:rFonts w:ascii="Symbol" w:hAnsi="Symbol" w:hint="default"/>
      </w:rPr>
    </w:lvl>
    <w:lvl w:ilvl="4" w:tplc="00CE4C08">
      <w:start w:val="1"/>
      <w:numFmt w:val="bullet"/>
      <w:lvlText w:val="o"/>
      <w:lvlJc w:val="left"/>
      <w:pPr>
        <w:ind w:left="3960" w:hanging="360"/>
      </w:pPr>
      <w:rPr>
        <w:rFonts w:ascii="Courier New" w:hAnsi="Courier New" w:cs="Courier New" w:hint="default"/>
      </w:rPr>
    </w:lvl>
    <w:lvl w:ilvl="5" w:tplc="60C86190">
      <w:start w:val="1"/>
      <w:numFmt w:val="bullet"/>
      <w:lvlText w:val=""/>
      <w:lvlJc w:val="left"/>
      <w:pPr>
        <w:ind w:left="4680" w:hanging="360"/>
      </w:pPr>
      <w:rPr>
        <w:rFonts w:ascii="Wingdings" w:hAnsi="Wingdings" w:hint="default"/>
      </w:rPr>
    </w:lvl>
    <w:lvl w:ilvl="6" w:tplc="2732319E">
      <w:start w:val="1"/>
      <w:numFmt w:val="bullet"/>
      <w:lvlText w:val=""/>
      <w:lvlJc w:val="left"/>
      <w:pPr>
        <w:ind w:left="5400" w:hanging="360"/>
      </w:pPr>
      <w:rPr>
        <w:rFonts w:ascii="Symbol" w:hAnsi="Symbol" w:hint="default"/>
      </w:rPr>
    </w:lvl>
    <w:lvl w:ilvl="7" w:tplc="000077E8">
      <w:start w:val="1"/>
      <w:numFmt w:val="bullet"/>
      <w:lvlText w:val="o"/>
      <w:lvlJc w:val="left"/>
      <w:pPr>
        <w:ind w:left="6120" w:hanging="360"/>
      </w:pPr>
      <w:rPr>
        <w:rFonts w:ascii="Courier New" w:hAnsi="Courier New" w:cs="Courier New" w:hint="default"/>
      </w:rPr>
    </w:lvl>
    <w:lvl w:ilvl="8" w:tplc="71287812">
      <w:start w:val="1"/>
      <w:numFmt w:val="bullet"/>
      <w:lvlText w:val=""/>
      <w:lvlJc w:val="left"/>
      <w:pPr>
        <w:ind w:left="6840" w:hanging="360"/>
      </w:pPr>
      <w:rPr>
        <w:rFonts w:ascii="Wingdings" w:hAnsi="Wingdings" w:hint="default"/>
      </w:rPr>
    </w:lvl>
  </w:abstractNum>
  <w:abstractNum w:abstractNumId="14" w15:restartNumberingAfterBreak="0">
    <w:nsid w:val="520020E4"/>
    <w:multiLevelType w:val="hybridMultilevel"/>
    <w:tmpl w:val="E5989884"/>
    <w:lvl w:ilvl="0" w:tplc="FC32D686">
      <w:start w:val="1"/>
      <w:numFmt w:val="bullet"/>
      <w:lvlText w:val=""/>
      <w:lvlJc w:val="left"/>
      <w:pPr>
        <w:ind w:left="1080" w:hanging="360"/>
      </w:pPr>
      <w:rPr>
        <w:rFonts w:ascii="Symbol" w:hAnsi="Symbol" w:hint="default"/>
      </w:rPr>
    </w:lvl>
    <w:lvl w:ilvl="1" w:tplc="C8666CE2">
      <w:start w:val="1"/>
      <w:numFmt w:val="bullet"/>
      <w:lvlText w:val="o"/>
      <w:lvlJc w:val="left"/>
      <w:pPr>
        <w:ind w:left="1800" w:hanging="360"/>
      </w:pPr>
      <w:rPr>
        <w:rFonts w:ascii="Courier New" w:hAnsi="Courier New" w:cs="Courier New" w:hint="default"/>
      </w:rPr>
    </w:lvl>
    <w:lvl w:ilvl="2" w:tplc="974268A0">
      <w:start w:val="1"/>
      <w:numFmt w:val="bullet"/>
      <w:lvlText w:val=""/>
      <w:lvlJc w:val="left"/>
      <w:pPr>
        <w:ind w:left="2520" w:hanging="360"/>
      </w:pPr>
      <w:rPr>
        <w:rFonts w:ascii="Wingdings" w:hAnsi="Wingdings" w:hint="default"/>
      </w:rPr>
    </w:lvl>
    <w:lvl w:ilvl="3" w:tplc="2EC817C4">
      <w:start w:val="1"/>
      <w:numFmt w:val="bullet"/>
      <w:lvlText w:val=""/>
      <w:lvlJc w:val="left"/>
      <w:pPr>
        <w:ind w:left="3240" w:hanging="360"/>
      </w:pPr>
      <w:rPr>
        <w:rFonts w:ascii="Symbol" w:hAnsi="Symbol" w:hint="default"/>
      </w:rPr>
    </w:lvl>
    <w:lvl w:ilvl="4" w:tplc="00CE4C08">
      <w:start w:val="1"/>
      <w:numFmt w:val="bullet"/>
      <w:lvlText w:val="o"/>
      <w:lvlJc w:val="left"/>
      <w:pPr>
        <w:ind w:left="3960" w:hanging="360"/>
      </w:pPr>
      <w:rPr>
        <w:rFonts w:ascii="Courier New" w:hAnsi="Courier New" w:cs="Courier New" w:hint="default"/>
      </w:rPr>
    </w:lvl>
    <w:lvl w:ilvl="5" w:tplc="60C86190">
      <w:start w:val="1"/>
      <w:numFmt w:val="bullet"/>
      <w:lvlText w:val=""/>
      <w:lvlJc w:val="left"/>
      <w:pPr>
        <w:ind w:left="4680" w:hanging="360"/>
      </w:pPr>
      <w:rPr>
        <w:rFonts w:ascii="Wingdings" w:hAnsi="Wingdings" w:hint="default"/>
      </w:rPr>
    </w:lvl>
    <w:lvl w:ilvl="6" w:tplc="2732319E">
      <w:start w:val="1"/>
      <w:numFmt w:val="bullet"/>
      <w:lvlText w:val=""/>
      <w:lvlJc w:val="left"/>
      <w:pPr>
        <w:ind w:left="5400" w:hanging="360"/>
      </w:pPr>
      <w:rPr>
        <w:rFonts w:ascii="Symbol" w:hAnsi="Symbol" w:hint="default"/>
      </w:rPr>
    </w:lvl>
    <w:lvl w:ilvl="7" w:tplc="000077E8">
      <w:start w:val="1"/>
      <w:numFmt w:val="bullet"/>
      <w:lvlText w:val="o"/>
      <w:lvlJc w:val="left"/>
      <w:pPr>
        <w:ind w:left="6120" w:hanging="360"/>
      </w:pPr>
      <w:rPr>
        <w:rFonts w:ascii="Courier New" w:hAnsi="Courier New" w:cs="Courier New" w:hint="default"/>
      </w:rPr>
    </w:lvl>
    <w:lvl w:ilvl="8" w:tplc="71287812">
      <w:start w:val="1"/>
      <w:numFmt w:val="bullet"/>
      <w:lvlText w:val=""/>
      <w:lvlJc w:val="left"/>
      <w:pPr>
        <w:ind w:left="6840" w:hanging="360"/>
      </w:pPr>
      <w:rPr>
        <w:rFonts w:ascii="Wingdings" w:hAnsi="Wingdings" w:hint="default"/>
      </w:rPr>
    </w:lvl>
  </w:abstractNum>
  <w:abstractNum w:abstractNumId="15" w15:restartNumberingAfterBreak="0">
    <w:nsid w:val="55E86459"/>
    <w:multiLevelType w:val="hybridMultilevel"/>
    <w:tmpl w:val="D6E6ACBC"/>
    <w:lvl w:ilvl="0" w:tplc="E3A23C8A">
      <w:start w:val="1"/>
      <w:numFmt w:val="bullet"/>
      <w:lvlText w:val="o"/>
      <w:lvlJc w:val="left"/>
      <w:pPr>
        <w:ind w:left="1440" w:hanging="360"/>
      </w:pPr>
      <w:rPr>
        <w:rFonts w:ascii="Courier New" w:hAnsi="Courier New" w:cs="Courier New" w:hint="default"/>
      </w:rPr>
    </w:lvl>
    <w:lvl w:ilvl="1" w:tplc="DBB8C44C">
      <w:start w:val="1"/>
      <w:numFmt w:val="bullet"/>
      <w:lvlText w:val="o"/>
      <w:lvlJc w:val="left"/>
      <w:pPr>
        <w:ind w:left="2160" w:hanging="360"/>
      </w:pPr>
      <w:rPr>
        <w:rFonts w:ascii="Courier New" w:hAnsi="Courier New" w:cs="Courier New" w:hint="default"/>
      </w:rPr>
    </w:lvl>
    <w:lvl w:ilvl="2" w:tplc="09F8CFAE">
      <w:start w:val="1"/>
      <w:numFmt w:val="bullet"/>
      <w:lvlText w:val=""/>
      <w:lvlJc w:val="left"/>
      <w:pPr>
        <w:ind w:left="2880" w:hanging="360"/>
      </w:pPr>
      <w:rPr>
        <w:rFonts w:ascii="Wingdings" w:hAnsi="Wingdings" w:hint="default"/>
      </w:rPr>
    </w:lvl>
    <w:lvl w:ilvl="3" w:tplc="CD4202A6">
      <w:start w:val="1"/>
      <w:numFmt w:val="bullet"/>
      <w:lvlText w:val=""/>
      <w:lvlJc w:val="left"/>
      <w:pPr>
        <w:ind w:left="3600" w:hanging="360"/>
      </w:pPr>
      <w:rPr>
        <w:rFonts w:ascii="Symbol" w:hAnsi="Symbol" w:hint="default"/>
      </w:rPr>
    </w:lvl>
    <w:lvl w:ilvl="4" w:tplc="0EF8A764">
      <w:start w:val="1"/>
      <w:numFmt w:val="bullet"/>
      <w:lvlText w:val="o"/>
      <w:lvlJc w:val="left"/>
      <w:pPr>
        <w:ind w:left="4320" w:hanging="360"/>
      </w:pPr>
      <w:rPr>
        <w:rFonts w:ascii="Courier New" w:hAnsi="Courier New" w:cs="Courier New" w:hint="default"/>
      </w:rPr>
    </w:lvl>
    <w:lvl w:ilvl="5" w:tplc="3C38B79A">
      <w:start w:val="1"/>
      <w:numFmt w:val="bullet"/>
      <w:lvlText w:val=""/>
      <w:lvlJc w:val="left"/>
      <w:pPr>
        <w:ind w:left="5040" w:hanging="360"/>
      </w:pPr>
      <w:rPr>
        <w:rFonts w:ascii="Wingdings" w:hAnsi="Wingdings" w:hint="default"/>
      </w:rPr>
    </w:lvl>
    <w:lvl w:ilvl="6" w:tplc="062659B8">
      <w:start w:val="1"/>
      <w:numFmt w:val="bullet"/>
      <w:lvlText w:val=""/>
      <w:lvlJc w:val="left"/>
      <w:pPr>
        <w:ind w:left="5760" w:hanging="360"/>
      </w:pPr>
      <w:rPr>
        <w:rFonts w:ascii="Symbol" w:hAnsi="Symbol" w:hint="default"/>
      </w:rPr>
    </w:lvl>
    <w:lvl w:ilvl="7" w:tplc="6090D86E">
      <w:start w:val="1"/>
      <w:numFmt w:val="bullet"/>
      <w:lvlText w:val="o"/>
      <w:lvlJc w:val="left"/>
      <w:pPr>
        <w:ind w:left="6480" w:hanging="360"/>
      </w:pPr>
      <w:rPr>
        <w:rFonts w:ascii="Courier New" w:hAnsi="Courier New" w:cs="Courier New" w:hint="default"/>
      </w:rPr>
    </w:lvl>
    <w:lvl w:ilvl="8" w:tplc="920C3F30">
      <w:start w:val="1"/>
      <w:numFmt w:val="bullet"/>
      <w:lvlText w:val=""/>
      <w:lvlJc w:val="left"/>
      <w:pPr>
        <w:ind w:left="7200" w:hanging="360"/>
      </w:pPr>
      <w:rPr>
        <w:rFonts w:ascii="Wingdings" w:hAnsi="Wingdings" w:hint="default"/>
      </w:rPr>
    </w:lvl>
  </w:abstractNum>
  <w:abstractNum w:abstractNumId="16" w15:restartNumberingAfterBreak="0">
    <w:nsid w:val="77555421"/>
    <w:multiLevelType w:val="hybridMultilevel"/>
    <w:tmpl w:val="9CF03074"/>
    <w:lvl w:ilvl="0" w:tplc="04260011">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FDB3D60"/>
    <w:multiLevelType w:val="hybridMultilevel"/>
    <w:tmpl w:val="DC58A8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3"/>
  </w:num>
  <w:num w:numId="3">
    <w:abstractNumId w:val="8"/>
  </w:num>
  <w:num w:numId="4">
    <w:abstractNumId w:val="15"/>
  </w:num>
  <w:num w:numId="5">
    <w:abstractNumId w:val="10"/>
  </w:num>
  <w:num w:numId="6">
    <w:abstractNumId w:val="7"/>
  </w:num>
  <w:num w:numId="7">
    <w:abstractNumId w:val="16"/>
  </w:num>
  <w:num w:numId="8">
    <w:abstractNumId w:val="5"/>
  </w:num>
  <w:num w:numId="9">
    <w:abstractNumId w:val="1"/>
  </w:num>
  <w:num w:numId="10">
    <w:abstractNumId w:val="14"/>
  </w:num>
  <w:num w:numId="11">
    <w:abstractNumId w:val="0"/>
  </w:num>
  <w:num w:numId="12">
    <w:abstractNumId w:val="4"/>
  </w:num>
  <w:num w:numId="13">
    <w:abstractNumId w:val="6"/>
  </w:num>
  <w:num w:numId="14">
    <w:abstractNumId w:val="13"/>
  </w:num>
  <w:num w:numId="15">
    <w:abstractNumId w:val="9"/>
  </w:num>
  <w:num w:numId="16">
    <w:abstractNumId w:val="11"/>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mirrorMargin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741"/>
    <w:rsid w:val="00005935"/>
    <w:rsid w:val="00006D24"/>
    <w:rsid w:val="00011E21"/>
    <w:rsid w:val="00022A16"/>
    <w:rsid w:val="0002724B"/>
    <w:rsid w:val="00037B06"/>
    <w:rsid w:val="00037BDC"/>
    <w:rsid w:val="00043170"/>
    <w:rsid w:val="00047B96"/>
    <w:rsid w:val="00047F1C"/>
    <w:rsid w:val="00053630"/>
    <w:rsid w:val="00073B10"/>
    <w:rsid w:val="00075806"/>
    <w:rsid w:val="00077216"/>
    <w:rsid w:val="000961A2"/>
    <w:rsid w:val="00096FAE"/>
    <w:rsid w:val="00097515"/>
    <w:rsid w:val="000A2F6D"/>
    <w:rsid w:val="000B66FE"/>
    <w:rsid w:val="000B6B3D"/>
    <w:rsid w:val="000D33F1"/>
    <w:rsid w:val="000E1EE5"/>
    <w:rsid w:val="000F0023"/>
    <w:rsid w:val="000F4ED1"/>
    <w:rsid w:val="000F6D5C"/>
    <w:rsid w:val="00102E56"/>
    <w:rsid w:val="00114579"/>
    <w:rsid w:val="00115A14"/>
    <w:rsid w:val="00124E27"/>
    <w:rsid w:val="001278F8"/>
    <w:rsid w:val="00134694"/>
    <w:rsid w:val="00144201"/>
    <w:rsid w:val="00144BB0"/>
    <w:rsid w:val="00152D6D"/>
    <w:rsid w:val="00155C18"/>
    <w:rsid w:val="00156719"/>
    <w:rsid w:val="001621C5"/>
    <w:rsid w:val="001623D2"/>
    <w:rsid w:val="00164BA4"/>
    <w:rsid w:val="00180E07"/>
    <w:rsid w:val="00190D58"/>
    <w:rsid w:val="00192827"/>
    <w:rsid w:val="00197DE5"/>
    <w:rsid w:val="001A2C9E"/>
    <w:rsid w:val="001A49FE"/>
    <w:rsid w:val="001A7A14"/>
    <w:rsid w:val="001B1CA4"/>
    <w:rsid w:val="001B5122"/>
    <w:rsid w:val="001B7333"/>
    <w:rsid w:val="001C447F"/>
    <w:rsid w:val="001C4E6B"/>
    <w:rsid w:val="001C6144"/>
    <w:rsid w:val="001D63DE"/>
    <w:rsid w:val="001E0BF2"/>
    <w:rsid w:val="001E63D7"/>
    <w:rsid w:val="001E7F00"/>
    <w:rsid w:val="001F11C9"/>
    <w:rsid w:val="002023EA"/>
    <w:rsid w:val="002056F2"/>
    <w:rsid w:val="00210D21"/>
    <w:rsid w:val="0021181F"/>
    <w:rsid w:val="00216EF0"/>
    <w:rsid w:val="0022057A"/>
    <w:rsid w:val="00230120"/>
    <w:rsid w:val="002318CD"/>
    <w:rsid w:val="00231DC8"/>
    <w:rsid w:val="00234890"/>
    <w:rsid w:val="00236084"/>
    <w:rsid w:val="0023651E"/>
    <w:rsid w:val="0024079E"/>
    <w:rsid w:val="00246AA3"/>
    <w:rsid w:val="00254222"/>
    <w:rsid w:val="00263C2C"/>
    <w:rsid w:val="002671D3"/>
    <w:rsid w:val="0027289D"/>
    <w:rsid w:val="002729E7"/>
    <w:rsid w:val="0027428F"/>
    <w:rsid w:val="002754CE"/>
    <w:rsid w:val="00295CA3"/>
    <w:rsid w:val="002A2ED9"/>
    <w:rsid w:val="002A4284"/>
    <w:rsid w:val="002A6566"/>
    <w:rsid w:val="002C2C8A"/>
    <w:rsid w:val="002C5D1F"/>
    <w:rsid w:val="002D2BB7"/>
    <w:rsid w:val="002D4F93"/>
    <w:rsid w:val="002D7FF9"/>
    <w:rsid w:val="002E0161"/>
    <w:rsid w:val="002E6632"/>
    <w:rsid w:val="002F1449"/>
    <w:rsid w:val="002F1628"/>
    <w:rsid w:val="002F2B89"/>
    <w:rsid w:val="00316CF2"/>
    <w:rsid w:val="00317CB6"/>
    <w:rsid w:val="00326DFB"/>
    <w:rsid w:val="0032785A"/>
    <w:rsid w:val="00331375"/>
    <w:rsid w:val="00341F6E"/>
    <w:rsid w:val="003438AD"/>
    <w:rsid w:val="00346074"/>
    <w:rsid w:val="0034799F"/>
    <w:rsid w:val="00353E74"/>
    <w:rsid w:val="003615D4"/>
    <w:rsid w:val="00361A54"/>
    <w:rsid w:val="0036242B"/>
    <w:rsid w:val="003650C9"/>
    <w:rsid w:val="003670C7"/>
    <w:rsid w:val="00367717"/>
    <w:rsid w:val="00367E74"/>
    <w:rsid w:val="003752BF"/>
    <w:rsid w:val="00375701"/>
    <w:rsid w:val="0037624C"/>
    <w:rsid w:val="00380BBB"/>
    <w:rsid w:val="00380D3D"/>
    <w:rsid w:val="00381447"/>
    <w:rsid w:val="003833A4"/>
    <w:rsid w:val="00392363"/>
    <w:rsid w:val="003A19DA"/>
    <w:rsid w:val="003A7B9C"/>
    <w:rsid w:val="003B1697"/>
    <w:rsid w:val="003B2F31"/>
    <w:rsid w:val="003C018D"/>
    <w:rsid w:val="003C29AA"/>
    <w:rsid w:val="003C339C"/>
    <w:rsid w:val="003D2C08"/>
    <w:rsid w:val="003D5347"/>
    <w:rsid w:val="003E011B"/>
    <w:rsid w:val="003E54BB"/>
    <w:rsid w:val="003F3EA8"/>
    <w:rsid w:val="0040213E"/>
    <w:rsid w:val="00410CEA"/>
    <w:rsid w:val="00414179"/>
    <w:rsid w:val="004236A2"/>
    <w:rsid w:val="0042448F"/>
    <w:rsid w:val="00440741"/>
    <w:rsid w:val="00441EC9"/>
    <w:rsid w:val="00444C80"/>
    <w:rsid w:val="004451B7"/>
    <w:rsid w:val="004572BE"/>
    <w:rsid w:val="00460BD1"/>
    <w:rsid w:val="00462B5B"/>
    <w:rsid w:val="004728A3"/>
    <w:rsid w:val="004911F0"/>
    <w:rsid w:val="004A54E7"/>
    <w:rsid w:val="004A57A3"/>
    <w:rsid w:val="004B120A"/>
    <w:rsid w:val="004B4017"/>
    <w:rsid w:val="004D594B"/>
    <w:rsid w:val="004E01A5"/>
    <w:rsid w:val="004E5438"/>
    <w:rsid w:val="004E7163"/>
    <w:rsid w:val="004F342D"/>
    <w:rsid w:val="004F5D9E"/>
    <w:rsid w:val="00502084"/>
    <w:rsid w:val="0050458E"/>
    <w:rsid w:val="00511FA0"/>
    <w:rsid w:val="005147D2"/>
    <w:rsid w:val="00525383"/>
    <w:rsid w:val="00525C94"/>
    <w:rsid w:val="00526609"/>
    <w:rsid w:val="00527FE2"/>
    <w:rsid w:val="005378F3"/>
    <w:rsid w:val="00541A0F"/>
    <w:rsid w:val="005429B0"/>
    <w:rsid w:val="00546477"/>
    <w:rsid w:val="00556479"/>
    <w:rsid w:val="0058763A"/>
    <w:rsid w:val="005A1C6A"/>
    <w:rsid w:val="005A2FF1"/>
    <w:rsid w:val="005A3C12"/>
    <w:rsid w:val="005B0290"/>
    <w:rsid w:val="005B1E3C"/>
    <w:rsid w:val="005B7E74"/>
    <w:rsid w:val="005C3431"/>
    <w:rsid w:val="005C3F02"/>
    <w:rsid w:val="005D1A32"/>
    <w:rsid w:val="005D1B6E"/>
    <w:rsid w:val="005D2698"/>
    <w:rsid w:val="005D2C28"/>
    <w:rsid w:val="005D692D"/>
    <w:rsid w:val="005F3CC7"/>
    <w:rsid w:val="005F3D96"/>
    <w:rsid w:val="00601190"/>
    <w:rsid w:val="00605DEC"/>
    <w:rsid w:val="00626B8C"/>
    <w:rsid w:val="006305DA"/>
    <w:rsid w:val="006315ED"/>
    <w:rsid w:val="00647C44"/>
    <w:rsid w:val="00653BAE"/>
    <w:rsid w:val="00660408"/>
    <w:rsid w:val="00664D71"/>
    <w:rsid w:val="006671CF"/>
    <w:rsid w:val="00682BCA"/>
    <w:rsid w:val="006863E7"/>
    <w:rsid w:val="0069539D"/>
    <w:rsid w:val="00696923"/>
    <w:rsid w:val="006A3CAD"/>
    <w:rsid w:val="006A66CE"/>
    <w:rsid w:val="006B5563"/>
    <w:rsid w:val="006C316C"/>
    <w:rsid w:val="006C76DD"/>
    <w:rsid w:val="006D34E1"/>
    <w:rsid w:val="006D7457"/>
    <w:rsid w:val="00714DF6"/>
    <w:rsid w:val="00724CBD"/>
    <w:rsid w:val="00727BD3"/>
    <w:rsid w:val="00732787"/>
    <w:rsid w:val="00734F92"/>
    <w:rsid w:val="0073627A"/>
    <w:rsid w:val="0074680E"/>
    <w:rsid w:val="00761E62"/>
    <w:rsid w:val="00764953"/>
    <w:rsid w:val="00777675"/>
    <w:rsid w:val="00783F2D"/>
    <w:rsid w:val="00787EE7"/>
    <w:rsid w:val="0079447F"/>
    <w:rsid w:val="00795D25"/>
    <w:rsid w:val="007A41DB"/>
    <w:rsid w:val="007A4C82"/>
    <w:rsid w:val="007A5464"/>
    <w:rsid w:val="007A68FC"/>
    <w:rsid w:val="007C1DE0"/>
    <w:rsid w:val="007C5B78"/>
    <w:rsid w:val="007D3F50"/>
    <w:rsid w:val="007E2511"/>
    <w:rsid w:val="007E28E0"/>
    <w:rsid w:val="007E5FB4"/>
    <w:rsid w:val="007F0530"/>
    <w:rsid w:val="007F6732"/>
    <w:rsid w:val="007F6EAF"/>
    <w:rsid w:val="007F7C42"/>
    <w:rsid w:val="00805E94"/>
    <w:rsid w:val="0081018C"/>
    <w:rsid w:val="00813CF4"/>
    <w:rsid w:val="008206C5"/>
    <w:rsid w:val="0082164D"/>
    <w:rsid w:val="00827284"/>
    <w:rsid w:val="008369F6"/>
    <w:rsid w:val="00844088"/>
    <w:rsid w:val="00850009"/>
    <w:rsid w:val="00851F61"/>
    <w:rsid w:val="008600BA"/>
    <w:rsid w:val="00861745"/>
    <w:rsid w:val="008627B9"/>
    <w:rsid w:val="00873FC0"/>
    <w:rsid w:val="008768FF"/>
    <w:rsid w:val="00876DC5"/>
    <w:rsid w:val="008817CD"/>
    <w:rsid w:val="00883AAE"/>
    <w:rsid w:val="00896BCD"/>
    <w:rsid w:val="008A35A6"/>
    <w:rsid w:val="008A6152"/>
    <w:rsid w:val="008C4B0A"/>
    <w:rsid w:val="008E4560"/>
    <w:rsid w:val="008F1CFD"/>
    <w:rsid w:val="008F273F"/>
    <w:rsid w:val="008F49D3"/>
    <w:rsid w:val="008F69A7"/>
    <w:rsid w:val="00902C6D"/>
    <w:rsid w:val="00912E67"/>
    <w:rsid w:val="00915B0F"/>
    <w:rsid w:val="009233BB"/>
    <w:rsid w:val="00932631"/>
    <w:rsid w:val="00942ECE"/>
    <w:rsid w:val="00945280"/>
    <w:rsid w:val="00947FB8"/>
    <w:rsid w:val="00955C19"/>
    <w:rsid w:val="00955C2B"/>
    <w:rsid w:val="00967523"/>
    <w:rsid w:val="00970D6E"/>
    <w:rsid w:val="00970DC6"/>
    <w:rsid w:val="00982EBD"/>
    <w:rsid w:val="0099435E"/>
    <w:rsid w:val="009A2EAF"/>
    <w:rsid w:val="009A659D"/>
    <w:rsid w:val="009B7E77"/>
    <w:rsid w:val="009D016B"/>
    <w:rsid w:val="009D4E8F"/>
    <w:rsid w:val="009E7616"/>
    <w:rsid w:val="009F2632"/>
    <w:rsid w:val="00A03A99"/>
    <w:rsid w:val="00A05964"/>
    <w:rsid w:val="00A15C3D"/>
    <w:rsid w:val="00A23AB0"/>
    <w:rsid w:val="00A23C1A"/>
    <w:rsid w:val="00A249CB"/>
    <w:rsid w:val="00A3456F"/>
    <w:rsid w:val="00A36340"/>
    <w:rsid w:val="00A4112E"/>
    <w:rsid w:val="00A5031A"/>
    <w:rsid w:val="00A6452C"/>
    <w:rsid w:val="00A725AE"/>
    <w:rsid w:val="00A730E2"/>
    <w:rsid w:val="00A7599B"/>
    <w:rsid w:val="00A8022A"/>
    <w:rsid w:val="00A8197E"/>
    <w:rsid w:val="00A833E7"/>
    <w:rsid w:val="00A86419"/>
    <w:rsid w:val="00A95269"/>
    <w:rsid w:val="00A95793"/>
    <w:rsid w:val="00AB2D74"/>
    <w:rsid w:val="00AC41C9"/>
    <w:rsid w:val="00AC7A0A"/>
    <w:rsid w:val="00AD1FFF"/>
    <w:rsid w:val="00AD2836"/>
    <w:rsid w:val="00AD6274"/>
    <w:rsid w:val="00AE3CF7"/>
    <w:rsid w:val="00AF21DE"/>
    <w:rsid w:val="00AF3FB1"/>
    <w:rsid w:val="00AF4C61"/>
    <w:rsid w:val="00AF68E8"/>
    <w:rsid w:val="00AF7A53"/>
    <w:rsid w:val="00B121BF"/>
    <w:rsid w:val="00B15388"/>
    <w:rsid w:val="00B167D5"/>
    <w:rsid w:val="00B23A45"/>
    <w:rsid w:val="00B31CFA"/>
    <w:rsid w:val="00B545CA"/>
    <w:rsid w:val="00B64D70"/>
    <w:rsid w:val="00B64FD7"/>
    <w:rsid w:val="00B71333"/>
    <w:rsid w:val="00B77F11"/>
    <w:rsid w:val="00B91D7D"/>
    <w:rsid w:val="00B92934"/>
    <w:rsid w:val="00B9471F"/>
    <w:rsid w:val="00BA244F"/>
    <w:rsid w:val="00BA412E"/>
    <w:rsid w:val="00BB7EDC"/>
    <w:rsid w:val="00BC7657"/>
    <w:rsid w:val="00BD2734"/>
    <w:rsid w:val="00BD3E84"/>
    <w:rsid w:val="00BD7897"/>
    <w:rsid w:val="00BE0931"/>
    <w:rsid w:val="00BE161D"/>
    <w:rsid w:val="00BE49D8"/>
    <w:rsid w:val="00BE7F87"/>
    <w:rsid w:val="00BF029E"/>
    <w:rsid w:val="00BF2476"/>
    <w:rsid w:val="00C10BD9"/>
    <w:rsid w:val="00C11433"/>
    <w:rsid w:val="00C12C2D"/>
    <w:rsid w:val="00C14091"/>
    <w:rsid w:val="00C148C1"/>
    <w:rsid w:val="00C14DA6"/>
    <w:rsid w:val="00C21CD0"/>
    <w:rsid w:val="00C2566D"/>
    <w:rsid w:val="00C301F4"/>
    <w:rsid w:val="00C326E0"/>
    <w:rsid w:val="00C32D32"/>
    <w:rsid w:val="00C43042"/>
    <w:rsid w:val="00C44001"/>
    <w:rsid w:val="00C45B73"/>
    <w:rsid w:val="00C53BCB"/>
    <w:rsid w:val="00C54E78"/>
    <w:rsid w:val="00C55B09"/>
    <w:rsid w:val="00C5634A"/>
    <w:rsid w:val="00C57E90"/>
    <w:rsid w:val="00C6774C"/>
    <w:rsid w:val="00C76426"/>
    <w:rsid w:val="00C77365"/>
    <w:rsid w:val="00C81045"/>
    <w:rsid w:val="00C820E8"/>
    <w:rsid w:val="00C90AAE"/>
    <w:rsid w:val="00C952BA"/>
    <w:rsid w:val="00CA071F"/>
    <w:rsid w:val="00CA3B6F"/>
    <w:rsid w:val="00CA7B14"/>
    <w:rsid w:val="00CB4873"/>
    <w:rsid w:val="00CC0051"/>
    <w:rsid w:val="00CC6AE7"/>
    <w:rsid w:val="00CD0046"/>
    <w:rsid w:val="00CD4626"/>
    <w:rsid w:val="00CE335D"/>
    <w:rsid w:val="00CF12D1"/>
    <w:rsid w:val="00CF1DD7"/>
    <w:rsid w:val="00CF26A6"/>
    <w:rsid w:val="00CF291F"/>
    <w:rsid w:val="00CF38A6"/>
    <w:rsid w:val="00CF578E"/>
    <w:rsid w:val="00CF6185"/>
    <w:rsid w:val="00D05445"/>
    <w:rsid w:val="00D1388B"/>
    <w:rsid w:val="00D13B9E"/>
    <w:rsid w:val="00D15A25"/>
    <w:rsid w:val="00D25907"/>
    <w:rsid w:val="00D3368C"/>
    <w:rsid w:val="00D36798"/>
    <w:rsid w:val="00D3694E"/>
    <w:rsid w:val="00D37A5E"/>
    <w:rsid w:val="00D44D3C"/>
    <w:rsid w:val="00D5572B"/>
    <w:rsid w:val="00D57D70"/>
    <w:rsid w:val="00D72225"/>
    <w:rsid w:val="00D73443"/>
    <w:rsid w:val="00D82C02"/>
    <w:rsid w:val="00D82DBC"/>
    <w:rsid w:val="00D82E89"/>
    <w:rsid w:val="00D8779E"/>
    <w:rsid w:val="00D92266"/>
    <w:rsid w:val="00D948CD"/>
    <w:rsid w:val="00DA0E04"/>
    <w:rsid w:val="00DA200A"/>
    <w:rsid w:val="00DA2576"/>
    <w:rsid w:val="00DA4FC4"/>
    <w:rsid w:val="00DA604A"/>
    <w:rsid w:val="00DB3790"/>
    <w:rsid w:val="00DC1F7B"/>
    <w:rsid w:val="00DC33A7"/>
    <w:rsid w:val="00DD2470"/>
    <w:rsid w:val="00DD2508"/>
    <w:rsid w:val="00DD3F7A"/>
    <w:rsid w:val="00DD56B1"/>
    <w:rsid w:val="00DE1BAF"/>
    <w:rsid w:val="00DE2A55"/>
    <w:rsid w:val="00DE6D9F"/>
    <w:rsid w:val="00DF31E6"/>
    <w:rsid w:val="00E123D9"/>
    <w:rsid w:val="00E17720"/>
    <w:rsid w:val="00E2070A"/>
    <w:rsid w:val="00E22813"/>
    <w:rsid w:val="00E23994"/>
    <w:rsid w:val="00E3168E"/>
    <w:rsid w:val="00E33364"/>
    <w:rsid w:val="00E37C0F"/>
    <w:rsid w:val="00E42646"/>
    <w:rsid w:val="00E517FE"/>
    <w:rsid w:val="00E527F2"/>
    <w:rsid w:val="00E55FA7"/>
    <w:rsid w:val="00E61E15"/>
    <w:rsid w:val="00E63FFD"/>
    <w:rsid w:val="00E659E4"/>
    <w:rsid w:val="00E7330E"/>
    <w:rsid w:val="00E841BA"/>
    <w:rsid w:val="00E872AE"/>
    <w:rsid w:val="00EA02CE"/>
    <w:rsid w:val="00EA1C78"/>
    <w:rsid w:val="00EB1536"/>
    <w:rsid w:val="00EB1D72"/>
    <w:rsid w:val="00EC29D6"/>
    <w:rsid w:val="00EC2FD8"/>
    <w:rsid w:val="00ED6BC4"/>
    <w:rsid w:val="00EF3798"/>
    <w:rsid w:val="00EF7554"/>
    <w:rsid w:val="00F01637"/>
    <w:rsid w:val="00F1290B"/>
    <w:rsid w:val="00F13155"/>
    <w:rsid w:val="00F22D67"/>
    <w:rsid w:val="00F23641"/>
    <w:rsid w:val="00F269B2"/>
    <w:rsid w:val="00F2736C"/>
    <w:rsid w:val="00F32DB2"/>
    <w:rsid w:val="00F35770"/>
    <w:rsid w:val="00F37EAB"/>
    <w:rsid w:val="00F404ED"/>
    <w:rsid w:val="00F4179D"/>
    <w:rsid w:val="00F42B55"/>
    <w:rsid w:val="00F45092"/>
    <w:rsid w:val="00F4558F"/>
    <w:rsid w:val="00F4592E"/>
    <w:rsid w:val="00F47FF7"/>
    <w:rsid w:val="00F63DCF"/>
    <w:rsid w:val="00F67725"/>
    <w:rsid w:val="00F71808"/>
    <w:rsid w:val="00F830AE"/>
    <w:rsid w:val="00FA0760"/>
    <w:rsid w:val="00FB2446"/>
    <w:rsid w:val="00FC3C4E"/>
    <w:rsid w:val="00FC590D"/>
    <w:rsid w:val="00FC7F4C"/>
    <w:rsid w:val="00FD2F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B90F2C"/>
  <w15:chartTrackingRefBased/>
  <w15:docId w15:val="{4B86FED7-CDC8-4374-8F57-430EB04C7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741"/>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B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B14"/>
    <w:rPr>
      <w:rFonts w:ascii="Segoe UI" w:hAnsi="Segoe UI" w:cs="Segoe UI"/>
      <w:sz w:val="18"/>
      <w:szCs w:val="18"/>
    </w:rPr>
  </w:style>
  <w:style w:type="character" w:styleId="CommentReference">
    <w:name w:val="annotation reference"/>
    <w:basedOn w:val="DefaultParagraphFont"/>
    <w:uiPriority w:val="99"/>
    <w:semiHidden/>
    <w:unhideWhenUsed/>
    <w:rsid w:val="00FB2446"/>
    <w:rPr>
      <w:sz w:val="16"/>
      <w:szCs w:val="16"/>
    </w:rPr>
  </w:style>
  <w:style w:type="paragraph" w:styleId="CommentText">
    <w:name w:val="annotation text"/>
    <w:basedOn w:val="Normal"/>
    <w:link w:val="CommentTextChar"/>
    <w:uiPriority w:val="99"/>
    <w:unhideWhenUsed/>
    <w:rsid w:val="00FB2446"/>
    <w:rPr>
      <w:sz w:val="20"/>
      <w:szCs w:val="20"/>
    </w:rPr>
  </w:style>
  <w:style w:type="character" w:customStyle="1" w:styleId="CommentTextChar">
    <w:name w:val="Comment Text Char"/>
    <w:basedOn w:val="DefaultParagraphFont"/>
    <w:link w:val="CommentText"/>
    <w:uiPriority w:val="99"/>
    <w:rsid w:val="00FB24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B2446"/>
    <w:rPr>
      <w:b/>
      <w:bCs/>
    </w:rPr>
  </w:style>
  <w:style w:type="character" w:customStyle="1" w:styleId="CommentSubjectChar">
    <w:name w:val="Comment Subject Char"/>
    <w:basedOn w:val="CommentTextChar"/>
    <w:link w:val="CommentSubject"/>
    <w:uiPriority w:val="99"/>
    <w:semiHidden/>
    <w:rsid w:val="00FB2446"/>
    <w:rPr>
      <w:rFonts w:ascii="Times New Roman" w:hAnsi="Times New Roman"/>
      <w:b/>
      <w:bCs/>
      <w:sz w:val="20"/>
      <w:szCs w:val="20"/>
    </w:rPr>
  </w:style>
  <w:style w:type="paragraph" w:styleId="Header">
    <w:name w:val="header"/>
    <w:basedOn w:val="Normal"/>
    <w:link w:val="HeaderChar"/>
    <w:uiPriority w:val="99"/>
    <w:unhideWhenUsed/>
    <w:rsid w:val="00D44D3C"/>
    <w:pPr>
      <w:tabs>
        <w:tab w:val="center" w:pos="4153"/>
        <w:tab w:val="right" w:pos="8306"/>
      </w:tabs>
    </w:pPr>
  </w:style>
  <w:style w:type="character" w:customStyle="1" w:styleId="HeaderChar">
    <w:name w:val="Header Char"/>
    <w:basedOn w:val="DefaultParagraphFont"/>
    <w:link w:val="Header"/>
    <w:uiPriority w:val="99"/>
    <w:rsid w:val="00D44D3C"/>
    <w:rPr>
      <w:rFonts w:ascii="Times New Roman" w:hAnsi="Times New Roman"/>
      <w:sz w:val="24"/>
    </w:rPr>
  </w:style>
  <w:style w:type="paragraph" w:styleId="Footer">
    <w:name w:val="footer"/>
    <w:basedOn w:val="Normal"/>
    <w:link w:val="FooterChar"/>
    <w:uiPriority w:val="99"/>
    <w:unhideWhenUsed/>
    <w:rsid w:val="00D44D3C"/>
    <w:pPr>
      <w:tabs>
        <w:tab w:val="center" w:pos="4153"/>
        <w:tab w:val="right" w:pos="8306"/>
      </w:tabs>
    </w:pPr>
  </w:style>
  <w:style w:type="character" w:customStyle="1" w:styleId="FooterChar">
    <w:name w:val="Footer Char"/>
    <w:basedOn w:val="DefaultParagraphFont"/>
    <w:link w:val="Footer"/>
    <w:uiPriority w:val="99"/>
    <w:rsid w:val="00D44D3C"/>
    <w:rPr>
      <w:rFonts w:ascii="Times New Roman" w:hAnsi="Times New Roman"/>
      <w:sz w:val="24"/>
    </w:rPr>
  </w:style>
  <w:style w:type="character" w:styleId="Hyperlink">
    <w:name w:val="Hyperlink"/>
    <w:basedOn w:val="DefaultParagraphFont"/>
    <w:uiPriority w:val="99"/>
    <w:unhideWhenUsed/>
    <w:rsid w:val="003A19DA"/>
    <w:rPr>
      <w:color w:val="0563C1" w:themeColor="hyperlink"/>
      <w:u w:val="single"/>
    </w:rPr>
  </w:style>
  <w:style w:type="table" w:styleId="TableGrid">
    <w:name w:val="Table Grid"/>
    <w:basedOn w:val="TableNormal"/>
    <w:uiPriority w:val="39"/>
    <w:rsid w:val="003B2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nod">
    <w:name w:val="naisnod"/>
    <w:basedOn w:val="Normal"/>
    <w:rsid w:val="00511FA0"/>
    <w:pPr>
      <w:spacing w:before="150" w:after="150"/>
      <w:jc w:val="center"/>
    </w:pPr>
    <w:rPr>
      <w:rFonts w:eastAsia="Times New Roman" w:cs="Times New Roman"/>
      <w:b/>
      <w:bCs/>
      <w:szCs w:val="24"/>
      <w:lang w:eastAsia="lv-LV"/>
    </w:rPr>
  </w:style>
  <w:style w:type="paragraph" w:styleId="ListParagraph">
    <w:name w:val="List Paragraph"/>
    <w:basedOn w:val="Normal"/>
    <w:uiPriority w:val="34"/>
    <w:qFormat/>
    <w:rsid w:val="00955C19"/>
    <w:pPr>
      <w:ind w:left="720"/>
      <w:contextualSpacing/>
    </w:pPr>
  </w:style>
  <w:style w:type="paragraph" w:styleId="Revision">
    <w:name w:val="Revision"/>
    <w:hidden/>
    <w:uiPriority w:val="99"/>
    <w:semiHidden/>
    <w:rsid w:val="00D73443"/>
    <w:pPr>
      <w:spacing w:after="0" w:line="240" w:lineRule="auto"/>
    </w:pPr>
    <w:rPr>
      <w:rFonts w:ascii="Times New Roman" w:hAnsi="Times New Roman"/>
      <w:sz w:val="24"/>
    </w:rPr>
  </w:style>
  <w:style w:type="paragraph" w:customStyle="1" w:styleId="tv213">
    <w:name w:val="tv213"/>
    <w:basedOn w:val="Normal"/>
    <w:rsid w:val="00F830AE"/>
    <w:pPr>
      <w:spacing w:before="100" w:beforeAutospacing="1" w:after="100" w:afterAutospacing="1"/>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11185">
      <w:bodyDiv w:val="1"/>
      <w:marLeft w:val="0"/>
      <w:marRight w:val="0"/>
      <w:marTop w:val="0"/>
      <w:marBottom w:val="0"/>
      <w:divBdr>
        <w:top w:val="none" w:sz="0" w:space="0" w:color="auto"/>
        <w:left w:val="none" w:sz="0" w:space="0" w:color="auto"/>
        <w:bottom w:val="none" w:sz="0" w:space="0" w:color="auto"/>
        <w:right w:val="none" w:sz="0" w:space="0" w:color="auto"/>
      </w:divBdr>
    </w:div>
    <w:div w:id="604310759">
      <w:bodyDiv w:val="1"/>
      <w:marLeft w:val="0"/>
      <w:marRight w:val="0"/>
      <w:marTop w:val="0"/>
      <w:marBottom w:val="0"/>
      <w:divBdr>
        <w:top w:val="none" w:sz="0" w:space="0" w:color="auto"/>
        <w:left w:val="none" w:sz="0" w:space="0" w:color="auto"/>
        <w:bottom w:val="none" w:sz="0" w:space="0" w:color="auto"/>
        <w:right w:val="none" w:sz="0" w:space="0" w:color="auto"/>
      </w:divBdr>
    </w:div>
    <w:div w:id="691107358">
      <w:bodyDiv w:val="1"/>
      <w:marLeft w:val="0"/>
      <w:marRight w:val="0"/>
      <w:marTop w:val="0"/>
      <w:marBottom w:val="0"/>
      <w:divBdr>
        <w:top w:val="none" w:sz="0" w:space="0" w:color="auto"/>
        <w:left w:val="none" w:sz="0" w:space="0" w:color="auto"/>
        <w:bottom w:val="none" w:sz="0" w:space="0" w:color="auto"/>
        <w:right w:val="none" w:sz="0" w:space="0" w:color="auto"/>
      </w:divBdr>
    </w:div>
    <w:div w:id="782843341">
      <w:bodyDiv w:val="1"/>
      <w:marLeft w:val="0"/>
      <w:marRight w:val="0"/>
      <w:marTop w:val="0"/>
      <w:marBottom w:val="0"/>
      <w:divBdr>
        <w:top w:val="none" w:sz="0" w:space="0" w:color="auto"/>
        <w:left w:val="none" w:sz="0" w:space="0" w:color="auto"/>
        <w:bottom w:val="none" w:sz="0" w:space="0" w:color="auto"/>
        <w:right w:val="none" w:sz="0" w:space="0" w:color="auto"/>
      </w:divBdr>
    </w:div>
    <w:div w:id="1270821151">
      <w:bodyDiv w:val="1"/>
      <w:marLeft w:val="0"/>
      <w:marRight w:val="0"/>
      <w:marTop w:val="0"/>
      <w:marBottom w:val="0"/>
      <w:divBdr>
        <w:top w:val="none" w:sz="0" w:space="0" w:color="auto"/>
        <w:left w:val="none" w:sz="0" w:space="0" w:color="auto"/>
        <w:bottom w:val="none" w:sz="0" w:space="0" w:color="auto"/>
        <w:right w:val="none" w:sz="0" w:space="0" w:color="auto"/>
      </w:divBdr>
      <w:divsChild>
        <w:div w:id="1276986798">
          <w:marLeft w:val="547"/>
          <w:marRight w:val="0"/>
          <w:marTop w:val="120"/>
          <w:marBottom w:val="0"/>
          <w:divBdr>
            <w:top w:val="none" w:sz="0" w:space="0" w:color="auto"/>
            <w:left w:val="none" w:sz="0" w:space="0" w:color="auto"/>
            <w:bottom w:val="none" w:sz="0" w:space="0" w:color="auto"/>
            <w:right w:val="none" w:sz="0" w:space="0" w:color="auto"/>
          </w:divBdr>
        </w:div>
        <w:div w:id="1448424780">
          <w:marLeft w:val="547"/>
          <w:marRight w:val="0"/>
          <w:marTop w:val="120"/>
          <w:marBottom w:val="0"/>
          <w:divBdr>
            <w:top w:val="none" w:sz="0" w:space="0" w:color="auto"/>
            <w:left w:val="none" w:sz="0" w:space="0" w:color="auto"/>
            <w:bottom w:val="none" w:sz="0" w:space="0" w:color="auto"/>
            <w:right w:val="none" w:sz="0" w:space="0" w:color="auto"/>
          </w:divBdr>
        </w:div>
      </w:divsChild>
    </w:div>
    <w:div w:id="1627270077">
      <w:bodyDiv w:val="1"/>
      <w:marLeft w:val="0"/>
      <w:marRight w:val="0"/>
      <w:marTop w:val="0"/>
      <w:marBottom w:val="0"/>
      <w:divBdr>
        <w:top w:val="none" w:sz="0" w:space="0" w:color="auto"/>
        <w:left w:val="none" w:sz="0" w:space="0" w:color="auto"/>
        <w:bottom w:val="none" w:sz="0" w:space="0" w:color="auto"/>
        <w:right w:val="none" w:sz="0" w:space="0" w:color="auto"/>
      </w:divBdr>
    </w:div>
    <w:div w:id="1757096180">
      <w:bodyDiv w:val="1"/>
      <w:marLeft w:val="0"/>
      <w:marRight w:val="0"/>
      <w:marTop w:val="0"/>
      <w:marBottom w:val="0"/>
      <w:divBdr>
        <w:top w:val="none" w:sz="0" w:space="0" w:color="auto"/>
        <w:left w:val="none" w:sz="0" w:space="0" w:color="auto"/>
        <w:bottom w:val="none" w:sz="0" w:space="0" w:color="auto"/>
        <w:right w:val="none" w:sz="0" w:space="0" w:color="auto"/>
      </w:divBdr>
    </w:div>
    <w:div w:id="1780685015">
      <w:bodyDiv w:val="1"/>
      <w:marLeft w:val="0"/>
      <w:marRight w:val="0"/>
      <w:marTop w:val="0"/>
      <w:marBottom w:val="0"/>
      <w:divBdr>
        <w:top w:val="none" w:sz="0" w:space="0" w:color="auto"/>
        <w:left w:val="none" w:sz="0" w:space="0" w:color="auto"/>
        <w:bottom w:val="none" w:sz="0" w:space="0" w:color="auto"/>
        <w:right w:val="none" w:sz="0" w:space="0" w:color="auto"/>
      </w:divBdr>
    </w:div>
    <w:div w:id="1865047312">
      <w:bodyDiv w:val="1"/>
      <w:marLeft w:val="0"/>
      <w:marRight w:val="0"/>
      <w:marTop w:val="0"/>
      <w:marBottom w:val="0"/>
      <w:divBdr>
        <w:top w:val="none" w:sz="0" w:space="0" w:color="auto"/>
        <w:left w:val="none" w:sz="0" w:space="0" w:color="auto"/>
        <w:bottom w:val="none" w:sz="0" w:space="0" w:color="auto"/>
        <w:right w:val="none" w:sz="0" w:space="0" w:color="auto"/>
      </w:divBdr>
    </w:div>
    <w:div w:id="1907493026">
      <w:bodyDiv w:val="1"/>
      <w:marLeft w:val="0"/>
      <w:marRight w:val="0"/>
      <w:marTop w:val="0"/>
      <w:marBottom w:val="0"/>
      <w:divBdr>
        <w:top w:val="none" w:sz="0" w:space="0" w:color="auto"/>
        <w:left w:val="none" w:sz="0" w:space="0" w:color="auto"/>
        <w:bottom w:val="none" w:sz="0" w:space="0" w:color="auto"/>
        <w:right w:val="none" w:sz="0" w:space="0" w:color="auto"/>
      </w:divBdr>
      <w:divsChild>
        <w:div w:id="1872104218">
          <w:marLeft w:val="0"/>
          <w:marRight w:val="0"/>
          <w:marTop w:val="0"/>
          <w:marBottom w:val="0"/>
          <w:divBdr>
            <w:top w:val="none" w:sz="0" w:space="0" w:color="auto"/>
            <w:left w:val="none" w:sz="0" w:space="0" w:color="auto"/>
            <w:bottom w:val="none" w:sz="0" w:space="0" w:color="auto"/>
            <w:right w:val="none" w:sz="0" w:space="0" w:color="auto"/>
          </w:divBdr>
          <w:divsChild>
            <w:div w:id="118767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sapovala@vid.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esja.borisevica@f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F8E69-70E0-456E-A066-A80A6F1F5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9</Pages>
  <Words>13492</Words>
  <Characters>7691</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Likumprojekta "Čeku spēles likums" sākotnējās ietekmes novērtējuma ziņojums (anotācija)</vt:lpstr>
    </vt:vector>
  </TitlesOfParts>
  <Company>Valsts ieņēmumu dienests, Finanšu ministrija</Company>
  <LinksUpToDate>false</LinksUpToDate>
  <CharactersWithSpaces>21141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"Čeku spēles likums" sākotnējās ietekmes novērtējuma ziņojums (anotācija)</dc:title>
  <dc:subject>Anotācija</dc:subject>
  <dc:creator>Anna Šapovala;alesja.borisevica@fm.gov.lv</dc:creator>
  <cp:keywords/>
  <dc:description>67122697, anna.sapovala@vid.gov.lv; 67095512, alesja.borisevica@fm.gov.lv</dc:description>
  <cp:lastModifiedBy>Aļesja Boriseviča</cp:lastModifiedBy>
  <cp:revision>62</cp:revision>
  <cp:lastPrinted>2018-05-08T13:18:00Z</cp:lastPrinted>
  <dcterms:created xsi:type="dcterms:W3CDTF">2018-04-17T08:01:00Z</dcterms:created>
  <dcterms:modified xsi:type="dcterms:W3CDTF">2018-05-09T06:05:00Z</dcterms:modified>
</cp:coreProperties>
</file>