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9D78D3" w:rsidRDefault="007C3D3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Content>
          <w:r w:rsidR="00B663CB" w:rsidRPr="009D78D3">
            <w:rPr>
              <w:rFonts w:ascii="Times New Roman" w:eastAsia="Times New Roman" w:hAnsi="Times New Roman" w:cs="Times New Roman"/>
              <w:b/>
              <w:bCs/>
              <w:color w:val="414142"/>
              <w:sz w:val="28"/>
              <w:szCs w:val="24"/>
              <w:lang w:eastAsia="lv-LV"/>
            </w:rPr>
            <w:t>Likumprojekta „Grozījumi likumā „Par valsts sociālo apdrošināšanu””</w:t>
          </w:r>
        </w:sdtContent>
      </w:sdt>
      <w:r w:rsidR="00894C55" w:rsidRPr="009D78D3">
        <w:rPr>
          <w:rFonts w:ascii="Times New Roman" w:eastAsia="Times New Roman" w:hAnsi="Times New Roman" w:cs="Times New Roman"/>
          <w:b/>
          <w:bCs/>
          <w:color w:val="414142"/>
          <w:sz w:val="28"/>
          <w:szCs w:val="24"/>
          <w:lang w:eastAsia="lv-LV"/>
        </w:rPr>
        <w:t xml:space="preserve"> sākotnējās ietekmes novērtējuma ziņojums (anotācija)</w:t>
      </w:r>
    </w:p>
    <w:p w:rsidR="00E5323B" w:rsidRPr="009D78D3"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168"/>
      </w:tblGrid>
      <w:tr w:rsidR="00E5323B" w:rsidRPr="009D78D3"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9D78D3">
              <w:rPr>
                <w:rFonts w:ascii="Times New Roman" w:eastAsia="Times New Roman" w:hAnsi="Times New Roman" w:cs="Times New Roman"/>
                <w:b/>
                <w:bCs/>
                <w:iCs/>
                <w:noProof/>
                <w:color w:val="414142"/>
                <w:sz w:val="24"/>
                <w:szCs w:val="24"/>
                <w:lang w:eastAsia="lv-LV"/>
              </w:rPr>
              <w:t>Tiesību akta projekta anotācijas kopsavilkums</w:t>
            </w:r>
          </w:p>
        </w:tc>
      </w:tr>
      <w:tr w:rsidR="00B663CB" w:rsidRPr="009D78D3" w:rsidTr="00B663CB">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Mērķis, risinājums un projekta spēkā stāšanās laiks (500 zīmes bez atstarpēm)</w:t>
            </w:r>
          </w:p>
        </w:tc>
        <w:tc>
          <w:tcPr>
            <w:tcW w:w="3321" w:type="pct"/>
            <w:tcBorders>
              <w:top w:val="outset" w:sz="6" w:space="0" w:color="auto"/>
              <w:left w:val="outset" w:sz="6" w:space="0" w:color="auto"/>
              <w:bottom w:val="outset" w:sz="6" w:space="0" w:color="auto"/>
              <w:right w:val="outset" w:sz="6" w:space="0" w:color="auto"/>
            </w:tcBorders>
            <w:hideMark/>
          </w:tcPr>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Likumprojekta mērķis ir noteikt, ka:</w:t>
            </w:r>
          </w:p>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 no 2021. gada 1. janvāra valsts sociālās apdrošināšanas obligāto iemaksu (turpmāk – obligātās iemaksas) veikšanas termiņš ir līdz mēneša 23.</w:t>
            </w:r>
            <w:r w:rsidR="006631CF" w:rsidRPr="009D78D3">
              <w:rPr>
                <w:rFonts w:ascii="Times New Roman" w:eastAsia="Times New Roman" w:hAnsi="Times New Roman" w:cs="Times New Roman"/>
                <w:iCs/>
                <w:noProof/>
                <w:color w:val="000000" w:themeColor="text1"/>
                <w:sz w:val="24"/>
                <w:szCs w:val="24"/>
                <w:lang w:eastAsia="lv-LV"/>
              </w:rPr>
              <w:t> </w:t>
            </w:r>
            <w:r w:rsidRPr="009D78D3">
              <w:rPr>
                <w:rFonts w:ascii="Times New Roman" w:eastAsia="Times New Roman" w:hAnsi="Times New Roman" w:cs="Times New Roman"/>
                <w:iCs/>
                <w:noProof/>
                <w:color w:val="000000" w:themeColor="text1"/>
                <w:sz w:val="24"/>
                <w:szCs w:val="24"/>
                <w:lang w:eastAsia="lv-LV"/>
              </w:rPr>
              <w:t>datumam un darba devēja ziņojuma par obligātajām iemaksām iesniegšanas termiņš ir līdz mēneša 17.</w:t>
            </w:r>
            <w:r w:rsidR="006631CF" w:rsidRPr="009D78D3">
              <w:rPr>
                <w:rFonts w:ascii="Times New Roman" w:eastAsia="Times New Roman" w:hAnsi="Times New Roman" w:cs="Times New Roman"/>
                <w:iCs/>
                <w:noProof/>
                <w:color w:val="000000" w:themeColor="text1"/>
                <w:sz w:val="24"/>
                <w:szCs w:val="24"/>
                <w:lang w:eastAsia="lv-LV"/>
              </w:rPr>
              <w:t> </w:t>
            </w:r>
            <w:r w:rsidRPr="009D78D3">
              <w:rPr>
                <w:rFonts w:ascii="Times New Roman" w:eastAsia="Times New Roman" w:hAnsi="Times New Roman" w:cs="Times New Roman"/>
                <w:iCs/>
                <w:noProof/>
                <w:color w:val="000000" w:themeColor="text1"/>
                <w:sz w:val="24"/>
                <w:szCs w:val="24"/>
                <w:lang w:eastAsia="lv-LV"/>
              </w:rPr>
              <w:t>datumam;</w:t>
            </w:r>
          </w:p>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 sākot ar 2004.</w:t>
            </w:r>
            <w:r w:rsidR="006631CF" w:rsidRPr="009D78D3">
              <w:rPr>
                <w:rFonts w:ascii="Times New Roman" w:eastAsia="Times New Roman" w:hAnsi="Times New Roman" w:cs="Times New Roman"/>
                <w:iCs/>
                <w:noProof/>
                <w:color w:val="000000" w:themeColor="text1"/>
                <w:sz w:val="24"/>
                <w:szCs w:val="24"/>
                <w:lang w:eastAsia="lv-LV"/>
              </w:rPr>
              <w:t> </w:t>
            </w:r>
            <w:r w:rsidRPr="009D78D3">
              <w:rPr>
                <w:rFonts w:ascii="Times New Roman" w:eastAsia="Times New Roman" w:hAnsi="Times New Roman" w:cs="Times New Roman"/>
                <w:iCs/>
                <w:noProof/>
                <w:color w:val="000000" w:themeColor="text1"/>
                <w:sz w:val="24"/>
                <w:szCs w:val="24"/>
                <w:lang w:eastAsia="lv-LV"/>
              </w:rPr>
              <w:t>gada 1.</w:t>
            </w:r>
            <w:r w:rsidR="006631CF" w:rsidRPr="009D78D3">
              <w:rPr>
                <w:rFonts w:ascii="Times New Roman" w:eastAsia="Times New Roman" w:hAnsi="Times New Roman" w:cs="Times New Roman"/>
                <w:iCs/>
                <w:noProof/>
                <w:color w:val="000000" w:themeColor="text1"/>
                <w:sz w:val="24"/>
                <w:szCs w:val="24"/>
                <w:lang w:eastAsia="lv-LV"/>
              </w:rPr>
              <w:t> </w:t>
            </w:r>
            <w:r w:rsidR="00AF5A16">
              <w:rPr>
                <w:rFonts w:ascii="Times New Roman" w:eastAsia="Times New Roman" w:hAnsi="Times New Roman" w:cs="Times New Roman"/>
                <w:iCs/>
                <w:noProof/>
                <w:color w:val="000000" w:themeColor="text1"/>
                <w:sz w:val="24"/>
                <w:szCs w:val="24"/>
                <w:lang w:eastAsia="lv-LV"/>
              </w:rPr>
              <w:t>m</w:t>
            </w:r>
            <w:r w:rsidRPr="009D78D3">
              <w:rPr>
                <w:rFonts w:ascii="Times New Roman" w:eastAsia="Times New Roman" w:hAnsi="Times New Roman" w:cs="Times New Roman"/>
                <w:iCs/>
                <w:noProof/>
                <w:color w:val="000000" w:themeColor="text1"/>
                <w:sz w:val="24"/>
                <w:szCs w:val="24"/>
                <w:lang w:eastAsia="lv-LV"/>
              </w:rPr>
              <w:t>aiju</w:t>
            </w:r>
            <w:r w:rsidR="00AF5A16">
              <w:rPr>
                <w:rFonts w:ascii="Times New Roman" w:eastAsia="Times New Roman" w:hAnsi="Times New Roman" w:cs="Times New Roman"/>
                <w:iCs/>
                <w:noProof/>
                <w:color w:val="000000" w:themeColor="text1"/>
                <w:sz w:val="24"/>
                <w:szCs w:val="24"/>
                <w:lang w:eastAsia="lv-LV"/>
              </w:rPr>
              <w:t>,</w:t>
            </w:r>
            <w:r w:rsidRPr="009D78D3">
              <w:rPr>
                <w:rFonts w:ascii="Times New Roman" w:eastAsia="Times New Roman" w:hAnsi="Times New Roman" w:cs="Times New Roman"/>
                <w:iCs/>
                <w:noProof/>
                <w:color w:val="000000" w:themeColor="text1"/>
                <w:sz w:val="24"/>
                <w:szCs w:val="24"/>
                <w:lang w:eastAsia="lv-LV"/>
              </w:rPr>
              <w:t xml:space="preserve"> no valsts pamatbudžeta apdrošināt pensiju un bezdarba apdrošināšanai personas, kuru laulātais kā prokurors pilda Latvijas Republikas pārstāvību Eirojustā un kuras uzturas attiecīgajā ārvalstī kā šī pārstāvja</w:t>
            </w:r>
            <w:r w:rsidR="00042092" w:rsidRPr="009D78D3">
              <w:rPr>
                <w:rFonts w:ascii="Times New Roman" w:eastAsia="Times New Roman" w:hAnsi="Times New Roman" w:cs="Times New Roman"/>
                <w:iCs/>
                <w:noProof/>
                <w:color w:val="000000" w:themeColor="text1"/>
                <w:sz w:val="24"/>
                <w:szCs w:val="24"/>
                <w:lang w:eastAsia="lv-LV"/>
              </w:rPr>
              <w:t xml:space="preserve"> </w:t>
            </w:r>
            <w:r w:rsidRPr="009D78D3">
              <w:rPr>
                <w:rFonts w:ascii="Times New Roman" w:eastAsia="Times New Roman" w:hAnsi="Times New Roman" w:cs="Times New Roman"/>
                <w:iCs/>
                <w:noProof/>
                <w:color w:val="000000" w:themeColor="text1"/>
                <w:sz w:val="24"/>
                <w:szCs w:val="24"/>
                <w:lang w:eastAsia="lv-LV"/>
              </w:rPr>
              <w:t>Latvijas Republikas prokurora Eirojustā laulātais;</w:t>
            </w:r>
          </w:p>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 obligātās iemaksas no valsts pamatbudžeta vai speciālajiem budžetiem netiek veiktas pensiju apdrošināšanai par mēnešiem, par kuriem tiek veiktas iemaksas pensiju apdrošināšanai 5 % apmērā no autoratlīdzībām vai tās veic pašnodarbinātie 5 % apmērā (t.sk., no lauksaimnieciskās ražošanas ienākuma);</w:t>
            </w:r>
          </w:p>
          <w:p w:rsidR="00E5323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4) darba devējam, pamatojoties uz tiesas spriedumu vai valsts iestādes lēmumu par darba </w:t>
            </w:r>
            <w:r w:rsidR="00042092" w:rsidRPr="009D78D3">
              <w:rPr>
                <w:rFonts w:ascii="Times New Roman" w:eastAsia="Times New Roman" w:hAnsi="Times New Roman" w:cs="Times New Roman"/>
                <w:iCs/>
                <w:noProof/>
                <w:color w:val="000000" w:themeColor="text1"/>
                <w:sz w:val="24"/>
                <w:szCs w:val="24"/>
                <w:lang w:eastAsia="lv-LV"/>
              </w:rPr>
              <w:t>samaksas piedziņu, ir pienākums</w:t>
            </w:r>
            <w:r w:rsidRPr="009D78D3">
              <w:rPr>
                <w:rFonts w:ascii="Times New Roman" w:eastAsia="Times New Roman" w:hAnsi="Times New Roman" w:cs="Times New Roman"/>
                <w:iCs/>
                <w:noProof/>
                <w:color w:val="000000" w:themeColor="text1"/>
                <w:sz w:val="24"/>
                <w:szCs w:val="24"/>
                <w:lang w:eastAsia="lv-LV"/>
              </w:rPr>
              <w:t xml:space="preserve"> samaksāt obligātās iemaksas un iesniegt ziņojumu par obligāto iemaksu objektu un obligātajām iemaksām.</w:t>
            </w:r>
          </w:p>
        </w:tc>
      </w:tr>
    </w:tbl>
    <w:p w:rsidR="00E5323B"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p w:rsidR="00FC0919" w:rsidRPr="009D78D3" w:rsidRDefault="00FC0919" w:rsidP="00E5323B">
      <w:pPr>
        <w:spacing w:after="0" w:line="240" w:lineRule="auto"/>
        <w:rPr>
          <w:rFonts w:ascii="Times New Roman" w:eastAsia="Times New Roman" w:hAnsi="Times New Roman" w:cs="Times New Roman"/>
          <w:iCs/>
          <w:noProof/>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B663CB" w:rsidRPr="009D78D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I. Tiesību akta projekta izstrādes nepieciešamība</w:t>
            </w:r>
          </w:p>
        </w:tc>
      </w:tr>
      <w:tr w:rsidR="00B663CB" w:rsidRPr="009D78D3"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Likumprojekts “Grozījumi likumā “Par valsts sociālo apdrošināšanu”” (turpmāk – likumprojekts) izstrādāts, pamatojoties uz Ministru kabineta 2017. gada 26. septembra sēdes protokola Nr.48 44.§ 3. punktu, kurā noteikts, ka „Lai mazinātu administratīvo slogu nodokļu maksātājiem un nodrošinātu iespēju vairākus nodokļu maksājumus, kā arī valsts nodevu par numerācijas lietošanas tiesībām vienotajā nodokļu kontā samaksāt vienā maksājumā, Finanšu ministrijai, Ekonomikas ministrijai, Labklājības ministrijai, Satiksmes ministrijai un Vides aizsardzības un reģionālās attīstības ministrijai izvērtēt kompetencē esošos normatīvos aktus un pārskatīt nodokļu deklarāciju iesniegšanas un nodokļu (t. sk. valsts nodevas par numerācijas lietošanas tiesībām) maksāšanas termiņus, un vienlaikus ar nākamajiem grozījumiem attiecīgajos normatīvajos aktos, bet ne vēlāk kā līdz 2018. gada 1. martam, iesniegt izskatīšanai Ministru kabinetā normatīvo aktu projektus, kas paredz, ka:</w:t>
            </w:r>
          </w:p>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3.1. regulāri maksājamie (t.i., reizi mēnesī, reizi ceturksnī un reizi pusgadā maksājamie) Valsts ieņēmumu dienesta administrētie nodokļi un valsts nodeva par numerācijas lietošanas tiesībām budžetā ir samaksājama ne vēlāk kā līdz </w:t>
            </w:r>
            <w:r w:rsidRPr="009D78D3">
              <w:rPr>
                <w:rFonts w:ascii="Times New Roman" w:eastAsia="Times New Roman" w:hAnsi="Times New Roman" w:cs="Times New Roman"/>
                <w:iCs/>
                <w:noProof/>
                <w:color w:val="000000" w:themeColor="text1"/>
                <w:sz w:val="24"/>
                <w:szCs w:val="24"/>
                <w:lang w:eastAsia="lv-LV"/>
              </w:rPr>
              <w:lastRenderedPageBreak/>
              <w:t>pārskata iesniegšanas mēneša 23. datumam. Mēneša 23. datums ir vienotais regulāri maksājamo nodokļu un valsts nodevas par numerācijas lietošanas tiesībām maksāšanas gala termiņš;</w:t>
            </w:r>
          </w:p>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3.2. regulāri iesniedzamās (t.i., reizi mēnesī, reizi ceturksnī un reizi pusgadā iesniedzamās) nodokļu deklarācijas un numerācijas lietošanas tiesību ikgadējās valsts nodevas deklarācija nodokļu administrācijai iesniedzamas pirms nodokļu un valsts nodevas par numerācijas lietošanas tiesībām maksāšanas gala termiņa, nodokļu deklarācijas un numerācijas lietošanas tiesību ikgadējās valsts nodevas deklarācijas iesniegšanas termiņu nosakot ne mazāk kā trīs dienas pirms vienotā nodokļu un numerācijas lietošanas tiesību ikgadējās valsts nodevas maksāšanas gala termiņa iestāšanās;</w:t>
            </w:r>
          </w:p>
          <w:p w:rsidR="007C3D33" w:rsidRPr="009D78D3" w:rsidRDefault="00B663CB" w:rsidP="007C3D33">
            <w:pPr>
              <w:spacing w:after="12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3.3. minētie normatīvo aktu grozījumi spēkā stājas 2021. gada 1. janvārī un attiecināmi uz deklarācijām, kas iesniedzamas ar 2021. gada 1. janvāri, un nodokļu un numerācijas lietošanas tiesību ikgadējās valsts nodevas maksājumiem, kuru maksāšanas termiņš iestājas ar 2021. gada 1. janvāri.</w:t>
            </w:r>
            <w:r w:rsidR="00B54037" w:rsidRPr="009D78D3">
              <w:rPr>
                <w:rFonts w:ascii="Times New Roman" w:eastAsia="Times New Roman" w:hAnsi="Times New Roman" w:cs="Times New Roman"/>
                <w:iCs/>
                <w:noProof/>
                <w:color w:val="000000" w:themeColor="text1"/>
                <w:sz w:val="24"/>
                <w:szCs w:val="24"/>
                <w:lang w:eastAsia="lv-LV"/>
              </w:rPr>
              <w:t>”</w:t>
            </w:r>
          </w:p>
        </w:tc>
      </w:tr>
      <w:tr w:rsidR="00B663CB" w:rsidRPr="009D78D3"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 No 2021. gada 1. janvāra stāsies spēkā 2017. gada 23. novembra likuma „Grozījumi likumā “Par nodokļiem un nodevām”” normas par vienotā nodokļu konta ieviešanu. Tā kā saskaņā ar likumu „Par nodokļiem un nodevām” valsts sociālās apdrošināšanas obligātās iemaksas (turpmāk – obligātās iemaksas) ir nodoklis šī likuma izpratnē, tad nepieciešami grozījumi likumā „Par valsts sociālo apdrošināšanu” (turpmāk – likums), nosakot no 2021. gada             1. janvāra darba devējam</w:t>
            </w:r>
            <w:r w:rsidR="00E37E9F" w:rsidRPr="009D78D3">
              <w:rPr>
                <w:rFonts w:ascii="Times New Roman" w:eastAsia="Times New Roman" w:hAnsi="Times New Roman" w:cs="Times New Roman"/>
                <w:iCs/>
                <w:noProof/>
                <w:color w:val="000000" w:themeColor="text1"/>
                <w:sz w:val="24"/>
                <w:szCs w:val="24"/>
                <w:lang w:eastAsia="lv-LV"/>
              </w:rPr>
              <w:t xml:space="preserve"> </w:t>
            </w:r>
            <w:r w:rsidR="00E37E9F" w:rsidRPr="007C3D33">
              <w:rPr>
                <w:rFonts w:ascii="Times New Roman" w:eastAsia="Times New Roman" w:hAnsi="Times New Roman" w:cs="Times New Roman"/>
                <w:iCs/>
                <w:noProof/>
                <w:color w:val="000000" w:themeColor="text1"/>
                <w:sz w:val="24"/>
                <w:szCs w:val="24"/>
                <w:lang w:eastAsia="lv-LV"/>
              </w:rPr>
              <w:t>un pašnodarbinātajam</w:t>
            </w:r>
            <w:r w:rsidRPr="009D78D3">
              <w:rPr>
                <w:rFonts w:ascii="Times New Roman" w:eastAsia="Times New Roman" w:hAnsi="Times New Roman" w:cs="Times New Roman"/>
                <w:iCs/>
                <w:noProof/>
                <w:color w:val="000000" w:themeColor="text1"/>
                <w:sz w:val="24"/>
                <w:szCs w:val="24"/>
                <w:lang w:eastAsia="lv-LV"/>
              </w:rPr>
              <w:t>:</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obligāto iemaksu veikšanas termiņu līdz mēneša 23. datumam; </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ziņojuma par obligāto iemaksu objektu un obligātajām iemaksām no darba ņēmēju darba ienākumiem pārskata mēnesī iesniegšanas termiņu līdz mēneša 17. datumam</w:t>
            </w:r>
            <w:r w:rsidR="00B54037" w:rsidRPr="009D78D3">
              <w:rPr>
                <w:rFonts w:ascii="Times New Roman" w:eastAsia="Times New Roman" w:hAnsi="Times New Roman" w:cs="Times New Roman"/>
                <w:iCs/>
                <w:noProof/>
                <w:color w:val="000000" w:themeColor="text1"/>
                <w:sz w:val="24"/>
                <w:szCs w:val="24"/>
                <w:lang w:eastAsia="lv-LV"/>
              </w:rPr>
              <w:t>.</w:t>
            </w:r>
          </w:p>
          <w:p w:rsidR="007C3D33" w:rsidRDefault="007C3D33">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 xml:space="preserve">   </w:t>
            </w:r>
          </w:p>
          <w:p w:rsidR="006631CF" w:rsidRPr="009D78D3" w:rsidRDefault="00C15C76" w:rsidP="007C3D33">
            <w:pPr>
              <w:spacing w:after="0" w:line="240" w:lineRule="auto"/>
              <w:ind w:firstLine="225"/>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Likumprojektā no</w:t>
            </w:r>
            <w:r w:rsidR="00A7791E" w:rsidRPr="007C3D33">
              <w:rPr>
                <w:rFonts w:ascii="Times New Roman" w:eastAsia="Times New Roman" w:hAnsi="Times New Roman" w:cs="Times New Roman"/>
                <w:iCs/>
                <w:noProof/>
                <w:color w:val="000000" w:themeColor="text1"/>
                <w:sz w:val="24"/>
                <w:szCs w:val="24"/>
                <w:lang w:eastAsia="lv-LV"/>
              </w:rPr>
              <w:t>teikts</w:t>
            </w:r>
            <w:r w:rsidRPr="007C3D33">
              <w:rPr>
                <w:rFonts w:ascii="Times New Roman" w:eastAsia="Times New Roman" w:hAnsi="Times New Roman" w:cs="Times New Roman"/>
                <w:iCs/>
                <w:noProof/>
                <w:color w:val="000000" w:themeColor="text1"/>
                <w:sz w:val="24"/>
                <w:szCs w:val="24"/>
                <w:lang w:eastAsia="lv-LV"/>
              </w:rPr>
              <w:t xml:space="preserve">, ka Valsts ieņēmumu dienests vienotājā nodokļu kontā saņemtos ieņēmumus </w:t>
            </w:r>
            <w:r w:rsidR="00A7791E" w:rsidRPr="007C3D33">
              <w:rPr>
                <w:rFonts w:ascii="Times New Roman" w:eastAsia="Times New Roman" w:hAnsi="Times New Roman" w:cs="Times New Roman"/>
                <w:iCs/>
                <w:noProof/>
                <w:color w:val="000000" w:themeColor="text1"/>
                <w:sz w:val="24"/>
                <w:szCs w:val="24"/>
                <w:lang w:eastAsia="lv-LV"/>
              </w:rPr>
              <w:t xml:space="preserve">katru darbdienu </w:t>
            </w:r>
            <w:r w:rsidRPr="007C3D33">
              <w:rPr>
                <w:rFonts w:ascii="Times New Roman" w:eastAsia="Times New Roman" w:hAnsi="Times New Roman" w:cs="Times New Roman"/>
                <w:iCs/>
                <w:noProof/>
                <w:color w:val="000000" w:themeColor="text1"/>
                <w:sz w:val="24"/>
                <w:szCs w:val="24"/>
                <w:lang w:eastAsia="lv-LV"/>
              </w:rPr>
              <w:t xml:space="preserve"> attiecina uz darba devēju un pašnodarbināto deklarētajām obligātajām iemaksām</w:t>
            </w:r>
            <w:r w:rsidR="00A7791E" w:rsidRPr="007C3D33">
              <w:rPr>
                <w:rFonts w:ascii="Times New Roman" w:eastAsia="Times New Roman" w:hAnsi="Times New Roman" w:cs="Times New Roman"/>
                <w:iCs/>
                <w:noProof/>
                <w:color w:val="000000" w:themeColor="text1"/>
                <w:sz w:val="24"/>
                <w:szCs w:val="24"/>
                <w:lang w:eastAsia="lv-LV"/>
              </w:rPr>
              <w:t xml:space="preserve"> un pārskaita attiecinātās obligātās iemaksas uz </w:t>
            </w:r>
            <w:r w:rsidR="00AF5A16" w:rsidRPr="007C3D33">
              <w:rPr>
                <w:rFonts w:ascii="Times New Roman" w:eastAsia="Times New Roman" w:hAnsi="Times New Roman" w:cs="Times New Roman"/>
                <w:iCs/>
                <w:noProof/>
                <w:color w:val="000000" w:themeColor="text1"/>
                <w:sz w:val="24"/>
                <w:szCs w:val="24"/>
                <w:lang w:eastAsia="lv-LV"/>
              </w:rPr>
              <w:t xml:space="preserve">valsts </w:t>
            </w:r>
            <w:r w:rsidR="00A7791E" w:rsidRPr="007C3D33">
              <w:rPr>
                <w:rFonts w:ascii="Times New Roman" w:eastAsia="Times New Roman" w:hAnsi="Times New Roman" w:cs="Times New Roman"/>
                <w:iCs/>
                <w:noProof/>
                <w:color w:val="000000" w:themeColor="text1"/>
                <w:sz w:val="24"/>
                <w:szCs w:val="24"/>
                <w:lang w:eastAsia="lv-LV"/>
              </w:rPr>
              <w:t xml:space="preserve">sociālās apdrošināšanas </w:t>
            </w:r>
            <w:r w:rsidR="00AF5A16" w:rsidRPr="007C3D33">
              <w:rPr>
                <w:rFonts w:ascii="Times New Roman" w:eastAsia="Times New Roman" w:hAnsi="Times New Roman" w:cs="Times New Roman"/>
                <w:iCs/>
                <w:noProof/>
                <w:color w:val="000000" w:themeColor="text1"/>
                <w:sz w:val="24"/>
                <w:szCs w:val="24"/>
                <w:lang w:eastAsia="lv-LV"/>
              </w:rPr>
              <w:t xml:space="preserve">iemaksu </w:t>
            </w:r>
            <w:r w:rsidR="00A7791E" w:rsidRPr="007C3D33">
              <w:rPr>
                <w:rFonts w:ascii="Times New Roman" w:eastAsia="Times New Roman" w:hAnsi="Times New Roman" w:cs="Times New Roman"/>
                <w:iCs/>
                <w:noProof/>
                <w:color w:val="000000" w:themeColor="text1"/>
                <w:sz w:val="24"/>
                <w:szCs w:val="24"/>
                <w:lang w:eastAsia="lv-LV"/>
              </w:rPr>
              <w:t xml:space="preserve">sadales kontu. </w:t>
            </w:r>
            <w:r w:rsidR="00215F9E" w:rsidRPr="007C3D33">
              <w:rPr>
                <w:rFonts w:ascii="Times New Roman" w:eastAsia="Times New Roman" w:hAnsi="Times New Roman" w:cs="Times New Roman"/>
                <w:iCs/>
                <w:noProof/>
                <w:color w:val="000000" w:themeColor="text1"/>
                <w:sz w:val="24"/>
                <w:szCs w:val="24"/>
                <w:lang w:eastAsia="lv-LV"/>
              </w:rPr>
              <w:t xml:space="preserve">Tālāk </w:t>
            </w:r>
            <w:r w:rsidR="006631CF" w:rsidRPr="007C3D33">
              <w:rPr>
                <w:rFonts w:ascii="Times New Roman" w:eastAsia="Times New Roman" w:hAnsi="Times New Roman" w:cs="Times New Roman"/>
                <w:iCs/>
                <w:noProof/>
                <w:color w:val="000000" w:themeColor="text1"/>
                <w:sz w:val="24"/>
                <w:szCs w:val="24"/>
                <w:lang w:eastAsia="lv-LV"/>
              </w:rPr>
              <w:t>Valsts kase</w:t>
            </w:r>
            <w:r w:rsidR="006A7166" w:rsidRPr="007C3D33">
              <w:rPr>
                <w:rFonts w:ascii="Times New Roman" w:eastAsia="Times New Roman" w:hAnsi="Times New Roman" w:cs="Times New Roman"/>
                <w:iCs/>
                <w:noProof/>
                <w:color w:val="000000" w:themeColor="text1"/>
                <w:sz w:val="24"/>
                <w:szCs w:val="24"/>
                <w:lang w:eastAsia="lv-LV"/>
              </w:rPr>
              <w:t xml:space="preserve">, </w:t>
            </w:r>
            <w:r w:rsidR="006631CF" w:rsidRPr="007C3D33">
              <w:rPr>
                <w:rFonts w:ascii="Times New Roman" w:eastAsia="Times New Roman" w:hAnsi="Times New Roman" w:cs="Times New Roman"/>
                <w:iCs/>
                <w:noProof/>
                <w:color w:val="000000" w:themeColor="text1"/>
                <w:sz w:val="24"/>
                <w:szCs w:val="24"/>
                <w:lang w:eastAsia="lv-LV"/>
              </w:rPr>
              <w:t xml:space="preserve">katru </w:t>
            </w:r>
            <w:r w:rsidR="009765A4" w:rsidRPr="007C3D33">
              <w:rPr>
                <w:rFonts w:ascii="Times New Roman" w:eastAsia="Times New Roman" w:hAnsi="Times New Roman" w:cs="Times New Roman"/>
                <w:iCs/>
                <w:noProof/>
                <w:color w:val="000000" w:themeColor="text1"/>
                <w:sz w:val="24"/>
                <w:szCs w:val="24"/>
                <w:lang w:eastAsia="lv-LV"/>
              </w:rPr>
              <w:t>darb</w:t>
            </w:r>
            <w:r w:rsidR="006631CF" w:rsidRPr="007C3D33">
              <w:rPr>
                <w:rFonts w:ascii="Times New Roman" w:eastAsia="Times New Roman" w:hAnsi="Times New Roman" w:cs="Times New Roman"/>
                <w:iCs/>
                <w:noProof/>
                <w:color w:val="000000" w:themeColor="text1"/>
                <w:sz w:val="24"/>
                <w:szCs w:val="24"/>
                <w:lang w:eastAsia="lv-LV"/>
              </w:rPr>
              <w:t xml:space="preserve">dienu </w:t>
            </w:r>
            <w:r w:rsidR="00137B2D" w:rsidRPr="007C3D33">
              <w:rPr>
                <w:rFonts w:ascii="Times New Roman" w:eastAsia="Times New Roman" w:hAnsi="Times New Roman" w:cs="Times New Roman"/>
                <w:iCs/>
                <w:noProof/>
                <w:color w:val="000000" w:themeColor="text1"/>
                <w:sz w:val="24"/>
                <w:szCs w:val="24"/>
                <w:lang w:eastAsia="lv-LV"/>
              </w:rPr>
              <w:t xml:space="preserve">sociālās apdrošināšanas </w:t>
            </w:r>
            <w:r w:rsidR="00AF5A16" w:rsidRPr="007C3D33">
              <w:rPr>
                <w:rFonts w:ascii="Times New Roman" w:eastAsia="Times New Roman" w:hAnsi="Times New Roman" w:cs="Times New Roman"/>
                <w:iCs/>
                <w:noProof/>
                <w:color w:val="000000" w:themeColor="text1"/>
                <w:sz w:val="24"/>
                <w:szCs w:val="24"/>
                <w:lang w:eastAsia="lv-LV"/>
              </w:rPr>
              <w:t xml:space="preserve">iemaksu </w:t>
            </w:r>
            <w:r w:rsidR="00137B2D" w:rsidRPr="007C3D33">
              <w:rPr>
                <w:rFonts w:ascii="Times New Roman" w:eastAsia="Times New Roman" w:hAnsi="Times New Roman" w:cs="Times New Roman"/>
                <w:iCs/>
                <w:noProof/>
                <w:color w:val="000000" w:themeColor="text1"/>
                <w:sz w:val="24"/>
                <w:szCs w:val="24"/>
                <w:lang w:eastAsia="lv-LV"/>
              </w:rPr>
              <w:t>sadales kontā p</w:t>
            </w:r>
            <w:r w:rsidR="00A61708" w:rsidRPr="007C3D33">
              <w:rPr>
                <w:rFonts w:ascii="Times New Roman" w:eastAsia="Times New Roman" w:hAnsi="Times New Roman" w:cs="Times New Roman"/>
                <w:iCs/>
                <w:noProof/>
                <w:color w:val="000000" w:themeColor="text1"/>
                <w:sz w:val="24"/>
                <w:szCs w:val="24"/>
                <w:lang w:eastAsia="lv-LV"/>
              </w:rPr>
              <w:t xml:space="preserve">ieejamos līdzekļus </w:t>
            </w:r>
            <w:r w:rsidR="00137B2D" w:rsidRPr="007C3D33">
              <w:rPr>
                <w:rFonts w:ascii="Times New Roman" w:eastAsia="Times New Roman" w:hAnsi="Times New Roman" w:cs="Times New Roman"/>
                <w:iCs/>
                <w:noProof/>
                <w:color w:val="000000" w:themeColor="text1"/>
                <w:sz w:val="24"/>
                <w:szCs w:val="24"/>
                <w:lang w:eastAsia="lv-LV"/>
              </w:rPr>
              <w:t xml:space="preserve">pārskaita uz </w:t>
            </w:r>
            <w:r w:rsidR="006631CF" w:rsidRPr="007C3D33">
              <w:rPr>
                <w:rFonts w:ascii="Times New Roman" w:eastAsia="Times New Roman" w:hAnsi="Times New Roman" w:cs="Times New Roman"/>
                <w:iCs/>
                <w:noProof/>
                <w:color w:val="000000" w:themeColor="text1"/>
                <w:sz w:val="24"/>
                <w:szCs w:val="24"/>
                <w:lang w:eastAsia="lv-LV"/>
              </w:rPr>
              <w:t>sociālās apdrošināšanas speciālo budžetu kont</w:t>
            </w:r>
            <w:r w:rsidR="00137B2D" w:rsidRPr="007C3D33">
              <w:rPr>
                <w:rFonts w:ascii="Times New Roman" w:eastAsia="Times New Roman" w:hAnsi="Times New Roman" w:cs="Times New Roman"/>
                <w:iCs/>
                <w:noProof/>
                <w:color w:val="000000" w:themeColor="text1"/>
                <w:sz w:val="24"/>
                <w:szCs w:val="24"/>
                <w:lang w:eastAsia="lv-LV"/>
              </w:rPr>
              <w:t>iem</w:t>
            </w:r>
            <w:r w:rsidR="006631CF" w:rsidRPr="007C3D33">
              <w:rPr>
                <w:rFonts w:ascii="Times New Roman" w:eastAsia="Times New Roman" w:hAnsi="Times New Roman" w:cs="Times New Roman"/>
                <w:iCs/>
                <w:noProof/>
                <w:color w:val="000000" w:themeColor="text1"/>
                <w:sz w:val="24"/>
                <w:szCs w:val="24"/>
                <w:lang w:eastAsia="lv-LV"/>
              </w:rPr>
              <w:t xml:space="preserve"> atbilstoši gadskārtējā valsts budžeta likumā</w:t>
            </w:r>
            <w:r w:rsidR="006631CF" w:rsidRPr="009D78D3">
              <w:rPr>
                <w:rFonts w:ascii="Times New Roman" w:eastAsia="Times New Roman" w:hAnsi="Times New Roman" w:cs="Times New Roman"/>
                <w:iCs/>
                <w:noProof/>
                <w:color w:val="000000" w:themeColor="text1"/>
                <w:sz w:val="24"/>
                <w:szCs w:val="24"/>
                <w:lang w:eastAsia="lv-LV"/>
              </w:rPr>
              <w:t xml:space="preserve"> noteiktaj</w:t>
            </w:r>
            <w:r w:rsidR="00A61708" w:rsidRPr="009D78D3">
              <w:rPr>
                <w:rFonts w:ascii="Times New Roman" w:eastAsia="Times New Roman" w:hAnsi="Times New Roman" w:cs="Times New Roman"/>
                <w:iCs/>
                <w:noProof/>
                <w:color w:val="000000" w:themeColor="text1"/>
                <w:sz w:val="24"/>
                <w:szCs w:val="24"/>
                <w:lang w:eastAsia="lv-LV"/>
              </w:rPr>
              <w:t>a</w:t>
            </w:r>
            <w:r w:rsidR="006631CF" w:rsidRPr="009D78D3">
              <w:rPr>
                <w:rFonts w:ascii="Times New Roman" w:eastAsia="Times New Roman" w:hAnsi="Times New Roman" w:cs="Times New Roman"/>
                <w:iCs/>
                <w:noProof/>
                <w:color w:val="000000" w:themeColor="text1"/>
                <w:sz w:val="24"/>
                <w:szCs w:val="24"/>
                <w:lang w:eastAsia="lv-LV"/>
              </w:rPr>
              <w:t>m sociālās apdrošināšanas ieņēmumu īpatsvar</w:t>
            </w:r>
            <w:r w:rsidR="00137B2D" w:rsidRPr="009D78D3">
              <w:rPr>
                <w:rFonts w:ascii="Times New Roman" w:eastAsia="Times New Roman" w:hAnsi="Times New Roman" w:cs="Times New Roman"/>
                <w:iCs/>
                <w:noProof/>
                <w:color w:val="000000" w:themeColor="text1"/>
                <w:sz w:val="24"/>
                <w:szCs w:val="24"/>
                <w:lang w:eastAsia="lv-LV"/>
              </w:rPr>
              <w:t>a</w:t>
            </w:r>
            <w:r w:rsidR="006631CF" w:rsidRPr="009D78D3">
              <w:rPr>
                <w:rFonts w:ascii="Times New Roman" w:eastAsia="Times New Roman" w:hAnsi="Times New Roman" w:cs="Times New Roman"/>
                <w:iCs/>
                <w:noProof/>
                <w:color w:val="000000" w:themeColor="text1"/>
                <w:sz w:val="24"/>
                <w:szCs w:val="24"/>
                <w:lang w:eastAsia="lv-LV"/>
              </w:rPr>
              <w:t>m.</w:t>
            </w:r>
          </w:p>
          <w:p w:rsidR="00E37E9F" w:rsidRPr="009D78D3" w:rsidRDefault="00E37E9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2) Valsts sociālās apdrošināšanas sistēmas pamatā ir obligātās iemaksas, ko veic darba devēji, darba ņēmēji un pašnodarbinātie, lai apdrošinātu personas, kuras ir nodarbinātas. Savukārt citas personas tiek apdrošinātas no valsts sociālās apdrošināšanas speciālā budžeta vai valsts </w:t>
            </w:r>
            <w:r w:rsidRPr="009D78D3">
              <w:rPr>
                <w:rFonts w:ascii="Times New Roman" w:eastAsia="Times New Roman" w:hAnsi="Times New Roman" w:cs="Times New Roman"/>
                <w:iCs/>
                <w:noProof/>
                <w:color w:val="000000" w:themeColor="text1"/>
                <w:sz w:val="24"/>
                <w:szCs w:val="24"/>
                <w:lang w:eastAsia="lv-LV"/>
              </w:rPr>
              <w:lastRenderedPageBreak/>
              <w:t xml:space="preserve">pamatbudžeta, ja šīs personas atbilst kādai no likuma  6. panta ceturtajā daļā minētajām personu grupām. Šīs personas apdrošina pensiju apdrošināšanai, lai neveidotos apdrošināšanas stāža pārtraukumi līdz vecuma pensijas piešķiršanai noteiktā vecuma sasniegšanai vai vecuma pensijas piešķiršanai, ja pensiju piešķir agrāk ar atvieglotiem noteikumiem vai priekšlaicīgi. Saskaņā ar likuma 6. panta piekto un sesto daļu papildus pensiju apdrošināšanai daļu no šīm personu grupām apdrošina bezdarba un invaliditātes riskiem. </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No 2018. gada 1. janvāra obligātās iemaksas </w:t>
            </w:r>
            <w:r w:rsidR="00B54037" w:rsidRPr="009D78D3">
              <w:rPr>
                <w:rFonts w:ascii="Times New Roman" w:eastAsia="Times New Roman" w:hAnsi="Times New Roman" w:cs="Times New Roman"/>
                <w:iCs/>
                <w:noProof/>
                <w:color w:val="000000" w:themeColor="text1"/>
                <w:sz w:val="24"/>
                <w:szCs w:val="24"/>
                <w:lang w:eastAsia="lv-LV"/>
              </w:rPr>
              <w:t xml:space="preserve">pensiju apdrošināsanai </w:t>
            </w:r>
            <w:r w:rsidRPr="009D78D3">
              <w:rPr>
                <w:rFonts w:ascii="Times New Roman" w:eastAsia="Times New Roman" w:hAnsi="Times New Roman" w:cs="Times New Roman"/>
                <w:iCs/>
                <w:noProof/>
                <w:color w:val="000000" w:themeColor="text1"/>
                <w:sz w:val="24"/>
                <w:szCs w:val="24"/>
                <w:lang w:eastAsia="lv-LV"/>
              </w:rPr>
              <w:t xml:space="preserve">5 % apmērā tiek veiktas no autoratlīdzībām vai tās veic pašnodarbinātie (t.sk., no lauksaimnieciskās ražošanas ienākuma). </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Lai neveidotos obligāt</w:t>
            </w:r>
            <w:r w:rsidR="009765A4" w:rsidRPr="009D78D3">
              <w:rPr>
                <w:rFonts w:ascii="Times New Roman" w:eastAsia="Times New Roman" w:hAnsi="Times New Roman" w:cs="Times New Roman"/>
                <w:iCs/>
                <w:noProof/>
                <w:color w:val="000000" w:themeColor="text1"/>
                <w:sz w:val="24"/>
                <w:szCs w:val="24"/>
                <w:lang w:eastAsia="lv-LV"/>
              </w:rPr>
              <w:t>o</w:t>
            </w:r>
            <w:r w:rsidRPr="009D78D3">
              <w:rPr>
                <w:rFonts w:ascii="Times New Roman" w:eastAsia="Times New Roman" w:hAnsi="Times New Roman" w:cs="Times New Roman"/>
                <w:iCs/>
                <w:noProof/>
                <w:color w:val="000000" w:themeColor="text1"/>
                <w:sz w:val="24"/>
                <w:szCs w:val="24"/>
                <w:lang w:eastAsia="lv-LV"/>
              </w:rPr>
              <w:t xml:space="preserve"> iemaksu pārklājumi, likumā nosakāms, ka obligātās iemaksas no valsts pamatbudžeta vai speciālajiem budžetiem netiek veiktas pensiju apdrošināšanai par mēnešiem, par kuriem tiek veiktas iemaksas pensiju apdrošināšanai 5 % apmērā no autoratlīdzībām vai tās veic pašnodarbinātie 5 % apmērā (t.sk., no lauksaimnieciskās ražošanas ienākuma).</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 Labklājības ministrija saņēmusi Ģenerālprokuratūras 2017. gada 3. oktobra vēstuli Nr.130.6/2017/350 par valsts politiku sociālās apdroš</w:t>
            </w:r>
            <w:r w:rsidR="009D3E35" w:rsidRPr="009D78D3">
              <w:rPr>
                <w:rFonts w:ascii="Times New Roman" w:eastAsia="Times New Roman" w:hAnsi="Times New Roman" w:cs="Times New Roman"/>
                <w:iCs/>
                <w:noProof/>
                <w:color w:val="000000" w:themeColor="text1"/>
                <w:sz w:val="24"/>
                <w:szCs w:val="24"/>
                <w:lang w:eastAsia="lv-LV"/>
              </w:rPr>
              <w:t xml:space="preserve">ināšanas jomā, kurā minēts, ka     </w:t>
            </w:r>
            <w:r w:rsidRPr="009D78D3">
              <w:rPr>
                <w:rFonts w:ascii="Times New Roman" w:eastAsia="Times New Roman" w:hAnsi="Times New Roman" w:cs="Times New Roman"/>
                <w:iCs/>
                <w:noProof/>
                <w:color w:val="000000" w:themeColor="text1"/>
                <w:sz w:val="24"/>
                <w:szCs w:val="24"/>
                <w:lang w:eastAsia="lv-LV"/>
              </w:rPr>
              <w:t>Latvijas pārstāvja Eirojustā un viņa laulātā sociālās garantijas, pabalstus un kompensācijas regulē Valsts un pašvaldību institūciju amatpersonu un darbinieku atlīdzības likuma 36. pants, Ministru kabineta 2010. gada 29. jūnija noteikumu Nr.602 „Noteikumi par pabalstu un kompensāciju apmēriem diplomātiskā un konsulārā dienesta amatpersonām (darbiniekiem), valsts tiešās pārvaldes amatpersonām (darbiniekiem), karavīriem, prokuroriem un sakaru virsniekiem par dienestu ārvalstīs un to izmaksas kārtību” 9. punkts. Saskaņā ar likuma “Par sociālo drošību” 20. pantu pieprasījums pēc sociālajiem pakalpojumiem tiek apmierināts no attiecīgo tiesību rašanās dienas, ja likumā nav paredzēts citādi. Ievērojot vienlīdzīgas attieksmes principu konkrētajās publiski tiesiskajās attiecībās, likuma 6. panta ceturtajā daļā norādītās tiesības attiecināmas arī uz prokurora, kurš veic dienesta pienākumus ārvalstī, laulāto, kurš kā iepriekš minēts, saņem visas pārējās kompensācijas un pabalstus. Pastāvot vienādiem faktiskajiem un tiesiskajiem apstākļiem, persona nevar būt nostādīta sociāli netaisnīgā un diskriminējošā situācijā.</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Latvijas Republikas pārstāvību Eirojustā veic Prokuratūras likuma noteiktajā kārtībā ģenerālprokurora apstiprināts pārstāvis. Prokuratūras likuma 58.¹ panta pirmā daļa noteic, ka Eirojusta pārstāvis darbojas saskaņā ar Latvijas Republikas normatīvajiem aktiem, kas regulē prokurora darbību, un Eiropas Savienības Padomes 2002. gada 28. februāra lēmumu </w:t>
            </w:r>
            <w:r w:rsidRPr="009D78D3">
              <w:rPr>
                <w:rFonts w:ascii="Times New Roman" w:eastAsia="Times New Roman" w:hAnsi="Times New Roman" w:cs="Times New Roman"/>
                <w:iCs/>
                <w:noProof/>
                <w:color w:val="000000" w:themeColor="text1"/>
                <w:sz w:val="24"/>
                <w:szCs w:val="24"/>
                <w:lang w:eastAsia="lv-LV"/>
              </w:rPr>
              <w:lastRenderedPageBreak/>
              <w:t>2002/187/TI, ar ko izveido Eirojustu, lai stiprinātu cīņu pret smagiem noziegumiem, kā arī Eiropas Savienības Padomes 2008. gada 16. decembra lēmumu 2009/426/TI par Eirojusta stiprināšanu un ar kuru groza lēmumu 2002/187/TI, ar ko izveido Eirojustu, lai stiprinātu cīņu pret smagiem noziegumiem.</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Saskaņā ar likuma 5. panta pirmās daļas un 6. panta ceturtās daļas 6., 8.punkta un piektās daļas 5., 7.punkta noteikumiem obligātai sociālajai (pensiju) apdrošināšanai un apdrošināšanai pret bezdarbu ir pakļautas personas, kuru laulātais (kam piešķirts diplomātiskais rangs saskaņā ar Diplomātiskā un konsulārā dienesta likumu) pilda diplomātisko un konsulāro dienestu ārvalstīs un kuras uzturas attiecīgajā ārvalstī kā diplomātisko un konsulāro dienestu pildošas personas laulātais, kā arī personas, kuras atrodas attiecīgajā ārvalstī dienesta pienākumus pildoša karavīra laulātā statusā, izņemot gadījumu, kad karavīrs piedalās starptautiskajā operācijā, militārajās mācībās, manevros vai atrodas komandējumā.</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Ņemot vērā iepriekš minēto un lai nodrošinātu Eirojusta pārstāvja laulātājam tādas sociālās garantijas kā diplomāta laulātajam, likumā nosakāms, ka pensiju apdrošināšanai un apdrošināšanai pret bezdarbu obligāti ir pakļautas arī personas, kuru laulātais pilda Latvijas Republikas pārstāvību Eirojustā un kuras uzturas attiecīgajā ārvalstī kā Latvijas Republikas pārstāvja Eirojustā laulātais.</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Tā kā Latvijas Republika pievienojās Eiropas Savienībai no 2004. gada 1. maija, tad likuma pārejas noteikumos nosakām, ka Ģenerālprokuratūra līdz 2019. gada 1. janvārim iesniedz informāciju Valsts sociālās apdrošināšanas aģentūrā (turpmāk – VSAA) par personām, par kurām nav veiktas obligātās iemaksas kā par Eirojusta pārstāvja laulāto par periodu no 2004. gada 1. maija. </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631CF" w:rsidRPr="007C3D3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4) Juridiskās skaidrības nodrošināšanai likumā precizējama norma par profesionālo sportistu obligāto iemaksu objektu</w:t>
            </w:r>
            <w:r w:rsidRPr="007C3D33">
              <w:rPr>
                <w:rFonts w:ascii="Times New Roman" w:eastAsia="Times New Roman" w:hAnsi="Times New Roman" w:cs="Times New Roman"/>
                <w:iCs/>
                <w:noProof/>
                <w:color w:val="000000" w:themeColor="text1"/>
                <w:sz w:val="24"/>
                <w:szCs w:val="24"/>
                <w:lang w:eastAsia="lv-LV"/>
              </w:rPr>
              <w:t>.</w:t>
            </w:r>
            <w:r w:rsidR="00215F9E" w:rsidRPr="007C3D33">
              <w:rPr>
                <w:rFonts w:ascii="Times New Roman" w:eastAsia="Times New Roman" w:hAnsi="Times New Roman" w:cs="Times New Roman"/>
                <w:iCs/>
                <w:noProof/>
                <w:color w:val="000000" w:themeColor="text1"/>
                <w:sz w:val="24"/>
                <w:szCs w:val="24"/>
                <w:lang w:eastAsia="lv-LV"/>
              </w:rPr>
              <w:t xml:space="preserve"> Tā kā likumā ir noteikts</w:t>
            </w:r>
            <w:r w:rsidR="00E37E9F" w:rsidRPr="007C3D33">
              <w:rPr>
                <w:rFonts w:ascii="Times New Roman" w:eastAsia="Times New Roman" w:hAnsi="Times New Roman" w:cs="Times New Roman"/>
                <w:iCs/>
                <w:noProof/>
                <w:color w:val="000000" w:themeColor="text1"/>
                <w:sz w:val="24"/>
                <w:szCs w:val="24"/>
                <w:lang w:eastAsia="lv-LV"/>
              </w:rPr>
              <w:t>, ka profesionāla sportis</w:t>
            </w:r>
            <w:r w:rsidR="00A61708" w:rsidRPr="007C3D33">
              <w:rPr>
                <w:rFonts w:ascii="Times New Roman" w:eastAsia="Times New Roman" w:hAnsi="Times New Roman" w:cs="Times New Roman"/>
                <w:iCs/>
                <w:noProof/>
                <w:color w:val="000000" w:themeColor="text1"/>
                <w:sz w:val="24"/>
                <w:szCs w:val="24"/>
                <w:lang w:eastAsia="lv-LV"/>
              </w:rPr>
              <w:t>ta</w:t>
            </w:r>
            <w:r w:rsidR="00E37E9F" w:rsidRPr="007C3D33">
              <w:rPr>
                <w:rFonts w:ascii="Times New Roman" w:eastAsia="Times New Roman" w:hAnsi="Times New Roman" w:cs="Times New Roman"/>
                <w:iCs/>
                <w:noProof/>
                <w:color w:val="000000" w:themeColor="text1"/>
                <w:sz w:val="24"/>
                <w:szCs w:val="24"/>
                <w:lang w:eastAsia="lv-LV"/>
              </w:rPr>
              <w:t xml:space="preserve"> obligāto iemaksu objekts ir divas Ministru kabineta noteiktās minimālās mēneša algas, t.i., </w:t>
            </w:r>
            <w:r w:rsidR="00215F9E" w:rsidRPr="007C3D33">
              <w:rPr>
                <w:rFonts w:ascii="Times New Roman" w:eastAsia="Times New Roman" w:hAnsi="Times New Roman" w:cs="Times New Roman"/>
                <w:iCs/>
                <w:noProof/>
                <w:color w:val="000000" w:themeColor="text1"/>
                <w:sz w:val="24"/>
                <w:szCs w:val="24"/>
                <w:lang w:eastAsia="lv-LV"/>
              </w:rPr>
              <w:t>konstants obligāto iema</w:t>
            </w:r>
            <w:r w:rsidR="00AF5A16" w:rsidRPr="007C3D33">
              <w:rPr>
                <w:rFonts w:ascii="Times New Roman" w:eastAsia="Times New Roman" w:hAnsi="Times New Roman" w:cs="Times New Roman"/>
                <w:iCs/>
                <w:noProof/>
                <w:color w:val="000000" w:themeColor="text1"/>
                <w:sz w:val="24"/>
                <w:szCs w:val="24"/>
                <w:lang w:eastAsia="lv-LV"/>
              </w:rPr>
              <w:t>k</w:t>
            </w:r>
            <w:r w:rsidR="00215F9E" w:rsidRPr="007C3D33">
              <w:rPr>
                <w:rFonts w:ascii="Times New Roman" w:eastAsia="Times New Roman" w:hAnsi="Times New Roman" w:cs="Times New Roman"/>
                <w:iCs/>
                <w:noProof/>
                <w:color w:val="000000" w:themeColor="text1"/>
                <w:sz w:val="24"/>
                <w:szCs w:val="24"/>
                <w:lang w:eastAsia="lv-LV"/>
              </w:rPr>
              <w:t>su objekts, tad gadījumos, kad profesionāl</w:t>
            </w:r>
            <w:r w:rsidR="00E37E9F" w:rsidRPr="007C3D33">
              <w:rPr>
                <w:rFonts w:ascii="Times New Roman" w:eastAsia="Times New Roman" w:hAnsi="Times New Roman" w:cs="Times New Roman"/>
                <w:iCs/>
                <w:noProof/>
                <w:color w:val="000000" w:themeColor="text1"/>
                <w:sz w:val="24"/>
                <w:szCs w:val="24"/>
                <w:lang w:eastAsia="lv-LV"/>
              </w:rPr>
              <w:t xml:space="preserve">s </w:t>
            </w:r>
            <w:r w:rsidR="00215F9E" w:rsidRPr="007C3D33">
              <w:rPr>
                <w:rFonts w:ascii="Times New Roman" w:eastAsia="Times New Roman" w:hAnsi="Times New Roman" w:cs="Times New Roman"/>
                <w:iCs/>
                <w:noProof/>
                <w:color w:val="000000" w:themeColor="text1"/>
                <w:sz w:val="24"/>
                <w:szCs w:val="24"/>
                <w:lang w:eastAsia="lv-LV"/>
              </w:rPr>
              <w:t>sportist</w:t>
            </w:r>
            <w:r w:rsidR="00E37E9F" w:rsidRPr="007C3D33">
              <w:rPr>
                <w:rFonts w:ascii="Times New Roman" w:eastAsia="Times New Roman" w:hAnsi="Times New Roman" w:cs="Times New Roman"/>
                <w:iCs/>
                <w:noProof/>
                <w:color w:val="000000" w:themeColor="text1"/>
                <w:sz w:val="24"/>
                <w:szCs w:val="24"/>
                <w:lang w:eastAsia="lv-LV"/>
              </w:rPr>
              <w:t>s</w:t>
            </w:r>
            <w:r w:rsidR="00215F9E" w:rsidRPr="007C3D33">
              <w:rPr>
                <w:rFonts w:ascii="Times New Roman" w:eastAsia="Times New Roman" w:hAnsi="Times New Roman" w:cs="Times New Roman"/>
                <w:iCs/>
                <w:noProof/>
                <w:color w:val="000000" w:themeColor="text1"/>
                <w:sz w:val="24"/>
                <w:szCs w:val="24"/>
                <w:lang w:eastAsia="lv-LV"/>
              </w:rPr>
              <w:t xml:space="preserve"> darba ņemēja status</w:t>
            </w:r>
            <w:r w:rsidR="00E37E9F" w:rsidRPr="007C3D33">
              <w:rPr>
                <w:rFonts w:ascii="Times New Roman" w:eastAsia="Times New Roman" w:hAnsi="Times New Roman" w:cs="Times New Roman"/>
                <w:iCs/>
                <w:noProof/>
                <w:color w:val="000000" w:themeColor="text1"/>
                <w:sz w:val="24"/>
                <w:szCs w:val="24"/>
                <w:lang w:eastAsia="lv-LV"/>
              </w:rPr>
              <w:t>u</w:t>
            </w:r>
            <w:r w:rsidR="00215F9E" w:rsidRPr="007C3D33">
              <w:rPr>
                <w:rFonts w:ascii="Times New Roman" w:eastAsia="Times New Roman" w:hAnsi="Times New Roman" w:cs="Times New Roman"/>
                <w:iCs/>
                <w:noProof/>
                <w:color w:val="000000" w:themeColor="text1"/>
                <w:sz w:val="24"/>
                <w:szCs w:val="24"/>
                <w:lang w:eastAsia="lv-LV"/>
              </w:rPr>
              <w:t xml:space="preserve"> iegūs</w:t>
            </w:r>
            <w:r w:rsidR="00E37E9F" w:rsidRPr="007C3D33">
              <w:rPr>
                <w:rFonts w:ascii="Times New Roman" w:eastAsia="Times New Roman" w:hAnsi="Times New Roman" w:cs="Times New Roman"/>
                <w:iCs/>
                <w:noProof/>
                <w:color w:val="000000" w:themeColor="text1"/>
                <w:sz w:val="24"/>
                <w:szCs w:val="24"/>
                <w:lang w:eastAsia="lv-LV"/>
              </w:rPr>
              <w:t>t</w:t>
            </w:r>
            <w:r w:rsidR="00215F9E" w:rsidRPr="007C3D33">
              <w:rPr>
                <w:rFonts w:ascii="Times New Roman" w:eastAsia="Times New Roman" w:hAnsi="Times New Roman" w:cs="Times New Roman"/>
                <w:iCs/>
                <w:noProof/>
                <w:color w:val="000000" w:themeColor="text1"/>
                <w:sz w:val="24"/>
                <w:szCs w:val="24"/>
                <w:lang w:eastAsia="lv-LV"/>
              </w:rPr>
              <w:t xml:space="preserve"> no datuma, kas nav mēneša pirmais datums, obligāto iema</w:t>
            </w:r>
            <w:r w:rsidR="00E37E9F" w:rsidRPr="007C3D33">
              <w:rPr>
                <w:rFonts w:ascii="Times New Roman" w:eastAsia="Times New Roman" w:hAnsi="Times New Roman" w:cs="Times New Roman"/>
                <w:iCs/>
                <w:noProof/>
                <w:color w:val="000000" w:themeColor="text1"/>
                <w:sz w:val="24"/>
                <w:szCs w:val="24"/>
                <w:lang w:eastAsia="lv-LV"/>
              </w:rPr>
              <w:t>k</w:t>
            </w:r>
            <w:r w:rsidR="00215F9E" w:rsidRPr="007C3D33">
              <w:rPr>
                <w:rFonts w:ascii="Times New Roman" w:eastAsia="Times New Roman" w:hAnsi="Times New Roman" w:cs="Times New Roman"/>
                <w:iCs/>
                <w:noProof/>
                <w:color w:val="000000" w:themeColor="text1"/>
                <w:sz w:val="24"/>
                <w:szCs w:val="24"/>
                <w:lang w:eastAsia="lv-LV"/>
              </w:rPr>
              <w:t>su objekts aprēķināms proporcionāli darba ņemēja statusa</w:t>
            </w:r>
            <w:r w:rsidR="00E37E9F" w:rsidRPr="007C3D33">
              <w:rPr>
                <w:rFonts w:ascii="Times New Roman" w:eastAsia="Times New Roman" w:hAnsi="Times New Roman" w:cs="Times New Roman"/>
                <w:iCs/>
                <w:noProof/>
                <w:color w:val="000000" w:themeColor="text1"/>
                <w:sz w:val="24"/>
                <w:szCs w:val="24"/>
                <w:lang w:eastAsia="lv-LV"/>
              </w:rPr>
              <w:t xml:space="preserve"> periodam. Iemaksu objektu proporcionāli nepiemēro par tām taksācijas gada kalendāra dienām, kurās profesionāls sportists atrodas bērna kopšanas atvaļinājumā, kurās darba ņēmējam (bērna tēvam) ir piešķirts atvaļinājums sakarā ar bērna piedzimšanu, kurās darba ņēmējs atrodas atvaļinājumā bez darba algas saglabāšanas, kas piešķirts darba ņēmējam, kura aprūpē un uzraudzībā pirms adopcijas apstiprināšanas tiesā ar bāriņtiesas lēmumu nodots aprūpējamais bērns, vai par pārejošas darbnespējas, grūtniecības un dzemdību atvaļinājuma kalendāra dienām, par </w:t>
            </w:r>
            <w:r w:rsidR="00E37E9F" w:rsidRPr="007C3D33">
              <w:rPr>
                <w:rFonts w:ascii="Times New Roman" w:eastAsia="Times New Roman" w:hAnsi="Times New Roman" w:cs="Times New Roman"/>
                <w:iCs/>
                <w:noProof/>
                <w:color w:val="000000" w:themeColor="text1"/>
                <w:sz w:val="24"/>
                <w:szCs w:val="24"/>
                <w:lang w:eastAsia="lv-LV"/>
              </w:rPr>
              <w:lastRenderedPageBreak/>
              <w:t>kurām ir izsniegta darbnespējas lapa "B".”</w:t>
            </w:r>
            <w:r w:rsidR="00215F9E" w:rsidRPr="007C3D33">
              <w:rPr>
                <w:rFonts w:ascii="Times New Roman" w:eastAsia="Times New Roman" w:hAnsi="Times New Roman" w:cs="Times New Roman"/>
                <w:iCs/>
                <w:noProof/>
                <w:color w:val="000000" w:themeColor="text1"/>
                <w:sz w:val="24"/>
                <w:szCs w:val="24"/>
                <w:lang w:eastAsia="lv-LV"/>
              </w:rPr>
              <w:t xml:space="preserve">  </w:t>
            </w:r>
          </w:p>
          <w:p w:rsidR="00FC0919" w:rsidRDefault="00FC0919"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423E7" w:rsidRPr="007C3D33" w:rsidRDefault="006423E7"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5) Juridiskās skaidrības nodrošinā</w:t>
            </w:r>
            <w:r w:rsidR="00C15C76" w:rsidRPr="007C3D33">
              <w:rPr>
                <w:rFonts w:ascii="Times New Roman" w:eastAsia="Times New Roman" w:hAnsi="Times New Roman" w:cs="Times New Roman"/>
                <w:iCs/>
                <w:noProof/>
                <w:color w:val="000000" w:themeColor="text1"/>
                <w:sz w:val="24"/>
                <w:szCs w:val="24"/>
                <w:lang w:eastAsia="lv-LV"/>
              </w:rPr>
              <w:t>š</w:t>
            </w:r>
            <w:r w:rsidRPr="007C3D33">
              <w:rPr>
                <w:rFonts w:ascii="Times New Roman" w:eastAsia="Times New Roman" w:hAnsi="Times New Roman" w:cs="Times New Roman"/>
                <w:iCs/>
                <w:noProof/>
                <w:color w:val="000000" w:themeColor="text1"/>
                <w:sz w:val="24"/>
                <w:szCs w:val="24"/>
                <w:lang w:eastAsia="lv-LV"/>
              </w:rPr>
              <w:t xml:space="preserve">anai precizēta </w:t>
            </w:r>
            <w:r w:rsidR="00C15C76" w:rsidRPr="007C3D33">
              <w:rPr>
                <w:rFonts w:ascii="Times New Roman" w:eastAsia="Times New Roman" w:hAnsi="Times New Roman" w:cs="Times New Roman"/>
                <w:iCs/>
                <w:noProof/>
                <w:color w:val="000000" w:themeColor="text1"/>
                <w:sz w:val="24"/>
                <w:szCs w:val="24"/>
                <w:lang w:eastAsia="lv-LV"/>
              </w:rPr>
              <w:t xml:space="preserve">likuma 20.¹ panta otrās daļas </w:t>
            </w:r>
            <w:r w:rsidRPr="007C3D33">
              <w:rPr>
                <w:rFonts w:ascii="Times New Roman" w:eastAsia="Times New Roman" w:hAnsi="Times New Roman" w:cs="Times New Roman"/>
                <w:iCs/>
                <w:noProof/>
                <w:color w:val="000000" w:themeColor="text1"/>
                <w:sz w:val="24"/>
                <w:szCs w:val="24"/>
                <w:lang w:eastAsia="lv-LV"/>
              </w:rPr>
              <w:t xml:space="preserve">norma par termiņu, kādā darba devējs </w:t>
            </w:r>
            <w:r w:rsidR="006F0021" w:rsidRPr="007C3D33">
              <w:rPr>
                <w:rFonts w:ascii="Times New Roman" w:eastAsia="Times New Roman" w:hAnsi="Times New Roman" w:cs="Times New Roman"/>
                <w:iCs/>
                <w:noProof/>
                <w:color w:val="000000" w:themeColor="text1"/>
                <w:sz w:val="24"/>
                <w:szCs w:val="24"/>
                <w:lang w:eastAsia="lv-LV"/>
              </w:rPr>
              <w:t xml:space="preserve">ir tiesīgs </w:t>
            </w:r>
            <w:r w:rsidRPr="007C3D33">
              <w:rPr>
                <w:rFonts w:ascii="Times New Roman" w:eastAsia="Times New Roman" w:hAnsi="Times New Roman" w:cs="Times New Roman"/>
                <w:iCs/>
                <w:noProof/>
                <w:color w:val="000000" w:themeColor="text1"/>
                <w:sz w:val="24"/>
                <w:szCs w:val="24"/>
                <w:lang w:eastAsia="lv-LV"/>
              </w:rPr>
              <w:t xml:space="preserve">precizēt darba ņemēja </w:t>
            </w:r>
            <w:r w:rsidR="00C15C76" w:rsidRPr="007C3D33">
              <w:rPr>
                <w:rFonts w:ascii="Times New Roman" w:eastAsia="Times New Roman" w:hAnsi="Times New Roman" w:cs="Times New Roman"/>
                <w:iCs/>
                <w:noProof/>
                <w:color w:val="000000" w:themeColor="text1"/>
                <w:sz w:val="24"/>
                <w:szCs w:val="24"/>
                <w:lang w:eastAsia="lv-LV"/>
              </w:rPr>
              <w:t xml:space="preserve">darba </w:t>
            </w:r>
            <w:r w:rsidRPr="007C3D33">
              <w:rPr>
                <w:rFonts w:ascii="Times New Roman" w:eastAsia="Times New Roman" w:hAnsi="Times New Roman" w:cs="Times New Roman"/>
                <w:iCs/>
                <w:noProof/>
                <w:color w:val="000000" w:themeColor="text1"/>
                <w:sz w:val="24"/>
                <w:szCs w:val="24"/>
                <w:lang w:eastAsia="lv-LV"/>
              </w:rPr>
              <w:t xml:space="preserve">ienākumus un obligātās iemaksas. </w:t>
            </w:r>
            <w:r w:rsidR="00F15AF8" w:rsidRPr="007C3D33">
              <w:rPr>
                <w:rFonts w:ascii="Times New Roman" w:eastAsia="Times New Roman" w:hAnsi="Times New Roman" w:cs="Times New Roman"/>
                <w:iCs/>
                <w:noProof/>
                <w:color w:val="000000" w:themeColor="text1"/>
                <w:sz w:val="24"/>
                <w:szCs w:val="24"/>
                <w:lang w:eastAsia="lv-LV"/>
              </w:rPr>
              <w:t xml:space="preserve">Piemēram, </w:t>
            </w:r>
            <w:r w:rsidR="00985BBB" w:rsidRPr="007C3D33">
              <w:rPr>
                <w:rFonts w:ascii="Times New Roman" w:eastAsia="Times New Roman" w:hAnsi="Times New Roman" w:cs="Times New Roman"/>
                <w:iCs/>
                <w:noProof/>
                <w:color w:val="000000" w:themeColor="text1"/>
                <w:sz w:val="24"/>
                <w:szCs w:val="24"/>
                <w:lang w:eastAsia="lv-LV"/>
              </w:rPr>
              <w:t xml:space="preserve">ja ziņojums </w:t>
            </w:r>
            <w:r w:rsidR="00F15AF8" w:rsidRPr="007C3D33">
              <w:rPr>
                <w:rFonts w:ascii="Times New Roman" w:eastAsia="Times New Roman" w:hAnsi="Times New Roman" w:cs="Times New Roman"/>
                <w:iCs/>
                <w:noProof/>
                <w:color w:val="000000" w:themeColor="text1"/>
                <w:sz w:val="24"/>
                <w:szCs w:val="24"/>
                <w:lang w:eastAsia="lv-LV"/>
              </w:rPr>
              <w:t xml:space="preserve">par </w:t>
            </w:r>
            <w:r w:rsidR="00985BBB" w:rsidRPr="007C3D33">
              <w:rPr>
                <w:rFonts w:ascii="Times New Roman" w:eastAsia="Times New Roman" w:hAnsi="Times New Roman" w:cs="Times New Roman"/>
                <w:iCs/>
                <w:noProof/>
                <w:color w:val="000000" w:themeColor="text1"/>
                <w:sz w:val="24"/>
                <w:szCs w:val="24"/>
                <w:lang w:eastAsia="lv-LV"/>
              </w:rPr>
              <w:t xml:space="preserve">2018. gada </w:t>
            </w:r>
            <w:r w:rsidR="00F15AF8" w:rsidRPr="007C3D33">
              <w:rPr>
                <w:rFonts w:ascii="Times New Roman" w:eastAsia="Times New Roman" w:hAnsi="Times New Roman" w:cs="Times New Roman"/>
                <w:iCs/>
                <w:noProof/>
                <w:color w:val="000000" w:themeColor="text1"/>
                <w:sz w:val="24"/>
                <w:szCs w:val="24"/>
                <w:lang w:eastAsia="lv-LV"/>
              </w:rPr>
              <w:t>martu iesnie</w:t>
            </w:r>
            <w:r w:rsidR="00985BBB" w:rsidRPr="007C3D33">
              <w:rPr>
                <w:rFonts w:ascii="Times New Roman" w:eastAsia="Times New Roman" w:hAnsi="Times New Roman" w:cs="Times New Roman"/>
                <w:iCs/>
                <w:noProof/>
                <w:color w:val="000000" w:themeColor="text1"/>
                <w:sz w:val="24"/>
                <w:szCs w:val="24"/>
                <w:lang w:eastAsia="lv-LV"/>
              </w:rPr>
              <w:t xml:space="preserve">gts </w:t>
            </w:r>
            <w:r w:rsidR="00A61708" w:rsidRPr="007C3D33">
              <w:rPr>
                <w:rFonts w:ascii="Times New Roman" w:eastAsia="Times New Roman" w:hAnsi="Times New Roman" w:cs="Times New Roman"/>
                <w:iCs/>
                <w:noProof/>
                <w:color w:val="000000" w:themeColor="text1"/>
                <w:sz w:val="24"/>
                <w:szCs w:val="24"/>
                <w:lang w:eastAsia="lv-LV"/>
              </w:rPr>
              <w:t xml:space="preserve">2018. gada </w:t>
            </w:r>
            <w:r w:rsidR="00985BBB" w:rsidRPr="007C3D33">
              <w:rPr>
                <w:rFonts w:ascii="Times New Roman" w:eastAsia="Times New Roman" w:hAnsi="Times New Roman" w:cs="Times New Roman"/>
                <w:iCs/>
                <w:noProof/>
                <w:color w:val="000000" w:themeColor="text1"/>
                <w:sz w:val="24"/>
                <w:szCs w:val="24"/>
                <w:lang w:eastAsia="lv-LV"/>
              </w:rPr>
              <w:t>17. a</w:t>
            </w:r>
            <w:r w:rsidR="00F15AF8" w:rsidRPr="007C3D33">
              <w:rPr>
                <w:rFonts w:ascii="Times New Roman" w:eastAsia="Times New Roman" w:hAnsi="Times New Roman" w:cs="Times New Roman"/>
                <w:iCs/>
                <w:noProof/>
                <w:color w:val="000000" w:themeColor="text1"/>
                <w:sz w:val="24"/>
                <w:szCs w:val="24"/>
                <w:lang w:eastAsia="lv-LV"/>
              </w:rPr>
              <w:t>prīl</w:t>
            </w:r>
            <w:r w:rsidR="00985BBB" w:rsidRPr="007C3D33">
              <w:rPr>
                <w:rFonts w:ascii="Times New Roman" w:eastAsia="Times New Roman" w:hAnsi="Times New Roman" w:cs="Times New Roman"/>
                <w:iCs/>
                <w:noProof/>
                <w:color w:val="000000" w:themeColor="text1"/>
                <w:sz w:val="24"/>
                <w:szCs w:val="24"/>
                <w:lang w:eastAsia="lv-LV"/>
              </w:rPr>
              <w:t xml:space="preserve">ī, tad precizēt šajā ziņojumā sniegtās ziņas par personas </w:t>
            </w:r>
            <w:r w:rsidR="00C15C76" w:rsidRPr="007C3D33">
              <w:rPr>
                <w:rFonts w:ascii="Times New Roman" w:eastAsia="Times New Roman" w:hAnsi="Times New Roman" w:cs="Times New Roman"/>
                <w:iCs/>
                <w:noProof/>
                <w:color w:val="000000" w:themeColor="text1"/>
                <w:sz w:val="24"/>
                <w:szCs w:val="24"/>
                <w:lang w:eastAsia="lv-LV"/>
              </w:rPr>
              <w:t xml:space="preserve">darba </w:t>
            </w:r>
            <w:r w:rsidR="00985BBB" w:rsidRPr="007C3D33">
              <w:rPr>
                <w:rFonts w:ascii="Times New Roman" w:eastAsia="Times New Roman" w:hAnsi="Times New Roman" w:cs="Times New Roman"/>
                <w:iCs/>
                <w:noProof/>
                <w:color w:val="000000" w:themeColor="text1"/>
                <w:sz w:val="24"/>
                <w:szCs w:val="24"/>
                <w:lang w:eastAsia="lv-LV"/>
              </w:rPr>
              <w:t xml:space="preserve">ienākumiem un obligātajām iemkasām var līdz 2021. gada </w:t>
            </w:r>
            <w:r w:rsidR="00F15AF8" w:rsidRPr="007C3D33">
              <w:rPr>
                <w:rFonts w:ascii="Times New Roman" w:eastAsia="Times New Roman" w:hAnsi="Times New Roman" w:cs="Times New Roman"/>
                <w:iCs/>
                <w:noProof/>
                <w:color w:val="000000" w:themeColor="text1"/>
                <w:sz w:val="24"/>
                <w:szCs w:val="24"/>
                <w:lang w:eastAsia="lv-LV"/>
              </w:rPr>
              <w:t xml:space="preserve"> </w:t>
            </w:r>
            <w:r w:rsidR="00985BBB" w:rsidRPr="007C3D33">
              <w:rPr>
                <w:rFonts w:ascii="Times New Roman" w:eastAsia="Times New Roman" w:hAnsi="Times New Roman" w:cs="Times New Roman"/>
                <w:iCs/>
                <w:noProof/>
                <w:color w:val="000000" w:themeColor="text1"/>
                <w:sz w:val="24"/>
                <w:szCs w:val="24"/>
                <w:lang w:eastAsia="lv-LV"/>
              </w:rPr>
              <w:t>16. aprīlim.</w:t>
            </w:r>
          </w:p>
          <w:p w:rsidR="006631CF" w:rsidRPr="007C3D3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F0021" w:rsidRPr="007C3D33" w:rsidRDefault="006F0021"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6</w:t>
            </w:r>
            <w:r w:rsidR="006631CF" w:rsidRPr="007C3D33">
              <w:rPr>
                <w:rFonts w:ascii="Times New Roman" w:eastAsia="Times New Roman" w:hAnsi="Times New Roman" w:cs="Times New Roman"/>
                <w:iCs/>
                <w:noProof/>
                <w:color w:val="000000" w:themeColor="text1"/>
                <w:sz w:val="24"/>
                <w:szCs w:val="24"/>
                <w:lang w:eastAsia="lv-LV"/>
              </w:rPr>
              <w:t xml:space="preserve">) </w:t>
            </w:r>
            <w:r w:rsidRPr="007C3D33">
              <w:rPr>
                <w:rFonts w:ascii="Times New Roman" w:eastAsia="Times New Roman" w:hAnsi="Times New Roman" w:cs="Times New Roman"/>
                <w:iCs/>
                <w:noProof/>
                <w:color w:val="000000" w:themeColor="text1"/>
                <w:sz w:val="24"/>
                <w:szCs w:val="24"/>
                <w:lang w:eastAsia="lv-LV"/>
              </w:rPr>
              <w:t>Juridiskās skaidrības nodrošināšanai precizēts likuma 1. panta 2. punkts, papildinot darba ņemējam atbilstošo personu uzskaitījumu ar zemnieku (zvejnieku) saimniecības īpašnieku, kas ir darba tiesiskajās attiecībās ar savu zemnieku (zvejnieku) saimniecību.</w:t>
            </w:r>
          </w:p>
          <w:p w:rsidR="006F0021" w:rsidRPr="007C3D33" w:rsidRDefault="006F0021"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F0021" w:rsidRPr="007C3D33" w:rsidRDefault="006F0021"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7) Juridiskās skaidrības nodroši</w:t>
            </w:r>
            <w:r w:rsidR="00AF5A16" w:rsidRPr="007C3D33">
              <w:rPr>
                <w:rFonts w:ascii="Times New Roman" w:eastAsia="Times New Roman" w:hAnsi="Times New Roman" w:cs="Times New Roman"/>
                <w:iCs/>
                <w:noProof/>
                <w:color w:val="000000" w:themeColor="text1"/>
                <w:sz w:val="24"/>
                <w:szCs w:val="24"/>
                <w:lang w:eastAsia="lv-LV"/>
              </w:rPr>
              <w:t>nāsanai precizēts likuma 23.² p</w:t>
            </w:r>
            <w:r w:rsidRPr="007C3D33">
              <w:rPr>
                <w:rFonts w:ascii="Times New Roman" w:eastAsia="Times New Roman" w:hAnsi="Times New Roman" w:cs="Times New Roman"/>
                <w:iCs/>
                <w:noProof/>
                <w:color w:val="000000" w:themeColor="text1"/>
                <w:sz w:val="24"/>
                <w:szCs w:val="24"/>
                <w:lang w:eastAsia="lv-LV"/>
              </w:rPr>
              <w:t>anta pirmās daļas 2. punkts</w:t>
            </w:r>
            <w:r w:rsidR="00DF0735" w:rsidRPr="007C3D33">
              <w:rPr>
                <w:rFonts w:ascii="Times New Roman" w:eastAsia="Times New Roman" w:hAnsi="Times New Roman" w:cs="Times New Roman"/>
                <w:iCs/>
                <w:noProof/>
                <w:color w:val="000000" w:themeColor="text1"/>
                <w:sz w:val="24"/>
                <w:szCs w:val="24"/>
                <w:lang w:eastAsia="lv-LV"/>
              </w:rPr>
              <w:t>, lai precīzāk noteiktu iemaksu objektu tām pašnodarbinātajām personām, kuru mēneša ienākumi nesasniedz Minis</w:t>
            </w:r>
            <w:r w:rsidR="00AF5A16" w:rsidRPr="007C3D33">
              <w:rPr>
                <w:rFonts w:ascii="Times New Roman" w:eastAsia="Times New Roman" w:hAnsi="Times New Roman" w:cs="Times New Roman"/>
                <w:iCs/>
                <w:noProof/>
                <w:color w:val="000000" w:themeColor="text1"/>
                <w:sz w:val="24"/>
                <w:szCs w:val="24"/>
                <w:lang w:eastAsia="lv-LV"/>
              </w:rPr>
              <w:t>t</w:t>
            </w:r>
            <w:r w:rsidR="00DF0735" w:rsidRPr="007C3D33">
              <w:rPr>
                <w:rFonts w:ascii="Times New Roman" w:eastAsia="Times New Roman" w:hAnsi="Times New Roman" w:cs="Times New Roman"/>
                <w:iCs/>
                <w:noProof/>
                <w:color w:val="000000" w:themeColor="text1"/>
                <w:sz w:val="24"/>
                <w:szCs w:val="24"/>
                <w:lang w:eastAsia="lv-LV"/>
              </w:rPr>
              <w:t>ru kabineta noteikto minimālo mēneša darba algu un kurām jāveic 5 % obligātās iemaksas pensiju apdrošināšanai</w:t>
            </w:r>
            <w:r w:rsidRPr="007C3D33">
              <w:rPr>
                <w:rFonts w:ascii="Times New Roman" w:eastAsia="Times New Roman" w:hAnsi="Times New Roman" w:cs="Times New Roman"/>
                <w:iCs/>
                <w:noProof/>
                <w:color w:val="000000" w:themeColor="text1"/>
                <w:sz w:val="24"/>
                <w:szCs w:val="24"/>
                <w:lang w:eastAsia="lv-LV"/>
              </w:rPr>
              <w:t xml:space="preserve">. </w:t>
            </w:r>
            <w:r w:rsidR="00DF0735" w:rsidRPr="007C3D33">
              <w:rPr>
                <w:rFonts w:ascii="Times New Roman" w:eastAsia="Times New Roman" w:hAnsi="Times New Roman" w:cs="Times New Roman"/>
                <w:iCs/>
                <w:noProof/>
                <w:color w:val="000000" w:themeColor="text1"/>
                <w:sz w:val="24"/>
                <w:szCs w:val="24"/>
                <w:lang w:eastAsia="lv-LV"/>
              </w:rPr>
              <w:t>Pašnodarbinātais ienākumus aprēķina par katru mēnesi atsevišķi. Ja ienākumi nesasniedz minimālo mēneša darba algu, bet pārsniedz 50 euro, tad p</w:t>
            </w:r>
            <w:r w:rsidR="00AF5A16" w:rsidRPr="007C3D33">
              <w:rPr>
                <w:rFonts w:ascii="Times New Roman" w:eastAsia="Times New Roman" w:hAnsi="Times New Roman" w:cs="Times New Roman"/>
                <w:iCs/>
                <w:noProof/>
                <w:color w:val="000000" w:themeColor="text1"/>
                <w:sz w:val="24"/>
                <w:szCs w:val="24"/>
                <w:lang w:eastAsia="lv-LV"/>
              </w:rPr>
              <w:t>aš</w:t>
            </w:r>
            <w:r w:rsidR="00DF0735" w:rsidRPr="007C3D33">
              <w:rPr>
                <w:rFonts w:ascii="Times New Roman" w:eastAsia="Times New Roman" w:hAnsi="Times New Roman" w:cs="Times New Roman"/>
                <w:iCs/>
                <w:noProof/>
                <w:color w:val="000000" w:themeColor="text1"/>
                <w:sz w:val="24"/>
                <w:szCs w:val="24"/>
                <w:lang w:eastAsia="lv-LV"/>
              </w:rPr>
              <w:t>nodarbinātajam jāveic obligātās iemkasas 5 % pensiju apdrošināšanai.</w:t>
            </w:r>
          </w:p>
          <w:p w:rsidR="003C4DB9" w:rsidRPr="007C3D33" w:rsidRDefault="003C4DB9"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DF0735" w:rsidRPr="007C3D33" w:rsidRDefault="00DF0735" w:rsidP="006631CF">
            <w:pPr>
              <w:spacing w:after="0" w:line="240" w:lineRule="auto"/>
              <w:jc w:val="both"/>
              <w:rPr>
                <w:rFonts w:ascii="Times New Roman" w:eastAsia="Times New Roman" w:hAnsi="Times New Roman" w:cs="Times New Roman"/>
                <w:i/>
                <w:iCs/>
                <w:noProof/>
                <w:color w:val="000000" w:themeColor="text1"/>
                <w:sz w:val="24"/>
                <w:szCs w:val="24"/>
                <w:lang w:eastAsia="lv-LV"/>
              </w:rPr>
            </w:pPr>
            <w:r w:rsidRPr="007C3D33">
              <w:rPr>
                <w:rFonts w:ascii="Times New Roman" w:eastAsia="Times New Roman" w:hAnsi="Times New Roman" w:cs="Times New Roman"/>
                <w:i/>
                <w:iCs/>
                <w:noProof/>
                <w:color w:val="000000" w:themeColor="text1"/>
                <w:sz w:val="24"/>
                <w:szCs w:val="24"/>
                <w:lang w:eastAsia="lv-LV"/>
              </w:rPr>
              <w:t>1. piemērs.</w:t>
            </w:r>
          </w:p>
          <w:p w:rsidR="00DF0735" w:rsidRPr="007C3D33" w:rsidRDefault="003C4DB9" w:rsidP="00DF0735">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j</w:t>
            </w:r>
            <w:r w:rsidR="00DF0735" w:rsidRPr="007C3D33">
              <w:rPr>
                <w:rFonts w:ascii="Times New Roman" w:eastAsia="Times New Roman" w:hAnsi="Times New Roman" w:cs="Times New Roman"/>
                <w:iCs/>
                <w:noProof/>
                <w:color w:val="000000" w:themeColor="text1"/>
                <w:sz w:val="24"/>
                <w:szCs w:val="24"/>
                <w:lang w:eastAsia="lv-LV"/>
              </w:rPr>
              <w:t>anvār</w:t>
            </w:r>
            <w:r w:rsidRPr="007C3D33">
              <w:rPr>
                <w:rFonts w:ascii="Times New Roman" w:eastAsia="Times New Roman" w:hAnsi="Times New Roman" w:cs="Times New Roman"/>
                <w:iCs/>
                <w:noProof/>
                <w:color w:val="000000" w:themeColor="text1"/>
                <w:sz w:val="24"/>
                <w:szCs w:val="24"/>
                <w:lang w:eastAsia="lv-LV"/>
              </w:rPr>
              <w:t xml:space="preserve">ī </w:t>
            </w:r>
            <w:r w:rsidR="00DF0735" w:rsidRPr="007C3D33">
              <w:rPr>
                <w:rFonts w:ascii="Times New Roman" w:eastAsia="Times New Roman" w:hAnsi="Times New Roman" w:cs="Times New Roman"/>
                <w:iCs/>
                <w:noProof/>
                <w:color w:val="000000" w:themeColor="text1"/>
                <w:sz w:val="24"/>
                <w:szCs w:val="24"/>
                <w:lang w:eastAsia="lv-LV"/>
              </w:rPr>
              <w:t xml:space="preserve">ienākumi 0; </w:t>
            </w:r>
          </w:p>
          <w:p w:rsidR="00DF0735" w:rsidRPr="007C3D33" w:rsidRDefault="003C4DB9" w:rsidP="00DF0735">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f</w:t>
            </w:r>
            <w:r w:rsidR="00DF0735" w:rsidRPr="007C3D33">
              <w:rPr>
                <w:rFonts w:ascii="Times New Roman" w:eastAsia="Times New Roman" w:hAnsi="Times New Roman" w:cs="Times New Roman"/>
                <w:iCs/>
                <w:noProof/>
                <w:color w:val="000000" w:themeColor="text1"/>
                <w:sz w:val="24"/>
                <w:szCs w:val="24"/>
                <w:lang w:eastAsia="lv-LV"/>
              </w:rPr>
              <w:t>ebruār</w:t>
            </w:r>
            <w:r w:rsidRPr="007C3D33">
              <w:rPr>
                <w:rFonts w:ascii="Times New Roman" w:eastAsia="Times New Roman" w:hAnsi="Times New Roman" w:cs="Times New Roman"/>
                <w:iCs/>
                <w:noProof/>
                <w:color w:val="000000" w:themeColor="text1"/>
                <w:sz w:val="24"/>
                <w:szCs w:val="24"/>
                <w:lang w:eastAsia="lv-LV"/>
              </w:rPr>
              <w:t xml:space="preserve">ī </w:t>
            </w:r>
            <w:r w:rsidR="00DF0735" w:rsidRPr="007C3D33">
              <w:rPr>
                <w:rFonts w:ascii="Times New Roman" w:eastAsia="Times New Roman" w:hAnsi="Times New Roman" w:cs="Times New Roman"/>
                <w:iCs/>
                <w:noProof/>
                <w:color w:val="000000" w:themeColor="text1"/>
                <w:sz w:val="24"/>
                <w:szCs w:val="24"/>
                <w:lang w:eastAsia="lv-LV"/>
              </w:rPr>
              <w:t xml:space="preserve">ienākumi </w:t>
            </w:r>
            <w:r w:rsidRPr="007C3D33">
              <w:rPr>
                <w:rFonts w:ascii="Times New Roman" w:eastAsia="Times New Roman" w:hAnsi="Times New Roman" w:cs="Times New Roman"/>
                <w:iCs/>
                <w:noProof/>
                <w:color w:val="000000" w:themeColor="text1"/>
                <w:sz w:val="24"/>
                <w:szCs w:val="24"/>
                <w:lang w:eastAsia="lv-LV"/>
              </w:rPr>
              <w:t>407,50 euro</w:t>
            </w:r>
            <w:r w:rsidR="00DF0735" w:rsidRPr="007C3D33">
              <w:rPr>
                <w:rFonts w:ascii="Times New Roman" w:eastAsia="Times New Roman" w:hAnsi="Times New Roman" w:cs="Times New Roman"/>
                <w:iCs/>
                <w:noProof/>
                <w:color w:val="000000" w:themeColor="text1"/>
                <w:sz w:val="24"/>
                <w:szCs w:val="24"/>
                <w:lang w:eastAsia="lv-LV"/>
              </w:rPr>
              <w:t xml:space="preserve">; </w:t>
            </w:r>
          </w:p>
          <w:p w:rsidR="003C4DB9" w:rsidRPr="007C3D33" w:rsidRDefault="00DF0735" w:rsidP="00DF0735">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mart</w:t>
            </w:r>
            <w:r w:rsidR="003C4DB9" w:rsidRPr="007C3D33">
              <w:rPr>
                <w:rFonts w:ascii="Times New Roman" w:eastAsia="Times New Roman" w:hAnsi="Times New Roman" w:cs="Times New Roman"/>
                <w:iCs/>
                <w:noProof/>
                <w:color w:val="000000" w:themeColor="text1"/>
                <w:sz w:val="24"/>
                <w:szCs w:val="24"/>
                <w:lang w:eastAsia="lv-LV"/>
              </w:rPr>
              <w:t xml:space="preserve">ā </w:t>
            </w:r>
            <w:r w:rsidRPr="007C3D33">
              <w:rPr>
                <w:rFonts w:ascii="Times New Roman" w:eastAsia="Times New Roman" w:hAnsi="Times New Roman" w:cs="Times New Roman"/>
                <w:iCs/>
                <w:noProof/>
                <w:color w:val="000000" w:themeColor="text1"/>
                <w:sz w:val="24"/>
                <w:szCs w:val="24"/>
                <w:lang w:eastAsia="lv-LV"/>
              </w:rPr>
              <w:t xml:space="preserve">ienākumi </w:t>
            </w:r>
            <w:r w:rsidR="003C4DB9" w:rsidRPr="007C3D33">
              <w:rPr>
                <w:rFonts w:ascii="Times New Roman" w:eastAsia="Times New Roman" w:hAnsi="Times New Roman" w:cs="Times New Roman"/>
                <w:iCs/>
                <w:noProof/>
                <w:color w:val="000000" w:themeColor="text1"/>
                <w:sz w:val="24"/>
                <w:szCs w:val="24"/>
                <w:lang w:eastAsia="lv-LV"/>
              </w:rPr>
              <w:t>0</w:t>
            </w:r>
            <w:r w:rsidRPr="007C3D33">
              <w:rPr>
                <w:rFonts w:ascii="Times New Roman" w:eastAsia="Times New Roman" w:hAnsi="Times New Roman" w:cs="Times New Roman"/>
                <w:iCs/>
                <w:noProof/>
                <w:color w:val="000000" w:themeColor="text1"/>
                <w:sz w:val="24"/>
                <w:szCs w:val="24"/>
                <w:lang w:eastAsia="lv-LV"/>
              </w:rPr>
              <w:t>.</w:t>
            </w:r>
          </w:p>
          <w:p w:rsidR="00DF0735" w:rsidRPr="007C3D33" w:rsidRDefault="003C4DB9" w:rsidP="00DF0735">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Obligāto iema</w:t>
            </w:r>
            <w:r w:rsidR="00184AD7" w:rsidRPr="007C3D33">
              <w:rPr>
                <w:rFonts w:ascii="Times New Roman" w:eastAsia="Times New Roman" w:hAnsi="Times New Roman" w:cs="Times New Roman"/>
                <w:iCs/>
                <w:noProof/>
                <w:color w:val="000000" w:themeColor="text1"/>
                <w:sz w:val="24"/>
                <w:szCs w:val="24"/>
                <w:lang w:eastAsia="lv-LV"/>
              </w:rPr>
              <w:t>k</w:t>
            </w:r>
            <w:r w:rsidRPr="007C3D33">
              <w:rPr>
                <w:rFonts w:ascii="Times New Roman" w:eastAsia="Times New Roman" w:hAnsi="Times New Roman" w:cs="Times New Roman"/>
                <w:iCs/>
                <w:noProof/>
                <w:color w:val="000000" w:themeColor="text1"/>
                <w:sz w:val="24"/>
                <w:szCs w:val="24"/>
                <w:lang w:eastAsia="lv-LV"/>
              </w:rPr>
              <w:t xml:space="preserve">su </w:t>
            </w:r>
            <w:r w:rsidR="00DF0735" w:rsidRPr="007C3D33">
              <w:rPr>
                <w:rFonts w:ascii="Times New Roman" w:eastAsia="Times New Roman" w:hAnsi="Times New Roman" w:cs="Times New Roman"/>
                <w:iCs/>
                <w:noProof/>
                <w:color w:val="000000" w:themeColor="text1"/>
                <w:sz w:val="24"/>
                <w:szCs w:val="24"/>
                <w:lang w:eastAsia="lv-LV"/>
              </w:rPr>
              <w:t>objekts 4</w:t>
            </w:r>
            <w:r w:rsidRPr="007C3D33">
              <w:rPr>
                <w:rFonts w:ascii="Times New Roman" w:eastAsia="Times New Roman" w:hAnsi="Times New Roman" w:cs="Times New Roman"/>
                <w:iCs/>
                <w:noProof/>
                <w:color w:val="000000" w:themeColor="text1"/>
                <w:sz w:val="24"/>
                <w:szCs w:val="24"/>
                <w:lang w:eastAsia="lv-LV"/>
              </w:rPr>
              <w:t>07</w:t>
            </w:r>
            <w:r w:rsidR="00DF0735" w:rsidRPr="007C3D33">
              <w:rPr>
                <w:rFonts w:ascii="Times New Roman" w:eastAsia="Times New Roman" w:hAnsi="Times New Roman" w:cs="Times New Roman"/>
                <w:iCs/>
                <w:noProof/>
                <w:color w:val="000000" w:themeColor="text1"/>
                <w:sz w:val="24"/>
                <w:szCs w:val="24"/>
                <w:lang w:eastAsia="lv-LV"/>
              </w:rPr>
              <w:t>,</w:t>
            </w:r>
            <w:r w:rsidRPr="007C3D33">
              <w:rPr>
                <w:rFonts w:ascii="Times New Roman" w:eastAsia="Times New Roman" w:hAnsi="Times New Roman" w:cs="Times New Roman"/>
                <w:iCs/>
                <w:noProof/>
                <w:color w:val="000000" w:themeColor="text1"/>
                <w:sz w:val="24"/>
                <w:szCs w:val="24"/>
                <w:lang w:eastAsia="lv-LV"/>
              </w:rPr>
              <w:t>50</w:t>
            </w:r>
            <w:r w:rsidR="00DF0735" w:rsidRPr="007C3D33">
              <w:rPr>
                <w:rFonts w:ascii="Times New Roman" w:eastAsia="Times New Roman" w:hAnsi="Times New Roman" w:cs="Times New Roman"/>
                <w:iCs/>
                <w:noProof/>
                <w:color w:val="000000" w:themeColor="text1"/>
                <w:sz w:val="24"/>
                <w:szCs w:val="24"/>
                <w:lang w:eastAsia="lv-LV"/>
              </w:rPr>
              <w:t xml:space="preserve"> - 50 = </w:t>
            </w:r>
            <w:r w:rsidRPr="007C3D33">
              <w:rPr>
                <w:rFonts w:ascii="Times New Roman" w:eastAsia="Times New Roman" w:hAnsi="Times New Roman" w:cs="Times New Roman"/>
                <w:iCs/>
                <w:noProof/>
                <w:color w:val="000000" w:themeColor="text1"/>
                <w:sz w:val="24"/>
                <w:szCs w:val="24"/>
                <w:lang w:eastAsia="lv-LV"/>
              </w:rPr>
              <w:t>357</w:t>
            </w:r>
            <w:r w:rsidR="00DF0735" w:rsidRPr="007C3D33">
              <w:rPr>
                <w:rFonts w:ascii="Times New Roman" w:eastAsia="Times New Roman" w:hAnsi="Times New Roman" w:cs="Times New Roman"/>
                <w:iCs/>
                <w:noProof/>
                <w:color w:val="000000" w:themeColor="text1"/>
                <w:sz w:val="24"/>
                <w:szCs w:val="24"/>
                <w:lang w:eastAsia="lv-LV"/>
              </w:rPr>
              <w:t>,</w:t>
            </w:r>
            <w:r w:rsidRPr="007C3D33">
              <w:rPr>
                <w:rFonts w:ascii="Times New Roman" w:eastAsia="Times New Roman" w:hAnsi="Times New Roman" w:cs="Times New Roman"/>
                <w:iCs/>
                <w:noProof/>
                <w:color w:val="000000" w:themeColor="text1"/>
                <w:sz w:val="24"/>
                <w:szCs w:val="24"/>
                <w:lang w:eastAsia="lv-LV"/>
              </w:rPr>
              <w:t>50</w:t>
            </w:r>
            <w:r w:rsidR="00DF0735" w:rsidRPr="007C3D33">
              <w:rPr>
                <w:rFonts w:ascii="Times New Roman" w:eastAsia="Times New Roman" w:hAnsi="Times New Roman" w:cs="Times New Roman"/>
                <w:iCs/>
                <w:noProof/>
                <w:color w:val="000000" w:themeColor="text1"/>
                <w:sz w:val="24"/>
                <w:szCs w:val="24"/>
                <w:lang w:eastAsia="lv-LV"/>
              </w:rPr>
              <w:t xml:space="preserve"> euro</w:t>
            </w:r>
            <w:r w:rsidRPr="007C3D33">
              <w:rPr>
                <w:rFonts w:ascii="Times New Roman" w:eastAsia="Times New Roman" w:hAnsi="Times New Roman" w:cs="Times New Roman"/>
                <w:iCs/>
                <w:noProof/>
                <w:color w:val="000000" w:themeColor="text1"/>
                <w:sz w:val="24"/>
                <w:szCs w:val="24"/>
                <w:lang w:eastAsia="lv-LV"/>
              </w:rPr>
              <w:t>,</w:t>
            </w:r>
            <w:r w:rsidR="00DF0735" w:rsidRPr="007C3D33">
              <w:rPr>
                <w:rFonts w:ascii="Times New Roman" w:eastAsia="Times New Roman" w:hAnsi="Times New Roman" w:cs="Times New Roman"/>
                <w:iCs/>
                <w:noProof/>
                <w:color w:val="000000" w:themeColor="text1"/>
                <w:sz w:val="24"/>
                <w:szCs w:val="24"/>
                <w:lang w:eastAsia="lv-LV"/>
              </w:rPr>
              <w:t xml:space="preserve"> no kuriem </w:t>
            </w:r>
            <w:r w:rsidRPr="007C3D33">
              <w:rPr>
                <w:rFonts w:ascii="Times New Roman" w:eastAsia="Times New Roman" w:hAnsi="Times New Roman" w:cs="Times New Roman"/>
                <w:iCs/>
                <w:noProof/>
                <w:color w:val="000000" w:themeColor="text1"/>
                <w:sz w:val="24"/>
                <w:szCs w:val="24"/>
                <w:lang w:eastAsia="lv-LV"/>
              </w:rPr>
              <w:t xml:space="preserve">jāveic </w:t>
            </w:r>
            <w:r w:rsidR="00DF0735" w:rsidRPr="007C3D33">
              <w:rPr>
                <w:rFonts w:ascii="Times New Roman" w:eastAsia="Times New Roman" w:hAnsi="Times New Roman" w:cs="Times New Roman"/>
                <w:iCs/>
                <w:noProof/>
                <w:color w:val="000000" w:themeColor="text1"/>
                <w:sz w:val="24"/>
                <w:szCs w:val="24"/>
                <w:lang w:eastAsia="lv-LV"/>
              </w:rPr>
              <w:t>5</w:t>
            </w:r>
            <w:r w:rsidRPr="007C3D33">
              <w:rPr>
                <w:rFonts w:ascii="Times New Roman" w:eastAsia="Times New Roman" w:hAnsi="Times New Roman" w:cs="Times New Roman"/>
                <w:iCs/>
                <w:noProof/>
                <w:color w:val="000000" w:themeColor="text1"/>
                <w:sz w:val="24"/>
                <w:szCs w:val="24"/>
                <w:lang w:eastAsia="lv-LV"/>
              </w:rPr>
              <w:t> </w:t>
            </w:r>
            <w:r w:rsidR="00DF0735" w:rsidRPr="007C3D33">
              <w:rPr>
                <w:rFonts w:ascii="Times New Roman" w:eastAsia="Times New Roman" w:hAnsi="Times New Roman" w:cs="Times New Roman"/>
                <w:iCs/>
                <w:noProof/>
                <w:color w:val="000000" w:themeColor="text1"/>
                <w:sz w:val="24"/>
                <w:szCs w:val="24"/>
                <w:lang w:eastAsia="lv-LV"/>
              </w:rPr>
              <w:t>%</w:t>
            </w:r>
            <w:r w:rsidRPr="007C3D33">
              <w:rPr>
                <w:rFonts w:ascii="Times New Roman" w:eastAsia="Times New Roman" w:hAnsi="Times New Roman" w:cs="Times New Roman"/>
                <w:iCs/>
                <w:noProof/>
                <w:color w:val="000000" w:themeColor="text1"/>
                <w:sz w:val="24"/>
                <w:szCs w:val="24"/>
                <w:lang w:eastAsia="lv-LV"/>
              </w:rPr>
              <w:t xml:space="preserve"> obligātās iemaksas pensiju apdrošināšanai</w:t>
            </w:r>
            <w:r w:rsidR="00DF0735" w:rsidRPr="007C3D33">
              <w:rPr>
                <w:rFonts w:ascii="Times New Roman" w:eastAsia="Times New Roman" w:hAnsi="Times New Roman" w:cs="Times New Roman"/>
                <w:iCs/>
                <w:noProof/>
                <w:color w:val="000000" w:themeColor="text1"/>
                <w:sz w:val="24"/>
                <w:szCs w:val="24"/>
                <w:lang w:eastAsia="lv-LV"/>
              </w:rPr>
              <w:t xml:space="preserve">. </w:t>
            </w:r>
          </w:p>
          <w:p w:rsidR="00DF0735" w:rsidRPr="007C3D33" w:rsidRDefault="00DF0735" w:rsidP="00DF0735">
            <w:pPr>
              <w:spacing w:after="0" w:line="240" w:lineRule="auto"/>
              <w:jc w:val="both"/>
              <w:rPr>
                <w:rFonts w:ascii="Times New Roman" w:eastAsia="Times New Roman" w:hAnsi="Times New Roman" w:cs="Times New Roman"/>
                <w:iCs/>
                <w:noProof/>
                <w:color w:val="000000" w:themeColor="text1"/>
                <w:sz w:val="24"/>
                <w:szCs w:val="24"/>
                <w:lang w:eastAsia="lv-LV"/>
              </w:rPr>
            </w:pPr>
          </w:p>
          <w:p w:rsidR="00DF0735" w:rsidRPr="007C3D33" w:rsidRDefault="003C4DB9" w:rsidP="00DF0735">
            <w:pPr>
              <w:spacing w:after="0" w:line="240" w:lineRule="auto"/>
              <w:jc w:val="both"/>
              <w:rPr>
                <w:rFonts w:ascii="Times New Roman" w:eastAsia="Times New Roman" w:hAnsi="Times New Roman" w:cs="Times New Roman"/>
                <w:i/>
                <w:iCs/>
                <w:noProof/>
                <w:color w:val="000000" w:themeColor="text1"/>
                <w:sz w:val="24"/>
                <w:szCs w:val="24"/>
                <w:lang w:eastAsia="lv-LV"/>
              </w:rPr>
            </w:pPr>
            <w:r w:rsidRPr="007C3D33">
              <w:rPr>
                <w:rFonts w:ascii="Times New Roman" w:eastAsia="Times New Roman" w:hAnsi="Times New Roman" w:cs="Times New Roman"/>
                <w:i/>
                <w:iCs/>
                <w:noProof/>
                <w:color w:val="000000" w:themeColor="text1"/>
                <w:sz w:val="24"/>
                <w:szCs w:val="24"/>
                <w:lang w:eastAsia="lv-LV"/>
              </w:rPr>
              <w:t>2. p</w:t>
            </w:r>
            <w:r w:rsidR="00DF0735" w:rsidRPr="007C3D33">
              <w:rPr>
                <w:rFonts w:ascii="Times New Roman" w:eastAsia="Times New Roman" w:hAnsi="Times New Roman" w:cs="Times New Roman"/>
                <w:i/>
                <w:iCs/>
                <w:noProof/>
                <w:color w:val="000000" w:themeColor="text1"/>
                <w:sz w:val="24"/>
                <w:szCs w:val="24"/>
                <w:lang w:eastAsia="lv-LV"/>
              </w:rPr>
              <w:t>iemērs</w:t>
            </w:r>
            <w:r w:rsidR="00C77DDE" w:rsidRPr="007C3D33">
              <w:rPr>
                <w:rFonts w:ascii="Times New Roman" w:eastAsia="Times New Roman" w:hAnsi="Times New Roman" w:cs="Times New Roman"/>
                <w:i/>
                <w:iCs/>
                <w:noProof/>
                <w:color w:val="000000" w:themeColor="text1"/>
                <w:sz w:val="24"/>
                <w:szCs w:val="24"/>
                <w:lang w:eastAsia="lv-LV"/>
              </w:rPr>
              <w:t>.</w:t>
            </w:r>
            <w:r w:rsidR="00DF0735" w:rsidRPr="007C3D33">
              <w:rPr>
                <w:rFonts w:ascii="Times New Roman" w:eastAsia="Times New Roman" w:hAnsi="Times New Roman" w:cs="Times New Roman"/>
                <w:i/>
                <w:iCs/>
                <w:noProof/>
                <w:color w:val="000000" w:themeColor="text1"/>
                <w:sz w:val="24"/>
                <w:szCs w:val="24"/>
                <w:lang w:eastAsia="lv-LV"/>
              </w:rPr>
              <w:t xml:space="preserve"> </w:t>
            </w:r>
          </w:p>
          <w:p w:rsidR="00DF0735" w:rsidRPr="007C3D33" w:rsidRDefault="003C4DB9" w:rsidP="00DF0735">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j</w:t>
            </w:r>
            <w:r w:rsidR="00DF0735" w:rsidRPr="007C3D33">
              <w:rPr>
                <w:rFonts w:ascii="Times New Roman" w:eastAsia="Times New Roman" w:hAnsi="Times New Roman" w:cs="Times New Roman"/>
                <w:iCs/>
                <w:noProof/>
                <w:color w:val="000000" w:themeColor="text1"/>
                <w:sz w:val="24"/>
                <w:szCs w:val="24"/>
                <w:lang w:eastAsia="lv-LV"/>
              </w:rPr>
              <w:t>anvār</w:t>
            </w:r>
            <w:r w:rsidRPr="007C3D33">
              <w:rPr>
                <w:rFonts w:ascii="Times New Roman" w:eastAsia="Times New Roman" w:hAnsi="Times New Roman" w:cs="Times New Roman"/>
                <w:iCs/>
                <w:noProof/>
                <w:color w:val="000000" w:themeColor="text1"/>
                <w:sz w:val="24"/>
                <w:szCs w:val="24"/>
                <w:lang w:eastAsia="lv-LV"/>
              </w:rPr>
              <w:t xml:space="preserve">ī </w:t>
            </w:r>
            <w:r w:rsidR="00DF0735" w:rsidRPr="007C3D33">
              <w:rPr>
                <w:rFonts w:ascii="Times New Roman" w:eastAsia="Times New Roman" w:hAnsi="Times New Roman" w:cs="Times New Roman"/>
                <w:iCs/>
                <w:noProof/>
                <w:color w:val="000000" w:themeColor="text1"/>
                <w:sz w:val="24"/>
                <w:szCs w:val="24"/>
                <w:lang w:eastAsia="lv-LV"/>
              </w:rPr>
              <w:t xml:space="preserve">ienākumi 0; </w:t>
            </w:r>
          </w:p>
          <w:p w:rsidR="00DF0735" w:rsidRPr="007C3D33" w:rsidRDefault="00DF0735" w:rsidP="00DF0735">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februār</w:t>
            </w:r>
            <w:r w:rsidR="003C4DB9" w:rsidRPr="007C3D33">
              <w:rPr>
                <w:rFonts w:ascii="Times New Roman" w:eastAsia="Times New Roman" w:hAnsi="Times New Roman" w:cs="Times New Roman"/>
                <w:iCs/>
                <w:noProof/>
                <w:color w:val="000000" w:themeColor="text1"/>
                <w:sz w:val="24"/>
                <w:szCs w:val="24"/>
                <w:lang w:eastAsia="lv-LV"/>
              </w:rPr>
              <w:t xml:space="preserve">ī </w:t>
            </w:r>
            <w:r w:rsidRPr="007C3D33">
              <w:rPr>
                <w:rFonts w:ascii="Times New Roman" w:eastAsia="Times New Roman" w:hAnsi="Times New Roman" w:cs="Times New Roman"/>
                <w:iCs/>
                <w:noProof/>
                <w:color w:val="000000" w:themeColor="text1"/>
                <w:sz w:val="24"/>
                <w:szCs w:val="24"/>
                <w:lang w:eastAsia="lv-LV"/>
              </w:rPr>
              <w:t xml:space="preserve">ienākumi 0; </w:t>
            </w:r>
          </w:p>
          <w:p w:rsidR="003C4DB9" w:rsidRPr="007C3D33" w:rsidRDefault="00DF0735" w:rsidP="00DF0735">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mart</w:t>
            </w:r>
            <w:r w:rsidR="003C4DB9" w:rsidRPr="007C3D33">
              <w:rPr>
                <w:rFonts w:ascii="Times New Roman" w:eastAsia="Times New Roman" w:hAnsi="Times New Roman" w:cs="Times New Roman"/>
                <w:iCs/>
                <w:noProof/>
                <w:color w:val="000000" w:themeColor="text1"/>
                <w:sz w:val="24"/>
                <w:szCs w:val="24"/>
                <w:lang w:eastAsia="lv-LV"/>
              </w:rPr>
              <w:t xml:space="preserve">ā </w:t>
            </w:r>
            <w:r w:rsidRPr="007C3D33">
              <w:rPr>
                <w:rFonts w:ascii="Times New Roman" w:eastAsia="Times New Roman" w:hAnsi="Times New Roman" w:cs="Times New Roman"/>
                <w:iCs/>
                <w:noProof/>
                <w:color w:val="000000" w:themeColor="text1"/>
                <w:sz w:val="24"/>
                <w:szCs w:val="24"/>
                <w:lang w:eastAsia="lv-LV"/>
              </w:rPr>
              <w:t>ienākumi 440</w:t>
            </w:r>
            <w:r w:rsidR="003C4DB9" w:rsidRPr="007C3D33">
              <w:rPr>
                <w:rFonts w:ascii="Times New Roman" w:eastAsia="Times New Roman" w:hAnsi="Times New Roman" w:cs="Times New Roman"/>
                <w:iCs/>
                <w:noProof/>
                <w:color w:val="000000" w:themeColor="text1"/>
                <w:sz w:val="24"/>
                <w:szCs w:val="24"/>
                <w:lang w:eastAsia="lv-LV"/>
              </w:rPr>
              <w:t xml:space="preserve"> euro</w:t>
            </w:r>
            <w:r w:rsidRPr="007C3D33">
              <w:rPr>
                <w:rFonts w:ascii="Times New Roman" w:eastAsia="Times New Roman" w:hAnsi="Times New Roman" w:cs="Times New Roman"/>
                <w:iCs/>
                <w:noProof/>
                <w:color w:val="000000" w:themeColor="text1"/>
                <w:sz w:val="24"/>
                <w:szCs w:val="24"/>
                <w:lang w:eastAsia="lv-LV"/>
              </w:rPr>
              <w:t xml:space="preserve">. </w:t>
            </w:r>
          </w:p>
          <w:p w:rsidR="003C4DB9" w:rsidRPr="007C3D33" w:rsidRDefault="003C4DB9" w:rsidP="00DF0735">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 xml:space="preserve">Pāsnodarbinātais izvēlas obligāto iemaksu </w:t>
            </w:r>
            <w:r w:rsidR="00DF0735" w:rsidRPr="007C3D33">
              <w:rPr>
                <w:rFonts w:ascii="Times New Roman" w:eastAsia="Times New Roman" w:hAnsi="Times New Roman" w:cs="Times New Roman"/>
                <w:iCs/>
                <w:noProof/>
                <w:color w:val="000000" w:themeColor="text1"/>
                <w:sz w:val="24"/>
                <w:szCs w:val="24"/>
                <w:lang w:eastAsia="lv-LV"/>
              </w:rPr>
              <w:t>objekt</w:t>
            </w:r>
            <w:r w:rsidRPr="007C3D33">
              <w:rPr>
                <w:rFonts w:ascii="Times New Roman" w:eastAsia="Times New Roman" w:hAnsi="Times New Roman" w:cs="Times New Roman"/>
                <w:iCs/>
                <w:noProof/>
                <w:color w:val="000000" w:themeColor="text1"/>
                <w:sz w:val="24"/>
                <w:szCs w:val="24"/>
                <w:lang w:eastAsia="lv-LV"/>
              </w:rPr>
              <w:t xml:space="preserve">u (kas nav mazāks par minimālo mēneša darba algu), no kura </w:t>
            </w:r>
            <w:r w:rsidR="00C77DDE" w:rsidRPr="007C3D33">
              <w:rPr>
                <w:rFonts w:ascii="Times New Roman" w:eastAsia="Times New Roman" w:hAnsi="Times New Roman" w:cs="Times New Roman"/>
                <w:iCs/>
                <w:noProof/>
                <w:color w:val="000000" w:themeColor="text1"/>
                <w:sz w:val="24"/>
                <w:szCs w:val="24"/>
                <w:lang w:eastAsia="lv-LV"/>
              </w:rPr>
              <w:t xml:space="preserve">jāveic </w:t>
            </w:r>
            <w:r w:rsidRPr="007C3D33">
              <w:rPr>
                <w:rFonts w:ascii="Times New Roman" w:eastAsia="Times New Roman" w:hAnsi="Times New Roman" w:cs="Times New Roman"/>
                <w:iCs/>
                <w:noProof/>
                <w:color w:val="000000" w:themeColor="text1"/>
                <w:sz w:val="24"/>
                <w:szCs w:val="24"/>
                <w:lang w:eastAsia="lv-LV"/>
              </w:rPr>
              <w:t>32,15 % obligātās iema</w:t>
            </w:r>
            <w:r w:rsidR="00C77DDE" w:rsidRPr="007C3D33">
              <w:rPr>
                <w:rFonts w:ascii="Times New Roman" w:eastAsia="Times New Roman" w:hAnsi="Times New Roman" w:cs="Times New Roman"/>
                <w:iCs/>
                <w:noProof/>
                <w:color w:val="000000" w:themeColor="text1"/>
                <w:sz w:val="24"/>
                <w:szCs w:val="24"/>
                <w:lang w:eastAsia="lv-LV"/>
              </w:rPr>
              <w:t>k</w:t>
            </w:r>
            <w:r w:rsidRPr="007C3D33">
              <w:rPr>
                <w:rFonts w:ascii="Times New Roman" w:eastAsia="Times New Roman" w:hAnsi="Times New Roman" w:cs="Times New Roman"/>
                <w:iCs/>
                <w:noProof/>
                <w:color w:val="000000" w:themeColor="text1"/>
                <w:sz w:val="24"/>
                <w:szCs w:val="24"/>
                <w:lang w:eastAsia="lv-LV"/>
              </w:rPr>
              <w:t xml:space="preserve">sas.  </w:t>
            </w:r>
          </w:p>
          <w:p w:rsidR="00DF0735" w:rsidRPr="007C3D33" w:rsidRDefault="00184AD7" w:rsidP="00DF0735">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B</w:t>
            </w:r>
            <w:r w:rsidR="003C4DB9" w:rsidRPr="007C3D33">
              <w:rPr>
                <w:rFonts w:ascii="Times New Roman" w:eastAsia="Times New Roman" w:hAnsi="Times New Roman" w:cs="Times New Roman"/>
                <w:iCs/>
                <w:noProof/>
                <w:color w:val="000000" w:themeColor="text1"/>
                <w:sz w:val="24"/>
                <w:szCs w:val="24"/>
                <w:lang w:eastAsia="lv-LV"/>
              </w:rPr>
              <w:t>rīvi izr</w:t>
            </w:r>
            <w:r w:rsidR="00C77DDE" w:rsidRPr="007C3D33">
              <w:rPr>
                <w:rFonts w:ascii="Times New Roman" w:eastAsia="Times New Roman" w:hAnsi="Times New Roman" w:cs="Times New Roman"/>
                <w:iCs/>
                <w:noProof/>
                <w:color w:val="000000" w:themeColor="text1"/>
                <w:sz w:val="24"/>
                <w:szCs w:val="24"/>
                <w:lang w:eastAsia="lv-LV"/>
              </w:rPr>
              <w:t>a</w:t>
            </w:r>
            <w:r w:rsidR="003C4DB9" w:rsidRPr="007C3D33">
              <w:rPr>
                <w:rFonts w:ascii="Times New Roman" w:eastAsia="Times New Roman" w:hAnsi="Times New Roman" w:cs="Times New Roman"/>
                <w:iCs/>
                <w:noProof/>
                <w:color w:val="000000" w:themeColor="text1"/>
                <w:sz w:val="24"/>
                <w:szCs w:val="24"/>
                <w:lang w:eastAsia="lv-LV"/>
              </w:rPr>
              <w:t xml:space="preserve">udzītais obligāto iemkasu objekts ir 430 euro, </w:t>
            </w:r>
            <w:r w:rsidRPr="007C3D33">
              <w:rPr>
                <w:rFonts w:ascii="Times New Roman" w:eastAsia="Times New Roman" w:hAnsi="Times New Roman" w:cs="Times New Roman"/>
                <w:iCs/>
                <w:noProof/>
                <w:color w:val="000000" w:themeColor="text1"/>
                <w:sz w:val="24"/>
                <w:szCs w:val="24"/>
                <w:lang w:eastAsia="lv-LV"/>
              </w:rPr>
              <w:t xml:space="preserve">un </w:t>
            </w:r>
            <w:r w:rsidR="00DF0735" w:rsidRPr="007C3D33">
              <w:rPr>
                <w:rFonts w:ascii="Times New Roman" w:eastAsia="Times New Roman" w:hAnsi="Times New Roman" w:cs="Times New Roman"/>
                <w:iCs/>
                <w:noProof/>
                <w:color w:val="000000" w:themeColor="text1"/>
                <w:sz w:val="24"/>
                <w:szCs w:val="24"/>
                <w:lang w:eastAsia="lv-LV"/>
              </w:rPr>
              <w:t xml:space="preserve">no starpības 10 euro </w:t>
            </w:r>
            <w:r w:rsidR="003C4DB9" w:rsidRPr="007C3D33">
              <w:rPr>
                <w:rFonts w:ascii="Times New Roman" w:eastAsia="Times New Roman" w:hAnsi="Times New Roman" w:cs="Times New Roman"/>
                <w:iCs/>
                <w:noProof/>
                <w:color w:val="000000" w:themeColor="text1"/>
                <w:sz w:val="24"/>
                <w:szCs w:val="24"/>
                <w:lang w:eastAsia="lv-LV"/>
              </w:rPr>
              <w:t xml:space="preserve">(440 - 430 euro) jāveic obligātās iemkasas </w:t>
            </w:r>
            <w:r w:rsidR="00DF0735" w:rsidRPr="007C3D33">
              <w:rPr>
                <w:rFonts w:ascii="Times New Roman" w:eastAsia="Times New Roman" w:hAnsi="Times New Roman" w:cs="Times New Roman"/>
                <w:iCs/>
                <w:noProof/>
                <w:color w:val="000000" w:themeColor="text1"/>
                <w:sz w:val="24"/>
                <w:szCs w:val="24"/>
                <w:lang w:eastAsia="lv-LV"/>
              </w:rPr>
              <w:t>5</w:t>
            </w:r>
            <w:r w:rsidR="003C4DB9" w:rsidRPr="007C3D33">
              <w:rPr>
                <w:rFonts w:ascii="Times New Roman" w:eastAsia="Times New Roman" w:hAnsi="Times New Roman" w:cs="Times New Roman"/>
                <w:iCs/>
                <w:noProof/>
                <w:color w:val="000000" w:themeColor="text1"/>
                <w:sz w:val="24"/>
                <w:szCs w:val="24"/>
                <w:lang w:eastAsia="lv-LV"/>
              </w:rPr>
              <w:t> </w:t>
            </w:r>
            <w:r w:rsidR="00DF0735" w:rsidRPr="007C3D33">
              <w:rPr>
                <w:rFonts w:ascii="Times New Roman" w:eastAsia="Times New Roman" w:hAnsi="Times New Roman" w:cs="Times New Roman"/>
                <w:iCs/>
                <w:noProof/>
                <w:color w:val="000000" w:themeColor="text1"/>
                <w:sz w:val="24"/>
                <w:szCs w:val="24"/>
                <w:lang w:eastAsia="lv-LV"/>
              </w:rPr>
              <w:t>%</w:t>
            </w:r>
            <w:r w:rsidR="003C4DB9" w:rsidRPr="007C3D33">
              <w:rPr>
                <w:rFonts w:ascii="Times New Roman" w:eastAsia="Times New Roman" w:hAnsi="Times New Roman" w:cs="Times New Roman"/>
                <w:iCs/>
                <w:noProof/>
                <w:color w:val="000000" w:themeColor="text1"/>
                <w:sz w:val="24"/>
                <w:szCs w:val="24"/>
                <w:lang w:eastAsia="lv-LV"/>
              </w:rPr>
              <w:t xml:space="preserve"> pensiju apdrošināšanai</w:t>
            </w:r>
            <w:r w:rsidR="00DF0735" w:rsidRPr="007C3D33">
              <w:rPr>
                <w:rFonts w:ascii="Times New Roman" w:eastAsia="Times New Roman" w:hAnsi="Times New Roman" w:cs="Times New Roman"/>
                <w:iCs/>
                <w:noProof/>
                <w:color w:val="000000" w:themeColor="text1"/>
                <w:sz w:val="24"/>
                <w:szCs w:val="24"/>
                <w:lang w:eastAsia="lv-LV"/>
              </w:rPr>
              <w:t>.</w:t>
            </w:r>
          </w:p>
          <w:p w:rsidR="003C4DB9" w:rsidRPr="007C3D33" w:rsidRDefault="003C4DB9" w:rsidP="00DF0735">
            <w:pPr>
              <w:spacing w:after="0" w:line="240" w:lineRule="auto"/>
              <w:jc w:val="both"/>
              <w:rPr>
                <w:rFonts w:ascii="Times New Roman" w:eastAsia="Times New Roman" w:hAnsi="Times New Roman" w:cs="Times New Roman"/>
                <w:iCs/>
                <w:noProof/>
                <w:color w:val="000000" w:themeColor="text1"/>
                <w:sz w:val="24"/>
                <w:szCs w:val="24"/>
                <w:lang w:eastAsia="lv-LV"/>
              </w:rPr>
            </w:pPr>
          </w:p>
          <w:p w:rsidR="003C4DB9" w:rsidRPr="007C3D33" w:rsidRDefault="003C4DB9" w:rsidP="00DF0735">
            <w:pPr>
              <w:spacing w:after="0" w:line="240" w:lineRule="auto"/>
              <w:jc w:val="both"/>
              <w:rPr>
                <w:rFonts w:ascii="Times New Roman" w:eastAsia="Times New Roman" w:hAnsi="Times New Roman" w:cs="Times New Roman"/>
                <w:i/>
                <w:iCs/>
                <w:noProof/>
                <w:color w:val="000000" w:themeColor="text1"/>
                <w:sz w:val="24"/>
                <w:szCs w:val="24"/>
                <w:lang w:eastAsia="lv-LV"/>
              </w:rPr>
            </w:pPr>
            <w:r w:rsidRPr="007C3D33">
              <w:rPr>
                <w:rFonts w:ascii="Times New Roman" w:eastAsia="Times New Roman" w:hAnsi="Times New Roman" w:cs="Times New Roman"/>
                <w:i/>
                <w:iCs/>
                <w:noProof/>
                <w:color w:val="000000" w:themeColor="text1"/>
                <w:sz w:val="24"/>
                <w:szCs w:val="24"/>
                <w:lang w:eastAsia="lv-LV"/>
              </w:rPr>
              <w:t>3. piemērs.</w:t>
            </w: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 xml:space="preserve">janvārī ienākumi 10; </w:t>
            </w: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 xml:space="preserve">februārī ienākumi 300; </w:t>
            </w: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 xml:space="preserve">martā ienākumi 0 euro. </w:t>
            </w:r>
          </w:p>
          <w:p w:rsidR="006F0021" w:rsidRPr="007C3D33" w:rsidRDefault="00184AD7"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Obligāto iemkasu objekts 260 euro (10 + 300 – 50</w:t>
            </w:r>
            <w:r w:rsidR="00C77DDE" w:rsidRPr="007C3D33">
              <w:rPr>
                <w:rFonts w:ascii="Times New Roman" w:eastAsia="Times New Roman" w:hAnsi="Times New Roman" w:cs="Times New Roman"/>
                <w:iCs/>
                <w:noProof/>
                <w:color w:val="000000" w:themeColor="text1"/>
                <w:sz w:val="24"/>
                <w:szCs w:val="24"/>
                <w:lang w:eastAsia="lv-LV"/>
              </w:rPr>
              <w:t xml:space="preserve"> euro</w:t>
            </w:r>
            <w:r w:rsidRPr="007C3D33">
              <w:rPr>
                <w:rFonts w:ascii="Times New Roman" w:eastAsia="Times New Roman" w:hAnsi="Times New Roman" w:cs="Times New Roman"/>
                <w:iCs/>
                <w:noProof/>
                <w:color w:val="000000" w:themeColor="text1"/>
                <w:sz w:val="24"/>
                <w:szCs w:val="24"/>
                <w:lang w:eastAsia="lv-LV"/>
              </w:rPr>
              <w:t>), no kura jāveic 5 % obligātās iemaksas pensiju apdrošināšanai.</w:t>
            </w:r>
          </w:p>
          <w:p w:rsidR="00184AD7" w:rsidRPr="007C3D33" w:rsidRDefault="00184AD7" w:rsidP="00184AD7">
            <w:pPr>
              <w:spacing w:after="0" w:line="240" w:lineRule="auto"/>
              <w:jc w:val="both"/>
              <w:rPr>
                <w:rFonts w:ascii="Times New Roman" w:eastAsia="Times New Roman" w:hAnsi="Times New Roman" w:cs="Times New Roman"/>
                <w:i/>
                <w:iCs/>
                <w:noProof/>
                <w:color w:val="000000" w:themeColor="text1"/>
                <w:sz w:val="24"/>
                <w:szCs w:val="24"/>
                <w:lang w:eastAsia="lv-LV"/>
              </w:rPr>
            </w:pPr>
            <w:r w:rsidRPr="007C3D33">
              <w:rPr>
                <w:rFonts w:ascii="Times New Roman" w:eastAsia="Times New Roman" w:hAnsi="Times New Roman" w:cs="Times New Roman"/>
                <w:i/>
                <w:iCs/>
                <w:noProof/>
                <w:color w:val="000000" w:themeColor="text1"/>
                <w:sz w:val="24"/>
                <w:szCs w:val="24"/>
                <w:lang w:eastAsia="lv-LV"/>
              </w:rPr>
              <w:lastRenderedPageBreak/>
              <w:t>4. piemērs.</w:t>
            </w: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 xml:space="preserve">janvārī ienākumi 10 euro; </w:t>
            </w: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 xml:space="preserve">februārī ienākumi 20 euro; </w:t>
            </w: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 xml:space="preserve">martā ienākumi 0 euro. </w:t>
            </w: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Obligātās iemaksas nav jāveic.</w:t>
            </w: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aprīlī ienākumi 60 euro;</w:t>
            </w: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maijā ienākumi 300 euro;</w:t>
            </w: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jūnijā ienākumi 500 euro.</w:t>
            </w:r>
          </w:p>
          <w:p w:rsidR="00184AD7" w:rsidRPr="007C3D33" w:rsidRDefault="00184AD7" w:rsidP="00184AD7">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Obligāto iemaksu objekts par aprīli ir 40 euro (10 + 20 + 60 – 50), no kura jāveic 5 % obligātās iemaksas pensiju apdrošināšanai.</w:t>
            </w:r>
          </w:p>
          <w:p w:rsidR="00184AD7" w:rsidRPr="007C3D33" w:rsidRDefault="00184AD7"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Obligāto iemaksu objekts par maiju ir 300 euro, no kura jāveic 5 % obligātās iemaksas pensiju apdrošināšanai.</w:t>
            </w:r>
          </w:p>
          <w:p w:rsidR="00184AD7" w:rsidRPr="007C3D33" w:rsidRDefault="00184AD7"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Obligāto iemkasu objekts par jūniju ir brīvi izraudzītais obligāto iemaksu objekts, vismaz 430 euro, un no starpības 70 euro (500 - 430 euro) jāveic obligātās iemkasas 5 % pensiju apdrošināšanai</w:t>
            </w:r>
            <w:r w:rsidR="00C77DDE" w:rsidRPr="007C3D33">
              <w:rPr>
                <w:rFonts w:ascii="Times New Roman" w:eastAsia="Times New Roman" w:hAnsi="Times New Roman" w:cs="Times New Roman"/>
                <w:iCs/>
                <w:noProof/>
                <w:color w:val="000000" w:themeColor="text1"/>
                <w:sz w:val="24"/>
                <w:szCs w:val="24"/>
                <w:lang w:eastAsia="lv-LV"/>
              </w:rPr>
              <w:t>.</w:t>
            </w:r>
          </w:p>
          <w:p w:rsidR="00184AD7" w:rsidRPr="007C3D33" w:rsidRDefault="00184AD7"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52644" w:rsidRPr="009D78D3" w:rsidRDefault="006F0021"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8) </w:t>
            </w:r>
            <w:r w:rsidR="006631CF" w:rsidRPr="009D78D3">
              <w:rPr>
                <w:rFonts w:ascii="Times New Roman" w:eastAsia="Times New Roman" w:hAnsi="Times New Roman" w:cs="Times New Roman"/>
                <w:iCs/>
                <w:noProof/>
                <w:color w:val="000000" w:themeColor="text1"/>
                <w:sz w:val="24"/>
                <w:szCs w:val="24"/>
                <w:lang w:eastAsia="lv-LV"/>
              </w:rPr>
              <w:t>VSAA arvien biežāk vēršas personas, kuras ir civiltiesiskā kārtībā tiesājušās ar darba devēju par darba samaksu. Tiesu spriedumos ir noteikts darba devēja pienākums izmaksāt personai nesaņemto darba samaksu, bet nekas nav minēts par nodokļu nomaksu. Lai nodrošinātu šādām personām tiesības uz sociālo aizsardzību, likumā nepieciešams noteikt, ka, pamatojoties uz tiesas spriedumu par darba samaksas izmaksu, darba devējam ir pienākums atbilstoši tiesas spriedumā minētajam darba samaksas periodam un normatīvajos aktos noteiktajam samaksāt obligātās iemaksas un iesniegt darba devēja ziņojumu Valsts ieņēmumu dienestā. Ja darba devējs šo pienākumu nepilda, Valsts ieņēmumu dienestam, pamatojoties uz personas iesniegto tiesas spriedumu, ir tiesības precizēt darba devēja ziņojumus par obligāto iemaksu objektu un obligātajām iemaksām.</w:t>
            </w:r>
            <w:r w:rsidR="00B5369D" w:rsidRPr="009D78D3">
              <w:rPr>
                <w:rFonts w:ascii="Times New Roman" w:eastAsia="Times New Roman" w:hAnsi="Times New Roman" w:cs="Times New Roman"/>
                <w:iCs/>
                <w:noProof/>
                <w:color w:val="000000" w:themeColor="text1"/>
                <w:sz w:val="24"/>
                <w:szCs w:val="24"/>
                <w:lang w:eastAsia="lv-LV"/>
              </w:rPr>
              <w:t xml:space="preserve"> Valsts ieņēmumu dienestam būtu jāprecizē darba devēja ziņojumi atbilstoši tiesas spriedumā vai iestādes lēmumā minētajam obligāto iem</w:t>
            </w:r>
            <w:r w:rsidR="002C72C2" w:rsidRPr="009D78D3">
              <w:rPr>
                <w:rFonts w:ascii="Times New Roman" w:eastAsia="Times New Roman" w:hAnsi="Times New Roman" w:cs="Times New Roman"/>
                <w:iCs/>
                <w:noProof/>
                <w:color w:val="000000" w:themeColor="text1"/>
                <w:sz w:val="24"/>
                <w:szCs w:val="24"/>
                <w:lang w:eastAsia="lv-LV"/>
              </w:rPr>
              <w:t>a</w:t>
            </w:r>
            <w:r w:rsidR="00B5369D" w:rsidRPr="009D78D3">
              <w:rPr>
                <w:rFonts w:ascii="Times New Roman" w:eastAsia="Times New Roman" w:hAnsi="Times New Roman" w:cs="Times New Roman"/>
                <w:iCs/>
                <w:noProof/>
                <w:color w:val="000000" w:themeColor="text1"/>
                <w:sz w:val="24"/>
                <w:szCs w:val="24"/>
                <w:lang w:eastAsia="lv-LV"/>
              </w:rPr>
              <w:t>ksu objekta</w:t>
            </w:r>
            <w:r w:rsidR="002C72C2" w:rsidRPr="009D78D3">
              <w:rPr>
                <w:rFonts w:ascii="Times New Roman" w:eastAsia="Times New Roman" w:hAnsi="Times New Roman" w:cs="Times New Roman"/>
                <w:iCs/>
                <w:noProof/>
                <w:color w:val="000000" w:themeColor="text1"/>
                <w:sz w:val="24"/>
                <w:szCs w:val="24"/>
                <w:lang w:eastAsia="lv-LV"/>
              </w:rPr>
              <w:t>m</w:t>
            </w:r>
            <w:r w:rsidR="00B5369D" w:rsidRPr="009D78D3">
              <w:rPr>
                <w:rFonts w:ascii="Times New Roman" w:eastAsia="Times New Roman" w:hAnsi="Times New Roman" w:cs="Times New Roman"/>
                <w:iCs/>
                <w:noProof/>
                <w:color w:val="000000" w:themeColor="text1"/>
                <w:sz w:val="24"/>
                <w:szCs w:val="24"/>
                <w:lang w:eastAsia="lv-LV"/>
              </w:rPr>
              <w:t xml:space="preserve"> un obligāto iemaksu sadalījumam pa mēnešiem. Savukārt gadījumos, kad t</w:t>
            </w:r>
            <w:r w:rsidR="002C72C2" w:rsidRPr="009D78D3">
              <w:rPr>
                <w:rFonts w:ascii="Times New Roman" w:eastAsia="Times New Roman" w:hAnsi="Times New Roman" w:cs="Times New Roman"/>
                <w:iCs/>
                <w:noProof/>
                <w:color w:val="000000" w:themeColor="text1"/>
                <w:sz w:val="24"/>
                <w:szCs w:val="24"/>
                <w:lang w:eastAsia="lv-LV"/>
              </w:rPr>
              <w:t>i</w:t>
            </w:r>
            <w:r w:rsidR="00B5369D" w:rsidRPr="009D78D3">
              <w:rPr>
                <w:rFonts w:ascii="Times New Roman" w:eastAsia="Times New Roman" w:hAnsi="Times New Roman" w:cs="Times New Roman"/>
                <w:iCs/>
                <w:noProof/>
                <w:color w:val="000000" w:themeColor="text1"/>
                <w:sz w:val="24"/>
                <w:szCs w:val="24"/>
                <w:lang w:eastAsia="lv-LV"/>
              </w:rPr>
              <w:t>esas spriedumā vai iestādes lēmumā nebūtu š</w:t>
            </w:r>
            <w:r w:rsidR="002C72C2" w:rsidRPr="009D78D3">
              <w:rPr>
                <w:rFonts w:ascii="Times New Roman" w:eastAsia="Times New Roman" w:hAnsi="Times New Roman" w:cs="Times New Roman"/>
                <w:iCs/>
                <w:noProof/>
                <w:color w:val="000000" w:themeColor="text1"/>
                <w:sz w:val="24"/>
                <w:szCs w:val="24"/>
                <w:lang w:eastAsia="lv-LV"/>
              </w:rPr>
              <w:t>ā</w:t>
            </w:r>
            <w:r w:rsidR="00B5369D" w:rsidRPr="009D78D3">
              <w:rPr>
                <w:rFonts w:ascii="Times New Roman" w:eastAsia="Times New Roman" w:hAnsi="Times New Roman" w:cs="Times New Roman"/>
                <w:iCs/>
                <w:noProof/>
                <w:color w:val="000000" w:themeColor="text1"/>
                <w:sz w:val="24"/>
                <w:szCs w:val="24"/>
                <w:lang w:eastAsia="lv-LV"/>
              </w:rPr>
              <w:t>da</w:t>
            </w:r>
            <w:r w:rsidR="002C72C2" w:rsidRPr="009D78D3">
              <w:rPr>
                <w:rFonts w:ascii="Times New Roman" w:eastAsia="Times New Roman" w:hAnsi="Times New Roman" w:cs="Times New Roman"/>
                <w:iCs/>
                <w:noProof/>
                <w:color w:val="000000" w:themeColor="text1"/>
                <w:sz w:val="24"/>
                <w:szCs w:val="24"/>
                <w:lang w:eastAsia="lv-LV"/>
              </w:rPr>
              <w:t>s</w:t>
            </w:r>
            <w:r w:rsidR="00B5369D" w:rsidRPr="009D78D3">
              <w:rPr>
                <w:rFonts w:ascii="Times New Roman" w:eastAsia="Times New Roman" w:hAnsi="Times New Roman" w:cs="Times New Roman"/>
                <w:iCs/>
                <w:noProof/>
                <w:color w:val="000000" w:themeColor="text1"/>
                <w:sz w:val="24"/>
                <w:szCs w:val="24"/>
                <w:lang w:eastAsia="lv-LV"/>
              </w:rPr>
              <w:t xml:space="preserve"> informācija</w:t>
            </w:r>
            <w:r w:rsidR="002C72C2" w:rsidRPr="009D78D3">
              <w:rPr>
                <w:rFonts w:ascii="Times New Roman" w:eastAsia="Times New Roman" w:hAnsi="Times New Roman" w:cs="Times New Roman"/>
                <w:iCs/>
                <w:noProof/>
                <w:color w:val="000000" w:themeColor="text1"/>
                <w:sz w:val="24"/>
                <w:szCs w:val="24"/>
                <w:lang w:eastAsia="lv-LV"/>
              </w:rPr>
              <w:t>s</w:t>
            </w:r>
            <w:r w:rsidR="00B5369D" w:rsidRPr="009D78D3">
              <w:rPr>
                <w:rFonts w:ascii="Times New Roman" w:eastAsia="Times New Roman" w:hAnsi="Times New Roman" w:cs="Times New Roman"/>
                <w:iCs/>
                <w:noProof/>
                <w:color w:val="000000" w:themeColor="text1"/>
                <w:sz w:val="24"/>
                <w:szCs w:val="24"/>
                <w:lang w:eastAsia="lv-LV"/>
              </w:rPr>
              <w:t>, Valsts ieņēmumu dienest</w:t>
            </w:r>
            <w:r w:rsidR="004B1666" w:rsidRPr="009D78D3">
              <w:rPr>
                <w:rFonts w:ascii="Times New Roman" w:eastAsia="Times New Roman" w:hAnsi="Times New Roman" w:cs="Times New Roman"/>
                <w:iCs/>
                <w:noProof/>
                <w:color w:val="000000" w:themeColor="text1"/>
                <w:sz w:val="24"/>
                <w:szCs w:val="24"/>
                <w:lang w:eastAsia="lv-LV"/>
              </w:rPr>
              <w:t xml:space="preserve">am būtu pienākums </w:t>
            </w:r>
            <w:r w:rsidR="00B5369D" w:rsidRPr="009D78D3">
              <w:rPr>
                <w:rFonts w:ascii="Times New Roman" w:eastAsia="Times New Roman" w:hAnsi="Times New Roman" w:cs="Times New Roman"/>
                <w:iCs/>
                <w:noProof/>
                <w:color w:val="000000" w:themeColor="text1"/>
                <w:sz w:val="24"/>
                <w:szCs w:val="24"/>
                <w:lang w:eastAsia="lv-LV"/>
              </w:rPr>
              <w:t>sadalīt obligāto iemaksu objektu un obligātās iem</w:t>
            </w:r>
            <w:r w:rsidR="002C72C2" w:rsidRPr="009D78D3">
              <w:rPr>
                <w:rFonts w:ascii="Times New Roman" w:eastAsia="Times New Roman" w:hAnsi="Times New Roman" w:cs="Times New Roman"/>
                <w:iCs/>
                <w:noProof/>
                <w:color w:val="000000" w:themeColor="text1"/>
                <w:sz w:val="24"/>
                <w:szCs w:val="24"/>
                <w:lang w:eastAsia="lv-LV"/>
              </w:rPr>
              <w:t>a</w:t>
            </w:r>
            <w:r w:rsidR="00B5369D" w:rsidRPr="009D78D3">
              <w:rPr>
                <w:rFonts w:ascii="Times New Roman" w:eastAsia="Times New Roman" w:hAnsi="Times New Roman" w:cs="Times New Roman"/>
                <w:iCs/>
                <w:noProof/>
                <w:color w:val="000000" w:themeColor="text1"/>
                <w:sz w:val="24"/>
                <w:szCs w:val="24"/>
                <w:lang w:eastAsia="lv-LV"/>
              </w:rPr>
              <w:t xml:space="preserve">ksas proporcionāli par visu periodu.   </w:t>
            </w:r>
          </w:p>
          <w:p w:rsidR="00652644" w:rsidRPr="009D78D3" w:rsidRDefault="00652644"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B54037" w:rsidRPr="009D78D3" w:rsidRDefault="006F0021" w:rsidP="003E0360">
            <w:pPr>
              <w:spacing w:after="0" w:line="240" w:lineRule="auto"/>
              <w:jc w:val="both"/>
              <w:rPr>
                <w:rFonts w:ascii="Times New Roman" w:hAnsi="Times New Roman" w:cs="Times New Roman"/>
                <w:sz w:val="24"/>
                <w:szCs w:val="24"/>
              </w:rPr>
            </w:pPr>
            <w:r w:rsidRPr="009D78D3">
              <w:rPr>
                <w:rFonts w:ascii="Times New Roman" w:eastAsia="Times New Roman" w:hAnsi="Times New Roman" w:cs="Times New Roman"/>
                <w:iCs/>
                <w:noProof/>
                <w:color w:val="000000" w:themeColor="text1"/>
                <w:sz w:val="24"/>
                <w:szCs w:val="24"/>
                <w:lang w:eastAsia="lv-LV"/>
              </w:rPr>
              <w:t>9</w:t>
            </w:r>
            <w:r w:rsidR="00652644" w:rsidRPr="009D78D3">
              <w:rPr>
                <w:rFonts w:ascii="Times New Roman" w:eastAsia="Times New Roman" w:hAnsi="Times New Roman" w:cs="Times New Roman"/>
                <w:iCs/>
                <w:noProof/>
                <w:color w:val="000000" w:themeColor="text1"/>
                <w:sz w:val="24"/>
                <w:szCs w:val="24"/>
                <w:lang w:eastAsia="lv-LV"/>
              </w:rPr>
              <w:t>) 2017.</w:t>
            </w:r>
            <w:r w:rsidR="003E0360" w:rsidRPr="009D78D3">
              <w:rPr>
                <w:rFonts w:ascii="Times New Roman" w:eastAsia="Times New Roman" w:hAnsi="Times New Roman" w:cs="Times New Roman"/>
                <w:iCs/>
                <w:noProof/>
                <w:color w:val="000000" w:themeColor="text1"/>
                <w:sz w:val="24"/>
                <w:szCs w:val="24"/>
                <w:lang w:eastAsia="lv-LV"/>
              </w:rPr>
              <w:t> </w:t>
            </w:r>
            <w:r w:rsidR="00652644" w:rsidRPr="009D78D3">
              <w:rPr>
                <w:rFonts w:ascii="Times New Roman" w:hAnsi="Times New Roman" w:cs="Times New Roman"/>
                <w:sz w:val="24"/>
                <w:szCs w:val="24"/>
              </w:rPr>
              <w:t>gada 28.</w:t>
            </w:r>
            <w:r w:rsidR="003E0360" w:rsidRPr="009D78D3">
              <w:rPr>
                <w:rFonts w:ascii="Times New Roman" w:hAnsi="Times New Roman" w:cs="Times New Roman"/>
                <w:sz w:val="24"/>
                <w:szCs w:val="24"/>
              </w:rPr>
              <w:t> </w:t>
            </w:r>
            <w:r w:rsidR="00652644" w:rsidRPr="009D78D3">
              <w:rPr>
                <w:rFonts w:ascii="Times New Roman" w:hAnsi="Times New Roman" w:cs="Times New Roman"/>
                <w:sz w:val="24"/>
                <w:szCs w:val="24"/>
              </w:rPr>
              <w:t>novembra informatīvā ziņojuma „Administratīvā sloga mazināšana valsts pārvaldē” pielikuma 5.</w:t>
            </w:r>
            <w:r w:rsidR="003E0360" w:rsidRPr="009D78D3">
              <w:rPr>
                <w:rFonts w:ascii="Times New Roman" w:hAnsi="Times New Roman" w:cs="Times New Roman"/>
                <w:sz w:val="24"/>
                <w:szCs w:val="24"/>
              </w:rPr>
              <w:t> </w:t>
            </w:r>
            <w:r w:rsidR="00652644" w:rsidRPr="009D78D3">
              <w:rPr>
                <w:rFonts w:ascii="Times New Roman" w:hAnsi="Times New Roman" w:cs="Times New Roman"/>
                <w:sz w:val="24"/>
                <w:szCs w:val="24"/>
              </w:rPr>
              <w:t>punktā noteikts Labklājības ministrijai izvērtēt</w:t>
            </w:r>
            <w:proofErr w:type="gramStart"/>
            <w:r w:rsidR="00652644" w:rsidRPr="009D78D3">
              <w:rPr>
                <w:rFonts w:ascii="Times New Roman" w:hAnsi="Times New Roman" w:cs="Times New Roman"/>
                <w:sz w:val="24"/>
                <w:szCs w:val="24"/>
              </w:rPr>
              <w:t xml:space="preserve">  </w:t>
            </w:r>
            <w:proofErr w:type="gramEnd"/>
            <w:r w:rsidR="00652644" w:rsidRPr="009D78D3">
              <w:rPr>
                <w:rFonts w:ascii="Times New Roman" w:hAnsi="Times New Roman" w:cs="Times New Roman"/>
                <w:sz w:val="24"/>
                <w:szCs w:val="24"/>
              </w:rPr>
              <w:t xml:space="preserve">priekšlikumu likuma pārejas noteikumu 49. punktā minēto ziņojumu par faktiski veikto obligāto iemaksu pensiju apdrošināšanai ietekmi uz personu sociālo nodrošinājumu gatavot reizi divos gados. </w:t>
            </w:r>
            <w:r w:rsidR="003E0360" w:rsidRPr="009D78D3">
              <w:rPr>
                <w:rFonts w:ascii="Times New Roman" w:hAnsi="Times New Roman" w:cs="Times New Roman"/>
                <w:sz w:val="24"/>
                <w:szCs w:val="24"/>
              </w:rPr>
              <w:t>Izvērtējot administratīvo slogu un ņ</w:t>
            </w:r>
            <w:r w:rsidR="00652644" w:rsidRPr="009D78D3">
              <w:rPr>
                <w:rFonts w:ascii="Times New Roman" w:hAnsi="Times New Roman" w:cs="Times New Roman"/>
                <w:sz w:val="24"/>
                <w:szCs w:val="24"/>
              </w:rPr>
              <w:t xml:space="preserve">emot vērā, ka no 2018. gada 1. janvāra tiek ieviests 5 % maksājums pensiju apdrošināšanai, kuru veiks pašnodarbinātie </w:t>
            </w:r>
            <w:r w:rsidR="00652644" w:rsidRPr="009D78D3">
              <w:rPr>
                <w:rFonts w:ascii="Times New Roman" w:hAnsi="Times New Roman" w:cs="Times New Roman"/>
                <w:sz w:val="24"/>
                <w:szCs w:val="24"/>
              </w:rPr>
              <w:lastRenderedPageBreak/>
              <w:t>un autoratlīdzību izmaksātāji par autoratlīdzības saņēmējiem, kā arī no 2021. gada 1. </w:t>
            </w:r>
            <w:r w:rsidR="003E0360" w:rsidRPr="009D78D3">
              <w:rPr>
                <w:rFonts w:ascii="Times New Roman" w:hAnsi="Times New Roman" w:cs="Times New Roman"/>
                <w:sz w:val="24"/>
                <w:szCs w:val="24"/>
              </w:rPr>
              <w:t>j</w:t>
            </w:r>
            <w:r w:rsidR="00652644" w:rsidRPr="009D78D3">
              <w:rPr>
                <w:rFonts w:ascii="Times New Roman" w:hAnsi="Times New Roman" w:cs="Times New Roman"/>
                <w:sz w:val="24"/>
                <w:szCs w:val="24"/>
              </w:rPr>
              <w:t xml:space="preserve">anvāra paredzēto vienoto nodokļu kontu, </w:t>
            </w:r>
            <w:r w:rsidR="003E0360" w:rsidRPr="009D78D3">
              <w:rPr>
                <w:rFonts w:ascii="Times New Roman" w:hAnsi="Times New Roman" w:cs="Times New Roman"/>
                <w:sz w:val="24"/>
                <w:szCs w:val="24"/>
              </w:rPr>
              <w:t>likuma pārejas noteikumu 49. punktā precizējams, ka</w:t>
            </w:r>
            <w:proofErr w:type="gramStart"/>
            <w:r w:rsidR="003E0360" w:rsidRPr="009D78D3">
              <w:rPr>
                <w:rFonts w:ascii="Times New Roman" w:hAnsi="Times New Roman" w:cs="Times New Roman"/>
                <w:sz w:val="24"/>
                <w:szCs w:val="24"/>
              </w:rPr>
              <w:t xml:space="preserve">   </w:t>
            </w:r>
            <w:proofErr w:type="gramEnd"/>
            <w:r w:rsidR="003E0360" w:rsidRPr="009D78D3">
              <w:rPr>
                <w:rFonts w:ascii="Times New Roman" w:hAnsi="Times New Roman" w:cs="Times New Roman"/>
                <w:sz w:val="24"/>
                <w:szCs w:val="24"/>
              </w:rPr>
              <w:t>informatīvais ziņojums iesniedzams līdz 2021. gada 1. oktobrim un pēc tam ik pēc trim gadiem līdz 1. oktobrim.</w:t>
            </w:r>
          </w:p>
          <w:p w:rsidR="00E5323B" w:rsidRPr="009D78D3" w:rsidRDefault="003E0360" w:rsidP="003E0360">
            <w:pPr>
              <w:spacing w:after="0" w:line="240" w:lineRule="auto"/>
              <w:jc w:val="both"/>
            </w:pPr>
            <w:r w:rsidRPr="009D78D3">
              <w:rPr>
                <w:rFonts w:ascii="Times New Roman" w:hAnsi="Times New Roman" w:cs="Times New Roman"/>
                <w:sz w:val="24"/>
                <w:szCs w:val="24"/>
              </w:rPr>
              <w:t xml:space="preserve"> </w:t>
            </w:r>
          </w:p>
        </w:tc>
      </w:tr>
      <w:tr w:rsidR="00B663CB" w:rsidRPr="009D78D3"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VSAA.</w:t>
            </w:r>
          </w:p>
        </w:tc>
      </w:tr>
      <w:tr w:rsidR="00B663CB" w:rsidRPr="009D78D3"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p w:rsidR="00FC0919" w:rsidRPr="009D78D3" w:rsidRDefault="00FC0919" w:rsidP="00E5323B">
      <w:pPr>
        <w:spacing w:after="0" w:line="240" w:lineRule="auto"/>
        <w:rPr>
          <w:rFonts w:ascii="Times New Roman" w:eastAsia="Times New Roman" w:hAnsi="Times New Roman" w:cs="Times New Roman"/>
          <w:iCs/>
          <w:noProof/>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B663CB" w:rsidRPr="009D78D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II. Tiesību akta projekta ietekme uz sabiedrību, tautsaimniecības attīstību un administratīvo slogu</w:t>
            </w:r>
          </w:p>
        </w:tc>
      </w:tr>
      <w:tr w:rsidR="00B663CB" w:rsidRPr="009D78D3"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Darba devēji (t.sk. autoratlīdzību izmaksātāji), pašnodarbinātie, darba ņēmēji, autoratlīdzības saņēmēji.</w:t>
            </w:r>
          </w:p>
        </w:tc>
      </w:tr>
      <w:tr w:rsidR="00B663CB" w:rsidRPr="009D78D3"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Likumprojekts neparedz noteikt jaunus pienākumus attiecībā uz obligāto iemaksu veikšanu, bet paredz mainīt izpildes termiņu esošajiem pienākumiem, nosakot, ka obligāto iemaksu samaksas gala termiņš ir līdz mēneša 23. datumam. Vēl tiek noteikts, ka darba devēja ziņojums par pārskata mēnesi jāiesniedz līdz nākamā mēneša 17. datumam.</w:t>
            </w:r>
          </w:p>
        </w:tc>
      </w:tr>
      <w:tr w:rsidR="00B663CB" w:rsidRPr="009D78D3"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Administratīvo izmaksu aprēķinu nav iespējams veikt, ņemot vērā, ka obligāto iemaksu veikšanas izmaksas ir atšķirīgas (dažādi pakalpojumu sniedzēji), kā arī darba devējs var izvēlēties, kura pakalpojumu sniedzēja piedāvāto izmantot.</w:t>
            </w:r>
          </w:p>
        </w:tc>
      </w:tr>
      <w:tr w:rsidR="00B663CB" w:rsidRPr="009D78D3"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4E7026" w:rsidP="004E7026">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Likumprojekts šo jomu neskar.</w:t>
            </w:r>
          </w:p>
        </w:tc>
      </w:tr>
      <w:tr w:rsidR="00B663CB" w:rsidRPr="009D78D3"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Nav.</w:t>
            </w:r>
          </w:p>
        </w:tc>
      </w:tr>
    </w:tbl>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p w:rsidR="00FC2E4E" w:rsidRPr="009D78D3" w:rsidRDefault="00FC2E4E" w:rsidP="00E5323B">
      <w:pPr>
        <w:spacing w:after="0" w:line="240" w:lineRule="auto"/>
        <w:rPr>
          <w:rFonts w:ascii="Times New Roman" w:eastAsia="Times New Roman" w:hAnsi="Times New Roman" w:cs="Times New Roman"/>
          <w:iCs/>
          <w:noProof/>
          <w:color w:val="000000" w:themeColor="text1"/>
          <w:sz w:val="24"/>
          <w:szCs w:val="24"/>
          <w:lang w:eastAsia="lv-LV"/>
        </w:rPr>
      </w:pPr>
    </w:p>
    <w:tbl>
      <w:tblPr>
        <w:tblW w:w="5850" w:type="pct"/>
        <w:tblCellSpacing w:w="15" w:type="dxa"/>
        <w:tblInd w:w="-10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07"/>
        <w:gridCol w:w="1429"/>
        <w:gridCol w:w="937"/>
        <w:gridCol w:w="1568"/>
        <w:gridCol w:w="1063"/>
        <w:gridCol w:w="1648"/>
        <w:gridCol w:w="1387"/>
        <w:gridCol w:w="1650"/>
      </w:tblGrid>
      <w:tr w:rsidR="00FC2E4E" w:rsidRPr="009D78D3" w:rsidTr="0081746B">
        <w:trPr>
          <w:tblCellSpacing w:w="15" w:type="dxa"/>
        </w:trPr>
        <w:tc>
          <w:tcPr>
            <w:tcW w:w="4972" w:type="pct"/>
            <w:gridSpan w:val="8"/>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b/>
                <w:bCs/>
                <w:iCs/>
                <w:color w:val="000000" w:themeColor="text1"/>
                <w:sz w:val="24"/>
                <w:szCs w:val="24"/>
                <w:lang w:eastAsia="lv-LV"/>
              </w:rPr>
            </w:pPr>
            <w:r w:rsidRPr="009D78D3">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81746B" w:rsidRPr="009D78D3" w:rsidTr="0081746B">
        <w:trPr>
          <w:tblCellSpacing w:w="15" w:type="dxa"/>
        </w:trPr>
        <w:tc>
          <w:tcPr>
            <w:tcW w:w="502" w:type="pct"/>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Rādītāji</w:t>
            </w:r>
          </w:p>
        </w:tc>
        <w:tc>
          <w:tcPr>
            <w:tcW w:w="109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2018.</w:t>
            </w:r>
          </w:p>
        </w:tc>
        <w:tc>
          <w:tcPr>
            <w:tcW w:w="3352" w:type="pct"/>
            <w:gridSpan w:val="5"/>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Turpmākie trīs gadi (</w:t>
            </w:r>
            <w:proofErr w:type="spellStart"/>
            <w:r w:rsidRPr="009D78D3">
              <w:rPr>
                <w:rFonts w:ascii="Times New Roman" w:eastAsia="Times New Roman" w:hAnsi="Times New Roman" w:cs="Times New Roman"/>
                <w:i/>
                <w:iCs/>
                <w:color w:val="000000" w:themeColor="text1"/>
                <w:lang w:eastAsia="lv-LV"/>
              </w:rPr>
              <w:t>euro</w:t>
            </w:r>
            <w:proofErr w:type="spellEnd"/>
            <w:r w:rsidRPr="009D78D3">
              <w:rPr>
                <w:rFonts w:ascii="Times New Roman" w:eastAsia="Times New Roman" w:hAnsi="Times New Roman" w:cs="Times New Roman"/>
                <w:iCs/>
                <w:color w:val="000000" w:themeColor="text1"/>
                <w:lang w:eastAsia="lv-LV"/>
              </w:rPr>
              <w:t>)</w:t>
            </w:r>
          </w:p>
        </w:tc>
      </w:tr>
      <w:tr w:rsidR="0081746B" w:rsidRPr="009D78D3" w:rsidTr="0081746B">
        <w:trPr>
          <w:tblCellSpacing w:w="15" w:type="dxa"/>
        </w:trPr>
        <w:tc>
          <w:tcPr>
            <w:tcW w:w="502"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1090" w:type="pct"/>
            <w:gridSpan w:val="2"/>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1215" w:type="pct"/>
            <w:gridSpan w:val="2"/>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2019.</w:t>
            </w:r>
          </w:p>
        </w:tc>
        <w:tc>
          <w:tcPr>
            <w:tcW w:w="1406" w:type="pct"/>
            <w:gridSpan w:val="2"/>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2020.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2021.</w:t>
            </w:r>
          </w:p>
        </w:tc>
      </w:tr>
      <w:tr w:rsidR="0081746B" w:rsidRPr="009D78D3" w:rsidTr="0081746B">
        <w:trPr>
          <w:tblCellSpacing w:w="15" w:type="dxa"/>
        </w:trPr>
        <w:tc>
          <w:tcPr>
            <w:tcW w:w="502"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saskaņā ar valsts budžetu kārtējam gadam</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izmaiņas kārtējā gadā, salīdzinot ar valsts budžetu kārtējam </w:t>
            </w:r>
            <w:r w:rsidRPr="009D78D3">
              <w:rPr>
                <w:rFonts w:ascii="Times New Roman" w:eastAsia="Times New Roman" w:hAnsi="Times New Roman" w:cs="Times New Roman"/>
                <w:iCs/>
                <w:color w:val="000000" w:themeColor="text1"/>
                <w:lang w:eastAsia="lv-LV"/>
              </w:rPr>
              <w:lastRenderedPageBreak/>
              <w:t>gadam</w:t>
            </w:r>
          </w:p>
        </w:tc>
        <w:tc>
          <w:tcPr>
            <w:tcW w:w="7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saskaņā ar vidēja termiņa budžeta ietvaru</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7B597F">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izmaiņas, salīdzinot ar vidēja termiņa budžeta ietvaru </w:t>
            </w:r>
            <w:r w:rsidR="007B597F" w:rsidRPr="009D78D3">
              <w:rPr>
                <w:rFonts w:ascii="Times New Roman" w:eastAsia="Times New Roman" w:hAnsi="Times New Roman" w:cs="Times New Roman"/>
                <w:iCs/>
                <w:color w:val="000000" w:themeColor="text1"/>
                <w:lang w:eastAsia="lv-LV"/>
              </w:rPr>
              <w:t>2019.</w:t>
            </w:r>
            <w:r w:rsidRPr="009D78D3">
              <w:rPr>
                <w:rFonts w:ascii="Times New Roman" w:eastAsia="Times New Roman" w:hAnsi="Times New Roman" w:cs="Times New Roman"/>
                <w:iCs/>
                <w:color w:val="000000" w:themeColor="text1"/>
                <w:lang w:eastAsia="lv-LV"/>
              </w:rPr>
              <w:t xml:space="preserve"> gadam</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saskaņā ar vidēja termiņa budžeta ietvaru</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7B597F">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izmaiņas, salīdzinot ar vidēja termiņa budžeta ietvaru</w:t>
            </w:r>
            <w:proofErr w:type="gramStart"/>
            <w:r w:rsidRPr="009D78D3">
              <w:rPr>
                <w:rFonts w:ascii="Times New Roman" w:eastAsia="Times New Roman" w:hAnsi="Times New Roman" w:cs="Times New Roman"/>
                <w:iCs/>
                <w:color w:val="000000" w:themeColor="text1"/>
                <w:lang w:eastAsia="lv-LV"/>
              </w:rPr>
              <w:t xml:space="preserve">  </w:t>
            </w:r>
            <w:proofErr w:type="gramEnd"/>
            <w:r w:rsidR="007B597F" w:rsidRPr="009D78D3">
              <w:rPr>
                <w:rFonts w:ascii="Times New Roman" w:eastAsia="Times New Roman" w:hAnsi="Times New Roman" w:cs="Times New Roman"/>
                <w:iCs/>
                <w:color w:val="000000" w:themeColor="text1"/>
                <w:lang w:eastAsia="lv-LV"/>
              </w:rPr>
              <w:t>2020. </w:t>
            </w:r>
            <w:r w:rsidRPr="009D78D3">
              <w:rPr>
                <w:rFonts w:ascii="Times New Roman" w:eastAsia="Times New Roman" w:hAnsi="Times New Roman" w:cs="Times New Roman"/>
                <w:iCs/>
                <w:color w:val="000000" w:themeColor="text1"/>
                <w:lang w:eastAsia="lv-LV"/>
              </w:rPr>
              <w:t>gadam</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7B597F">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izmaiņas, salīdzinot ar vidēja termiņa budžeta ietvaru </w:t>
            </w:r>
            <w:r w:rsidR="007B597F" w:rsidRPr="009D78D3">
              <w:rPr>
                <w:rFonts w:ascii="Times New Roman" w:eastAsia="Times New Roman" w:hAnsi="Times New Roman" w:cs="Times New Roman"/>
                <w:iCs/>
                <w:color w:val="000000" w:themeColor="text1"/>
                <w:lang w:eastAsia="lv-LV"/>
              </w:rPr>
              <w:t>2020.</w:t>
            </w:r>
            <w:r w:rsidRPr="009D78D3">
              <w:rPr>
                <w:rFonts w:ascii="Times New Roman" w:eastAsia="Times New Roman" w:hAnsi="Times New Roman" w:cs="Times New Roman"/>
                <w:iCs/>
                <w:color w:val="000000" w:themeColor="text1"/>
                <w:lang w:eastAsia="lv-LV"/>
              </w:rPr>
              <w:t xml:space="preserve"> gadam</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1</w:t>
            </w:r>
          </w:p>
        </w:tc>
        <w:tc>
          <w:tcPr>
            <w:tcW w:w="661"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w:t>
            </w:r>
          </w:p>
        </w:tc>
        <w:tc>
          <w:tcPr>
            <w:tcW w:w="7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4</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5</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6</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8</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 Budžeta ieņēmumi</w:t>
            </w:r>
          </w:p>
        </w:tc>
        <w:tc>
          <w:tcPr>
            <w:tcW w:w="66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2804003350</w:t>
            </w:r>
          </w:p>
        </w:tc>
        <w:tc>
          <w:tcPr>
            <w:tcW w:w="41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2962262938</w:t>
            </w:r>
          </w:p>
        </w:tc>
        <w:tc>
          <w:tcPr>
            <w:tcW w:w="4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2 939 </w:t>
            </w:r>
          </w:p>
        </w:tc>
        <w:tc>
          <w:tcPr>
            <w:tcW w:w="76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3133002248</w:t>
            </w:r>
          </w:p>
        </w:tc>
        <w:tc>
          <w:tcPr>
            <w:tcW w:w="6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7B597F">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7B597F">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1.1. valsts pamatbudžets, tai skaitā ieņēmumi no maksas pakalpojumiem un citi pašu ieņēmumi</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26 921 451</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27 131 217</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31 622 343</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Prokuratūras apakšprogramma 01.00.00 „Prokuratūras iestāžu uzturēšana” </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26 921 451</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27 131 217</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31 622 343</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1.2. valsts speciālais budžets, t.sk.:</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2 777 081 899</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2 935 131 721</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+2 939</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3 101 379 905</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B54037"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B54037"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04.01.00 "Valsts pensiju speciālais 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2 069 139 794</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2 186 167 559</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+2 675</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2 307 507 978</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-Valsts speciālajā budžetā saņemtie transferti no valsts pamatbudžeta (EKK 18200)</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178 300 852</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182 777 450</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+2 675</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174 499 474</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tcPr>
          <w:p w:rsidR="00FC2E4E" w:rsidRPr="009D78D3" w:rsidRDefault="00FC2E4E" w:rsidP="00FB673A">
            <w:pPr>
              <w:spacing w:after="0" w:line="240" w:lineRule="auto"/>
              <w:jc w:val="right"/>
              <w:rPr>
                <w:rFonts w:ascii="Times New Roman" w:eastAsia="Times New Roman" w:hAnsi="Times New Roman" w:cs="Times New Roman"/>
                <w:i/>
                <w:iCs/>
                <w:color w:val="000000" w:themeColor="text1"/>
                <w:lang w:eastAsia="lv-LV"/>
              </w:rPr>
            </w:pPr>
            <w:r w:rsidRPr="009D78D3">
              <w:rPr>
                <w:rFonts w:ascii="Times New Roman" w:eastAsia="Times New Roman" w:hAnsi="Times New Roman" w:cs="Times New Roman"/>
                <w:i/>
                <w:iCs/>
                <w:color w:val="000000" w:themeColor="text1"/>
                <w:lang w:eastAsia="lv-LV"/>
              </w:rPr>
              <w:t xml:space="preserve">Valsts iemaksas valsts sociālajai apdrošināšanai valsts pensiju apdrošināšanai </w:t>
            </w:r>
            <w:r w:rsidRPr="009D78D3">
              <w:rPr>
                <w:rFonts w:ascii="Times New Roman" w:eastAsia="Times New Roman" w:hAnsi="Times New Roman" w:cs="Times New Roman"/>
                <w:i/>
                <w:iCs/>
                <w:color w:val="000000" w:themeColor="text1"/>
                <w:lang w:eastAsia="lv-LV"/>
              </w:rPr>
              <w:lastRenderedPageBreak/>
              <w:t>(EKK 18212)</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3 570 580</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3 603 382</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+2 675</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3 605 417</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B673A"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04.02.00 "Nodarbinātības speciālais 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162 136 179</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164 512 621</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+264</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168 315 072</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-Valsts speciālajā budžetā saņemtie transferti no valsts pamatbudžeta (EKK 18200)</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273 517</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274 171</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+264</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274 129</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tcPr>
          <w:p w:rsidR="00FC2E4E" w:rsidRPr="009D78D3" w:rsidRDefault="00FC2E4E" w:rsidP="00FB673A">
            <w:pPr>
              <w:spacing w:after="0" w:line="240" w:lineRule="auto"/>
              <w:jc w:val="right"/>
              <w:rPr>
                <w:rFonts w:ascii="Times New Roman" w:eastAsia="Times New Roman" w:hAnsi="Times New Roman" w:cs="Times New Roman"/>
                <w:i/>
                <w:iCs/>
                <w:color w:val="000000" w:themeColor="text1"/>
                <w:lang w:eastAsia="lv-LV"/>
              </w:rPr>
            </w:pPr>
            <w:r w:rsidRPr="009D78D3">
              <w:rPr>
                <w:rFonts w:ascii="Times New Roman" w:eastAsia="Times New Roman" w:hAnsi="Times New Roman" w:cs="Times New Roman"/>
                <w:i/>
                <w:iCs/>
                <w:color w:val="000000" w:themeColor="text1"/>
                <w:lang w:eastAsia="lv-LV"/>
              </w:rPr>
              <w:t xml:space="preserve">Valsts iemaksas sociālajai apdrošināšanai bezdarba gadījumam (EKK 18213) </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273 517</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274 171</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+264</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274 129</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1.3. pašvaldību 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Budžeta izdevumi</w:t>
            </w:r>
          </w:p>
        </w:tc>
        <w:tc>
          <w:tcPr>
            <w:tcW w:w="66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2678120387</w:t>
            </w:r>
          </w:p>
        </w:tc>
        <w:tc>
          <w:tcPr>
            <w:tcW w:w="41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2882354691</w:t>
            </w:r>
          </w:p>
        </w:tc>
        <w:tc>
          <w:tcPr>
            <w:tcW w:w="4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+2 939</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(transferts uz </w:t>
            </w:r>
            <w:proofErr w:type="spellStart"/>
            <w:r w:rsidRPr="009D78D3">
              <w:rPr>
                <w:rFonts w:ascii="Times New Roman" w:eastAsia="Times New Roman" w:hAnsi="Times New Roman" w:cs="Times New Roman"/>
                <w:iCs/>
                <w:color w:val="000000" w:themeColor="text1"/>
                <w:lang w:eastAsia="lv-LV"/>
              </w:rPr>
              <w:t>SpB</w:t>
            </w:r>
            <w:proofErr w:type="spellEnd"/>
            <w:r w:rsidRPr="009D78D3">
              <w:rPr>
                <w:rFonts w:ascii="Times New Roman" w:eastAsia="Times New Roman" w:hAnsi="Times New Roman" w:cs="Times New Roman"/>
                <w:iCs/>
                <w:color w:val="000000" w:themeColor="text1"/>
                <w:lang w:eastAsia="lv-LV"/>
              </w:rPr>
              <w:t>)</w:t>
            </w:r>
          </w:p>
        </w:tc>
        <w:tc>
          <w:tcPr>
            <w:tcW w:w="76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3064389561</w:t>
            </w:r>
          </w:p>
        </w:tc>
        <w:tc>
          <w:tcPr>
            <w:tcW w:w="6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c>
          <w:tcPr>
            <w:tcW w:w="70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2.1. valsts pamatbudžets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26921451</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27131217</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+2 939</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(transferts uz </w:t>
            </w:r>
            <w:proofErr w:type="spellStart"/>
            <w:r w:rsidRPr="009D78D3">
              <w:rPr>
                <w:rFonts w:ascii="Times New Roman" w:eastAsia="Times New Roman" w:hAnsi="Times New Roman" w:cs="Times New Roman"/>
                <w:iCs/>
                <w:color w:val="000000" w:themeColor="text1"/>
                <w:lang w:eastAsia="lv-LV"/>
              </w:rPr>
              <w:t>SpB</w:t>
            </w:r>
            <w:proofErr w:type="spellEnd"/>
            <w:r w:rsidRPr="009D78D3">
              <w:rPr>
                <w:rFonts w:ascii="Times New Roman" w:eastAsia="Times New Roman" w:hAnsi="Times New Roman" w:cs="Times New Roman"/>
                <w:iCs/>
                <w:color w:val="000000" w:themeColor="text1"/>
                <w:lang w:eastAsia="lv-LV"/>
              </w:rPr>
              <w:t>)</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31622343</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Prokuratūras apakšprogramma 01.00.00 „Prokuratūras iestāžu uzturēšana”</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26921451</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27131217</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+2 939</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(transferts uz </w:t>
            </w:r>
            <w:proofErr w:type="spellStart"/>
            <w:r w:rsidRPr="009D78D3">
              <w:rPr>
                <w:rFonts w:ascii="Times New Roman" w:eastAsia="Times New Roman" w:hAnsi="Times New Roman" w:cs="Times New Roman"/>
                <w:iCs/>
                <w:color w:val="000000" w:themeColor="text1"/>
                <w:lang w:eastAsia="lv-LV"/>
              </w:rPr>
              <w:t>SpB</w:t>
            </w:r>
            <w:proofErr w:type="spellEnd"/>
            <w:r w:rsidRPr="009D78D3">
              <w:rPr>
                <w:rFonts w:ascii="Times New Roman" w:eastAsia="Times New Roman" w:hAnsi="Times New Roman" w:cs="Times New Roman"/>
                <w:iCs/>
                <w:color w:val="000000" w:themeColor="text1"/>
                <w:lang w:eastAsia="lv-LV"/>
              </w:rPr>
              <w:t>)</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31622343</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2.2. valsts speciālais 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2651198936</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B673A"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2855223474</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B673A"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3032767218</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B673A"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B673A"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2.3. pašvaldību budžets</w:t>
            </w:r>
          </w:p>
        </w:tc>
        <w:tc>
          <w:tcPr>
            <w:tcW w:w="661"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w:t>
            </w:r>
            <w:r w:rsidR="00D67D71" w:rsidRPr="009D78D3">
              <w:rPr>
                <w:rFonts w:ascii="Times New Roman" w:eastAsia="Times New Roman" w:hAnsi="Times New Roman" w:cs="Times New Roman"/>
                <w:iCs/>
                <w:color w:val="000000" w:themeColor="text1"/>
                <w:lang w:eastAsia="lv-LV"/>
              </w:rPr>
              <w:t>0</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3. Finansiālā </w:t>
            </w:r>
            <w:r w:rsidRPr="009D78D3">
              <w:rPr>
                <w:rFonts w:ascii="Times New Roman" w:eastAsia="Times New Roman" w:hAnsi="Times New Roman" w:cs="Times New Roman"/>
                <w:iCs/>
                <w:color w:val="000000" w:themeColor="text1"/>
                <w:lang w:eastAsia="lv-LV"/>
              </w:rPr>
              <w:lastRenderedPageBreak/>
              <w:t>ietekme</w:t>
            </w:r>
          </w:p>
        </w:tc>
        <w:tc>
          <w:tcPr>
            <w:tcW w:w="66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 125882963</w:t>
            </w:r>
          </w:p>
        </w:tc>
        <w:tc>
          <w:tcPr>
            <w:tcW w:w="41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C2E4E" w:rsidRPr="009D78D3" w:rsidRDefault="00FC2E4E" w:rsidP="00FB673A">
            <w:pPr>
              <w:spacing w:after="0" w:line="240" w:lineRule="auto"/>
              <w:ind w:left="56" w:hanging="56"/>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79908247</w:t>
            </w:r>
          </w:p>
        </w:tc>
        <w:tc>
          <w:tcPr>
            <w:tcW w:w="4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2939</w:t>
            </w:r>
          </w:p>
        </w:tc>
        <w:tc>
          <w:tcPr>
            <w:tcW w:w="76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68612687</w:t>
            </w:r>
          </w:p>
        </w:tc>
        <w:tc>
          <w:tcPr>
            <w:tcW w:w="6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3.1. valsts pamatbudžets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-2 939</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3.2. speciālais 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125882963</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79908247</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+2 939</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68612687</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3.3. pašvaldību budžets</w:t>
            </w:r>
          </w:p>
        </w:tc>
        <w:tc>
          <w:tcPr>
            <w:tcW w:w="661"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w:t>
            </w:r>
            <w:r w:rsidR="00D67D71" w:rsidRPr="009D78D3">
              <w:rPr>
                <w:rFonts w:ascii="Times New Roman" w:eastAsia="Times New Roman" w:hAnsi="Times New Roman" w:cs="Times New Roman"/>
                <w:iCs/>
                <w:color w:val="000000" w:themeColor="text1"/>
                <w:lang w:eastAsia="lv-LV"/>
              </w:rPr>
              <w:t>0</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4. Finanšu līdzekļi papildu izdevumu finansēšanai (kompensējošu izdevumu samazinājumu norāda ar "+" zīmi)*</w:t>
            </w:r>
          </w:p>
        </w:tc>
        <w:tc>
          <w:tcPr>
            <w:tcW w:w="661"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2 939 </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18</w:t>
            </w:r>
            <w:r w:rsidR="007B597F" w:rsidRPr="00687642">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18</w:t>
            </w:r>
            <w:r w:rsidR="007B597F" w:rsidRPr="00687642">
              <w:rPr>
                <w:rFonts w:ascii="Times New Roman" w:eastAsia="Times New Roman" w:hAnsi="Times New Roman" w:cs="Times New Roman"/>
                <w:iCs/>
                <w:color w:val="000000" w:themeColor="text1"/>
                <w:lang w:eastAsia="lv-LV"/>
              </w:rPr>
              <w:t>7</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5. Precizēta finansiālā ietekme</w:t>
            </w:r>
          </w:p>
        </w:tc>
        <w:tc>
          <w:tcPr>
            <w:tcW w:w="661" w:type="pct"/>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5.1. valsts pamatbudžets</w:t>
            </w:r>
          </w:p>
        </w:tc>
        <w:tc>
          <w:tcPr>
            <w:tcW w:w="661"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w:t>
            </w:r>
            <w:r w:rsidR="00D67D71"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5.2. speciālais budžets</w:t>
            </w:r>
          </w:p>
        </w:tc>
        <w:tc>
          <w:tcPr>
            <w:tcW w:w="661"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5.3. pašvaldību budžets</w:t>
            </w:r>
          </w:p>
        </w:tc>
        <w:tc>
          <w:tcPr>
            <w:tcW w:w="661"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6. Detalizēts ieņēmumu un izdevumu aprēķins (ja nepieciešams, detalizētu ieņēmumu un izdevumu aprēķinu var </w:t>
            </w:r>
            <w:r w:rsidRPr="009D78D3">
              <w:rPr>
                <w:rFonts w:ascii="Times New Roman" w:eastAsia="Times New Roman" w:hAnsi="Times New Roman" w:cs="Times New Roman"/>
                <w:iCs/>
                <w:color w:val="000000" w:themeColor="text1"/>
                <w:lang w:eastAsia="lv-LV"/>
              </w:rPr>
              <w:lastRenderedPageBreak/>
              <w:t>pievienot anotācijas pielikumā)</w:t>
            </w:r>
          </w:p>
        </w:tc>
        <w:tc>
          <w:tcPr>
            <w:tcW w:w="445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 * Prokuratūra projektā plānotos izdevumus nodrošinās piešķirtā budžeta ietvaros, pārplānojot izdevumus.</w:t>
            </w: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Valsts iemaksas** personai pensiju apdrošināšanai un apdrošināšanai pret bezdarbu periodā no 2004.gada maija – 2019.gada decembrim:</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1379"/>
              <w:gridCol w:w="1681"/>
              <w:gridCol w:w="1379"/>
              <w:gridCol w:w="1681"/>
            </w:tblGrid>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w:t>
                  </w:r>
                </w:p>
              </w:tc>
              <w:tc>
                <w:tcPr>
                  <w:tcW w:w="3060" w:type="dxa"/>
                  <w:gridSpan w:val="2"/>
                  <w:shd w:val="clear" w:color="auto" w:fill="auto"/>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Vecuma pensiju apdrošināšanai</w:t>
                  </w:r>
                </w:p>
              </w:tc>
              <w:tc>
                <w:tcPr>
                  <w:tcW w:w="3060" w:type="dxa"/>
                  <w:gridSpan w:val="2"/>
                  <w:shd w:val="clear" w:color="auto" w:fill="auto"/>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Bezdarba gadījumam</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w:t>
                  </w:r>
                </w:p>
              </w:tc>
              <w:tc>
                <w:tcPr>
                  <w:tcW w:w="137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iemaksu likme</w:t>
                  </w:r>
                </w:p>
              </w:tc>
              <w:tc>
                <w:tcPr>
                  <w:tcW w:w="1681" w:type="dxa"/>
                  <w:shd w:val="clear" w:color="auto" w:fill="auto"/>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summa gadā, EUR</w:t>
                  </w:r>
                </w:p>
              </w:tc>
              <w:tc>
                <w:tcPr>
                  <w:tcW w:w="137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iemaksu likme</w:t>
                  </w:r>
                </w:p>
              </w:tc>
              <w:tc>
                <w:tcPr>
                  <w:tcW w:w="1681" w:type="dxa"/>
                  <w:shd w:val="clear" w:color="auto" w:fill="auto"/>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summa gadā, EUR</w:t>
                  </w:r>
                </w:p>
              </w:tc>
            </w:tr>
            <w:tr w:rsidR="00FC2E4E" w:rsidRPr="009D78D3" w:rsidTr="00FB673A">
              <w:trPr>
                <w:trHeight w:val="20"/>
                <w:tblHeader/>
              </w:trPr>
              <w:tc>
                <w:tcPr>
                  <w:tcW w:w="1809" w:type="dxa"/>
                  <w:shd w:val="clear" w:color="auto" w:fill="auto"/>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no 2004.gada maija</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113.82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1.89%</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10.76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2005</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15.37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2006</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1.86%</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15.88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2007</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15.37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2008</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1.75%</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14.94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2009</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1.70%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14.51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2010</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3.81%</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32.53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lastRenderedPageBreak/>
                    <w:t>2011</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2.56%</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21.85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2012</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1.50%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12.81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2013</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1.48%</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12.63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2014</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1.63%</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13.91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2015</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2.10%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17.93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2016</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2.08%</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17.76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2017</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1.90%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16.22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2018</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1.84%</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15.71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2019</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1.84%</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15.71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b/>
                      <w:bCs/>
                      <w:color w:val="000000"/>
                      <w:lang w:eastAsia="lv-LV"/>
                    </w:rPr>
                  </w:pPr>
                  <w:r w:rsidRPr="009D78D3">
                    <w:rPr>
                      <w:rFonts w:ascii="Times New Roman" w:eastAsia="Times New Roman" w:hAnsi="Times New Roman" w:cs="Times New Roman"/>
                      <w:b/>
                      <w:bCs/>
                      <w:color w:val="000000"/>
                      <w:lang w:eastAsia="lv-LV"/>
                    </w:rPr>
                    <w:t>kopā</w:t>
                  </w:r>
                </w:p>
              </w:tc>
              <w:tc>
                <w:tcPr>
                  <w:tcW w:w="1379" w:type="dxa"/>
                  <w:shd w:val="clear" w:color="auto" w:fill="auto"/>
                  <w:noWrap/>
                  <w:vAlign w:val="bottom"/>
                  <w:hideMark/>
                </w:tcPr>
                <w:p w:rsidR="00FC2E4E" w:rsidRPr="009D78D3" w:rsidRDefault="00FC2E4E" w:rsidP="00FB673A">
                  <w:pPr>
                    <w:spacing w:after="0" w:line="240" w:lineRule="auto"/>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b/>
                      <w:bCs/>
                      <w:color w:val="000000"/>
                      <w:lang w:eastAsia="lv-LV"/>
                    </w:rPr>
                  </w:pPr>
                  <w:r w:rsidRPr="009D78D3">
                    <w:rPr>
                      <w:rFonts w:ascii="Times New Roman" w:eastAsia="Times New Roman" w:hAnsi="Times New Roman" w:cs="Times New Roman"/>
                      <w:b/>
                      <w:bCs/>
                      <w:color w:val="000000"/>
                      <w:lang w:eastAsia="lv-LV"/>
                    </w:rPr>
                    <w:t xml:space="preserve">2 674.86 </w:t>
                  </w:r>
                </w:p>
              </w:tc>
              <w:tc>
                <w:tcPr>
                  <w:tcW w:w="1379" w:type="dxa"/>
                  <w:shd w:val="clear" w:color="auto" w:fill="auto"/>
                  <w:noWrap/>
                  <w:vAlign w:val="bottom"/>
                  <w:hideMark/>
                </w:tcPr>
                <w:p w:rsidR="00FC2E4E" w:rsidRPr="009D78D3" w:rsidRDefault="00FC2E4E" w:rsidP="00FB673A">
                  <w:pPr>
                    <w:spacing w:after="0" w:line="240" w:lineRule="auto"/>
                    <w:rPr>
                      <w:rFonts w:ascii="Times New Roman" w:eastAsia="Times New Roman" w:hAnsi="Times New Roman" w:cs="Times New Roman"/>
                      <w:b/>
                      <w:bCs/>
                      <w:color w:val="000000"/>
                      <w:lang w:eastAsia="lv-LV"/>
                    </w:rPr>
                  </w:pPr>
                  <w:r w:rsidRPr="009D78D3">
                    <w:rPr>
                      <w:rFonts w:ascii="Times New Roman" w:eastAsia="Times New Roman" w:hAnsi="Times New Roman" w:cs="Times New Roman"/>
                      <w:b/>
                      <w:bCs/>
                      <w:color w:val="000000"/>
                      <w:lang w:eastAsia="lv-LV"/>
                    </w:rPr>
                    <w:t> </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b/>
                      <w:bCs/>
                      <w:color w:val="000000"/>
                      <w:lang w:eastAsia="lv-LV"/>
                    </w:rPr>
                  </w:pPr>
                  <w:r w:rsidRPr="009D78D3">
                    <w:rPr>
                      <w:rFonts w:ascii="Times New Roman" w:eastAsia="Times New Roman" w:hAnsi="Times New Roman" w:cs="Times New Roman"/>
                      <w:b/>
                      <w:bCs/>
                      <w:color w:val="000000"/>
                      <w:lang w:eastAsia="lv-LV"/>
                    </w:rPr>
                    <w:t xml:space="preserve">263.87 </w:t>
                  </w:r>
                </w:p>
              </w:tc>
            </w:tr>
          </w:tbl>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No 2020.gada turpmāk ik gadu iemaksām*:</w:t>
            </w:r>
          </w:p>
          <w:p w:rsidR="00FC2E4E" w:rsidRPr="009D78D3" w:rsidRDefault="00FC2E4E" w:rsidP="00FB673A">
            <w:pPr>
              <w:pStyle w:val="ListParagraph"/>
              <w:numPr>
                <w:ilvl w:val="0"/>
                <w:numId w:val="1"/>
              </w:num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Pensiju apdrošināšanai: 170,74 EUR</w:t>
            </w:r>
          </w:p>
          <w:p w:rsidR="00FC2E4E" w:rsidRPr="009D78D3" w:rsidRDefault="00FC2E4E" w:rsidP="00FB673A">
            <w:pPr>
              <w:pStyle w:val="ListParagraph"/>
              <w:numPr>
                <w:ilvl w:val="0"/>
                <w:numId w:val="1"/>
              </w:num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Bezdarba gadījumam: 15,71 EUR.</w:t>
            </w:r>
          </w:p>
          <w:p w:rsidR="00FC2E4E" w:rsidRPr="009D78D3" w:rsidRDefault="00FC2E4E" w:rsidP="00FB673A">
            <w:pPr>
              <w:spacing w:after="0" w:line="240" w:lineRule="auto"/>
              <w:rPr>
                <w:rFonts w:ascii="Times New Roman" w:eastAsia="Times New Roman" w:hAnsi="Times New Roman" w:cs="Times New Roman"/>
                <w:i/>
                <w:iCs/>
                <w:color w:val="000000" w:themeColor="text1"/>
                <w:lang w:eastAsia="lv-LV"/>
              </w:rPr>
            </w:pPr>
            <w:r w:rsidRPr="009D78D3">
              <w:rPr>
                <w:rFonts w:ascii="Times New Roman" w:eastAsia="Times New Roman" w:hAnsi="Times New Roman" w:cs="Times New Roman"/>
                <w:i/>
                <w:iCs/>
                <w:color w:val="000000" w:themeColor="text1"/>
                <w:lang w:eastAsia="lv-LV"/>
              </w:rPr>
              <w:t>**iemaksu objekts, no kuras tiek veiktas iemaksas, ir 71,14 EUR mēnesī.</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6.1. detalizēts ieņēmumu aprēķins</w:t>
            </w:r>
          </w:p>
        </w:tc>
        <w:tc>
          <w:tcPr>
            <w:tcW w:w="4456" w:type="pct"/>
            <w:gridSpan w:val="7"/>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6.2. detalizēts izdevumu aprēķins</w:t>
            </w:r>
          </w:p>
        </w:tc>
        <w:tc>
          <w:tcPr>
            <w:tcW w:w="4456" w:type="pct"/>
            <w:gridSpan w:val="7"/>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7. Amata vietu skaita izmaiņas</w:t>
            </w:r>
          </w:p>
        </w:tc>
        <w:tc>
          <w:tcPr>
            <w:tcW w:w="4456" w:type="pct"/>
            <w:gridSpan w:val="7"/>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Projekts šo jomu neskar.</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8. Cita informācija</w:t>
            </w:r>
          </w:p>
        </w:tc>
        <w:tc>
          <w:tcPr>
            <w:tcW w:w="4456" w:type="pct"/>
            <w:gridSpan w:val="7"/>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jc w:val="both"/>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Ņemot vērā, ka Prokuratūra likumprojektā paredzēto pasākumu īstenošanu nodrošinās Prokuratūrai apstiprinātā budžeta ietvaros, tad pamatbudžetā papildus izdevumi neradīsies, savukārt valsts sociālās apdrošināšanas speciālajā budžetā plānojās papildus ieņēmumi, kas uzlabos finansiālo bilanci, jo</w:t>
            </w:r>
            <w:r w:rsidR="00FB673A" w:rsidRPr="009D78D3">
              <w:rPr>
                <w:rFonts w:ascii="Times New Roman" w:eastAsia="Times New Roman" w:hAnsi="Times New Roman" w:cs="Times New Roman"/>
                <w:iCs/>
                <w:color w:val="000000" w:themeColor="text1"/>
                <w:lang w:eastAsia="lv-LV"/>
              </w:rPr>
              <w:t xml:space="preserve"> pensiju izmaksa tuvākajos gados nav paredzēta, savukārt ietekme sakarā ar bezdarbnieka pabalstu ir nebūtiska, ja šis risks vispār iestāsies.</w:t>
            </w:r>
          </w:p>
        </w:tc>
      </w:tr>
    </w:tbl>
    <w:p w:rsidR="00FC2E4E" w:rsidRDefault="00E5323B" w:rsidP="00E5323B">
      <w:pPr>
        <w:spacing w:after="0" w:line="240" w:lineRule="auto"/>
        <w:rPr>
          <w:rFonts w:ascii="Times New Roman" w:eastAsia="Times New Roman" w:hAnsi="Times New Roman" w:cs="Times New Roman"/>
          <w:iCs/>
          <w:noProof/>
          <w:color w:val="000000" w:themeColor="text1"/>
          <w:lang w:eastAsia="lv-LV"/>
        </w:rPr>
      </w:pPr>
      <w:r w:rsidRPr="009D78D3">
        <w:rPr>
          <w:rFonts w:ascii="Times New Roman" w:eastAsia="Times New Roman" w:hAnsi="Times New Roman" w:cs="Times New Roman"/>
          <w:iCs/>
          <w:noProof/>
          <w:color w:val="000000" w:themeColor="text1"/>
          <w:lang w:eastAsia="lv-LV"/>
        </w:rPr>
        <w:t xml:space="preserve">  </w:t>
      </w:r>
    </w:p>
    <w:p w:rsidR="00FC0919" w:rsidRPr="009D78D3" w:rsidRDefault="00FC0919" w:rsidP="00E5323B">
      <w:pPr>
        <w:spacing w:after="0" w:line="240" w:lineRule="auto"/>
        <w:rPr>
          <w:rFonts w:ascii="Times New Roman" w:eastAsia="Times New Roman" w:hAnsi="Times New Roman" w:cs="Times New Roman"/>
          <w:iCs/>
          <w:noProof/>
          <w:color w:val="000000" w:themeColor="text1"/>
          <w:lang w:eastAsia="lv-LV"/>
        </w:rPr>
      </w:pPr>
    </w:p>
    <w:tbl>
      <w:tblPr>
        <w:tblW w:w="5063" w:type="pct"/>
        <w:tblCellSpacing w:w="15" w:type="dxa"/>
        <w:tblInd w:w="-19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2"/>
        <w:gridCol w:w="2158"/>
        <w:gridCol w:w="6777"/>
      </w:tblGrid>
      <w:tr w:rsidR="00B663CB" w:rsidRPr="009D78D3" w:rsidTr="00FC2E4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IV. Tiesību akta projekta ietekme uz spēkā esošo tiesību normu sistēmu</w:t>
            </w:r>
          </w:p>
        </w:tc>
      </w:tr>
      <w:tr w:rsidR="00FC2E4E" w:rsidRPr="009D78D3" w:rsidTr="00FC2E4E">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w:t>
            </w:r>
          </w:p>
        </w:tc>
        <w:tc>
          <w:tcPr>
            <w:tcW w:w="1147"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Saistītie tiesību aktu projekti</w:t>
            </w:r>
          </w:p>
        </w:tc>
        <w:tc>
          <w:tcPr>
            <w:tcW w:w="3597" w:type="pct"/>
            <w:tcBorders>
              <w:top w:val="outset" w:sz="6" w:space="0" w:color="auto"/>
              <w:left w:val="outset" w:sz="6" w:space="0" w:color="auto"/>
              <w:bottom w:val="outset" w:sz="6" w:space="0" w:color="auto"/>
              <w:right w:val="outset" w:sz="6" w:space="0" w:color="auto"/>
            </w:tcBorders>
            <w:hideMark/>
          </w:tcPr>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Saistībā ar likumprojektu nepieciešami grozījumi:</w:t>
            </w:r>
          </w:p>
          <w:p w:rsidR="006631CF" w:rsidRPr="007C3D3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 Ministru kabineta 2010. gada 7. septembra noteikumos Nr.827 “Noteikumi par valsts sociālās apdrošināšanas obligāto iemaksu veicēju reģistrāciju un ziņojumiem par valsts sociālās apdrošināšanas obligātajām iemaksām un iedzīvotāju ienākuma nodokli” – precizēt darba devēja ziņojumu saistībā ar obligāto iemaksu ieskaitīšanu vienotajā nodokļu kontā un darba devēja ziņojuma iesniegšanu</w:t>
            </w:r>
            <w:r w:rsidRPr="007C3D33">
              <w:rPr>
                <w:rFonts w:ascii="Times New Roman" w:eastAsia="Times New Roman" w:hAnsi="Times New Roman" w:cs="Times New Roman"/>
                <w:iCs/>
                <w:noProof/>
                <w:color w:val="000000" w:themeColor="text1"/>
                <w:sz w:val="24"/>
                <w:szCs w:val="24"/>
                <w:lang w:eastAsia="lv-LV"/>
              </w:rPr>
              <w:t>. Normatīvā akta projekts tiks izstrādā</w:t>
            </w:r>
            <w:r w:rsidR="006A7166" w:rsidRPr="007C3D33">
              <w:rPr>
                <w:rFonts w:ascii="Times New Roman" w:eastAsia="Times New Roman" w:hAnsi="Times New Roman" w:cs="Times New Roman"/>
                <w:iCs/>
                <w:noProof/>
                <w:color w:val="000000" w:themeColor="text1"/>
                <w:sz w:val="24"/>
                <w:szCs w:val="24"/>
                <w:lang w:eastAsia="lv-LV"/>
              </w:rPr>
              <w:t>ts</w:t>
            </w:r>
            <w:r w:rsidR="002C72C2" w:rsidRPr="007C3D33">
              <w:rPr>
                <w:rFonts w:ascii="Times New Roman" w:eastAsia="Times New Roman" w:hAnsi="Times New Roman" w:cs="Times New Roman"/>
                <w:iCs/>
                <w:noProof/>
                <w:color w:val="000000" w:themeColor="text1"/>
                <w:sz w:val="24"/>
                <w:szCs w:val="24"/>
                <w:lang w:eastAsia="lv-LV"/>
              </w:rPr>
              <w:t>, lai grozījumi stātos spēkā</w:t>
            </w:r>
            <w:r w:rsidRPr="007C3D33">
              <w:rPr>
                <w:rFonts w:ascii="Times New Roman" w:eastAsia="Times New Roman" w:hAnsi="Times New Roman" w:cs="Times New Roman"/>
                <w:iCs/>
                <w:noProof/>
                <w:color w:val="000000" w:themeColor="text1"/>
                <w:sz w:val="24"/>
                <w:szCs w:val="24"/>
                <w:lang w:eastAsia="lv-LV"/>
              </w:rPr>
              <w:t xml:space="preserve"> 2021. gada 1. janvār</w:t>
            </w:r>
            <w:r w:rsidR="002C72C2" w:rsidRPr="007C3D33">
              <w:rPr>
                <w:rFonts w:ascii="Times New Roman" w:eastAsia="Times New Roman" w:hAnsi="Times New Roman" w:cs="Times New Roman"/>
                <w:iCs/>
                <w:noProof/>
                <w:color w:val="000000" w:themeColor="text1"/>
                <w:sz w:val="24"/>
                <w:szCs w:val="24"/>
                <w:lang w:eastAsia="lv-LV"/>
              </w:rPr>
              <w:t>ī</w:t>
            </w:r>
            <w:r w:rsidRPr="007C3D33">
              <w:rPr>
                <w:rFonts w:ascii="Times New Roman" w:eastAsia="Times New Roman" w:hAnsi="Times New Roman" w:cs="Times New Roman"/>
                <w:iCs/>
                <w:noProof/>
                <w:color w:val="000000" w:themeColor="text1"/>
                <w:sz w:val="24"/>
                <w:szCs w:val="24"/>
                <w:lang w:eastAsia="lv-LV"/>
              </w:rPr>
              <w:t>;</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7C3D33">
              <w:rPr>
                <w:rFonts w:ascii="Times New Roman" w:eastAsia="Times New Roman" w:hAnsi="Times New Roman" w:cs="Times New Roman"/>
                <w:iCs/>
                <w:noProof/>
                <w:color w:val="000000" w:themeColor="text1"/>
                <w:sz w:val="24"/>
                <w:szCs w:val="24"/>
                <w:lang w:eastAsia="lv-LV"/>
              </w:rPr>
              <w:t>2) Ministru kabineta 2010.</w:t>
            </w:r>
            <w:r w:rsidRPr="009D78D3">
              <w:rPr>
                <w:rFonts w:ascii="Times New Roman" w:eastAsia="Times New Roman" w:hAnsi="Times New Roman" w:cs="Times New Roman"/>
                <w:iCs/>
                <w:noProof/>
                <w:color w:val="000000" w:themeColor="text1"/>
                <w:sz w:val="24"/>
                <w:szCs w:val="24"/>
                <w:lang w:eastAsia="lv-LV"/>
              </w:rPr>
              <w:t xml:space="preserve"> gada 5. oktobra noteikumos Nr.951 „Kārtība, kādā Valsts sociālās apdrošināšanas aģentūra reģistrē valsts sociālās apdrošināšanas obligātās iemaksas un apmainās ar Valsts ieņēmumu dienestu ar ziņām par šīm iemaksām un pārmaksāto iedzīvotāju ienākuma nodokli”;</w:t>
            </w:r>
          </w:p>
          <w:p w:rsidR="00E5323B"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 Ministru kabineta 2001. gada 5. jūnija noteikumos Nr.230 „Noteikumi par valsts sociālās apdrošināšanas obligātajām iemaksām no valsts pamatbudžeta un valsts sociālās apdrošināšanas speciālajiem budžetiem”.</w:t>
            </w:r>
          </w:p>
        </w:tc>
      </w:tr>
      <w:tr w:rsidR="00FC2E4E" w:rsidRPr="009D78D3" w:rsidTr="00FC2E4E">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w:t>
            </w:r>
          </w:p>
        </w:tc>
        <w:tc>
          <w:tcPr>
            <w:tcW w:w="1147"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Atbildīgā institūcija</w:t>
            </w:r>
          </w:p>
        </w:tc>
        <w:tc>
          <w:tcPr>
            <w:tcW w:w="3597"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Labklājības ministrija ir atbildīga par minēto Ministru kabineta noteikumu projekta izstrādi.</w:t>
            </w:r>
          </w:p>
        </w:tc>
      </w:tr>
      <w:tr w:rsidR="00FC2E4E" w:rsidRPr="009D78D3" w:rsidTr="00FC2E4E">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w:t>
            </w:r>
          </w:p>
        </w:tc>
        <w:tc>
          <w:tcPr>
            <w:tcW w:w="1147"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Cita informācija</w:t>
            </w:r>
          </w:p>
        </w:tc>
        <w:tc>
          <w:tcPr>
            <w:tcW w:w="3597"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p w:rsidR="00FC0919" w:rsidRPr="009D78D3" w:rsidRDefault="00FC0919" w:rsidP="00E5323B">
      <w:pPr>
        <w:spacing w:after="0" w:line="240" w:lineRule="auto"/>
        <w:rPr>
          <w:rFonts w:ascii="Times New Roman" w:eastAsia="Times New Roman" w:hAnsi="Times New Roman" w:cs="Times New Roman"/>
          <w:iCs/>
          <w:noProof/>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663CB" w:rsidRPr="009D78D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lastRenderedPageBreak/>
              <w:t>V. Tiesību akta projekta atbilstība Latvijas Republikas starptautiskajām saistībām</w:t>
            </w:r>
          </w:p>
        </w:tc>
      </w:tr>
      <w:tr w:rsidR="006631CF" w:rsidRPr="009D78D3"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631CF" w:rsidRPr="009D78D3" w:rsidRDefault="006631CF" w:rsidP="00A3042F">
            <w:pPr>
              <w:spacing w:after="0" w:line="240" w:lineRule="auto"/>
              <w:jc w:val="center"/>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Likumprojekts šo jomu neskar.</w:t>
            </w:r>
          </w:p>
        </w:tc>
      </w:tr>
    </w:tbl>
    <w:p w:rsidR="00E5323B"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p w:rsidR="00FC0919" w:rsidRPr="009D78D3" w:rsidRDefault="00FC0919" w:rsidP="00E5323B">
      <w:pPr>
        <w:spacing w:after="0" w:line="240" w:lineRule="auto"/>
        <w:rPr>
          <w:rFonts w:ascii="Times New Roman" w:eastAsia="Times New Roman" w:hAnsi="Times New Roman" w:cs="Times New Roman"/>
          <w:iCs/>
          <w:noProof/>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663CB" w:rsidRPr="009D78D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VI. Sabiedrības līdzdalība un komunikācijas aktivitātes</w:t>
            </w:r>
          </w:p>
        </w:tc>
      </w:tr>
      <w:tr w:rsidR="00B663CB" w:rsidRPr="009D78D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A26FBA" w:rsidRPr="009D78D3" w:rsidRDefault="00A26FBA" w:rsidP="00A26FBA">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Sabiedrības līdzdalība ir nodrošināta, publicējot uzziņu par likumprojektu un likumprojektu Labklājības ministrijas mājas lapā internetā.</w:t>
            </w:r>
          </w:p>
          <w:p w:rsidR="00E5323B" w:rsidRPr="009D78D3" w:rsidRDefault="00A26FBA" w:rsidP="00A26FBA">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tc>
      </w:tr>
      <w:tr w:rsidR="00B663CB" w:rsidRPr="009D78D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A26FBA" w:rsidRPr="009D78D3" w:rsidRDefault="00A26FBA" w:rsidP="00A26FBA">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Informācija par vienotā nodokļu konta ieviešanu un tā ieviešanas risinājumiem sniegta Nacionālās trīspusējās sadarbības padomes Budžeta un nodokļu apakšpadomes 2017. gada 18. augusta sēdē, vienlaikus sabiedrības līdzdalība vienotā nodokļu konta regulējuma izstrādē tika nodrošināta Saeimā 2017. gada 23. novembrī pieņemtā likuma “Grozījumi likumā “Par nodokļiem un nodevām”” izstrādes un saskaņošanas laikā (likumprojekts “Grozījumi likumā “Par nodokļiem un nodevām”” tika izsludināts Valsts sekretāru 2017. gada 17. augusta sanāksmē (prot.Nr.32 7.§ VSS-870), minētais likumprojekts tika skaņots ar Latvijas Pašvaldību savienību, Latvijas Brīvo arodbiedrību savienību un Latvijas Darba devēju konfederāciju, kā arī ar Latvijas Tirdzniecības un rūpniecības kameru). </w:t>
            </w:r>
          </w:p>
          <w:p w:rsidR="00E5323B" w:rsidRPr="009D78D3" w:rsidRDefault="00A26FBA" w:rsidP="002C72C2">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Uzziņa par likumprojekta izstrādi un likumprojekts 2018. gada 5. februārī tika publicēts Labklājības ministrijas mājas lapas www.lm.gov.lv sadaļas “Sabiedrības līdzdalība” apakšsadaļā “</w:t>
            </w:r>
            <w:r w:rsidR="009D3E35" w:rsidRPr="009D78D3">
              <w:rPr>
                <w:rFonts w:ascii="Times New Roman" w:eastAsia="Times New Roman" w:hAnsi="Times New Roman" w:cs="Times New Roman"/>
                <w:iCs/>
                <w:noProof/>
                <w:color w:val="000000" w:themeColor="text1"/>
                <w:sz w:val="24"/>
                <w:szCs w:val="24"/>
                <w:lang w:eastAsia="lv-LV"/>
              </w:rPr>
              <w:t>LM dokumentu projekti</w:t>
            </w:r>
            <w:r w:rsidRPr="009D78D3">
              <w:rPr>
                <w:rFonts w:ascii="Times New Roman" w:eastAsia="Times New Roman" w:hAnsi="Times New Roman" w:cs="Times New Roman"/>
                <w:iCs/>
                <w:noProof/>
                <w:color w:val="000000" w:themeColor="text1"/>
                <w:sz w:val="24"/>
                <w:szCs w:val="24"/>
                <w:lang w:eastAsia="lv-LV"/>
              </w:rPr>
              <w:t>”, saite:</w:t>
            </w:r>
            <w:r w:rsidR="009D3E35" w:rsidRPr="009D78D3">
              <w:rPr>
                <w:rFonts w:ascii="Times New Roman" w:eastAsia="Times New Roman" w:hAnsi="Times New Roman" w:cs="Times New Roman"/>
                <w:iCs/>
                <w:noProof/>
                <w:color w:val="000000" w:themeColor="text1"/>
                <w:sz w:val="24"/>
                <w:szCs w:val="24"/>
                <w:lang w:eastAsia="lv-LV"/>
              </w:rPr>
              <w:t xml:space="preserve"> </w:t>
            </w:r>
            <w:r w:rsidRPr="009D78D3">
              <w:rPr>
                <w:rFonts w:ascii="Times New Roman" w:eastAsia="Times New Roman" w:hAnsi="Times New Roman" w:cs="Times New Roman"/>
                <w:iCs/>
                <w:noProof/>
                <w:color w:val="000000" w:themeColor="text1"/>
                <w:sz w:val="24"/>
                <w:szCs w:val="24"/>
                <w:lang w:eastAsia="lv-LV"/>
              </w:rPr>
              <w:t xml:space="preserve"> </w:t>
            </w:r>
            <w:hyperlink r:id="rId9" w:history="1">
              <w:r w:rsidR="009D3E35" w:rsidRPr="009D78D3">
                <w:rPr>
                  <w:rStyle w:val="Hyperlink"/>
                  <w:rFonts w:ascii="Times New Roman" w:eastAsia="Times New Roman" w:hAnsi="Times New Roman" w:cs="Times New Roman"/>
                  <w:iCs/>
                  <w:noProof/>
                  <w:sz w:val="24"/>
                  <w:szCs w:val="24"/>
                  <w:lang w:eastAsia="lv-LV"/>
                </w:rPr>
                <w:t>http://www.lm.gov.lv/text/1789</w:t>
              </w:r>
            </w:hyperlink>
            <w:r w:rsidR="006A7166" w:rsidRPr="009D78D3">
              <w:rPr>
                <w:color w:val="000000" w:themeColor="text1"/>
              </w:rPr>
              <w:t>.</w:t>
            </w:r>
          </w:p>
        </w:tc>
      </w:tr>
      <w:tr w:rsidR="00B663CB" w:rsidRPr="009D78D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9D78D3" w:rsidRDefault="00A26FBA" w:rsidP="006A7166">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Likumprojekta saskaņošanas gaitā pēc tā izsludināšanas Valsts sekretāru sanāksmē </w:t>
            </w:r>
            <w:r w:rsidRPr="00687642">
              <w:rPr>
                <w:rFonts w:ascii="Times New Roman" w:eastAsia="Times New Roman" w:hAnsi="Times New Roman" w:cs="Times New Roman"/>
                <w:iCs/>
                <w:noProof/>
                <w:color w:val="000000" w:themeColor="text1"/>
                <w:sz w:val="24"/>
                <w:szCs w:val="24"/>
                <w:lang w:eastAsia="lv-LV"/>
              </w:rPr>
              <w:t>tik</w:t>
            </w:r>
            <w:r w:rsidR="006A7166" w:rsidRPr="00687642">
              <w:rPr>
                <w:rFonts w:ascii="Times New Roman" w:eastAsia="Times New Roman" w:hAnsi="Times New Roman" w:cs="Times New Roman"/>
                <w:iCs/>
                <w:noProof/>
                <w:color w:val="000000" w:themeColor="text1"/>
                <w:sz w:val="24"/>
                <w:szCs w:val="24"/>
                <w:lang w:eastAsia="lv-LV"/>
              </w:rPr>
              <w:t>a saņemts Eiropas Latviešu apvienības priekšlikums</w:t>
            </w:r>
            <w:r w:rsidRPr="00687642">
              <w:rPr>
                <w:rFonts w:ascii="Times New Roman" w:eastAsia="Times New Roman" w:hAnsi="Times New Roman" w:cs="Times New Roman"/>
                <w:iCs/>
                <w:noProof/>
                <w:color w:val="000000" w:themeColor="text1"/>
                <w:sz w:val="24"/>
                <w:szCs w:val="24"/>
                <w:lang w:eastAsia="lv-LV"/>
              </w:rPr>
              <w:t>.</w:t>
            </w:r>
          </w:p>
        </w:tc>
      </w:tr>
      <w:tr w:rsidR="00B663CB" w:rsidRPr="009D78D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D78D3" w:rsidRDefault="00A26FBA" w:rsidP="00A26FBA">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p w:rsidR="00FC0919" w:rsidRPr="009D78D3" w:rsidRDefault="00FC0919" w:rsidP="00E5323B">
      <w:pPr>
        <w:spacing w:after="0" w:line="240" w:lineRule="auto"/>
        <w:rPr>
          <w:rFonts w:ascii="Times New Roman" w:eastAsia="Times New Roman" w:hAnsi="Times New Roman" w:cs="Times New Roman"/>
          <w:iCs/>
          <w:noProof/>
          <w:color w:val="000000" w:themeColor="text1"/>
          <w:sz w:val="24"/>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B663CB" w:rsidRPr="009D78D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VII. Tiesību akta projekta izpildes nodrošināšana un tās ietekme uz institūcijām</w:t>
            </w:r>
          </w:p>
        </w:tc>
      </w:tr>
      <w:tr w:rsidR="00B663CB" w:rsidRPr="009D78D3"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A26FBA"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VSAA, Valsts ieņēmumu dienests.</w:t>
            </w:r>
          </w:p>
        </w:tc>
      </w:tr>
      <w:tr w:rsidR="00B663CB" w:rsidRPr="009D78D3"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Projekta izpildes ietekme uz pārvaldes funkcijām un institucionālo struktūru.</w:t>
            </w:r>
            <w:r w:rsidRPr="009D78D3">
              <w:rPr>
                <w:rFonts w:ascii="Times New Roman" w:eastAsia="Times New Roman" w:hAnsi="Times New Roman" w:cs="Times New Roman"/>
                <w:iCs/>
                <w:noProof/>
                <w:color w:val="000000" w:themeColor="text1"/>
                <w:sz w:val="24"/>
                <w:szCs w:val="24"/>
                <w:lang w:eastAsia="lv-LV"/>
              </w:rPr>
              <w:br/>
              <w:t xml:space="preserve">Jaunu institūciju izveide, esošu institūciju likvidācija </w:t>
            </w:r>
            <w:r w:rsidRPr="009D78D3">
              <w:rPr>
                <w:rFonts w:ascii="Times New Roman" w:eastAsia="Times New Roman" w:hAnsi="Times New Roman" w:cs="Times New Roman"/>
                <w:iCs/>
                <w:noProof/>
                <w:color w:val="000000" w:themeColor="text1"/>
                <w:sz w:val="24"/>
                <w:szCs w:val="24"/>
                <w:lang w:eastAsia="lv-LV"/>
              </w:rPr>
              <w:lastRenderedPageBreak/>
              <w:t>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A26FBA" w:rsidP="009E1966">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lastRenderedPageBreak/>
              <w:t xml:space="preserve">Nav plānota esošu institūciju likvidācija vai reorganizācija. Pēc </w:t>
            </w:r>
            <w:r w:rsidR="009E1966" w:rsidRPr="009D78D3">
              <w:rPr>
                <w:rFonts w:ascii="Times New Roman" w:eastAsia="Times New Roman" w:hAnsi="Times New Roman" w:cs="Times New Roman"/>
                <w:iCs/>
                <w:noProof/>
                <w:color w:val="000000" w:themeColor="text1"/>
                <w:sz w:val="24"/>
                <w:szCs w:val="24"/>
                <w:lang w:eastAsia="lv-LV"/>
              </w:rPr>
              <w:t>likuma</w:t>
            </w:r>
            <w:r w:rsidRPr="009D78D3">
              <w:rPr>
                <w:rFonts w:ascii="Times New Roman" w:eastAsia="Times New Roman" w:hAnsi="Times New Roman" w:cs="Times New Roman"/>
                <w:iCs/>
                <w:noProof/>
                <w:color w:val="000000" w:themeColor="text1"/>
                <w:sz w:val="24"/>
                <w:szCs w:val="24"/>
                <w:lang w:eastAsia="lv-LV"/>
              </w:rPr>
              <w:t xml:space="preserve"> spēkā stāšanās tā īstenošana notiks, izmantojot esošos cilvēkresursus.</w:t>
            </w:r>
          </w:p>
        </w:tc>
      </w:tr>
      <w:tr w:rsidR="00B663CB" w:rsidRPr="009D78D3"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A26FBA"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Nav.</w:t>
            </w:r>
          </w:p>
        </w:tc>
      </w:tr>
    </w:tbl>
    <w:p w:rsidR="00C25B49" w:rsidRDefault="00C25B49" w:rsidP="00894C55">
      <w:pPr>
        <w:spacing w:after="0" w:line="240" w:lineRule="auto"/>
        <w:rPr>
          <w:rFonts w:ascii="Times New Roman" w:hAnsi="Times New Roman" w:cs="Times New Roman"/>
          <w:noProof/>
          <w:color w:val="000000" w:themeColor="text1"/>
          <w:sz w:val="28"/>
          <w:szCs w:val="28"/>
        </w:rPr>
      </w:pPr>
    </w:p>
    <w:p w:rsidR="00FC0919" w:rsidRPr="009D78D3" w:rsidRDefault="00FC0919" w:rsidP="00894C55">
      <w:pPr>
        <w:spacing w:after="0" w:line="240" w:lineRule="auto"/>
        <w:rPr>
          <w:rFonts w:ascii="Times New Roman" w:hAnsi="Times New Roman" w:cs="Times New Roman"/>
          <w:noProof/>
          <w:color w:val="000000" w:themeColor="text1"/>
          <w:sz w:val="28"/>
          <w:szCs w:val="28"/>
        </w:rPr>
      </w:pPr>
    </w:p>
    <w:p w:rsidR="00A26FBA" w:rsidRPr="009D78D3" w:rsidRDefault="00A26FBA" w:rsidP="00894C55">
      <w:pPr>
        <w:spacing w:after="0" w:line="240" w:lineRule="auto"/>
        <w:rPr>
          <w:rFonts w:ascii="Times New Roman" w:hAnsi="Times New Roman" w:cs="Times New Roman"/>
          <w:noProof/>
          <w:color w:val="000000" w:themeColor="text1"/>
          <w:sz w:val="28"/>
          <w:szCs w:val="28"/>
        </w:rPr>
      </w:pPr>
    </w:p>
    <w:p w:rsidR="00894C55" w:rsidRPr="009D78D3" w:rsidRDefault="00A26FBA" w:rsidP="007259B1">
      <w:pPr>
        <w:tabs>
          <w:tab w:val="left" w:pos="6237"/>
        </w:tabs>
        <w:spacing w:after="0" w:line="240" w:lineRule="auto"/>
        <w:rPr>
          <w:rFonts w:ascii="Times New Roman" w:hAnsi="Times New Roman" w:cs="Times New Roman"/>
          <w:noProof/>
          <w:color w:val="000000" w:themeColor="text1"/>
          <w:sz w:val="28"/>
          <w:szCs w:val="28"/>
        </w:rPr>
      </w:pPr>
      <w:r w:rsidRPr="009D78D3">
        <w:rPr>
          <w:rFonts w:ascii="Times New Roman" w:hAnsi="Times New Roman" w:cs="Times New Roman"/>
          <w:noProof/>
          <w:color w:val="000000" w:themeColor="text1"/>
          <w:sz w:val="28"/>
          <w:szCs w:val="28"/>
        </w:rPr>
        <w:t xml:space="preserve">Labklājības </w:t>
      </w:r>
      <w:r w:rsidR="00894C55" w:rsidRPr="009D78D3">
        <w:rPr>
          <w:rFonts w:ascii="Times New Roman" w:hAnsi="Times New Roman" w:cs="Times New Roman"/>
          <w:noProof/>
          <w:color w:val="000000" w:themeColor="text1"/>
          <w:sz w:val="28"/>
          <w:szCs w:val="28"/>
        </w:rPr>
        <w:t>ministrs</w:t>
      </w:r>
      <w:r w:rsidR="00894C55" w:rsidRPr="009D78D3">
        <w:rPr>
          <w:rFonts w:ascii="Times New Roman" w:hAnsi="Times New Roman" w:cs="Times New Roman"/>
          <w:noProof/>
          <w:color w:val="000000" w:themeColor="text1"/>
          <w:sz w:val="28"/>
          <w:szCs w:val="28"/>
        </w:rPr>
        <w:tab/>
      </w:r>
      <w:r w:rsidRPr="009D78D3">
        <w:rPr>
          <w:rFonts w:ascii="Times New Roman" w:hAnsi="Times New Roman" w:cs="Times New Roman"/>
          <w:noProof/>
          <w:color w:val="000000" w:themeColor="text1"/>
          <w:sz w:val="28"/>
          <w:szCs w:val="28"/>
        </w:rPr>
        <w:t xml:space="preserve">        </w:t>
      </w:r>
      <w:r w:rsidR="00B56062" w:rsidRPr="009D78D3">
        <w:rPr>
          <w:rFonts w:ascii="Times New Roman" w:hAnsi="Times New Roman" w:cs="Times New Roman"/>
          <w:noProof/>
          <w:color w:val="000000" w:themeColor="text1"/>
          <w:sz w:val="28"/>
          <w:szCs w:val="28"/>
        </w:rPr>
        <w:t xml:space="preserve">      </w:t>
      </w:r>
      <w:r w:rsidRPr="009D78D3">
        <w:rPr>
          <w:rFonts w:ascii="Times New Roman" w:hAnsi="Times New Roman" w:cs="Times New Roman"/>
          <w:noProof/>
          <w:color w:val="000000" w:themeColor="text1"/>
          <w:sz w:val="28"/>
          <w:szCs w:val="28"/>
        </w:rPr>
        <w:t xml:space="preserve">   J.Reirs</w:t>
      </w:r>
    </w:p>
    <w:p w:rsidR="00894C55" w:rsidRPr="009D78D3" w:rsidRDefault="00894C55" w:rsidP="00894C55">
      <w:pPr>
        <w:spacing w:after="0" w:line="240" w:lineRule="auto"/>
        <w:ind w:firstLine="720"/>
        <w:rPr>
          <w:rFonts w:ascii="Times New Roman" w:hAnsi="Times New Roman" w:cs="Times New Roman"/>
          <w:noProof/>
          <w:color w:val="000000" w:themeColor="text1"/>
          <w:sz w:val="28"/>
          <w:szCs w:val="28"/>
        </w:rPr>
      </w:pPr>
    </w:p>
    <w:p w:rsidR="00894C55" w:rsidRDefault="00894C55" w:rsidP="00894C55">
      <w:pPr>
        <w:tabs>
          <w:tab w:val="left" w:pos="6237"/>
        </w:tabs>
        <w:spacing w:after="0" w:line="240" w:lineRule="auto"/>
        <w:ind w:firstLine="720"/>
        <w:rPr>
          <w:rFonts w:ascii="Times New Roman" w:hAnsi="Times New Roman" w:cs="Times New Roman"/>
          <w:noProof/>
          <w:color w:val="000000" w:themeColor="text1"/>
          <w:sz w:val="28"/>
          <w:szCs w:val="28"/>
        </w:rPr>
      </w:pPr>
    </w:p>
    <w:p w:rsidR="00FC0919" w:rsidRPr="009D78D3" w:rsidRDefault="00FC0919" w:rsidP="00894C55">
      <w:pPr>
        <w:tabs>
          <w:tab w:val="left" w:pos="6237"/>
        </w:tabs>
        <w:spacing w:after="0" w:line="240" w:lineRule="auto"/>
        <w:ind w:firstLine="720"/>
        <w:rPr>
          <w:rFonts w:ascii="Times New Roman" w:hAnsi="Times New Roman" w:cs="Times New Roman"/>
          <w:noProof/>
          <w:color w:val="000000" w:themeColor="text1"/>
          <w:sz w:val="28"/>
          <w:szCs w:val="28"/>
        </w:rPr>
      </w:pPr>
    </w:p>
    <w:p w:rsidR="00894C55" w:rsidRPr="009D78D3" w:rsidRDefault="00A26FBA" w:rsidP="00894C55">
      <w:pPr>
        <w:tabs>
          <w:tab w:val="left" w:pos="6237"/>
        </w:tabs>
        <w:spacing w:after="0" w:line="240" w:lineRule="auto"/>
        <w:rPr>
          <w:rFonts w:ascii="Times New Roman" w:hAnsi="Times New Roman" w:cs="Times New Roman"/>
          <w:noProof/>
          <w:color w:val="000000" w:themeColor="text1"/>
          <w:sz w:val="24"/>
          <w:szCs w:val="28"/>
        </w:rPr>
      </w:pPr>
      <w:r w:rsidRPr="009D78D3">
        <w:rPr>
          <w:rFonts w:ascii="Times New Roman" w:hAnsi="Times New Roman" w:cs="Times New Roman"/>
          <w:noProof/>
          <w:color w:val="000000" w:themeColor="text1"/>
          <w:sz w:val="24"/>
          <w:szCs w:val="28"/>
        </w:rPr>
        <w:t xml:space="preserve">Rucka </w:t>
      </w:r>
      <w:r w:rsidR="00D133F8" w:rsidRPr="009D78D3">
        <w:rPr>
          <w:rFonts w:ascii="Times New Roman" w:hAnsi="Times New Roman" w:cs="Times New Roman"/>
          <w:noProof/>
          <w:color w:val="000000" w:themeColor="text1"/>
          <w:sz w:val="24"/>
          <w:szCs w:val="28"/>
        </w:rPr>
        <w:t>670</w:t>
      </w:r>
      <w:r w:rsidRPr="009D78D3">
        <w:rPr>
          <w:rFonts w:ascii="Times New Roman" w:hAnsi="Times New Roman" w:cs="Times New Roman"/>
          <w:noProof/>
          <w:color w:val="000000" w:themeColor="text1"/>
          <w:sz w:val="24"/>
          <w:szCs w:val="28"/>
        </w:rPr>
        <w:t>21607</w:t>
      </w:r>
    </w:p>
    <w:p w:rsidR="00A26FBA" w:rsidRPr="009D78D3" w:rsidRDefault="007C3D33" w:rsidP="008A2DE0">
      <w:pPr>
        <w:tabs>
          <w:tab w:val="left" w:pos="6237"/>
        </w:tabs>
        <w:spacing w:after="0" w:line="240" w:lineRule="auto"/>
        <w:rPr>
          <w:rFonts w:ascii="Times New Roman" w:hAnsi="Times New Roman" w:cs="Times New Roman"/>
          <w:noProof/>
          <w:color w:val="000000" w:themeColor="text1"/>
          <w:sz w:val="24"/>
          <w:szCs w:val="28"/>
        </w:rPr>
      </w:pPr>
      <w:hyperlink r:id="rId10" w:history="1">
        <w:r w:rsidR="00A26FBA" w:rsidRPr="009D78D3">
          <w:rPr>
            <w:rStyle w:val="Hyperlink"/>
            <w:rFonts w:ascii="Times New Roman" w:hAnsi="Times New Roman" w:cs="Times New Roman"/>
            <w:noProof/>
            <w:sz w:val="24"/>
            <w:szCs w:val="28"/>
          </w:rPr>
          <w:t>Sandra.Rucka@lm.gov.lv</w:t>
        </w:r>
      </w:hyperlink>
    </w:p>
    <w:sectPr w:rsidR="00A26FBA" w:rsidRPr="009D78D3" w:rsidSect="00B75C9C">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C5" w:rsidRDefault="00450FC5" w:rsidP="00894C55">
      <w:pPr>
        <w:spacing w:after="0" w:line="240" w:lineRule="auto"/>
      </w:pPr>
      <w:r>
        <w:separator/>
      </w:r>
    </w:p>
  </w:endnote>
  <w:endnote w:type="continuationSeparator" w:id="0">
    <w:p w:rsidR="00450FC5" w:rsidRDefault="00450FC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33" w:rsidRPr="00894C55" w:rsidRDefault="007C3D33">
    <w:pPr>
      <w:pStyle w:val="Footer"/>
      <w:rPr>
        <w:rFonts w:ascii="Times New Roman" w:hAnsi="Times New Roman" w:cs="Times New Roman"/>
        <w:sz w:val="20"/>
        <w:szCs w:val="20"/>
      </w:rPr>
    </w:pPr>
    <w:r>
      <w:rPr>
        <w:rFonts w:ascii="Times New Roman" w:hAnsi="Times New Roman" w:cs="Times New Roman"/>
        <w:sz w:val="20"/>
        <w:szCs w:val="20"/>
      </w:rPr>
      <w:t>LManot_17052018_FIFO_uc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33" w:rsidRPr="009A2654" w:rsidRDefault="007C3D33">
    <w:pPr>
      <w:pStyle w:val="Footer"/>
      <w:rPr>
        <w:rFonts w:ascii="Times New Roman" w:hAnsi="Times New Roman" w:cs="Times New Roman"/>
        <w:sz w:val="20"/>
        <w:szCs w:val="20"/>
      </w:rPr>
    </w:pPr>
    <w:r>
      <w:rPr>
        <w:rFonts w:ascii="Times New Roman" w:hAnsi="Times New Roman" w:cs="Times New Roman"/>
        <w:sz w:val="20"/>
        <w:szCs w:val="20"/>
      </w:rPr>
      <w:t>LManot_17052018_FIFO_uc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C5" w:rsidRDefault="00450FC5" w:rsidP="00894C55">
      <w:pPr>
        <w:spacing w:after="0" w:line="240" w:lineRule="auto"/>
      </w:pPr>
      <w:r>
        <w:separator/>
      </w:r>
    </w:p>
  </w:footnote>
  <w:footnote w:type="continuationSeparator" w:id="0">
    <w:p w:rsidR="00450FC5" w:rsidRDefault="00450FC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C3D33" w:rsidRPr="00C25B49" w:rsidRDefault="007C3D3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C0919">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473B"/>
    <w:rsid w:val="00042092"/>
    <w:rsid w:val="000541EB"/>
    <w:rsid w:val="00137B2D"/>
    <w:rsid w:val="0014075B"/>
    <w:rsid w:val="00184AD7"/>
    <w:rsid w:val="001D23D9"/>
    <w:rsid w:val="00201750"/>
    <w:rsid w:val="00215F9E"/>
    <w:rsid w:val="00243426"/>
    <w:rsid w:val="002A15EB"/>
    <w:rsid w:val="002A2E82"/>
    <w:rsid w:val="002A39FC"/>
    <w:rsid w:val="002C7177"/>
    <w:rsid w:val="002C72C2"/>
    <w:rsid w:val="002D7E8E"/>
    <w:rsid w:val="002E1C05"/>
    <w:rsid w:val="00360B97"/>
    <w:rsid w:val="003B0BF9"/>
    <w:rsid w:val="003C4DB9"/>
    <w:rsid w:val="003E0360"/>
    <w:rsid w:val="003E0791"/>
    <w:rsid w:val="003F28AC"/>
    <w:rsid w:val="00402FFC"/>
    <w:rsid w:val="00437CF1"/>
    <w:rsid w:val="004454FE"/>
    <w:rsid w:val="00450FC5"/>
    <w:rsid w:val="00456E40"/>
    <w:rsid w:val="00471F27"/>
    <w:rsid w:val="004B1666"/>
    <w:rsid w:val="004B67BB"/>
    <w:rsid w:val="004C2708"/>
    <w:rsid w:val="004E7026"/>
    <w:rsid w:val="0050178F"/>
    <w:rsid w:val="00560704"/>
    <w:rsid w:val="005904DA"/>
    <w:rsid w:val="005F061A"/>
    <w:rsid w:val="006423E7"/>
    <w:rsid w:val="00652644"/>
    <w:rsid w:val="00655F2C"/>
    <w:rsid w:val="006631CF"/>
    <w:rsid w:val="006874CA"/>
    <w:rsid w:val="00687642"/>
    <w:rsid w:val="006A47A2"/>
    <w:rsid w:val="006A7166"/>
    <w:rsid w:val="006E1081"/>
    <w:rsid w:val="006F0021"/>
    <w:rsid w:val="00720585"/>
    <w:rsid w:val="007259B1"/>
    <w:rsid w:val="007310B0"/>
    <w:rsid w:val="00743ED8"/>
    <w:rsid w:val="00746CBF"/>
    <w:rsid w:val="00773AF6"/>
    <w:rsid w:val="00795F71"/>
    <w:rsid w:val="007B1ABB"/>
    <w:rsid w:val="007B597F"/>
    <w:rsid w:val="007B7FC0"/>
    <w:rsid w:val="007C3D33"/>
    <w:rsid w:val="007E5F7A"/>
    <w:rsid w:val="007E73AB"/>
    <w:rsid w:val="00816C11"/>
    <w:rsid w:val="0081746B"/>
    <w:rsid w:val="008231E9"/>
    <w:rsid w:val="00834767"/>
    <w:rsid w:val="00894C55"/>
    <w:rsid w:val="008A2DE0"/>
    <w:rsid w:val="008B25C3"/>
    <w:rsid w:val="008E6785"/>
    <w:rsid w:val="0090035C"/>
    <w:rsid w:val="00945026"/>
    <w:rsid w:val="00967A1A"/>
    <w:rsid w:val="00971070"/>
    <w:rsid w:val="009765A4"/>
    <w:rsid w:val="00985BBB"/>
    <w:rsid w:val="009A2654"/>
    <w:rsid w:val="009B3E51"/>
    <w:rsid w:val="009C66C1"/>
    <w:rsid w:val="009D3E35"/>
    <w:rsid w:val="009D78D3"/>
    <w:rsid w:val="009E1966"/>
    <w:rsid w:val="00A10FC3"/>
    <w:rsid w:val="00A26FBA"/>
    <w:rsid w:val="00A3042F"/>
    <w:rsid w:val="00A37D3A"/>
    <w:rsid w:val="00A55F29"/>
    <w:rsid w:val="00A6073E"/>
    <w:rsid w:val="00A61708"/>
    <w:rsid w:val="00A74A2A"/>
    <w:rsid w:val="00A7791E"/>
    <w:rsid w:val="00A8547D"/>
    <w:rsid w:val="00A95BF2"/>
    <w:rsid w:val="00AE5567"/>
    <w:rsid w:val="00AF1239"/>
    <w:rsid w:val="00AF5A16"/>
    <w:rsid w:val="00B16480"/>
    <w:rsid w:val="00B2165C"/>
    <w:rsid w:val="00B3065B"/>
    <w:rsid w:val="00B31BBB"/>
    <w:rsid w:val="00B5369D"/>
    <w:rsid w:val="00B54037"/>
    <w:rsid w:val="00B56062"/>
    <w:rsid w:val="00B605ED"/>
    <w:rsid w:val="00B663CB"/>
    <w:rsid w:val="00B6650A"/>
    <w:rsid w:val="00B75C9C"/>
    <w:rsid w:val="00BA20AA"/>
    <w:rsid w:val="00BB32F9"/>
    <w:rsid w:val="00BD4425"/>
    <w:rsid w:val="00C15C76"/>
    <w:rsid w:val="00C25B49"/>
    <w:rsid w:val="00C57465"/>
    <w:rsid w:val="00C57E9C"/>
    <w:rsid w:val="00C66AA2"/>
    <w:rsid w:val="00C77DDE"/>
    <w:rsid w:val="00C842B3"/>
    <w:rsid w:val="00CC0D2D"/>
    <w:rsid w:val="00CE5657"/>
    <w:rsid w:val="00D133F8"/>
    <w:rsid w:val="00D14A3E"/>
    <w:rsid w:val="00D434FB"/>
    <w:rsid w:val="00D55332"/>
    <w:rsid w:val="00D67D71"/>
    <w:rsid w:val="00D945C3"/>
    <w:rsid w:val="00DD7447"/>
    <w:rsid w:val="00DE1A9F"/>
    <w:rsid w:val="00DE78A5"/>
    <w:rsid w:val="00DF0735"/>
    <w:rsid w:val="00E3716B"/>
    <w:rsid w:val="00E37E9F"/>
    <w:rsid w:val="00E5323B"/>
    <w:rsid w:val="00E710B1"/>
    <w:rsid w:val="00E8749E"/>
    <w:rsid w:val="00E90C01"/>
    <w:rsid w:val="00E97139"/>
    <w:rsid w:val="00EA486E"/>
    <w:rsid w:val="00F01901"/>
    <w:rsid w:val="00F15AF8"/>
    <w:rsid w:val="00F22FAE"/>
    <w:rsid w:val="00F57B0C"/>
    <w:rsid w:val="00FB673A"/>
    <w:rsid w:val="00FB68F2"/>
    <w:rsid w:val="00FC0919"/>
    <w:rsid w:val="00FC2E4E"/>
    <w:rsid w:val="00FD08ED"/>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3E51"/>
    <w:pPr>
      <w:ind w:left="720"/>
      <w:contextualSpacing/>
    </w:pPr>
  </w:style>
  <w:style w:type="character" w:styleId="CommentReference">
    <w:name w:val="annotation reference"/>
    <w:basedOn w:val="DefaultParagraphFont"/>
    <w:uiPriority w:val="99"/>
    <w:semiHidden/>
    <w:unhideWhenUsed/>
    <w:rsid w:val="002C72C2"/>
    <w:rPr>
      <w:sz w:val="16"/>
      <w:szCs w:val="16"/>
    </w:rPr>
  </w:style>
  <w:style w:type="paragraph" w:styleId="CommentText">
    <w:name w:val="annotation text"/>
    <w:basedOn w:val="Normal"/>
    <w:link w:val="CommentTextChar"/>
    <w:uiPriority w:val="99"/>
    <w:semiHidden/>
    <w:unhideWhenUsed/>
    <w:rsid w:val="002C72C2"/>
    <w:pPr>
      <w:spacing w:line="240" w:lineRule="auto"/>
    </w:pPr>
    <w:rPr>
      <w:sz w:val="20"/>
      <w:szCs w:val="20"/>
    </w:rPr>
  </w:style>
  <w:style w:type="character" w:customStyle="1" w:styleId="CommentTextChar">
    <w:name w:val="Comment Text Char"/>
    <w:basedOn w:val="DefaultParagraphFont"/>
    <w:link w:val="CommentText"/>
    <w:uiPriority w:val="99"/>
    <w:semiHidden/>
    <w:rsid w:val="002C72C2"/>
    <w:rPr>
      <w:sz w:val="20"/>
      <w:szCs w:val="20"/>
    </w:rPr>
  </w:style>
  <w:style w:type="paragraph" w:styleId="CommentSubject">
    <w:name w:val="annotation subject"/>
    <w:basedOn w:val="CommentText"/>
    <w:next w:val="CommentText"/>
    <w:link w:val="CommentSubjectChar"/>
    <w:uiPriority w:val="99"/>
    <w:semiHidden/>
    <w:unhideWhenUsed/>
    <w:rsid w:val="002C72C2"/>
    <w:rPr>
      <w:b/>
      <w:bCs/>
    </w:rPr>
  </w:style>
  <w:style w:type="character" w:customStyle="1" w:styleId="CommentSubjectChar">
    <w:name w:val="Comment Subject Char"/>
    <w:basedOn w:val="CommentTextChar"/>
    <w:link w:val="CommentSubject"/>
    <w:uiPriority w:val="99"/>
    <w:semiHidden/>
    <w:rsid w:val="002C72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3E51"/>
    <w:pPr>
      <w:ind w:left="720"/>
      <w:contextualSpacing/>
    </w:pPr>
  </w:style>
  <w:style w:type="character" w:styleId="CommentReference">
    <w:name w:val="annotation reference"/>
    <w:basedOn w:val="DefaultParagraphFont"/>
    <w:uiPriority w:val="99"/>
    <w:semiHidden/>
    <w:unhideWhenUsed/>
    <w:rsid w:val="002C72C2"/>
    <w:rPr>
      <w:sz w:val="16"/>
      <w:szCs w:val="16"/>
    </w:rPr>
  </w:style>
  <w:style w:type="paragraph" w:styleId="CommentText">
    <w:name w:val="annotation text"/>
    <w:basedOn w:val="Normal"/>
    <w:link w:val="CommentTextChar"/>
    <w:uiPriority w:val="99"/>
    <w:semiHidden/>
    <w:unhideWhenUsed/>
    <w:rsid w:val="002C72C2"/>
    <w:pPr>
      <w:spacing w:line="240" w:lineRule="auto"/>
    </w:pPr>
    <w:rPr>
      <w:sz w:val="20"/>
      <w:szCs w:val="20"/>
    </w:rPr>
  </w:style>
  <w:style w:type="character" w:customStyle="1" w:styleId="CommentTextChar">
    <w:name w:val="Comment Text Char"/>
    <w:basedOn w:val="DefaultParagraphFont"/>
    <w:link w:val="CommentText"/>
    <w:uiPriority w:val="99"/>
    <w:semiHidden/>
    <w:rsid w:val="002C72C2"/>
    <w:rPr>
      <w:sz w:val="20"/>
      <w:szCs w:val="20"/>
    </w:rPr>
  </w:style>
  <w:style w:type="paragraph" w:styleId="CommentSubject">
    <w:name w:val="annotation subject"/>
    <w:basedOn w:val="CommentText"/>
    <w:next w:val="CommentText"/>
    <w:link w:val="CommentSubjectChar"/>
    <w:uiPriority w:val="99"/>
    <w:semiHidden/>
    <w:unhideWhenUsed/>
    <w:rsid w:val="002C72C2"/>
    <w:rPr>
      <w:b/>
      <w:bCs/>
    </w:rPr>
  </w:style>
  <w:style w:type="character" w:customStyle="1" w:styleId="CommentSubjectChar">
    <w:name w:val="Comment Subject Char"/>
    <w:basedOn w:val="CommentTextChar"/>
    <w:link w:val="CommentSubject"/>
    <w:uiPriority w:val="99"/>
    <w:semiHidden/>
    <w:rsid w:val="002C72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andra.Rucka@lm.gov.lv" TargetMode="Externa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30AA2"/>
    <w:rsid w:val="00057C8B"/>
    <w:rsid w:val="00084514"/>
    <w:rsid w:val="000F16DC"/>
    <w:rsid w:val="0012166B"/>
    <w:rsid w:val="00133EEF"/>
    <w:rsid w:val="001557A2"/>
    <w:rsid w:val="00197E16"/>
    <w:rsid w:val="00202E4A"/>
    <w:rsid w:val="00344186"/>
    <w:rsid w:val="00472F39"/>
    <w:rsid w:val="005077BB"/>
    <w:rsid w:val="00523A63"/>
    <w:rsid w:val="005544FE"/>
    <w:rsid w:val="0058498C"/>
    <w:rsid w:val="0058760C"/>
    <w:rsid w:val="00652AFC"/>
    <w:rsid w:val="0071639F"/>
    <w:rsid w:val="007C2949"/>
    <w:rsid w:val="008004D6"/>
    <w:rsid w:val="00896D17"/>
    <w:rsid w:val="008A633D"/>
    <w:rsid w:val="008B623B"/>
    <w:rsid w:val="008D39C9"/>
    <w:rsid w:val="008F052F"/>
    <w:rsid w:val="009451C2"/>
    <w:rsid w:val="00950AF2"/>
    <w:rsid w:val="009848D4"/>
    <w:rsid w:val="009973E8"/>
    <w:rsid w:val="009C1B4C"/>
    <w:rsid w:val="00A37725"/>
    <w:rsid w:val="00AD4A2F"/>
    <w:rsid w:val="00B3767C"/>
    <w:rsid w:val="00B6147C"/>
    <w:rsid w:val="00BF6973"/>
    <w:rsid w:val="00C00671"/>
    <w:rsid w:val="00C24192"/>
    <w:rsid w:val="00D20BB9"/>
    <w:rsid w:val="00D65014"/>
    <w:rsid w:val="00DC725E"/>
    <w:rsid w:val="00F11430"/>
    <w:rsid w:val="00F25B9F"/>
    <w:rsid w:val="00F80108"/>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A540-DEEB-4B0B-ACCB-A9C067D5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16252</Words>
  <Characters>9264</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Grozījumi likumā "Par valsts sociālo apdrošināšanu"</vt:lpstr>
    </vt:vector>
  </TitlesOfParts>
  <Company>LM</Company>
  <LinksUpToDate>false</LinksUpToDate>
  <CharactersWithSpaces>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Anotācija</dc:subject>
  <dc:creator>Sandra Rucka</dc:creator>
  <dc:description>67021607, Sandra.Rucka@lm.gov.lv</dc:description>
  <cp:lastModifiedBy>Sandra Rucka</cp:lastModifiedBy>
  <cp:revision>16</cp:revision>
  <cp:lastPrinted>2018-05-17T07:57:00Z</cp:lastPrinted>
  <dcterms:created xsi:type="dcterms:W3CDTF">2018-04-18T09:10:00Z</dcterms:created>
  <dcterms:modified xsi:type="dcterms:W3CDTF">2018-05-17T07:57:00Z</dcterms:modified>
</cp:coreProperties>
</file>