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E39AA" w14:textId="77777777" w:rsidR="00AA7647" w:rsidRPr="00FC15F9" w:rsidRDefault="0067267D" w:rsidP="00AA7647">
      <w:pPr>
        <w:pStyle w:val="naisc"/>
        <w:spacing w:before="0" w:beforeAutospacing="0" w:after="0" w:afterAutospacing="0"/>
        <w:jc w:val="center"/>
        <w:rPr>
          <w:b/>
          <w:bCs/>
        </w:rPr>
      </w:pPr>
      <w:r w:rsidRPr="00FC15F9">
        <w:rPr>
          <w:b/>
          <w:bCs/>
        </w:rPr>
        <w:t>Ministru kabineta noteikumu projekta</w:t>
      </w:r>
    </w:p>
    <w:p w14:paraId="7B56F111" w14:textId="77777777" w:rsidR="00947C0C" w:rsidRPr="00FC15F9" w:rsidRDefault="00947C0C" w:rsidP="00947C0C">
      <w:pPr>
        <w:pStyle w:val="Title"/>
      </w:pPr>
    </w:p>
    <w:p w14:paraId="516B0FDD" w14:textId="77777777" w:rsidR="00833870" w:rsidRPr="00FC15F9" w:rsidRDefault="0063645F" w:rsidP="00947C0C">
      <w:pPr>
        <w:pStyle w:val="Title"/>
      </w:pPr>
      <w:bookmarkStart w:id="0" w:name="Title"/>
      <w:r w:rsidRPr="00FC15F9">
        <w:t>„Emisijas kvotu izsolīšanas instrumenta finansēto projektu atklāta konkursa „</w:t>
      </w:r>
      <w:r w:rsidR="00CF4AC4" w:rsidRPr="00FC15F9">
        <w:t>Siltumnīcefekta gāzu emisiju samazināšana </w:t>
      </w:r>
      <w:r w:rsidR="00E129C4" w:rsidRPr="00FC15F9">
        <w:t xml:space="preserve">ar </w:t>
      </w:r>
      <w:r w:rsidR="00D55645">
        <w:t xml:space="preserve">viedajām </w:t>
      </w:r>
      <w:r w:rsidR="00E129C4" w:rsidRPr="00FC15F9">
        <w:t>pilsētvides tehnoloģijām</w:t>
      </w:r>
      <w:r w:rsidRPr="00FC15F9">
        <w:t>”</w:t>
      </w:r>
      <w:r w:rsidR="00717641" w:rsidRPr="00FC15F9">
        <w:t xml:space="preserve"> nolikums”</w:t>
      </w:r>
      <w:r w:rsidRPr="00FC15F9">
        <w:t xml:space="preserve"> </w:t>
      </w:r>
      <w:r w:rsidR="005F03A4" w:rsidRPr="00FC15F9">
        <w:t>sākotnējās ietekmes novērtējuma ziņojums (</w:t>
      </w:r>
      <w:r w:rsidR="0067267D" w:rsidRPr="00FC15F9">
        <w:t>anotācija</w:t>
      </w:r>
      <w:r w:rsidR="005F03A4" w:rsidRPr="00FC15F9">
        <w:t>)</w:t>
      </w:r>
    </w:p>
    <w:bookmarkEnd w:id="0"/>
    <w:p w14:paraId="134C6056" w14:textId="77777777" w:rsidR="00083FAE" w:rsidRPr="00FC15F9" w:rsidRDefault="00083FAE" w:rsidP="00CF4AC4">
      <w:pPr>
        <w:spacing w:before="120" w:after="0" w:line="240" w:lineRule="auto"/>
        <w:jc w:val="center"/>
        <w:rPr>
          <w:b/>
          <w:sz w:val="28"/>
          <w:szCs w:val="28"/>
        </w:rPr>
      </w:pPr>
    </w:p>
    <w:tbl>
      <w:tblPr>
        <w:tblpPr w:leftFromText="180" w:rightFromText="180" w:vertAnchor="text" w:horzAnchor="margin" w:tblpXSpec="center" w:tblpY="149"/>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149"/>
        <w:gridCol w:w="6756"/>
      </w:tblGrid>
      <w:tr w:rsidR="0067267D" w:rsidRPr="00FC15F9" w14:paraId="6D2FB8BE" w14:textId="77777777" w:rsidTr="004C1936">
        <w:tc>
          <w:tcPr>
            <w:tcW w:w="9455" w:type="dxa"/>
            <w:gridSpan w:val="3"/>
            <w:vAlign w:val="center"/>
          </w:tcPr>
          <w:p w14:paraId="74188EEB" w14:textId="77777777" w:rsidR="0067267D" w:rsidRPr="00FC15F9" w:rsidRDefault="0067267D">
            <w:pPr>
              <w:pStyle w:val="naisnod"/>
              <w:spacing w:before="0" w:after="0"/>
            </w:pPr>
            <w:r w:rsidRPr="00FC15F9">
              <w:t>I. Tiesību akta projekta izstrādes nepieciešamība</w:t>
            </w:r>
          </w:p>
        </w:tc>
      </w:tr>
      <w:tr w:rsidR="0067267D" w:rsidRPr="00FC15F9" w14:paraId="02DA223A" w14:textId="77777777" w:rsidTr="00464AFB">
        <w:trPr>
          <w:trHeight w:val="630"/>
        </w:trPr>
        <w:tc>
          <w:tcPr>
            <w:tcW w:w="550" w:type="dxa"/>
          </w:tcPr>
          <w:p w14:paraId="5ACF361A" w14:textId="77777777" w:rsidR="0067267D" w:rsidRPr="00FC15F9" w:rsidRDefault="0067267D">
            <w:pPr>
              <w:pStyle w:val="naiskr"/>
              <w:spacing w:before="0" w:after="0"/>
            </w:pPr>
            <w:r w:rsidRPr="00FC15F9">
              <w:t>1.</w:t>
            </w:r>
          </w:p>
        </w:tc>
        <w:tc>
          <w:tcPr>
            <w:tcW w:w="2149" w:type="dxa"/>
          </w:tcPr>
          <w:p w14:paraId="5A5B5EA2" w14:textId="77777777" w:rsidR="0067267D" w:rsidRPr="00FC15F9" w:rsidRDefault="0067267D" w:rsidP="00464AFB">
            <w:pPr>
              <w:pStyle w:val="naiskr"/>
              <w:spacing w:before="0" w:after="0"/>
              <w:ind w:right="142" w:hanging="10"/>
            </w:pPr>
            <w:r w:rsidRPr="00FC15F9">
              <w:t>Pamatojums</w:t>
            </w:r>
          </w:p>
        </w:tc>
        <w:tc>
          <w:tcPr>
            <w:tcW w:w="6756" w:type="dxa"/>
          </w:tcPr>
          <w:p w14:paraId="7E4A48DC" w14:textId="2EA85BEA" w:rsidR="0067267D" w:rsidRPr="00FC15F9" w:rsidRDefault="00813A51" w:rsidP="00A7792A">
            <w:pPr>
              <w:pStyle w:val="naiskr"/>
              <w:ind w:left="141" w:right="94"/>
            </w:pPr>
            <w:r w:rsidRPr="00FC15F9">
              <w:rPr>
                <w:sz w:val="22"/>
                <w:szCs w:val="22"/>
              </w:rPr>
              <w:t xml:space="preserve">  </w:t>
            </w:r>
            <w:r w:rsidRPr="00FC15F9">
              <w:t xml:space="preserve">Ministru kabineta (turpmāk – MK) </w:t>
            </w:r>
            <w:r w:rsidRPr="00FC15F9">
              <w:rPr>
                <w:shd w:val="clear" w:color="auto" w:fill="FFFFFF"/>
              </w:rPr>
              <w:t xml:space="preserve">noteikumu projekts </w:t>
            </w:r>
            <w:r w:rsidRPr="00FC15F9">
              <w:t>„</w:t>
            </w:r>
            <w:r w:rsidRPr="00FC15F9">
              <w:rPr>
                <w:bCs/>
              </w:rPr>
              <w:t xml:space="preserve">Emisijas kvotu izsolīšanas instrumenta finansēto projektu atklāta konkursa </w:t>
            </w:r>
            <w:r w:rsidRPr="00FC15F9">
              <w:t xml:space="preserve">„Siltumnīcefekta gāzu emisiju samazināšana ar </w:t>
            </w:r>
            <w:r w:rsidR="00D55645">
              <w:t xml:space="preserve">viedajām </w:t>
            </w:r>
            <w:r w:rsidRPr="00FC15F9">
              <w:t xml:space="preserve">pilsētvides tehnoloģijām” </w:t>
            </w:r>
            <w:r w:rsidRPr="00FC15F9">
              <w:rPr>
                <w:bCs/>
              </w:rPr>
              <w:t>nolikums</w:t>
            </w:r>
            <w:r w:rsidRPr="00FC15F9">
              <w:t xml:space="preserve">” (turpmāk – </w:t>
            </w:r>
            <w:r w:rsidR="00FE31C2">
              <w:t xml:space="preserve">MK </w:t>
            </w:r>
            <w:r w:rsidRPr="00FC15F9">
              <w:t xml:space="preserve">noteikumu projekts) </w:t>
            </w:r>
            <w:r w:rsidRPr="00FC15F9">
              <w:rPr>
                <w:shd w:val="clear" w:color="auto" w:fill="FFFFFF"/>
              </w:rPr>
              <w:t>izstrādāts pamatojoties uz</w:t>
            </w:r>
            <w:r w:rsidR="00AB4B3B" w:rsidRPr="00FC15F9">
              <w:rPr>
                <w:shd w:val="clear" w:color="auto" w:fill="FFFFFF"/>
              </w:rPr>
              <w:t xml:space="preserve"> </w:t>
            </w:r>
            <w:r w:rsidR="00AB4B3B" w:rsidRPr="00FC15F9">
              <w:t>l</w:t>
            </w:r>
            <w:r w:rsidRPr="00FC15F9">
              <w:t xml:space="preserve">ikuma </w:t>
            </w:r>
            <w:r w:rsidR="002D718D" w:rsidRPr="00FC15F9">
              <w:t>„</w:t>
            </w:r>
            <w:r w:rsidRPr="00FC15F9">
              <w:t>Par piesārņojumu” 32.</w:t>
            </w:r>
            <w:r w:rsidRPr="00FC15F9">
              <w:rPr>
                <w:vertAlign w:val="superscript"/>
              </w:rPr>
              <w:t>2</w:t>
            </w:r>
            <w:r w:rsidRPr="00FC15F9">
              <w:t xml:space="preserve"> panta 4.</w:t>
            </w:r>
            <w:r w:rsidRPr="00FC15F9">
              <w:rPr>
                <w:vertAlign w:val="superscript"/>
              </w:rPr>
              <w:t>6</w:t>
            </w:r>
            <w:r w:rsidRPr="00FC15F9">
              <w:t xml:space="preserve"> daļu</w:t>
            </w:r>
            <w:r w:rsidR="00EF4E16">
              <w:t>.</w:t>
            </w:r>
          </w:p>
        </w:tc>
      </w:tr>
      <w:tr w:rsidR="0067267D" w:rsidRPr="00FC15F9" w14:paraId="5505CCBD" w14:textId="77777777" w:rsidTr="00464AFB">
        <w:trPr>
          <w:trHeight w:val="472"/>
        </w:trPr>
        <w:tc>
          <w:tcPr>
            <w:tcW w:w="550" w:type="dxa"/>
          </w:tcPr>
          <w:p w14:paraId="055FB9C1" w14:textId="77777777" w:rsidR="0067267D" w:rsidRPr="00FC15F9" w:rsidRDefault="0067267D">
            <w:pPr>
              <w:pStyle w:val="naiskr"/>
              <w:spacing w:before="0" w:after="0"/>
            </w:pPr>
            <w:r w:rsidRPr="00FC15F9">
              <w:t>2.</w:t>
            </w:r>
          </w:p>
        </w:tc>
        <w:tc>
          <w:tcPr>
            <w:tcW w:w="2149" w:type="dxa"/>
          </w:tcPr>
          <w:p w14:paraId="4465DACF" w14:textId="77777777" w:rsidR="0067267D" w:rsidRPr="00FC15F9" w:rsidRDefault="00133143" w:rsidP="00464AFB">
            <w:pPr>
              <w:pStyle w:val="naiskr"/>
              <w:tabs>
                <w:tab w:val="left" w:pos="170"/>
              </w:tabs>
              <w:spacing w:before="0" w:after="0"/>
              <w:ind w:right="142"/>
            </w:pPr>
            <w:r w:rsidRPr="00FC15F9">
              <w:t>Pašreizējā situācija un problēmas, kuru risināšanai tiesību akta projekts izstrādāts, tiesiskā regulējuma mērķis un būtība</w:t>
            </w:r>
          </w:p>
        </w:tc>
        <w:tc>
          <w:tcPr>
            <w:tcW w:w="6756" w:type="dxa"/>
          </w:tcPr>
          <w:p w14:paraId="128822CA" w14:textId="77777777" w:rsidR="002F7023" w:rsidRDefault="00234F66" w:rsidP="00710A1A">
            <w:pPr>
              <w:spacing w:before="0" w:after="0" w:line="240" w:lineRule="auto"/>
              <w:ind w:left="141" w:right="94"/>
              <w:outlineLvl w:val="0"/>
            </w:pPr>
            <w:bookmarkStart w:id="1" w:name="n1"/>
            <w:bookmarkStart w:id="2" w:name="p1"/>
            <w:bookmarkStart w:id="3" w:name="p-402003"/>
            <w:bookmarkStart w:id="4" w:name="n2"/>
            <w:bookmarkStart w:id="5" w:name="p2"/>
            <w:bookmarkStart w:id="6" w:name="p-246948"/>
            <w:bookmarkStart w:id="7" w:name="p3"/>
            <w:bookmarkStart w:id="8" w:name="p-246949"/>
            <w:bookmarkStart w:id="9" w:name="p4"/>
            <w:bookmarkStart w:id="10" w:name="p-246950"/>
            <w:bookmarkStart w:id="11" w:name="p5"/>
            <w:bookmarkStart w:id="12" w:name="p-246951"/>
            <w:bookmarkStart w:id="13" w:name="p-246952"/>
            <w:bookmarkStart w:id="14" w:name="p7"/>
            <w:bookmarkStart w:id="15" w:name="p-246953"/>
            <w:bookmarkStart w:id="16" w:name="p8"/>
            <w:bookmarkStart w:id="17" w:name="p-246954"/>
            <w:bookmarkStart w:id="18" w:name="p9"/>
            <w:bookmarkStart w:id="19" w:name="p-246955"/>
            <w:bookmarkStart w:id="20" w:name="p10"/>
            <w:bookmarkStart w:id="21" w:name="p-246956"/>
            <w:bookmarkStart w:id="22" w:name="p11"/>
            <w:bookmarkStart w:id="23" w:name="p-246957"/>
            <w:bookmarkStart w:id="24" w:name="p12"/>
            <w:bookmarkStart w:id="25" w:name="p-246958"/>
            <w:bookmarkStart w:id="26" w:name="p13"/>
            <w:bookmarkStart w:id="27" w:name="p-246959"/>
            <w:bookmarkStart w:id="28" w:name="p14"/>
            <w:bookmarkStart w:id="29" w:name="p-246960"/>
            <w:bookmarkStart w:id="30" w:name="p15"/>
            <w:bookmarkStart w:id="31" w:name="p-246961"/>
            <w:bookmarkStart w:id="32" w:name="p16"/>
            <w:bookmarkStart w:id="33" w:name="p-246962"/>
            <w:bookmarkStart w:id="34" w:name="p17"/>
            <w:bookmarkStart w:id="35" w:name="p-246963"/>
            <w:bookmarkStart w:id="36" w:name="p18"/>
            <w:bookmarkStart w:id="37" w:name="p-246964"/>
            <w:bookmarkStart w:id="38" w:name="p19"/>
            <w:bookmarkStart w:id="39" w:name="p-246965"/>
            <w:bookmarkStart w:id="40" w:name="p20"/>
            <w:bookmarkStart w:id="41" w:name="p-24696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FC15F9">
              <w:t xml:space="preserve">  </w:t>
            </w:r>
            <w:r w:rsidR="00CB389E" w:rsidRPr="00CB389E">
              <w:t xml:space="preserve">Likuma „Par piesārņojumu” 52. panta pirmajā daļā ir noteikts, ka Vides aizsardzības un reģionālas attīstības ministrija, sadarbībā ar Zemkopības ministriju, Ekonomikas ministriju, Satiksmes ministriju un citām nozaru ministrijām, izstrādā politiku klimata pārmaiņu samazināšanas saistību – siltumnīcefekta gāzu </w:t>
            </w:r>
            <w:r w:rsidR="00AB6B2B" w:rsidRPr="00FC15F9">
              <w:t>(turpmāk – SEG)</w:t>
            </w:r>
            <w:r w:rsidR="00AB6B2B">
              <w:t xml:space="preserve"> </w:t>
            </w:r>
            <w:r w:rsidR="00CB389E" w:rsidRPr="00CB389E">
              <w:t xml:space="preserve">emisiju samazināšana un oglekļa dioksīda piesaiste – izpildei atbilstoši konkrēto saistību izpildes termiņiem un koordinē attiecīgās politikas īstenošanu. </w:t>
            </w:r>
          </w:p>
          <w:p w14:paraId="0BAB63A5" w14:textId="3625EA9E" w:rsidR="00660B0E" w:rsidRPr="00944BE8" w:rsidRDefault="002F7023" w:rsidP="00710A1A">
            <w:pPr>
              <w:spacing w:before="0" w:after="0" w:line="240" w:lineRule="auto"/>
              <w:ind w:left="141" w:right="94"/>
              <w:outlineLvl w:val="0"/>
              <w:rPr>
                <w:b/>
              </w:rPr>
            </w:pPr>
            <w:r>
              <w:t xml:space="preserve">  </w:t>
            </w:r>
            <w:r w:rsidR="00660B0E" w:rsidRPr="00944BE8">
              <w:t>Latvijai laika periodā līdz 2020.</w:t>
            </w:r>
            <w:r w:rsidR="00EE584E" w:rsidRPr="00944BE8">
              <w:t> </w:t>
            </w:r>
            <w:r w:rsidR="00660B0E" w:rsidRPr="00944BE8">
              <w:t xml:space="preserve">gadam ir </w:t>
            </w:r>
            <w:r>
              <w:t>jāierobežo</w:t>
            </w:r>
            <w:r w:rsidRPr="00944BE8">
              <w:t xml:space="preserve"> </w:t>
            </w:r>
            <w:r>
              <w:t xml:space="preserve">Eiropas Savienības (ES) Emisijas kvotu tirdzniecības sistēmas (ETS) neaptvertās SEG emisijas </w:t>
            </w:r>
            <w:r w:rsidR="00660B0E" w:rsidRPr="00944BE8">
              <w:t>17</w:t>
            </w:r>
            <w:r w:rsidR="00891617">
              <w:t> </w:t>
            </w:r>
            <w:r w:rsidR="00660B0E" w:rsidRPr="00944BE8">
              <w:t>%</w:t>
            </w:r>
            <w:r>
              <w:t xml:space="preserve"> pieauguma robežās</w:t>
            </w:r>
            <w:r w:rsidR="00660B0E" w:rsidRPr="00944BE8">
              <w:t>, salīdzinot ar Latvijas ne-ETS darbību SEG emisiju apjomu 2005.</w:t>
            </w:r>
            <w:r w:rsidR="00EE584E" w:rsidRPr="00944BE8">
              <w:t> </w:t>
            </w:r>
            <w:r w:rsidR="00660B0E" w:rsidRPr="00944BE8">
              <w:t xml:space="preserve">gadā. </w:t>
            </w:r>
            <w:r>
              <w:t xml:space="preserve">Savukārt periodam līdz </w:t>
            </w:r>
            <w:r w:rsidR="00660B0E" w:rsidRPr="00944BE8">
              <w:t>2030.</w:t>
            </w:r>
            <w:r w:rsidR="00EE584E" w:rsidRPr="00944BE8">
              <w:t> gadam Latvija</w:t>
            </w:r>
            <w:r>
              <w:t>s</w:t>
            </w:r>
            <w:r w:rsidR="00EE584E" w:rsidRPr="00944BE8">
              <w:t xml:space="preserve"> ne-ETS </w:t>
            </w:r>
            <w:r w:rsidR="00660B0E" w:rsidRPr="00944BE8">
              <w:t xml:space="preserve">mērķis </w:t>
            </w:r>
            <w:r>
              <w:t>visticamāk būs</w:t>
            </w:r>
            <w:r w:rsidRPr="00944BE8">
              <w:t xml:space="preserve"> </w:t>
            </w:r>
            <w:r w:rsidR="00660B0E" w:rsidRPr="000D4FCA">
              <w:t>samazināt</w:t>
            </w:r>
            <w:r w:rsidR="00660B0E" w:rsidRPr="00944BE8">
              <w:t xml:space="preserve"> </w:t>
            </w:r>
            <w:r w:rsidR="00EE584E" w:rsidRPr="00944BE8">
              <w:t xml:space="preserve">SEG emisijas </w:t>
            </w:r>
            <w:r w:rsidR="00660B0E" w:rsidRPr="00944BE8">
              <w:t xml:space="preserve">par </w:t>
            </w:r>
            <w:r>
              <w:t xml:space="preserve">vismaz </w:t>
            </w:r>
            <w:r w:rsidR="00660B0E" w:rsidRPr="00944BE8">
              <w:t>6</w:t>
            </w:r>
            <w:r w:rsidR="00891617">
              <w:t> </w:t>
            </w:r>
            <w:r w:rsidR="00660B0E" w:rsidRPr="00944BE8">
              <w:t xml:space="preserve">% </w:t>
            </w:r>
            <w:r>
              <w:t>salīdzinot ar</w:t>
            </w:r>
            <w:r w:rsidRPr="00944BE8">
              <w:t xml:space="preserve"> </w:t>
            </w:r>
            <w:r w:rsidR="00660B0E" w:rsidRPr="00944BE8">
              <w:t>2005.</w:t>
            </w:r>
            <w:r w:rsidR="00EE584E" w:rsidRPr="00944BE8">
              <w:t> g</w:t>
            </w:r>
            <w:r w:rsidR="00660B0E" w:rsidRPr="00944BE8">
              <w:t>ada apjom</w:t>
            </w:r>
            <w:r>
              <w:t>u</w:t>
            </w:r>
            <w:r w:rsidR="00660B0E" w:rsidRPr="00944BE8">
              <w:t>.</w:t>
            </w:r>
          </w:p>
          <w:p w14:paraId="491A76A0" w14:textId="3CD43DE8" w:rsidR="00EA3BC1" w:rsidRPr="00FC15F9" w:rsidRDefault="00A7792A" w:rsidP="00710A1A">
            <w:pPr>
              <w:spacing w:before="0" w:after="0" w:line="240" w:lineRule="auto"/>
              <w:ind w:left="141" w:right="96"/>
            </w:pPr>
            <w:r>
              <w:t xml:space="preserve">  </w:t>
            </w:r>
            <w:r w:rsidR="00660B0E" w:rsidRPr="00944BE8">
              <w:t>Latvijas ekspertu sagatavotās SEG emisiju prognozes</w:t>
            </w:r>
            <w:r w:rsidR="00660B0E" w:rsidRPr="00944BE8">
              <w:rPr>
                <w:rStyle w:val="FootnoteReference"/>
              </w:rPr>
              <w:footnoteReference w:id="2"/>
            </w:r>
            <w:r w:rsidR="00660B0E" w:rsidRPr="00944BE8">
              <w:t xml:space="preserve"> laika posmam līdz 2035.</w:t>
            </w:r>
            <w:r w:rsidR="00EE584E" w:rsidRPr="00944BE8">
              <w:t> </w:t>
            </w:r>
            <w:r w:rsidR="00660B0E" w:rsidRPr="00944BE8">
              <w:t>gadam</w:t>
            </w:r>
            <w:r w:rsidR="002F7023">
              <w:t xml:space="preserve"> liecina</w:t>
            </w:r>
            <w:r w:rsidR="00660B0E" w:rsidRPr="00944BE8">
              <w:t>, ka</w:t>
            </w:r>
            <w:r w:rsidR="00172607" w:rsidRPr="00944BE8">
              <w:t xml:space="preserve"> Latvijas </w:t>
            </w:r>
            <w:r w:rsidR="00660B0E" w:rsidRPr="00944BE8">
              <w:t>kopējās</w:t>
            </w:r>
            <w:r w:rsidR="00172607" w:rsidRPr="00944BE8">
              <w:t xml:space="preserve"> </w:t>
            </w:r>
            <w:r w:rsidR="00660B0E" w:rsidRPr="00944BE8">
              <w:t>ne-ETS darbību SEG emisijas laika periodā 2005.-2020.</w:t>
            </w:r>
            <w:r w:rsidR="00EE584E" w:rsidRPr="00944BE8">
              <w:t> </w:t>
            </w:r>
            <w:r w:rsidR="00660B0E" w:rsidRPr="00944BE8">
              <w:t>gad</w:t>
            </w:r>
            <w:r w:rsidR="002F7023">
              <w:t>s</w:t>
            </w:r>
            <w:r w:rsidR="00660B0E" w:rsidRPr="00944BE8">
              <w:t xml:space="preserve"> pieaugs par apmēram 7</w:t>
            </w:r>
            <w:r w:rsidR="00891617">
              <w:t> </w:t>
            </w:r>
            <w:r w:rsidR="00660B0E" w:rsidRPr="00944BE8">
              <w:t>%</w:t>
            </w:r>
            <w:r w:rsidR="00660B0E" w:rsidRPr="00944BE8">
              <w:rPr>
                <w:rStyle w:val="FootnoteReference"/>
              </w:rPr>
              <w:footnoteReference w:id="3"/>
            </w:r>
            <w:r w:rsidR="00660B0E" w:rsidRPr="00944BE8">
              <w:t xml:space="preserve">. Tādējādi šobrīd prognozējams, ka Latvija </w:t>
            </w:r>
            <w:r w:rsidR="00660B0E" w:rsidRPr="000D4FCA">
              <w:t>varēs</w:t>
            </w:r>
            <w:r w:rsidR="00660B0E" w:rsidRPr="00944BE8">
              <w:t xml:space="preserve"> izpildīt 2020.</w:t>
            </w:r>
            <w:r w:rsidR="00EE584E" w:rsidRPr="00944BE8">
              <w:t> </w:t>
            </w:r>
            <w:r w:rsidR="00660B0E" w:rsidRPr="00944BE8">
              <w:t xml:space="preserve">gada ne-ETS darbību mērķi. </w:t>
            </w:r>
            <w:r w:rsidR="002F7023">
              <w:t>Taču p</w:t>
            </w:r>
            <w:r w:rsidR="00660B0E" w:rsidRPr="00944BE8">
              <w:t>eriodā līdz 2030.</w:t>
            </w:r>
            <w:r w:rsidR="00EE584E" w:rsidRPr="00944BE8">
              <w:t> </w:t>
            </w:r>
            <w:r w:rsidR="00660B0E" w:rsidRPr="00944BE8">
              <w:t>gadam, īstenojot tikai tos pasākumus, kuri ir iekļauti scenārijā ar pasākumiem</w:t>
            </w:r>
            <w:r w:rsidR="00660B0E" w:rsidRPr="00944BE8">
              <w:rPr>
                <w:rStyle w:val="FootnoteReference"/>
              </w:rPr>
              <w:footnoteReference w:id="4"/>
            </w:r>
            <w:r w:rsidR="00660B0E" w:rsidRPr="00944BE8">
              <w:t>, ne-ETS darbību SEG emisijas pieaugs par 15,7</w:t>
            </w:r>
            <w:r w:rsidR="00891617">
              <w:t> </w:t>
            </w:r>
            <w:r w:rsidR="00660B0E" w:rsidRPr="00944BE8">
              <w:t xml:space="preserve">%. </w:t>
            </w:r>
            <w:r w:rsidR="002F7023">
              <w:t>un jau šobrīd ir skaidrs, ka bez papildu pasākumiem Latvija nespēs izpildīt mērķus pēc 2020.</w:t>
            </w:r>
            <w:r w:rsidR="00891617">
              <w:t> </w:t>
            </w:r>
            <w:r w:rsidR="002F7023">
              <w:t>gada. Tādejādi, l</w:t>
            </w:r>
            <w:r w:rsidR="00EA3BC1" w:rsidRPr="00FC15F9">
              <w:t xml:space="preserve">ai nodrošinātu </w:t>
            </w:r>
            <w:r w:rsidR="00EA3BC1">
              <w:t>augstākminēto</w:t>
            </w:r>
            <w:r w:rsidR="00EA3BC1" w:rsidRPr="00FC15F9">
              <w:t xml:space="preserve"> mērķu sasniegšanu, ir nepieciešams </w:t>
            </w:r>
            <w:r w:rsidR="002F7023">
              <w:t>Latvijā ieviest jauna veida</w:t>
            </w:r>
            <w:r w:rsidR="00EA3BC1" w:rsidRPr="00FC15F9">
              <w:t xml:space="preserve"> aktivitātes </w:t>
            </w:r>
            <w:r w:rsidR="002F7023">
              <w:t xml:space="preserve">un paplašināt līdzšinējo Latvijā ieviesto pasākumu </w:t>
            </w:r>
            <w:r w:rsidR="00EA3BC1" w:rsidRPr="00FC15F9">
              <w:t>SEG emisiju samazināšan</w:t>
            </w:r>
            <w:r w:rsidR="002F7023">
              <w:t xml:space="preserve">ai loku. </w:t>
            </w:r>
            <w:r w:rsidR="00EA3BC1" w:rsidRPr="00FC15F9">
              <w:t xml:space="preserve"> </w:t>
            </w:r>
          </w:p>
          <w:p w14:paraId="1745AF1F" w14:textId="77777777" w:rsidR="00EA3BC1" w:rsidRDefault="00EA3BC1" w:rsidP="00710A1A">
            <w:pPr>
              <w:spacing w:before="0" w:after="0" w:line="240" w:lineRule="auto"/>
              <w:ind w:left="141" w:right="94"/>
              <w:outlineLvl w:val="0"/>
            </w:pPr>
            <w:r w:rsidRPr="00FC15F9">
              <w:t xml:space="preserve">  </w:t>
            </w:r>
            <w:r>
              <w:t>MK n</w:t>
            </w:r>
            <w:r w:rsidRPr="00FC15F9">
              <w:t xml:space="preserve">oteikumu projekts nosaka Emisijas kvotu izsolīšanas </w:t>
            </w:r>
            <w:r w:rsidRPr="00FC15F9">
              <w:lastRenderedPageBreak/>
              <w:t>instrumenta finansēt</w:t>
            </w:r>
            <w:r>
              <w:t>ā</w:t>
            </w:r>
            <w:r w:rsidRPr="00FC15F9">
              <w:t xml:space="preserve"> atklātā</w:t>
            </w:r>
            <w:r>
              <w:t xml:space="preserve"> projektu</w:t>
            </w:r>
            <w:r w:rsidRPr="00FC15F9">
              <w:t xml:space="preserve"> konkursa </w:t>
            </w:r>
            <w:r w:rsidRPr="00FC15F9">
              <w:rPr>
                <w:bCs/>
              </w:rPr>
              <w:t>„</w:t>
            </w:r>
            <w:r w:rsidRPr="00FC15F9">
              <w:t>Siltumnīcefekta gāzu emisiju samazināšana</w:t>
            </w:r>
            <w:r w:rsidRPr="00FC15F9">
              <w:rPr>
                <w:sz w:val="22"/>
                <w:szCs w:val="22"/>
              </w:rPr>
              <w:t xml:space="preserve"> </w:t>
            </w:r>
            <w:r w:rsidRPr="00FC15F9">
              <w:rPr>
                <w:szCs w:val="22"/>
              </w:rPr>
              <w:t xml:space="preserve">ar </w:t>
            </w:r>
            <w:r>
              <w:rPr>
                <w:szCs w:val="22"/>
              </w:rPr>
              <w:t xml:space="preserve">viedajām </w:t>
            </w:r>
            <w:r w:rsidRPr="00FC15F9">
              <w:rPr>
                <w:szCs w:val="22"/>
              </w:rPr>
              <w:t>pilsētvides tehnoloģijām</w:t>
            </w:r>
            <w:r w:rsidRPr="00FC15F9">
              <w:rPr>
                <w:bCs/>
              </w:rPr>
              <w:t xml:space="preserve">” </w:t>
            </w:r>
            <w:r w:rsidR="002F7023">
              <w:rPr>
                <w:bCs/>
              </w:rPr>
              <w:t xml:space="preserve">(turpmāk – konkurss) </w:t>
            </w:r>
            <w:r w:rsidRPr="00FC15F9">
              <w:rPr>
                <w:bCs/>
              </w:rPr>
              <w:t xml:space="preserve">nolikumu, tai skaitā </w:t>
            </w:r>
            <w:r w:rsidRPr="00FC15F9">
              <w:t>projektu iesniegumu vērtēšanas kritērijus, projektu iesniegumu iesniegšanas, izskatīšanas, apstiprināšanas un finansējuma piešķiršanas kārtību, kā arī projektu īstenošanas, pārskatu iesniegšanas un pārbaudes kārtību, konkursa īstenošanas uzraudzību un novērtēšanu.</w:t>
            </w:r>
          </w:p>
          <w:p w14:paraId="675BE751" w14:textId="3557C360" w:rsidR="004549E6" w:rsidRDefault="00EA3BC1" w:rsidP="00710A1A">
            <w:pPr>
              <w:spacing w:before="0" w:after="0" w:line="240" w:lineRule="auto"/>
              <w:ind w:left="142" w:right="94"/>
              <w:outlineLvl w:val="0"/>
              <w:rPr>
                <w:b/>
              </w:rPr>
            </w:pPr>
            <w:r>
              <w:t xml:space="preserve">  </w:t>
            </w:r>
            <w:r w:rsidRPr="00FC15F9">
              <w:t xml:space="preserve">Konkursa mērķis ir SEG emisiju </w:t>
            </w:r>
            <w:r w:rsidR="002F7023">
              <w:t xml:space="preserve">tieša un netieša </w:t>
            </w:r>
            <w:r w:rsidRPr="00FC15F9">
              <w:t xml:space="preserve">samazināšana, ieviešot un demonstrējot </w:t>
            </w:r>
            <w:r>
              <w:t xml:space="preserve">viedās </w:t>
            </w:r>
            <w:r w:rsidRPr="00FC15F9">
              <w:t xml:space="preserve">pilsētvides tehnoloģijas, kuras izmanto </w:t>
            </w:r>
            <w:r w:rsidR="002F7023">
              <w:t>atjaunojamos energoresursus (</w:t>
            </w:r>
            <w:r w:rsidR="00B36FCE">
              <w:t xml:space="preserve">turpmāk – </w:t>
            </w:r>
            <w:r>
              <w:t>AER</w:t>
            </w:r>
            <w:r w:rsidR="002F7023">
              <w:t>)</w:t>
            </w:r>
            <w:r w:rsidRPr="00FC15F9">
              <w:t xml:space="preserve"> vai ja tās veicina energoefektivitātes paaugstināšanu</w:t>
            </w:r>
            <w:r>
              <w:t>,</w:t>
            </w:r>
            <w:r w:rsidRPr="00FC15F9">
              <w:t xml:space="preserve"> izmantojot inovatīvas</w:t>
            </w:r>
            <w:r>
              <w:t xml:space="preserve"> vai praksē pārbaudītas</w:t>
            </w:r>
            <w:r w:rsidRPr="00FC15F9">
              <w:t xml:space="preserve"> pieejas</w:t>
            </w:r>
            <w:r w:rsidRPr="00F25F22">
              <w:t xml:space="preserve">. </w:t>
            </w:r>
            <w:r>
              <w:t xml:space="preserve">SEG samazināšana </w:t>
            </w:r>
            <w:r w:rsidR="002F7023">
              <w:t>tādējādi tiek veicināta</w:t>
            </w:r>
            <w:r>
              <w:t xml:space="preserve"> ne tikai enerģētik</w:t>
            </w:r>
            <w:r w:rsidR="002F7023">
              <w:t>as sektorā</w:t>
            </w:r>
            <w:r>
              <w:t xml:space="preserve">, bet arī transporta sektorā, piem., optimizējot autotransporta satiksmes plūsmu pilsētās. Tā kā netiek atbalstīta konkrēta tehnoloģija, bet </w:t>
            </w:r>
            <w:r w:rsidR="002F7023">
              <w:t>dažādi</w:t>
            </w:r>
            <w:r>
              <w:t xml:space="preserve"> </w:t>
            </w:r>
            <w:r w:rsidR="002F7023">
              <w:t xml:space="preserve">ļoti atšķirīgi </w:t>
            </w:r>
            <w:r>
              <w:t xml:space="preserve">inovatīvi </w:t>
            </w:r>
            <w:r w:rsidRPr="008D7760">
              <w:t>risinājumi un k</w:t>
            </w:r>
            <w:r w:rsidRPr="008D7760">
              <w:rPr>
                <w:color w:val="000000" w:themeColor="text1"/>
              </w:rPr>
              <w:t>onkursa ietvaros īstenojamās aktivitātes pēc sava rakstura un tehniskā izpildījuma iespējam</w:t>
            </w:r>
            <w:r>
              <w:rPr>
                <w:color w:val="000000" w:themeColor="text1"/>
              </w:rPr>
              <w:t>as</w:t>
            </w:r>
            <w:r w:rsidRPr="008D7760">
              <w:rPr>
                <w:color w:val="000000" w:themeColor="text1"/>
              </w:rPr>
              <w:t xml:space="preserve"> dažād</w:t>
            </w:r>
            <w:r>
              <w:rPr>
                <w:color w:val="000000" w:themeColor="text1"/>
              </w:rPr>
              <w:t>as</w:t>
            </w:r>
            <w:r w:rsidRPr="008D7760">
              <w:rPr>
                <w:color w:val="000000" w:themeColor="text1"/>
              </w:rPr>
              <w:t xml:space="preserve"> u</w:t>
            </w:r>
            <w:r>
              <w:rPr>
                <w:color w:val="000000" w:themeColor="text1"/>
              </w:rPr>
              <w:t xml:space="preserve">n nav salīdzināmas tiešā </w:t>
            </w:r>
            <w:r w:rsidRPr="008D7760">
              <w:rPr>
                <w:color w:val="000000" w:themeColor="text1"/>
              </w:rPr>
              <w:t>veidā</w:t>
            </w:r>
            <w:r w:rsidRPr="008D7760">
              <w:t xml:space="preserve">, </w:t>
            </w:r>
            <w:r>
              <w:t xml:space="preserve">šobrīd </w:t>
            </w:r>
            <w:r w:rsidR="002F7023">
              <w:t xml:space="preserve">pirms projektu apstiprināšanas un īstenošanas </w:t>
            </w:r>
            <w:r>
              <w:t xml:space="preserve">nav iespējams paredzēt </w:t>
            </w:r>
            <w:r w:rsidR="002F7023">
              <w:t xml:space="preserve">tiešu </w:t>
            </w:r>
            <w:r>
              <w:t xml:space="preserve">ieguvumu SEG emisiju samazinājumā, kā arī izmaksu efektivitāti. </w:t>
            </w:r>
            <w:r w:rsidRPr="002F7023">
              <w:t xml:space="preserve">Papildu </w:t>
            </w:r>
            <w:r w:rsidR="002F7023" w:rsidRPr="002F7023">
              <w:t xml:space="preserve">sagaidāmie </w:t>
            </w:r>
            <w:r w:rsidRPr="002F7023">
              <w:t>ilgtspējīgi</w:t>
            </w:r>
            <w:r w:rsidR="002F7023" w:rsidRPr="002F7023">
              <w:t>e</w:t>
            </w:r>
            <w:r w:rsidRPr="002F7023">
              <w:t xml:space="preserve"> ieguvumi no projektiem</w:t>
            </w:r>
            <w:r w:rsidR="004549E6" w:rsidRPr="002F7023">
              <w:t>:</w:t>
            </w:r>
          </w:p>
          <w:p w14:paraId="4BC5EAF6" w14:textId="77777777" w:rsidR="002F7023" w:rsidRPr="002F7023" w:rsidRDefault="002F7023" w:rsidP="00710A1A">
            <w:pPr>
              <w:pStyle w:val="ListParagraph"/>
              <w:numPr>
                <w:ilvl w:val="0"/>
                <w:numId w:val="26"/>
              </w:numPr>
              <w:spacing w:before="0" w:after="0" w:line="240" w:lineRule="auto"/>
              <w:ind w:left="283" w:right="94" w:hanging="142"/>
              <w:outlineLvl w:val="0"/>
            </w:pPr>
            <w:r w:rsidRPr="002F7023">
              <w:t>gaisa piesārņojuma samazināšana, piemēram, transporta sektorā (sēra dioksīds, slāpekļa dioksīds, ozons, oglekļa dioksīds, daļiņu (PM</w:t>
            </w:r>
            <w:r w:rsidRPr="002F7023">
              <w:rPr>
                <w:vertAlign w:val="subscript"/>
              </w:rPr>
              <w:t>10</w:t>
            </w:r>
            <w:r w:rsidRPr="002F7023">
              <w:t xml:space="preserve"> un PM</w:t>
            </w:r>
            <w:r w:rsidRPr="002F7023">
              <w:rPr>
                <w:vertAlign w:val="subscript"/>
              </w:rPr>
              <w:t>2,5</w:t>
            </w:r>
            <w:r w:rsidRPr="002F7023">
              <w:t>) u.c.),</w:t>
            </w:r>
          </w:p>
          <w:p w14:paraId="02D3C5B9" w14:textId="77777777" w:rsidR="004549E6" w:rsidRPr="002F7023" w:rsidRDefault="00EA3BC1" w:rsidP="00710A1A">
            <w:pPr>
              <w:pStyle w:val="ListParagraph"/>
              <w:numPr>
                <w:ilvl w:val="0"/>
                <w:numId w:val="26"/>
              </w:numPr>
              <w:tabs>
                <w:tab w:val="left" w:pos="6662"/>
              </w:tabs>
              <w:spacing w:before="0" w:after="0" w:line="240" w:lineRule="auto"/>
              <w:ind w:left="283" w:right="94" w:hanging="142"/>
              <w:outlineLvl w:val="0"/>
            </w:pPr>
            <w:r w:rsidRPr="002F7023">
              <w:t>pielāgošanās klimata pārmaiņām</w:t>
            </w:r>
            <w:r w:rsidR="004549E6" w:rsidRPr="002F7023">
              <w:t xml:space="preserve"> </w:t>
            </w:r>
            <w:r w:rsidR="002F7023" w:rsidRPr="002F7023">
              <w:t xml:space="preserve">veicināšana </w:t>
            </w:r>
            <w:r w:rsidR="004549E6" w:rsidRPr="002F7023">
              <w:t>(</w:t>
            </w:r>
            <w:r w:rsidR="002F7023" w:rsidRPr="002F7023">
              <w:t>daļa no SEG emisijas samazinošajiem pasākumiem var veicināt arī pielāgošanos klimata pārmaiņām. P</w:t>
            </w:r>
            <w:r w:rsidR="004549E6" w:rsidRPr="002F7023">
              <w:t>ētījum</w:t>
            </w:r>
            <w:r w:rsidR="002F7023" w:rsidRPr="002F7023">
              <w:t>os</w:t>
            </w:r>
            <w:r w:rsidR="004549E6" w:rsidRPr="002F7023">
              <w:t xml:space="preserve"> </w:t>
            </w:r>
            <w:r w:rsidR="002F7023" w:rsidRPr="002F7023">
              <w:t>līdz šim konstatēti daudzi Latvijai būtiski</w:t>
            </w:r>
            <w:r w:rsidR="004549E6" w:rsidRPr="002F7023">
              <w:t xml:space="preserve"> klimata pārmaiņu riski un ievainojamīb</w:t>
            </w:r>
            <w:r w:rsidR="002F7023" w:rsidRPr="002F7023">
              <w:t>as</w:t>
            </w:r>
            <w:r w:rsidR="004549E6" w:rsidRPr="002F7023">
              <w:rPr>
                <w:rStyle w:val="FootnoteReference"/>
              </w:rPr>
              <w:footnoteReference w:id="5"/>
            </w:r>
            <w:r w:rsidR="004549E6" w:rsidRPr="002F7023">
              <w:t>.);</w:t>
            </w:r>
          </w:p>
          <w:p w14:paraId="11550255" w14:textId="7F9AD052" w:rsidR="004549E6" w:rsidRPr="0061235D" w:rsidRDefault="002F7023" w:rsidP="00710A1A">
            <w:pPr>
              <w:pStyle w:val="ListParagraph"/>
              <w:numPr>
                <w:ilvl w:val="0"/>
                <w:numId w:val="26"/>
              </w:numPr>
              <w:tabs>
                <w:tab w:val="left" w:pos="6662"/>
              </w:tabs>
              <w:spacing w:before="0" w:after="0" w:line="240" w:lineRule="auto"/>
              <w:ind w:left="283" w:right="94" w:hanging="142"/>
              <w:outlineLvl w:val="0"/>
            </w:pPr>
            <w:r w:rsidRPr="0061235D">
              <w:t>klimata pārmaiņu sistemātiskas risināšanas v</w:t>
            </w:r>
            <w:r w:rsidR="00EA3BC1" w:rsidRPr="0061235D">
              <w:t>eicinā</w:t>
            </w:r>
            <w:r w:rsidRPr="0061235D">
              <w:t>šana, pievēršot dažādu sabiedrības grupu uzmanību un stimulējot</w:t>
            </w:r>
            <w:r w:rsidR="00EA3BC1" w:rsidRPr="0061235D">
              <w:t xml:space="preserve"> projektu iesniedzēj</w:t>
            </w:r>
            <w:r w:rsidRPr="0061235D">
              <w:t>us</w:t>
            </w:r>
            <w:r w:rsidR="00EA3BC1" w:rsidRPr="0061235D">
              <w:t xml:space="preserve"> plānošanas dokumentos iestrādāt klimata </w:t>
            </w:r>
            <w:r w:rsidRPr="0061235D">
              <w:t xml:space="preserve">politikas </w:t>
            </w:r>
            <w:r w:rsidR="00EA3BC1" w:rsidRPr="0061235D">
              <w:t>mērķus</w:t>
            </w:r>
            <w:r w:rsidRPr="0061235D">
              <w:t xml:space="preserve"> un pasākumus, kā arī </w:t>
            </w:r>
            <w:proofErr w:type="spellStart"/>
            <w:r w:rsidRPr="0061235D">
              <w:t>energopārval</w:t>
            </w:r>
            <w:r w:rsidR="00B36FCE">
              <w:t>d</w:t>
            </w:r>
            <w:r w:rsidRPr="0061235D">
              <w:t>ības</w:t>
            </w:r>
            <w:proofErr w:type="spellEnd"/>
            <w:r w:rsidRPr="0061235D">
              <w:t xml:space="preserve"> sistēmu ieviešanu</w:t>
            </w:r>
            <w:r w:rsidR="00230658">
              <w:t>.</w:t>
            </w:r>
          </w:p>
          <w:p w14:paraId="05472C3C" w14:textId="77777777" w:rsidR="00230658" w:rsidRDefault="00230658" w:rsidP="00230658">
            <w:pPr>
              <w:pStyle w:val="ListParagraph"/>
              <w:tabs>
                <w:tab w:val="left" w:pos="6662"/>
              </w:tabs>
              <w:spacing w:before="0" w:after="0" w:line="240" w:lineRule="auto"/>
              <w:ind w:left="141" w:right="94"/>
              <w:outlineLvl w:val="0"/>
            </w:pPr>
          </w:p>
          <w:p w14:paraId="1678AA81" w14:textId="4DDC9EA6" w:rsidR="000D4FCA" w:rsidRDefault="000D4FCA" w:rsidP="00230658">
            <w:pPr>
              <w:pStyle w:val="ListParagraph"/>
              <w:tabs>
                <w:tab w:val="left" w:pos="6662"/>
              </w:tabs>
              <w:spacing w:before="0" w:after="0" w:line="240" w:lineRule="auto"/>
              <w:ind w:left="141" w:right="94"/>
              <w:outlineLvl w:val="0"/>
            </w:pPr>
            <w:r w:rsidRPr="00FC15F9">
              <w:t xml:space="preserve">  </w:t>
            </w:r>
            <w:r>
              <w:t xml:space="preserve">Enerģētikas attīstības pamatnostādņu 2016.-2020. gadam (1.2. apakšpunkts) Latvijas enerģētikas politikas ilgtermiņa mērķis paredz politiku vērst uz </w:t>
            </w:r>
            <w:r w:rsidR="002D718D" w:rsidRPr="00FC15F9">
              <w:t>„</w:t>
            </w:r>
            <w:r>
              <w:t>(...)</w:t>
            </w:r>
            <w:r w:rsidR="008B24F6">
              <w:t xml:space="preserve"> </w:t>
            </w:r>
            <w:r>
              <w:t xml:space="preserve">Latvijas ekonomikas tālākas attīstības, tās konkurētspējas reģionā un pasaulē, kā arī sabiedrības labklājības un vides kvalitātes paaugstināšanas nodrošināšanu.(...)”, kā vienu no </w:t>
            </w:r>
            <w:proofErr w:type="spellStart"/>
            <w:r>
              <w:t>apakšmērķiem</w:t>
            </w:r>
            <w:proofErr w:type="spellEnd"/>
            <w:r>
              <w:t xml:space="preserve"> paredzot: </w:t>
            </w:r>
            <w:r w:rsidR="002D718D" w:rsidRPr="00FC15F9">
              <w:t>„</w:t>
            </w:r>
            <w:r>
              <w:t>(...)</w:t>
            </w:r>
            <w:r w:rsidR="008B24F6">
              <w:t xml:space="preserve"> </w:t>
            </w:r>
            <w:r w:rsidRPr="00F351E7">
              <w:t xml:space="preserve">ilgtspējīga enerģētika, kas nodrošina enerģētikas ilgtspēju gan ekonomiskā, gan sociālā, gan vides izpratnē. To plānots panākt, uzlabojot energoefektivitāti, ieviešot viedās tehnoloģijas un veicinot augsti efektīvu ražošanas tehnoloģiju un </w:t>
            </w:r>
            <w:r>
              <w:t>AER</w:t>
            </w:r>
            <w:r w:rsidRPr="00F351E7">
              <w:t xml:space="preserve"> izmantošanas tehnoloģijas.</w:t>
            </w:r>
            <w:r>
              <w:t xml:space="preserve"> (...)” Viens no </w:t>
            </w:r>
            <w:r>
              <w:lastRenderedPageBreak/>
              <w:t xml:space="preserve">enerģētikas politikas pamatprincipiem ir </w:t>
            </w:r>
            <w:r w:rsidR="002D718D" w:rsidRPr="00FC15F9">
              <w:t>„</w:t>
            </w:r>
            <w:r>
              <w:t xml:space="preserve">inovatīvu risinājumu, tajā skaitā viedo tehnoloģiju, ieviešana”, ko īstenos šis konkurss. </w:t>
            </w:r>
            <w:r w:rsidRPr="00E812CB">
              <w:rPr>
                <w:sz w:val="20"/>
                <w:szCs w:val="20"/>
              </w:rPr>
              <w:t xml:space="preserve"> </w:t>
            </w:r>
            <w:r w:rsidRPr="0087060D">
              <w:t xml:space="preserve">Līdz ar to konkurss dos ieguldījumu Latvijas enerģijas </w:t>
            </w:r>
            <w:proofErr w:type="spellStart"/>
            <w:r w:rsidRPr="0087060D">
              <w:t>galapatēriņa</w:t>
            </w:r>
            <w:proofErr w:type="spellEnd"/>
            <w:r w:rsidRPr="0087060D">
              <w:t xml:space="preserve"> ietaupījuma mērķa sasniegšanā un tiks iekļauts Energoefektivitātes politikas alternatīvo pasākumu plānā enerģijas </w:t>
            </w:r>
            <w:proofErr w:type="spellStart"/>
            <w:r w:rsidRPr="0087060D">
              <w:t>galapatēriņa</w:t>
            </w:r>
            <w:proofErr w:type="spellEnd"/>
            <w:r w:rsidRPr="0087060D">
              <w:t xml:space="preserve"> ietaupījuma mērķa 2014.–2020. gadam sasniegšanai.</w:t>
            </w:r>
          </w:p>
          <w:p w14:paraId="2E31CCE3" w14:textId="614BA4CF" w:rsidR="00A04C71" w:rsidRPr="00A04C71" w:rsidRDefault="00230658" w:rsidP="00230658">
            <w:pPr>
              <w:pStyle w:val="ListParagraph"/>
              <w:tabs>
                <w:tab w:val="left" w:pos="6662"/>
              </w:tabs>
              <w:spacing w:before="0" w:after="0" w:line="240" w:lineRule="auto"/>
              <w:ind w:left="141" w:right="94"/>
              <w:outlineLvl w:val="0"/>
            </w:pPr>
            <w:r>
              <w:t xml:space="preserve"> </w:t>
            </w:r>
            <w:r w:rsidR="00A7792A">
              <w:t xml:space="preserve"> </w:t>
            </w:r>
            <w:r w:rsidRPr="00230658">
              <w:t xml:space="preserve">Viedā pilsētvides tehnoloģija ir pilsētvidē uzstādāma iekārta vai iekārtu sistēma, kuras </w:t>
            </w:r>
            <w:r w:rsidRPr="00870FE0">
              <w:rPr>
                <w:u w:val="single"/>
              </w:rPr>
              <w:t>neatņemama sastāvdaļa ir attālināti vadāmas informācijas un komunikāciju tehnoloģijas</w:t>
            </w:r>
            <w:r w:rsidRPr="00230658">
              <w:t xml:space="preserve">, un kas tiek izmantota </w:t>
            </w:r>
            <w:r w:rsidRPr="00F126C9">
              <w:rPr>
                <w:u w:val="single"/>
              </w:rPr>
              <w:t xml:space="preserve">enerģijas ražošanai, lai nodrošinātu </w:t>
            </w:r>
            <w:r w:rsidR="00F126C9" w:rsidRPr="00F126C9">
              <w:rPr>
                <w:u w:val="single"/>
              </w:rPr>
              <w:t xml:space="preserve">esošu </w:t>
            </w:r>
            <w:r w:rsidRPr="00F126C9">
              <w:rPr>
                <w:u w:val="single"/>
              </w:rPr>
              <w:t>tehnoloģiju darbību un SEG emisiju samazināšanu</w:t>
            </w:r>
            <w:r w:rsidRPr="00230658">
              <w:t xml:space="preserve">, vai kas tiek izmantota </w:t>
            </w:r>
            <w:r w:rsidRPr="00F126C9">
              <w:rPr>
                <w:u w:val="single"/>
              </w:rPr>
              <w:t>pilsētvides tehnoloģijas patērētā enerģijas apjoma samazināšanai, lai optimizētu vai padarītu efektīvākus procesus un samazinātu siltumnīcefekta gāzu emisijas</w:t>
            </w:r>
            <w:r w:rsidRPr="00230658">
              <w:t>.</w:t>
            </w:r>
            <w:r>
              <w:t xml:space="preserve"> </w:t>
            </w:r>
            <w:r w:rsidR="00A04C71" w:rsidRPr="00A04C71">
              <w:t xml:space="preserve">Viedās pilsētvides tehnoloģijas </w:t>
            </w:r>
            <w:r>
              <w:t xml:space="preserve">pēc būtības ir viedo tehnoloģiju </w:t>
            </w:r>
            <w:r w:rsidR="00A04C71" w:rsidRPr="00A04C71">
              <w:t>ieintegrē</w:t>
            </w:r>
            <w:r>
              <w:t>šana</w:t>
            </w:r>
            <w:r w:rsidR="00A04C71" w:rsidRPr="00A04C71">
              <w:t xml:space="preserve"> atjaunojamo</w:t>
            </w:r>
            <w:r>
              <w:t>s</w:t>
            </w:r>
            <w:r w:rsidR="00A04C71" w:rsidRPr="00A04C71">
              <w:t xml:space="preserve"> energoresursu</w:t>
            </w:r>
            <w:r w:rsidR="003729B7">
              <w:t>s</w:t>
            </w:r>
            <w:r w:rsidR="00A04C71" w:rsidRPr="00A04C71">
              <w:t xml:space="preserve"> izmantojošās </w:t>
            </w:r>
            <w:r w:rsidR="00A04C71">
              <w:t>vai energoefekt</w:t>
            </w:r>
            <w:r w:rsidR="004F7863">
              <w:t>ivitāti</w:t>
            </w:r>
            <w:r w:rsidR="00A04C71">
              <w:t xml:space="preserve"> </w:t>
            </w:r>
            <w:r w:rsidR="004F7863">
              <w:t xml:space="preserve">veicinošās </w:t>
            </w:r>
            <w:r w:rsidR="00A04C71" w:rsidRPr="00A04C71">
              <w:t>iekārtās, piemēram:</w:t>
            </w:r>
          </w:p>
          <w:p w14:paraId="478DF8E1" w14:textId="21DC46C1" w:rsidR="00A04C71" w:rsidRPr="00A04C71" w:rsidRDefault="00A04C71" w:rsidP="006E2DFB">
            <w:pPr>
              <w:numPr>
                <w:ilvl w:val="0"/>
                <w:numId w:val="18"/>
              </w:numPr>
              <w:spacing w:before="0" w:after="0" w:line="240" w:lineRule="auto"/>
              <w:ind w:left="425" w:right="236" w:hanging="284"/>
              <w:outlineLvl w:val="0"/>
              <w:rPr>
                <w:lang w:val="de-AT"/>
              </w:rPr>
            </w:pPr>
            <w:r w:rsidRPr="00A04C71">
              <w:rPr>
                <w:lang w:val="de-AT"/>
              </w:rPr>
              <w:t>ēku konstrukcijā iebūvētas vēja</w:t>
            </w:r>
            <w:r w:rsidR="00870FE0">
              <w:rPr>
                <w:lang w:val="de-AT"/>
              </w:rPr>
              <w:t xml:space="preserve"> un</w:t>
            </w:r>
            <w:r w:rsidR="00112F5D">
              <w:rPr>
                <w:lang w:val="de-AT"/>
              </w:rPr>
              <w:t>/vai</w:t>
            </w:r>
            <w:r w:rsidR="00870FE0">
              <w:rPr>
                <w:lang w:val="de-AT"/>
              </w:rPr>
              <w:t xml:space="preserve"> saules</w:t>
            </w:r>
            <w:r w:rsidRPr="00A04C71">
              <w:rPr>
                <w:lang w:val="de-AT"/>
              </w:rPr>
              <w:t xml:space="preserve"> elektrostacijas;</w:t>
            </w:r>
          </w:p>
          <w:p w14:paraId="2C91B677" w14:textId="7136E394" w:rsidR="00A04C71" w:rsidRPr="00A04C71" w:rsidRDefault="00A04C71" w:rsidP="006E2DFB">
            <w:pPr>
              <w:numPr>
                <w:ilvl w:val="0"/>
                <w:numId w:val="18"/>
              </w:numPr>
              <w:spacing w:before="0" w:after="0" w:line="240" w:lineRule="auto"/>
              <w:ind w:left="425" w:right="236" w:hanging="284"/>
              <w:outlineLvl w:val="0"/>
              <w:rPr>
                <w:lang w:val="de-AT"/>
              </w:rPr>
            </w:pPr>
            <w:r w:rsidRPr="00A04C71">
              <w:rPr>
                <w:lang w:val="de-AT"/>
              </w:rPr>
              <w:t>mazas jaudas vertikālas ass vēja elektrostacij</w:t>
            </w:r>
            <w:r w:rsidR="003729B7">
              <w:rPr>
                <w:lang w:val="de-AT"/>
              </w:rPr>
              <w:t>as</w:t>
            </w:r>
            <w:r w:rsidRPr="00A04C71">
              <w:rPr>
                <w:lang w:val="de-AT"/>
              </w:rPr>
              <w:t xml:space="preserve">; </w:t>
            </w:r>
          </w:p>
          <w:p w14:paraId="6D11CE31" w14:textId="7A366354" w:rsidR="00A04C71" w:rsidRPr="00A04C71" w:rsidRDefault="00A04C71" w:rsidP="006E2DFB">
            <w:pPr>
              <w:numPr>
                <w:ilvl w:val="0"/>
                <w:numId w:val="18"/>
              </w:numPr>
              <w:spacing w:before="0" w:after="0" w:line="240" w:lineRule="auto"/>
              <w:ind w:left="425" w:right="236" w:hanging="284"/>
              <w:outlineLvl w:val="0"/>
              <w:rPr>
                <w:lang w:val="de-AT"/>
              </w:rPr>
            </w:pPr>
            <w:r w:rsidRPr="00A04C71">
              <w:rPr>
                <w:lang w:val="de-AT"/>
              </w:rPr>
              <w:t>saules elektrostaciju</w:t>
            </w:r>
            <w:r w:rsidR="00EB7A93">
              <w:rPr>
                <w:lang w:val="de-AT"/>
              </w:rPr>
              <w:t xml:space="preserve"> un</w:t>
            </w:r>
            <w:r w:rsidRPr="00A04C71">
              <w:rPr>
                <w:lang w:val="de-AT"/>
              </w:rPr>
              <w:t xml:space="preserve"> vēja elektrostaciju </w:t>
            </w:r>
            <w:r w:rsidR="00EB7A93">
              <w:rPr>
                <w:lang w:val="de-AT"/>
              </w:rPr>
              <w:t xml:space="preserve">saražotās </w:t>
            </w:r>
            <w:r w:rsidRPr="00A04C71">
              <w:rPr>
                <w:lang w:val="de-AT"/>
              </w:rPr>
              <w:t>elektroenerģij</w:t>
            </w:r>
            <w:r w:rsidR="00EB7A93">
              <w:rPr>
                <w:lang w:val="de-AT"/>
              </w:rPr>
              <w:t>as</w:t>
            </w:r>
            <w:r w:rsidRPr="00A04C71">
              <w:rPr>
                <w:lang w:val="de-AT"/>
              </w:rPr>
              <w:t xml:space="preserve"> izmantošana pilsētvides tehnoloģijās</w:t>
            </w:r>
            <w:r w:rsidR="003729B7">
              <w:rPr>
                <w:lang w:val="de-AT"/>
              </w:rPr>
              <w:t>, piemēram,</w:t>
            </w:r>
            <w:r w:rsidRPr="00A04C71">
              <w:rPr>
                <w:lang w:val="de-AT"/>
              </w:rPr>
              <w:t xml:space="preserve"> satiksmē </w:t>
            </w:r>
            <w:r w:rsidR="003729B7">
              <w:rPr>
                <w:lang w:val="de-AT"/>
              </w:rPr>
              <w:t xml:space="preserve">– </w:t>
            </w:r>
            <w:r w:rsidRPr="00A04C71">
              <w:rPr>
                <w:lang w:val="de-AT"/>
              </w:rPr>
              <w:t>luksoforos, ceļazīmēs u</w:t>
            </w:r>
            <w:r w:rsidR="003729B7">
              <w:rPr>
                <w:lang w:val="de-AT"/>
              </w:rPr>
              <w:t>.</w:t>
            </w:r>
            <w:r w:rsidRPr="00A04C71">
              <w:rPr>
                <w:lang w:val="de-AT"/>
              </w:rPr>
              <w:t>c</w:t>
            </w:r>
            <w:r w:rsidR="003729B7">
              <w:rPr>
                <w:lang w:val="de-AT"/>
              </w:rPr>
              <w:t>.</w:t>
            </w:r>
            <w:r w:rsidRPr="00A04C71">
              <w:rPr>
                <w:lang w:val="de-AT"/>
              </w:rPr>
              <w:t xml:space="preserve">; </w:t>
            </w:r>
          </w:p>
          <w:p w14:paraId="5F201B45" w14:textId="5AECE8BF" w:rsidR="00A04C71" w:rsidRDefault="00A04C71" w:rsidP="006E2DFB">
            <w:pPr>
              <w:numPr>
                <w:ilvl w:val="0"/>
                <w:numId w:val="18"/>
              </w:numPr>
              <w:spacing w:before="0" w:after="0" w:line="240" w:lineRule="auto"/>
              <w:ind w:left="425" w:right="236" w:hanging="284"/>
              <w:outlineLvl w:val="0"/>
              <w:rPr>
                <w:lang w:val="de-AT"/>
              </w:rPr>
            </w:pPr>
            <w:r w:rsidRPr="00A04C71">
              <w:rPr>
                <w:lang w:val="de-AT"/>
              </w:rPr>
              <w:t>saules un/vai vēja elektrostaciju izmantošana ielu apgaismojuma iekārtās;</w:t>
            </w:r>
          </w:p>
          <w:p w14:paraId="2C35AA8A" w14:textId="364A5E2D" w:rsidR="00112F5D" w:rsidRPr="00A04C71" w:rsidRDefault="001733A5" w:rsidP="006E2DFB">
            <w:pPr>
              <w:numPr>
                <w:ilvl w:val="0"/>
                <w:numId w:val="18"/>
              </w:numPr>
              <w:spacing w:before="0" w:after="0" w:line="240" w:lineRule="auto"/>
              <w:ind w:left="425" w:right="236" w:hanging="284"/>
              <w:outlineLvl w:val="0"/>
              <w:rPr>
                <w:lang w:val="de-AT"/>
              </w:rPr>
            </w:pPr>
            <w:r>
              <w:rPr>
                <w:lang w:val="de-AT"/>
              </w:rPr>
              <w:t>dažādu atjaunojamo energoresursu tehnoloģiju kombinēti risinājumi, piemēram, saules kolektoru un siltumsūkņu apvien</w:t>
            </w:r>
            <w:r w:rsidR="00431C58">
              <w:rPr>
                <w:lang w:val="de-AT"/>
              </w:rPr>
              <w:t>ota</w:t>
            </w:r>
            <w:r>
              <w:rPr>
                <w:lang w:val="de-AT"/>
              </w:rPr>
              <w:t xml:space="preserve"> sistēma un „saules sūknis“</w:t>
            </w:r>
            <w:r w:rsidR="00431C58">
              <w:rPr>
                <w:lang w:val="de-AT"/>
              </w:rPr>
              <w:t xml:space="preserve"> siltumenerģijas nodrošināšanai</w:t>
            </w:r>
            <w:r w:rsidR="00C005C9">
              <w:rPr>
                <w:lang w:val="de-AT"/>
              </w:rPr>
              <w:t>;</w:t>
            </w:r>
          </w:p>
          <w:p w14:paraId="6DC30E70" w14:textId="77777777" w:rsidR="00A04C71" w:rsidRPr="00A04C71" w:rsidRDefault="00A04C71" w:rsidP="006E2DFB">
            <w:pPr>
              <w:numPr>
                <w:ilvl w:val="0"/>
                <w:numId w:val="18"/>
              </w:numPr>
              <w:spacing w:before="0" w:after="0" w:line="240" w:lineRule="auto"/>
              <w:ind w:left="425" w:right="236" w:hanging="284"/>
              <w:outlineLvl w:val="0"/>
              <w:rPr>
                <w:lang w:val="de-AT"/>
              </w:rPr>
            </w:pPr>
            <w:r w:rsidRPr="00A04C71">
              <w:rPr>
                <w:lang w:val="de-AT"/>
              </w:rPr>
              <w:t>„saules siena“ siltumenerģijas nodrošināšanai;</w:t>
            </w:r>
          </w:p>
          <w:p w14:paraId="6F0DDFDC" w14:textId="138D863A" w:rsidR="00A04C71" w:rsidRPr="006A6592" w:rsidRDefault="00C62E6A" w:rsidP="006E2DFB">
            <w:pPr>
              <w:numPr>
                <w:ilvl w:val="0"/>
                <w:numId w:val="18"/>
              </w:numPr>
              <w:spacing w:before="0" w:after="0" w:line="240" w:lineRule="auto"/>
              <w:ind w:left="425" w:right="236" w:hanging="284"/>
              <w:outlineLvl w:val="0"/>
              <w:rPr>
                <w:lang w:val="de-AT"/>
              </w:rPr>
            </w:pPr>
            <w:r w:rsidRPr="006A6592">
              <w:rPr>
                <w:bCs/>
              </w:rPr>
              <w:t>v</w:t>
            </w:r>
            <w:r w:rsidR="00215D92" w:rsidRPr="006A6592">
              <w:rPr>
                <w:bCs/>
              </w:rPr>
              <w:t>ied</w:t>
            </w:r>
            <w:r w:rsidRPr="006A6592">
              <w:rPr>
                <w:bCs/>
              </w:rPr>
              <w:t>a</w:t>
            </w:r>
            <w:r w:rsidR="00215D92" w:rsidRPr="006A6592">
              <w:rPr>
                <w:bCs/>
              </w:rPr>
              <w:t>s</w:t>
            </w:r>
            <w:r w:rsidRPr="006A6592">
              <w:rPr>
                <w:bCs/>
              </w:rPr>
              <w:t xml:space="preserve"> un pilsētvidē iekļau</w:t>
            </w:r>
            <w:r w:rsidR="004A261F" w:rsidRPr="006A6592">
              <w:rPr>
                <w:bCs/>
              </w:rPr>
              <w:t>t</w:t>
            </w:r>
            <w:r w:rsidRPr="006A6592">
              <w:rPr>
                <w:bCs/>
              </w:rPr>
              <w:t>as</w:t>
            </w:r>
            <w:r w:rsidR="00215D92" w:rsidRPr="006A6592">
              <w:rPr>
                <w:bCs/>
              </w:rPr>
              <w:t xml:space="preserve"> </w:t>
            </w:r>
            <w:r w:rsidR="00EE7CE1" w:rsidRPr="006A6592">
              <w:rPr>
                <w:bCs/>
              </w:rPr>
              <w:t>atjaunojamo energoresursu iekārtas elektroenerģijas ražošanai</w:t>
            </w:r>
            <w:r w:rsidR="00215D92" w:rsidRPr="006A6592">
              <w:rPr>
                <w:bCs/>
              </w:rPr>
              <w:t>, piemēram,</w:t>
            </w:r>
            <w:r w:rsidR="00AF2451" w:rsidRPr="006A6592">
              <w:rPr>
                <w:bCs/>
              </w:rPr>
              <w:t xml:space="preserve"> </w:t>
            </w:r>
            <w:r w:rsidR="00A04C71" w:rsidRPr="006A6592">
              <w:rPr>
                <w:lang w:val="de-AT"/>
              </w:rPr>
              <w:t>„saules koks“;</w:t>
            </w:r>
          </w:p>
          <w:p w14:paraId="4B5AB39D" w14:textId="31D89B2F" w:rsidR="00C62E6A" w:rsidRPr="006A6592" w:rsidRDefault="00C62E6A" w:rsidP="006E2DFB">
            <w:pPr>
              <w:numPr>
                <w:ilvl w:val="0"/>
                <w:numId w:val="18"/>
              </w:numPr>
              <w:spacing w:before="0" w:after="0" w:line="240" w:lineRule="auto"/>
              <w:ind w:left="425" w:right="236" w:hanging="284"/>
              <w:outlineLvl w:val="0"/>
              <w:rPr>
                <w:lang w:val="de-AT"/>
              </w:rPr>
            </w:pPr>
            <w:r w:rsidRPr="006A6592">
              <w:rPr>
                <w:bCs/>
              </w:rPr>
              <w:t>viedas un pilsētvidē iekļau</w:t>
            </w:r>
            <w:r w:rsidR="00FD0AB2" w:rsidRPr="006A6592">
              <w:rPr>
                <w:bCs/>
              </w:rPr>
              <w:t>t</w:t>
            </w:r>
            <w:r w:rsidRPr="006A6592">
              <w:rPr>
                <w:bCs/>
              </w:rPr>
              <w:t>as atjaunojamo energoresursu iekārtas siltumenerģijas ražošanai</w:t>
            </w:r>
            <w:r w:rsidR="00C005C9" w:rsidRPr="006A6592">
              <w:rPr>
                <w:bCs/>
              </w:rPr>
              <w:t>;</w:t>
            </w:r>
          </w:p>
          <w:p w14:paraId="025200D3" w14:textId="0402E5A8" w:rsidR="00A04C71" w:rsidRPr="006A6592" w:rsidRDefault="00A04C71" w:rsidP="006E2DFB">
            <w:pPr>
              <w:numPr>
                <w:ilvl w:val="0"/>
                <w:numId w:val="18"/>
              </w:numPr>
              <w:spacing w:before="0" w:after="0" w:line="240" w:lineRule="auto"/>
              <w:ind w:left="425" w:right="236" w:hanging="284"/>
              <w:outlineLvl w:val="0"/>
              <w:rPr>
                <w:lang w:val="de-AT"/>
              </w:rPr>
            </w:pPr>
            <w:r w:rsidRPr="006A6592">
              <w:rPr>
                <w:lang w:val="de-AT"/>
              </w:rPr>
              <w:t xml:space="preserve">saules </w:t>
            </w:r>
            <w:r w:rsidR="00891617" w:rsidRPr="006A6592">
              <w:rPr>
                <w:lang w:val="de-AT"/>
              </w:rPr>
              <w:t>un</w:t>
            </w:r>
            <w:r w:rsidR="00112F5D" w:rsidRPr="006A6592">
              <w:rPr>
                <w:lang w:val="de-AT"/>
              </w:rPr>
              <w:t>/vai</w:t>
            </w:r>
            <w:r w:rsidR="00891617" w:rsidRPr="006A6592">
              <w:rPr>
                <w:lang w:val="de-AT"/>
              </w:rPr>
              <w:t xml:space="preserve"> vēja </w:t>
            </w:r>
            <w:r w:rsidRPr="006A6592">
              <w:rPr>
                <w:lang w:val="de-AT"/>
              </w:rPr>
              <w:t>elektrostaciju izmantošana elektromobiļu uzlādes staciju attīstībā;</w:t>
            </w:r>
          </w:p>
          <w:p w14:paraId="63411BF4" w14:textId="1C595154" w:rsidR="002A4DB7" w:rsidRPr="006A6592" w:rsidRDefault="002A4DB7" w:rsidP="006E2DFB">
            <w:pPr>
              <w:numPr>
                <w:ilvl w:val="0"/>
                <w:numId w:val="18"/>
              </w:numPr>
              <w:spacing w:before="0" w:after="0" w:line="240" w:lineRule="auto"/>
              <w:ind w:left="425" w:right="236" w:hanging="284"/>
              <w:outlineLvl w:val="0"/>
              <w:rPr>
                <w:lang w:val="de-AT"/>
              </w:rPr>
            </w:pPr>
            <w:proofErr w:type="spellStart"/>
            <w:r w:rsidRPr="006A6592">
              <w:rPr>
                <w:bCs/>
              </w:rPr>
              <w:t>fotoelektriskās</w:t>
            </w:r>
            <w:proofErr w:type="spellEnd"/>
            <w:r w:rsidRPr="006A6592">
              <w:rPr>
                <w:bCs/>
              </w:rPr>
              <w:t xml:space="preserve"> saules enerģijas gaisa kondicionēšanas sistēmas</w:t>
            </w:r>
            <w:r w:rsidR="00C005C9" w:rsidRPr="006A6592">
              <w:rPr>
                <w:bCs/>
              </w:rPr>
              <w:t>;</w:t>
            </w:r>
          </w:p>
          <w:p w14:paraId="1EF6428C" w14:textId="0F35CCB2" w:rsidR="00A04C71" w:rsidRPr="00A04C71" w:rsidRDefault="00A04C71" w:rsidP="006E2DFB">
            <w:pPr>
              <w:numPr>
                <w:ilvl w:val="0"/>
                <w:numId w:val="18"/>
              </w:numPr>
              <w:spacing w:before="0" w:after="0" w:line="240" w:lineRule="auto"/>
              <w:ind w:left="425" w:right="236" w:hanging="284"/>
              <w:outlineLvl w:val="0"/>
              <w:rPr>
                <w:lang w:val="de-AT"/>
              </w:rPr>
            </w:pPr>
            <w:r w:rsidRPr="00A04C71">
              <w:t>satiksmes monitoringa un uzskaites sistēma</w:t>
            </w:r>
            <w:r w:rsidR="00736A68">
              <w:t>, kas nodrošina satiksmes plūsmas regulēšanas optimizāciju</w:t>
            </w:r>
            <w:r w:rsidR="00B95AD1">
              <w:t>, tādējādi samazinot enerģijas (degvielas) patēriņu</w:t>
            </w:r>
            <w:r w:rsidRPr="00A04C71">
              <w:t>;</w:t>
            </w:r>
          </w:p>
          <w:p w14:paraId="6863A88F" w14:textId="0A66BF79" w:rsidR="00230658" w:rsidRPr="00230658" w:rsidRDefault="00230658" w:rsidP="006E2DFB">
            <w:pPr>
              <w:numPr>
                <w:ilvl w:val="0"/>
                <w:numId w:val="18"/>
              </w:numPr>
              <w:spacing w:before="0" w:after="0" w:line="240" w:lineRule="auto"/>
              <w:ind w:left="425" w:right="236" w:hanging="284"/>
              <w:outlineLvl w:val="0"/>
              <w:rPr>
                <w:lang w:val="de-AT"/>
              </w:rPr>
            </w:pPr>
            <w:r w:rsidRPr="00A04C71">
              <w:t>sensori, kas veicina enerģijas patēriņa regulēšanu</w:t>
            </w:r>
            <w:r w:rsidR="000B7DFC">
              <w:t>,</w:t>
            </w:r>
            <w:r w:rsidRPr="00A04C71">
              <w:t xml:space="preserve"> </w:t>
            </w:r>
            <w:r w:rsidR="000B7DFC">
              <w:t>tādējādi</w:t>
            </w:r>
            <w:r w:rsidR="000B7DFC" w:rsidRPr="00A04C71">
              <w:t xml:space="preserve"> </w:t>
            </w:r>
            <w:r w:rsidRPr="00A04C71">
              <w:t>samazin</w:t>
            </w:r>
            <w:r w:rsidR="000B7DFC">
              <w:t>ot enerģijas patēriņu</w:t>
            </w:r>
            <w:r w:rsidR="00486D9F">
              <w:t>;</w:t>
            </w:r>
          </w:p>
          <w:p w14:paraId="52467387" w14:textId="514640EE" w:rsidR="00A04C71" w:rsidRPr="00A04C71" w:rsidRDefault="00736A68" w:rsidP="006E2DFB">
            <w:pPr>
              <w:numPr>
                <w:ilvl w:val="0"/>
                <w:numId w:val="18"/>
              </w:numPr>
              <w:spacing w:before="0" w:after="0" w:line="240" w:lineRule="auto"/>
              <w:ind w:left="425" w:right="236" w:hanging="284"/>
              <w:outlineLvl w:val="0"/>
              <w:rPr>
                <w:lang w:val="de-AT"/>
              </w:rPr>
            </w:pPr>
            <w:r>
              <w:rPr>
                <w:lang w:val="de-AT"/>
              </w:rPr>
              <w:t xml:space="preserve">viedas </w:t>
            </w:r>
            <w:r w:rsidR="00A04C71" w:rsidRPr="00A04C71">
              <w:t>stāvlaukumu sistēmas</w:t>
            </w:r>
            <w:r>
              <w:t xml:space="preserve">, kas iesaka tuvākās brīvās </w:t>
            </w:r>
            <w:r w:rsidR="003729B7">
              <w:t>stāv</w:t>
            </w:r>
            <w:r>
              <w:t>vietas un mazina satiksmes plūsmas intensitāti</w:t>
            </w:r>
            <w:r w:rsidR="00B95AD1">
              <w:t>, tādējādi samazinot enerģijas (degvielas) patēriņu</w:t>
            </w:r>
            <w:r w:rsidR="00A04C71" w:rsidRPr="00A04C71">
              <w:t>;</w:t>
            </w:r>
          </w:p>
          <w:p w14:paraId="73CAEC5D" w14:textId="77777777" w:rsidR="00230658" w:rsidRPr="00230658" w:rsidRDefault="00A04C71" w:rsidP="006E2DFB">
            <w:pPr>
              <w:numPr>
                <w:ilvl w:val="0"/>
                <w:numId w:val="18"/>
              </w:numPr>
              <w:spacing w:before="0" w:after="0" w:line="240" w:lineRule="auto"/>
              <w:ind w:left="425" w:right="236" w:hanging="284"/>
              <w:outlineLvl w:val="0"/>
              <w:rPr>
                <w:lang w:val="de-AT"/>
              </w:rPr>
            </w:pPr>
            <w:r w:rsidRPr="00A04C71">
              <w:t>LED apgaismojums (gaismu emitējošā diode).</w:t>
            </w:r>
          </w:p>
          <w:p w14:paraId="4ADAA252" w14:textId="77777777" w:rsidR="004F7AFA" w:rsidRDefault="00CE21B0" w:rsidP="00230658">
            <w:pPr>
              <w:pStyle w:val="ListParagraph"/>
              <w:spacing w:before="0" w:after="0" w:line="240" w:lineRule="auto"/>
              <w:ind w:left="360" w:right="236"/>
              <w:outlineLvl w:val="0"/>
            </w:pPr>
            <w:r>
              <w:t xml:space="preserve">   </w:t>
            </w:r>
            <w:r w:rsidR="00C12085">
              <w:t xml:space="preserve">   </w:t>
            </w:r>
          </w:p>
          <w:p w14:paraId="3C074EDC" w14:textId="365666A6" w:rsidR="00044AC4" w:rsidRDefault="00044AC4" w:rsidP="00710A1A">
            <w:pPr>
              <w:tabs>
                <w:tab w:val="left" w:pos="6662"/>
              </w:tabs>
              <w:spacing w:before="0" w:after="0" w:line="240" w:lineRule="auto"/>
              <w:ind w:left="65" w:right="94"/>
              <w:outlineLvl w:val="0"/>
            </w:pPr>
            <w:r>
              <w:t xml:space="preserve">  </w:t>
            </w:r>
            <w:r w:rsidRPr="00DE782C">
              <w:t xml:space="preserve"> </w:t>
            </w:r>
            <w:r>
              <w:t>MK noteikumos ir noteikts minimāli sasniedzamais o</w:t>
            </w:r>
            <w:r w:rsidRPr="00DE782C">
              <w:t xml:space="preserve">glekļa </w:t>
            </w:r>
            <w:r w:rsidRPr="00B862F6">
              <w:t>dioksīda emisiju samazinājuma efektivitātes rādītājs</w:t>
            </w:r>
            <w:r w:rsidR="00064387">
              <w:t>,</w:t>
            </w:r>
            <w:r w:rsidRPr="00B862F6">
              <w:t xml:space="preserve"> (turpmāk – efektivitātes rādītājs), kas ir 0,1 kgCO</w:t>
            </w:r>
            <w:r w:rsidRPr="00B862F6">
              <w:rPr>
                <w:vertAlign w:val="subscript"/>
              </w:rPr>
              <w:t>2</w:t>
            </w:r>
            <w:r w:rsidRPr="00B862F6">
              <w:t xml:space="preserve">/EUR. </w:t>
            </w:r>
            <w:r w:rsidR="00B862F6" w:rsidRPr="00B862F6">
              <w:t xml:space="preserve">Noteiktais efektivitātes rādītājs nav attiecināms uz projektiem, kuros plānota </w:t>
            </w:r>
            <w:r w:rsidR="00B862F6" w:rsidRPr="00B862F6">
              <w:rPr>
                <w:color w:val="000000"/>
              </w:rPr>
              <w:lastRenderedPageBreak/>
              <w:t xml:space="preserve">atjaunojamo energoresursu izmantojošu viedo pilsētvides tehnoloģiju iegāde un uzstādīšana </w:t>
            </w:r>
            <w:r w:rsidR="00B862F6" w:rsidRPr="00B862F6">
              <w:t xml:space="preserve">tikai </w:t>
            </w:r>
            <w:r w:rsidR="00B862F6" w:rsidRPr="00B862F6">
              <w:rPr>
                <w:color w:val="000000"/>
              </w:rPr>
              <w:t>elektroenerģijas ražošanai</w:t>
            </w:r>
            <w:r w:rsidR="00165A19">
              <w:rPr>
                <w:color w:val="000000"/>
              </w:rPr>
              <w:t>.</w:t>
            </w:r>
            <w:r w:rsidR="00B95AD1">
              <w:rPr>
                <w:color w:val="000000"/>
              </w:rPr>
              <w:t xml:space="preserve"> </w:t>
            </w:r>
            <w:r w:rsidR="00165A19">
              <w:t xml:space="preserve">Efektivitātes rādītājs </w:t>
            </w:r>
            <w:r w:rsidRPr="00B862F6">
              <w:t xml:space="preserve"> ir aprēķināts ņemot vērā līdzšinējo pieredzi citos finanšu</w:t>
            </w:r>
            <w:r w:rsidR="00D77C05" w:rsidRPr="00B862F6">
              <w:t>/atbalsta</w:t>
            </w:r>
            <w:r w:rsidRPr="00B862F6">
              <w:t xml:space="preserve"> instrumentos, aktuālās izmaiņas attiecībā uz elektroenerģijas CO</w:t>
            </w:r>
            <w:r w:rsidRPr="00B862F6">
              <w:rPr>
                <w:vertAlign w:val="subscript"/>
              </w:rPr>
              <w:t>2</w:t>
            </w:r>
            <w:r w:rsidRPr="00B862F6">
              <w:t xml:space="preserve"> emisijas faktoru</w:t>
            </w:r>
            <w:r>
              <w:t>,</w:t>
            </w:r>
            <w:r w:rsidR="00D77C05">
              <w:t xml:space="preserve"> kā arī</w:t>
            </w:r>
            <w:r>
              <w:t xml:space="preserve"> tehnoloģiju tehniskos parametrus, </w:t>
            </w:r>
            <w:r w:rsidR="00064387">
              <w:t xml:space="preserve">to </w:t>
            </w:r>
            <w:r>
              <w:t>izmaksas un pieejamību tirgū.</w:t>
            </w:r>
          </w:p>
          <w:p w14:paraId="40920B6A" w14:textId="3F46300A" w:rsidR="00403080" w:rsidRDefault="00403080" w:rsidP="00710A1A">
            <w:pPr>
              <w:tabs>
                <w:tab w:val="left" w:pos="6662"/>
              </w:tabs>
              <w:spacing w:before="0" w:after="0" w:line="240" w:lineRule="auto"/>
              <w:ind w:left="65" w:right="94"/>
              <w:outlineLvl w:val="0"/>
            </w:pPr>
            <w:r>
              <w:t xml:space="preserve">  </w:t>
            </w:r>
            <w:r w:rsidRPr="00774C6E">
              <w:t xml:space="preserve">Uzstādītajai </w:t>
            </w:r>
            <w:r w:rsidRPr="00F126C9">
              <w:rPr>
                <w:u w:val="single"/>
              </w:rPr>
              <w:t>viedās pilsētvides tehnoloģijai ir jābūt pieejamai</w:t>
            </w:r>
            <w:r w:rsidR="006A268B" w:rsidRPr="00F126C9">
              <w:rPr>
                <w:u w:val="single"/>
              </w:rPr>
              <w:t xml:space="preserve"> publiskā teritorijā</w:t>
            </w:r>
            <w:r w:rsidR="00174577" w:rsidRPr="00774C6E">
              <w:t xml:space="preserve">, attiecīgi projekta </w:t>
            </w:r>
            <w:r w:rsidR="00AD75EB" w:rsidRPr="00774C6E">
              <w:t>iesniedz</w:t>
            </w:r>
            <w:r w:rsidR="00174577" w:rsidRPr="00774C6E">
              <w:t xml:space="preserve">ēju loks </w:t>
            </w:r>
            <w:r w:rsidR="006A268B">
              <w:t>ir pašvaldības vai tās iestādes, kuru īpašumā</w:t>
            </w:r>
            <w:r w:rsidR="00F57C78">
              <w:t xml:space="preserve">, </w:t>
            </w:r>
            <w:r w:rsidR="008B24F6">
              <w:t>valdījumā vai turējumā</w:t>
            </w:r>
            <w:r w:rsidR="006A268B">
              <w:t xml:space="preserve"> ir publiskās </w:t>
            </w:r>
            <w:r w:rsidR="008B24F6">
              <w:t xml:space="preserve">ēka vai </w:t>
            </w:r>
            <w:r w:rsidR="006A268B">
              <w:t>teritorija.</w:t>
            </w:r>
            <w:r w:rsidR="00263AB8">
              <w:t xml:space="preserve"> </w:t>
            </w:r>
            <w:r w:rsidR="00FE31C2">
              <w:t>MK n</w:t>
            </w:r>
            <w:r w:rsidR="00AD75EB">
              <w:t>oteikumu projekts paredz, ka projekta iesniedzējs</w:t>
            </w:r>
            <w:r w:rsidR="006A268B">
              <w:t>, kas</w:t>
            </w:r>
            <w:r w:rsidR="00D5610D">
              <w:t xml:space="preserve"> nav pašvaldība,</w:t>
            </w:r>
            <w:r w:rsidR="000B54BE">
              <w:t xml:space="preserve"> veic</w:t>
            </w:r>
            <w:r w:rsidR="00D21A5B">
              <w:t xml:space="preserve"> vienu vai vairākus</w:t>
            </w:r>
            <w:r w:rsidR="000B54BE">
              <w:t xml:space="preserve"> </w:t>
            </w:r>
            <w:r w:rsidR="00D21A5B">
              <w:t xml:space="preserve">deleģētos uzdevumus </w:t>
            </w:r>
            <w:r w:rsidR="000B54BE">
              <w:t>pašvaldību pārvaldes autonom</w:t>
            </w:r>
            <w:r w:rsidR="00D21A5B">
              <w:t>o</w:t>
            </w:r>
            <w:r w:rsidR="000B54BE">
              <w:t xml:space="preserve"> funkciju</w:t>
            </w:r>
            <w:r w:rsidR="00D21A5B">
              <w:t xml:space="preserve"> ietvaros</w:t>
            </w:r>
            <w:r w:rsidR="000B54BE">
              <w:t xml:space="preserve">. </w:t>
            </w:r>
            <w:r w:rsidR="00263AB8">
              <w:t xml:space="preserve">Privātpersonu dibinātas kapitālsabiedrības </w:t>
            </w:r>
            <w:r w:rsidR="006A268B">
              <w:t xml:space="preserve">un valsts dibinātas augstskolas </w:t>
            </w:r>
            <w:r w:rsidR="00263AB8">
              <w:t xml:space="preserve">ir izslēgtas kā </w:t>
            </w:r>
            <w:r w:rsidR="008B24F6">
              <w:t xml:space="preserve">potenciālie </w:t>
            </w:r>
            <w:r w:rsidR="00263AB8">
              <w:t>finansējuma saņēmēj</w:t>
            </w:r>
            <w:r w:rsidR="009E4C6E">
              <w:t>i</w:t>
            </w:r>
            <w:r w:rsidR="00263AB8">
              <w:t xml:space="preserve">, jo </w:t>
            </w:r>
            <w:r w:rsidR="00FE31C2">
              <w:t>MK n</w:t>
            </w:r>
            <w:r w:rsidR="00263AB8">
              <w:t>oteikumu projekt</w:t>
            </w:r>
            <w:r w:rsidR="006A268B">
              <w:t>s</w:t>
            </w:r>
            <w:r w:rsidR="00263AB8">
              <w:t xml:space="preserve"> ne</w:t>
            </w:r>
            <w:r w:rsidR="006A268B">
              <w:t>paredz</w:t>
            </w:r>
            <w:r w:rsidR="00263AB8">
              <w:t xml:space="preserve"> sniegt atbalst</w:t>
            </w:r>
            <w:r w:rsidR="006A268B">
              <w:t>u</w:t>
            </w:r>
            <w:r w:rsidR="00263AB8">
              <w:t>, kas varētu tikt kvalificēts kā valsts atbalsts k</w:t>
            </w:r>
            <w:r w:rsidR="00D5610D">
              <w:t>omercda</w:t>
            </w:r>
            <w:r w:rsidR="00263AB8">
              <w:t>r</w:t>
            </w:r>
            <w:r w:rsidR="00D5610D">
              <w:t>b</w:t>
            </w:r>
            <w:r w:rsidR="00263AB8">
              <w:t>ībai.</w:t>
            </w:r>
            <w:r w:rsidR="00C72EDC">
              <w:t xml:space="preserve"> Projekta iesniedzējs drīkst iesniegt ne vairāk kā divus iesniegumus </w:t>
            </w:r>
            <w:r w:rsidR="00921AE1">
              <w:t>(</w:t>
            </w:r>
            <w:r w:rsidR="00C72EDC">
              <w:t xml:space="preserve">pa vienam vai abus vienā MK noteikumu 6. punktā minētajā </w:t>
            </w:r>
            <w:r w:rsidR="00064387">
              <w:t>jomā</w:t>
            </w:r>
            <w:r w:rsidR="00921AE1">
              <w:t>)</w:t>
            </w:r>
            <w:r w:rsidR="00C72EDC">
              <w:t>.</w:t>
            </w:r>
          </w:p>
          <w:p w14:paraId="3DCCC35D" w14:textId="695D805D" w:rsidR="006B6636" w:rsidRPr="00FC15F9" w:rsidRDefault="00522309" w:rsidP="00710A1A">
            <w:pPr>
              <w:spacing w:before="0" w:after="0" w:line="240" w:lineRule="auto"/>
              <w:ind w:left="65" w:right="94"/>
              <w:outlineLvl w:val="0"/>
            </w:pPr>
            <w:r>
              <w:t xml:space="preserve">  </w:t>
            </w:r>
            <w:r w:rsidR="008626EC" w:rsidRPr="00FC15F9">
              <w:t xml:space="preserve">Konkursā nav </w:t>
            </w:r>
            <w:r w:rsidR="008626EC">
              <w:t>noteikt</w:t>
            </w:r>
            <w:r w:rsidR="002D5E9E">
              <w:t>a</w:t>
            </w:r>
            <w:r w:rsidR="008626EC">
              <w:t>s</w:t>
            </w:r>
            <w:r w:rsidR="008626EC" w:rsidRPr="00FC15F9">
              <w:t xml:space="preserve"> </w:t>
            </w:r>
            <w:r w:rsidR="002D5E9E">
              <w:t xml:space="preserve">prasības </w:t>
            </w:r>
            <w:r w:rsidR="008626EC" w:rsidRPr="00FC15F9">
              <w:t>tehnoloģiju</w:t>
            </w:r>
            <w:r w:rsidR="002D5E9E">
              <w:t xml:space="preserve"> novietojumam un</w:t>
            </w:r>
            <w:r w:rsidR="008626EC" w:rsidRPr="00FC15F9">
              <w:t xml:space="preserve"> </w:t>
            </w:r>
            <w:r w:rsidR="008626EC">
              <w:t xml:space="preserve">atrašanās </w:t>
            </w:r>
            <w:r w:rsidR="003B3700">
              <w:t>v</w:t>
            </w:r>
            <w:r w:rsidR="002D5E9E">
              <w:t>ietai</w:t>
            </w:r>
            <w:r w:rsidR="008626EC" w:rsidRPr="00FC15F9">
              <w:t>, jo mērķis ir demonstrēt inovatīvas pieejas</w:t>
            </w:r>
            <w:r w:rsidR="008626EC">
              <w:t xml:space="preserve">. </w:t>
            </w:r>
            <w:r w:rsidR="00DF1A7B">
              <w:t>Kā viedās pilsētvides tehnoloģijas novietojums ir a</w:t>
            </w:r>
            <w:r w:rsidR="00E10314">
              <w:t>tbalstām</w:t>
            </w:r>
            <w:r w:rsidR="001E6D6B" w:rsidRPr="00FC15F9">
              <w:t xml:space="preserve">s gan ēku ārējās fasādes, jumti, zeme, </w:t>
            </w:r>
            <w:r w:rsidR="00A7792A">
              <w:t xml:space="preserve">gan </w:t>
            </w:r>
            <w:r w:rsidR="001E6D6B" w:rsidRPr="00FC15F9">
              <w:t>citas esošas konstrukcijas uzsverot nosacījumu, ka tehnoloģija ir sabiedrībai pieejama.</w:t>
            </w:r>
            <w:r w:rsidR="006B6636" w:rsidRPr="00FC15F9">
              <w:t xml:space="preserve"> </w:t>
            </w:r>
            <w:r w:rsidR="00565355">
              <w:t>Uzstādītajai tehnoloģijai</w:t>
            </w:r>
            <w:r w:rsidR="0003593C">
              <w:t xml:space="preserve"> raksturojumā</w:t>
            </w:r>
            <w:r w:rsidR="00565355">
              <w:t xml:space="preserve"> (</w:t>
            </w:r>
            <w:r w:rsidR="00447E74">
              <w:t xml:space="preserve">MK </w:t>
            </w:r>
            <w:r w:rsidR="00565355">
              <w:t>noteikumu 2</w:t>
            </w:r>
            <w:r w:rsidR="00662D2F">
              <w:t>6</w:t>
            </w:r>
            <w:r w:rsidR="00565355">
              <w:t>.</w:t>
            </w:r>
            <w:r w:rsidR="008626EC">
              <w:t>4.4.</w:t>
            </w:r>
            <w:r w:rsidR="00565355">
              <w:t> </w:t>
            </w:r>
            <w:r w:rsidR="008626EC">
              <w:t>apakš</w:t>
            </w:r>
            <w:r w:rsidR="00565355">
              <w:t>punkt</w:t>
            </w:r>
            <w:r w:rsidR="008626EC">
              <w:t>s</w:t>
            </w:r>
            <w:r w:rsidR="00662D2F">
              <w:t xml:space="preserve"> par projekta tehnisko raksturojumu</w:t>
            </w:r>
            <w:r w:rsidR="00565355">
              <w:t>)</w:t>
            </w:r>
            <w:r w:rsidR="0003593C">
              <w:t xml:space="preserve"> ir jāiekļau</w:t>
            </w:r>
            <w:r w:rsidR="00565355">
              <w:t>j pilnīgs, saprotams un nepārprotams plāns un tā tehniskā izpilde, ko jāpamato ar rasējumiem un citiem profesionāliem aprēķiniem, izmantojot tam paredzētas programmatūras, kas raksturo projektā uzstā</w:t>
            </w:r>
            <w:r w:rsidR="00C44468">
              <w:t>dā</w:t>
            </w:r>
            <w:r w:rsidR="00565355">
              <w:t>mās tehnoloģijas</w:t>
            </w:r>
            <w:r w:rsidR="00DC24C7">
              <w:t xml:space="preserve"> pamatotību un piemērotību,</w:t>
            </w:r>
            <w:r w:rsidR="00565355">
              <w:t xml:space="preserve"> piemēram, DIALUX</w:t>
            </w:r>
            <w:r w:rsidR="00DC24C7">
              <w:t>. Ja specifiskai projekta aktivitātei tādas nav, to norādīt.</w:t>
            </w:r>
          </w:p>
          <w:p w14:paraId="736FA92A" w14:textId="77777777" w:rsidR="008952F4" w:rsidRDefault="00234F66" w:rsidP="00710A1A">
            <w:pPr>
              <w:spacing w:before="0" w:after="0" w:line="240" w:lineRule="auto"/>
              <w:ind w:left="141" w:right="94"/>
              <w:outlineLvl w:val="0"/>
              <w:rPr>
                <w:lang w:eastAsia="en-US"/>
              </w:rPr>
            </w:pPr>
            <w:r w:rsidRPr="00FC15F9">
              <w:t xml:space="preserve">  </w:t>
            </w:r>
            <w:r w:rsidR="008952F4" w:rsidRPr="00FC15F9">
              <w:rPr>
                <w:lang w:eastAsia="en-US"/>
              </w:rPr>
              <w:t xml:space="preserve">Lai veicinātu </w:t>
            </w:r>
            <w:r w:rsidR="00D47078" w:rsidRPr="00FC15F9">
              <w:rPr>
                <w:lang w:eastAsia="en-US"/>
              </w:rPr>
              <w:t xml:space="preserve">atjaunojamo energoresursu izmantošanas un </w:t>
            </w:r>
            <w:r w:rsidR="008952F4" w:rsidRPr="00FC15F9">
              <w:rPr>
                <w:lang w:eastAsia="en-US"/>
              </w:rPr>
              <w:t xml:space="preserve">energoefektivitātes </w:t>
            </w:r>
            <w:r w:rsidR="00D47078" w:rsidRPr="00FC15F9">
              <w:rPr>
                <w:lang w:eastAsia="en-US"/>
              </w:rPr>
              <w:t>paaugstināšanas demonstrāciju netradicionālā veidā</w:t>
            </w:r>
            <w:r w:rsidR="008952F4" w:rsidRPr="00FC15F9">
              <w:rPr>
                <w:lang w:eastAsia="en-US"/>
              </w:rPr>
              <w:t xml:space="preserve">, paaugstinātu sabiedrības informētību un veicinātu </w:t>
            </w:r>
            <w:r w:rsidR="00D47078" w:rsidRPr="00FC15F9">
              <w:rPr>
                <w:lang w:eastAsia="en-US"/>
              </w:rPr>
              <w:t>tehnoloģiju ieviešanu turpmāk</w:t>
            </w:r>
            <w:r w:rsidR="009E4010" w:rsidRPr="00FC15F9">
              <w:rPr>
                <w:lang w:eastAsia="en-US"/>
              </w:rPr>
              <w:t>,</w:t>
            </w:r>
            <w:r w:rsidR="008952F4" w:rsidRPr="00FC15F9">
              <w:rPr>
                <w:lang w:eastAsia="en-US"/>
              </w:rPr>
              <w:t xml:space="preserve"> MK noteikumu projektā ir </w:t>
            </w:r>
            <w:r w:rsidR="0085009D" w:rsidRPr="00FC15F9">
              <w:rPr>
                <w:lang w:eastAsia="en-US"/>
              </w:rPr>
              <w:t>atsevišķi izdalīt</w:t>
            </w:r>
            <w:r w:rsidR="008A0601">
              <w:rPr>
                <w:lang w:eastAsia="en-US"/>
              </w:rPr>
              <w:t>s</w:t>
            </w:r>
            <w:r w:rsidR="0085009D" w:rsidRPr="00FC15F9">
              <w:rPr>
                <w:lang w:eastAsia="en-US"/>
              </w:rPr>
              <w:t xml:space="preserve"> piešķir</w:t>
            </w:r>
            <w:r w:rsidR="008952F4" w:rsidRPr="00FC15F9">
              <w:rPr>
                <w:lang w:eastAsia="en-US"/>
              </w:rPr>
              <w:t>am</w:t>
            </w:r>
            <w:r w:rsidR="008A0601">
              <w:rPr>
                <w:lang w:eastAsia="en-US"/>
              </w:rPr>
              <w:t>ā</w:t>
            </w:r>
            <w:r w:rsidR="008952F4" w:rsidRPr="00FC15F9">
              <w:rPr>
                <w:lang w:eastAsia="en-US"/>
              </w:rPr>
              <w:t xml:space="preserve"> finansējuma apjom</w:t>
            </w:r>
            <w:r w:rsidR="008A0601">
              <w:rPr>
                <w:lang w:eastAsia="en-US"/>
              </w:rPr>
              <w:t>s</w:t>
            </w:r>
            <w:r w:rsidR="00635AB7" w:rsidRPr="00FC15F9">
              <w:rPr>
                <w:lang w:eastAsia="en-US"/>
              </w:rPr>
              <w:t xml:space="preserve"> katrai no konkursa ietvaros atbalstāmajām projekta jomām</w:t>
            </w:r>
            <w:r w:rsidR="008952F4" w:rsidRPr="00FC15F9">
              <w:rPr>
                <w:lang w:eastAsia="en-US"/>
              </w:rPr>
              <w:t>.</w:t>
            </w:r>
          </w:p>
          <w:p w14:paraId="1DB99D0E" w14:textId="77777777" w:rsidR="0088278A" w:rsidRDefault="0088278A" w:rsidP="00710A1A">
            <w:pPr>
              <w:spacing w:before="0" w:after="0" w:line="240" w:lineRule="auto"/>
              <w:ind w:left="131" w:right="94"/>
              <w:rPr>
                <w:lang w:eastAsia="en-US"/>
              </w:rPr>
            </w:pPr>
            <w:r>
              <w:rPr>
                <w:lang w:eastAsia="en-US"/>
              </w:rPr>
              <w:t xml:space="preserve">  Publicitātes un demonstrācijas pasākumi ir jāīsteno gan projekta aktivitāšu īstenošanas laikā,</w:t>
            </w:r>
            <w:r w:rsidR="00856CE1">
              <w:rPr>
                <w:lang w:eastAsia="en-US"/>
              </w:rPr>
              <w:t xml:space="preserve"> kas ir projekta attiecināmās izmaksas,</w:t>
            </w:r>
            <w:r>
              <w:rPr>
                <w:lang w:eastAsia="en-US"/>
              </w:rPr>
              <w:t xml:space="preserve"> gan arī jānodrošina sabiedrības informēšana pēc tā, attiecīgi monitoringa veikšanas perioda laikā, par saviem līdzekļiem. Aktivitātes sabiedrības informēšanai var būt dažādas – stendu un pasākumu formātā</w:t>
            </w:r>
            <w:r w:rsidR="00856CE1">
              <w:rPr>
                <w:lang w:eastAsia="en-US"/>
              </w:rPr>
              <w:t>, semināri un konferences kā atsevišķi pasākumi vai iekļaujot tos citu publisku pasākumu ietvaros</w:t>
            </w:r>
            <w:r>
              <w:rPr>
                <w:lang w:eastAsia="en-US"/>
              </w:rPr>
              <w:t xml:space="preserve">. Tiem jānodrošina </w:t>
            </w:r>
            <w:r w:rsidR="00856CE1">
              <w:rPr>
                <w:lang w:eastAsia="en-US"/>
              </w:rPr>
              <w:t xml:space="preserve">pēc iespējas plašākas </w:t>
            </w:r>
            <w:r>
              <w:rPr>
                <w:lang w:eastAsia="en-US"/>
              </w:rPr>
              <w:t xml:space="preserve">sabiedrības </w:t>
            </w:r>
            <w:r w:rsidR="00856CE1">
              <w:rPr>
                <w:lang w:eastAsia="en-US"/>
              </w:rPr>
              <w:t xml:space="preserve">daļas </w:t>
            </w:r>
            <w:r>
              <w:rPr>
                <w:lang w:eastAsia="en-US"/>
              </w:rPr>
              <w:t xml:space="preserve">informēšana, izglītošana un </w:t>
            </w:r>
            <w:r w:rsidR="00856CE1">
              <w:rPr>
                <w:lang w:eastAsia="en-US"/>
              </w:rPr>
              <w:t xml:space="preserve">jāveicina </w:t>
            </w:r>
            <w:r>
              <w:rPr>
                <w:lang w:eastAsia="en-US"/>
              </w:rPr>
              <w:t xml:space="preserve">projekta iespējamo pārnešanu un izmantošanu citās Latvijas </w:t>
            </w:r>
            <w:r w:rsidR="00856CE1">
              <w:rPr>
                <w:lang w:eastAsia="en-US"/>
              </w:rPr>
              <w:t>pilsētās</w:t>
            </w:r>
            <w:r>
              <w:rPr>
                <w:lang w:eastAsia="en-US"/>
              </w:rPr>
              <w:t>.</w:t>
            </w:r>
          </w:p>
          <w:p w14:paraId="74CAF208" w14:textId="71F91907" w:rsidR="0047300D" w:rsidRPr="0047300D" w:rsidRDefault="00522309" w:rsidP="00710A1A">
            <w:pPr>
              <w:spacing w:before="0" w:after="0" w:line="240" w:lineRule="auto"/>
              <w:ind w:left="130" w:right="94"/>
              <w:rPr>
                <w:color w:val="000000" w:themeColor="text1"/>
                <w:lang w:eastAsia="en-US"/>
              </w:rPr>
            </w:pPr>
            <w:r>
              <w:rPr>
                <w:color w:val="000000" w:themeColor="text1"/>
              </w:rPr>
              <w:t xml:space="preserve">  </w:t>
            </w:r>
            <w:r w:rsidR="0047300D">
              <w:rPr>
                <w:color w:val="000000" w:themeColor="text1"/>
              </w:rPr>
              <w:t>Ņemot vērā, ka projektu</w:t>
            </w:r>
            <w:r w:rsidR="0047300D" w:rsidRPr="0047300D">
              <w:rPr>
                <w:color w:val="000000" w:themeColor="text1"/>
              </w:rPr>
              <w:t xml:space="preserve"> konkursā tiek atbalstītas </w:t>
            </w:r>
            <w:r w:rsidR="0047300D">
              <w:rPr>
                <w:color w:val="000000" w:themeColor="text1"/>
              </w:rPr>
              <w:t>viedās pilsētvides</w:t>
            </w:r>
            <w:r w:rsidR="0047300D" w:rsidRPr="0047300D">
              <w:rPr>
                <w:color w:val="000000" w:themeColor="text1"/>
              </w:rPr>
              <w:t xml:space="preserve"> tehnoloģijas</w:t>
            </w:r>
            <w:r w:rsidR="0047300D">
              <w:rPr>
                <w:color w:val="000000" w:themeColor="text1"/>
              </w:rPr>
              <w:t xml:space="preserve">, kas pēc būtības galvenokārt būs inovatīvi risinājumi Latvijā, </w:t>
            </w:r>
            <w:r w:rsidR="0047300D" w:rsidRPr="0047300D">
              <w:rPr>
                <w:color w:val="000000" w:themeColor="text1"/>
              </w:rPr>
              <w:t xml:space="preserve">un projektu iesniedzējiem var būt ierobežota pieredze šādu projektu īstenošanā, </w:t>
            </w:r>
            <w:r w:rsidR="00FE31C2">
              <w:rPr>
                <w:color w:val="000000" w:themeColor="text1"/>
              </w:rPr>
              <w:t xml:space="preserve">MK </w:t>
            </w:r>
            <w:r w:rsidR="0047300D" w:rsidRPr="0047300D">
              <w:rPr>
                <w:color w:val="000000" w:themeColor="text1"/>
              </w:rPr>
              <w:t>noteikumu projekt</w:t>
            </w:r>
            <w:r w:rsidR="0047300D">
              <w:rPr>
                <w:color w:val="000000" w:themeColor="text1"/>
              </w:rPr>
              <w:t>s</w:t>
            </w:r>
            <w:r w:rsidR="0047300D" w:rsidRPr="0047300D">
              <w:rPr>
                <w:color w:val="000000" w:themeColor="text1"/>
              </w:rPr>
              <w:t xml:space="preserve"> paredz, ka </w:t>
            </w:r>
            <w:r w:rsidR="0047300D">
              <w:rPr>
                <w:color w:val="000000" w:themeColor="text1"/>
              </w:rPr>
              <w:t>finansējuma saņēmējiem</w:t>
            </w:r>
            <w:r w:rsidR="0047300D" w:rsidRPr="0047300D">
              <w:rPr>
                <w:color w:val="000000" w:themeColor="text1"/>
              </w:rPr>
              <w:t xml:space="preserve"> avansa maksājums var sasniegt </w:t>
            </w:r>
            <w:r w:rsidR="0047300D">
              <w:rPr>
                <w:color w:val="000000" w:themeColor="text1"/>
              </w:rPr>
              <w:t xml:space="preserve">līdz </w:t>
            </w:r>
            <w:r w:rsidR="0047300D" w:rsidRPr="0047300D">
              <w:rPr>
                <w:color w:val="000000" w:themeColor="text1"/>
              </w:rPr>
              <w:lastRenderedPageBreak/>
              <w:t>50</w:t>
            </w:r>
            <w:r w:rsidR="0047300D">
              <w:rPr>
                <w:color w:val="000000" w:themeColor="text1"/>
              </w:rPr>
              <w:t> </w:t>
            </w:r>
            <w:r w:rsidR="0047300D" w:rsidRPr="0047300D">
              <w:rPr>
                <w:color w:val="000000" w:themeColor="text1"/>
              </w:rPr>
              <w:t>% no projektam apstiprinātās finanšu instrumenta finansējuma summas.</w:t>
            </w:r>
            <w:r>
              <w:rPr>
                <w:color w:val="000000" w:themeColor="text1"/>
              </w:rPr>
              <w:t xml:space="preserve"> </w:t>
            </w:r>
            <w:r w:rsidR="0047300D">
              <w:rPr>
                <w:color w:val="000000" w:themeColor="text1"/>
              </w:rPr>
              <w:t>L</w:t>
            </w:r>
            <w:r w:rsidR="0047300D" w:rsidRPr="0047300D">
              <w:rPr>
                <w:color w:val="000000" w:themeColor="text1"/>
              </w:rPr>
              <w:t>īdz ar to projekta īstenošanas sākuma stadijā pieejamais finansējums var būt veicinošs apstāklis sekmīgai projekta īstenošanai.</w:t>
            </w:r>
          </w:p>
          <w:p w14:paraId="3C984392" w14:textId="407A0E43" w:rsidR="007B7106" w:rsidRDefault="00355AFC" w:rsidP="00F57C78">
            <w:pPr>
              <w:spacing w:before="0" w:after="0" w:line="240" w:lineRule="auto"/>
              <w:ind w:left="141" w:right="94"/>
            </w:pPr>
            <w:r>
              <w:rPr>
                <w:color w:val="000000"/>
              </w:rPr>
              <w:t xml:space="preserve">  </w:t>
            </w:r>
            <w:r w:rsidRPr="00355AFC">
              <w:rPr>
                <w:color w:val="000000"/>
              </w:rPr>
              <w:t xml:space="preserve">Atbilstoši </w:t>
            </w:r>
            <w:r>
              <w:rPr>
                <w:color w:val="000000"/>
              </w:rPr>
              <w:t xml:space="preserve">Valsts pārvaldes iekārtas likuma </w:t>
            </w:r>
            <w:r w:rsidRPr="00355AFC">
              <w:rPr>
                <w:color w:val="000000"/>
              </w:rPr>
              <w:t xml:space="preserve">40. panta </w:t>
            </w:r>
            <w:r>
              <w:rPr>
                <w:color w:val="000000"/>
              </w:rPr>
              <w:t xml:space="preserve">pirmajai daļai </w:t>
            </w:r>
            <w:r w:rsidRPr="00355AFC">
              <w:rPr>
                <w:color w:val="000000"/>
              </w:rPr>
              <w:t xml:space="preserve">Vides aizsardzības un reģionālās attīstības ministrija deleģē sabiedrībai ar ierobežotu atbildību </w:t>
            </w:r>
            <w:r w:rsidR="002D718D" w:rsidRPr="00FC15F9">
              <w:t>„</w:t>
            </w:r>
            <w:r w:rsidRPr="00355AFC">
              <w:rPr>
                <w:color w:val="000000"/>
              </w:rPr>
              <w:t>Vides investīciju fonds” (turpmāk</w:t>
            </w:r>
            <w:r>
              <w:rPr>
                <w:color w:val="000000"/>
              </w:rPr>
              <w:t> </w:t>
            </w:r>
            <w:r w:rsidRPr="00355AFC">
              <w:rPr>
                <w:color w:val="000000"/>
              </w:rPr>
              <w:t>–</w:t>
            </w:r>
            <w:r>
              <w:rPr>
                <w:color w:val="000000"/>
              </w:rPr>
              <w:t> </w:t>
            </w:r>
            <w:r w:rsidRPr="00355AFC">
              <w:rPr>
                <w:color w:val="000000"/>
              </w:rPr>
              <w:t xml:space="preserve">Vides investīciju fonds) veikt uzdevumus, kas </w:t>
            </w:r>
            <w:r>
              <w:rPr>
                <w:color w:val="000000"/>
              </w:rPr>
              <w:t>minēti MK noteikumu projekta 3. </w:t>
            </w:r>
            <w:r w:rsidRPr="00355AFC">
              <w:rPr>
                <w:color w:val="000000"/>
              </w:rPr>
              <w:t xml:space="preserve">punktā. </w:t>
            </w:r>
            <w:r>
              <w:rPr>
                <w:color w:val="000000"/>
              </w:rPr>
              <w:t xml:space="preserve">Izvērtējot VIF līdzšinējo pieredzi līdzīga finanšu instrumenta un tā ietvaros īstenoto projektu konkursu ieviešanā </w:t>
            </w:r>
            <w:r w:rsidRPr="00355AFC">
              <w:rPr>
                <w:color w:val="000000"/>
              </w:rPr>
              <w:t>2017.</w:t>
            </w:r>
            <w:r>
              <w:rPr>
                <w:color w:val="000000"/>
              </w:rPr>
              <w:t> gada 28. </w:t>
            </w:r>
            <w:r w:rsidRPr="00355AFC">
              <w:rPr>
                <w:color w:val="000000"/>
              </w:rPr>
              <w:t>jūnija</w:t>
            </w:r>
            <w:r>
              <w:rPr>
                <w:color w:val="000000"/>
              </w:rPr>
              <w:t xml:space="preserve"> starp VARAM un VIF tika noslēgts </w:t>
            </w:r>
            <w:r w:rsidRPr="00355AFC">
              <w:rPr>
                <w:color w:val="000000"/>
              </w:rPr>
              <w:t>atsevišķu pārvaldes uzdevumu deleģēšanas līgum</w:t>
            </w:r>
            <w:r>
              <w:rPr>
                <w:color w:val="000000"/>
              </w:rPr>
              <w:t>s</w:t>
            </w:r>
            <w:r w:rsidRPr="00355AFC">
              <w:rPr>
                <w:color w:val="000000"/>
              </w:rPr>
              <w:t>.</w:t>
            </w:r>
            <w:r w:rsidR="007B7106" w:rsidRPr="007B7106">
              <w:t xml:space="preserve">  Lai pārbaudītu projekta iesniedzēja atbilstību konkursa</w:t>
            </w:r>
            <w:r w:rsidR="003C32FE">
              <w:t xml:space="preserve"> nolikuma prasībām</w:t>
            </w:r>
            <w:r w:rsidR="007B7106" w:rsidRPr="007B7106">
              <w:t xml:space="preserve">, Vides investīciju fondam vajadzības gadījumā būs nepieciešams saņemt ziņas no valsts informācijas sistēmas </w:t>
            </w:r>
            <w:r w:rsidR="002D718D" w:rsidRPr="00FC15F9">
              <w:t>„</w:t>
            </w:r>
            <w:r w:rsidR="007B7106" w:rsidRPr="007B7106">
              <w:t>Sodu reģistrs” par noteikumu projekta 16.2.</w:t>
            </w:r>
            <w:r w:rsidR="003C32FE">
              <w:t> </w:t>
            </w:r>
            <w:r w:rsidR="007B7106" w:rsidRPr="007B7106">
              <w:t>apakšpunktā un 16.3.</w:t>
            </w:r>
            <w:r w:rsidR="003C32FE">
              <w:t> </w:t>
            </w:r>
            <w:r w:rsidR="007B7106" w:rsidRPr="007B7106">
              <w:t>apakšpunktā minētajiem noziedzīgajiem nodarījumiem un administratīvajiem pārkāpumiem.</w:t>
            </w:r>
          </w:p>
          <w:p w14:paraId="43F26AC6" w14:textId="6C6AB706" w:rsidR="00836745" w:rsidRDefault="00836745" w:rsidP="00F57C78">
            <w:pPr>
              <w:spacing w:before="0" w:after="0" w:line="240" w:lineRule="auto"/>
              <w:ind w:left="141" w:right="94"/>
            </w:pPr>
            <w:r>
              <w:t xml:space="preserve">  </w:t>
            </w:r>
            <w:r w:rsidRPr="00E37C2C">
              <w:rPr>
                <w:i/>
                <w:iCs/>
                <w:color w:val="000000"/>
              </w:rPr>
              <w:t xml:space="preserve"> </w:t>
            </w:r>
            <w:proofErr w:type="spellStart"/>
            <w:r w:rsidRPr="00E37C2C">
              <w:rPr>
                <w:i/>
                <w:iCs/>
                <w:color w:val="000000"/>
              </w:rPr>
              <w:t>IoT</w:t>
            </w:r>
            <w:proofErr w:type="spellEnd"/>
            <w:r w:rsidRPr="00E37C2C">
              <w:rPr>
                <w:color w:val="000000"/>
              </w:rPr>
              <w:t xml:space="preserve"> (</w:t>
            </w:r>
            <w:r w:rsidRPr="00E37C2C">
              <w:rPr>
                <w:i/>
                <w:iCs/>
                <w:color w:val="000000"/>
              </w:rPr>
              <w:t xml:space="preserve">Internet </w:t>
            </w:r>
            <w:proofErr w:type="spellStart"/>
            <w:r w:rsidRPr="00E37C2C">
              <w:rPr>
                <w:i/>
                <w:iCs/>
                <w:color w:val="000000"/>
              </w:rPr>
              <w:t>of</w:t>
            </w:r>
            <w:proofErr w:type="spellEnd"/>
            <w:r w:rsidRPr="00E37C2C">
              <w:rPr>
                <w:i/>
                <w:iCs/>
                <w:color w:val="000000"/>
              </w:rPr>
              <w:t xml:space="preserve"> </w:t>
            </w:r>
            <w:proofErr w:type="spellStart"/>
            <w:r w:rsidRPr="00E37C2C">
              <w:rPr>
                <w:i/>
                <w:iCs/>
                <w:color w:val="000000"/>
              </w:rPr>
              <w:t>Things</w:t>
            </w:r>
            <w:proofErr w:type="spellEnd"/>
            <w:r w:rsidRPr="00E37C2C">
              <w:rPr>
                <w:i/>
                <w:iCs/>
                <w:color w:val="000000"/>
              </w:rPr>
              <w:t xml:space="preserve">, </w:t>
            </w:r>
            <w:r w:rsidRPr="00E37C2C">
              <w:rPr>
                <w:color w:val="000000"/>
              </w:rPr>
              <w:t xml:space="preserve">lietu internets) jeb </w:t>
            </w:r>
            <w:proofErr w:type="spellStart"/>
            <w:r w:rsidRPr="00E37C2C">
              <w:rPr>
                <w:color w:val="000000"/>
              </w:rPr>
              <w:t>starptīklošana</w:t>
            </w:r>
            <w:proofErr w:type="spellEnd"/>
            <w:r w:rsidRPr="00E37C2C">
              <w:rPr>
                <w:color w:val="000000"/>
              </w:rPr>
              <w:t xml:space="preserve"> ir interneta tīklā savienotas elektroniskas ierīces, kas pārraida informāciju uz </w:t>
            </w:r>
            <w:proofErr w:type="spellStart"/>
            <w:r w:rsidRPr="00E37C2C">
              <w:rPr>
                <w:color w:val="000000"/>
              </w:rPr>
              <w:t>mākoņdatnēm</w:t>
            </w:r>
            <w:proofErr w:type="spellEnd"/>
            <w:r w:rsidRPr="00E37C2C">
              <w:rPr>
                <w:color w:val="000000"/>
              </w:rPr>
              <w:t xml:space="preserve"> un viena otrai. Par </w:t>
            </w:r>
            <w:proofErr w:type="spellStart"/>
            <w:r w:rsidRPr="00E37C2C">
              <w:rPr>
                <w:i/>
                <w:iCs/>
                <w:color w:val="000000"/>
              </w:rPr>
              <w:t>IoT</w:t>
            </w:r>
            <w:proofErr w:type="spellEnd"/>
            <w:r w:rsidRPr="00E37C2C">
              <w:rPr>
                <w:color w:val="000000"/>
              </w:rPr>
              <w:t xml:space="preserve"> iekārtu var būt, piemēram, viedtālrunis, sadzīves tehnika, medicīnas aprīkojums u.tml. </w:t>
            </w:r>
            <w:proofErr w:type="spellStart"/>
            <w:r w:rsidRPr="00E37C2C">
              <w:rPr>
                <w:i/>
                <w:iCs/>
                <w:color w:val="000000"/>
              </w:rPr>
              <w:t>IoT</w:t>
            </w:r>
            <w:proofErr w:type="spellEnd"/>
            <w:r w:rsidRPr="00E37C2C">
              <w:rPr>
                <w:color w:val="000000"/>
              </w:rPr>
              <w:t xml:space="preserve"> ir nodrošināms gan radiofrekvenču spektrs, gan numerācijas resursi.</w:t>
            </w:r>
          </w:p>
          <w:p w14:paraId="283D5C2C" w14:textId="02206574" w:rsidR="00690353" w:rsidRPr="002F33E9" w:rsidRDefault="00A47546" w:rsidP="002F33E9">
            <w:pPr>
              <w:spacing w:before="0" w:after="0" w:line="240" w:lineRule="auto"/>
              <w:ind w:left="131" w:right="94"/>
              <w:rPr>
                <w:color w:val="000000" w:themeColor="text1"/>
              </w:rPr>
            </w:pPr>
            <w:r w:rsidRPr="003101D6">
              <w:rPr>
                <w:color w:val="000000" w:themeColor="text1"/>
              </w:rPr>
              <w:t xml:space="preserve">  Ņemot vērā, ka Eiropas Savienības struktūrfondu un Kohēzijas fonda 2014.–2020.</w:t>
            </w:r>
            <w:r w:rsidR="003729B7">
              <w:rPr>
                <w:color w:val="000000" w:themeColor="text1"/>
              </w:rPr>
              <w:t> </w:t>
            </w:r>
            <w:r w:rsidRPr="003101D6">
              <w:rPr>
                <w:color w:val="000000" w:themeColor="text1"/>
              </w:rPr>
              <w:t xml:space="preserve">gada plānošanas perioda </w:t>
            </w:r>
            <w:r w:rsidR="003101D6" w:rsidRPr="003101D6">
              <w:rPr>
                <w:color w:val="000000" w:themeColor="text1"/>
              </w:rPr>
              <w:t xml:space="preserve">darbības programmas </w:t>
            </w:r>
            <w:r w:rsidR="002D718D" w:rsidRPr="00FC15F9">
              <w:t>„</w:t>
            </w:r>
            <w:r w:rsidR="003101D6" w:rsidRPr="003101D6">
              <w:rPr>
                <w:color w:val="000000" w:themeColor="text1"/>
              </w:rPr>
              <w:t>Izaugsme un nodarbinātība” specifisko atbalsta mērķu vai to pasākumu ietvaros</w:t>
            </w:r>
            <w:r w:rsidR="00A519CA">
              <w:rPr>
                <w:color w:val="000000" w:themeColor="text1"/>
              </w:rPr>
              <w:t xml:space="preserve"> potenciāli ir</w:t>
            </w:r>
            <w:r w:rsidR="003101D6" w:rsidRPr="003101D6">
              <w:rPr>
                <w:color w:val="000000" w:themeColor="text1"/>
              </w:rPr>
              <w:t xml:space="preserve"> risk</w:t>
            </w:r>
            <w:r w:rsidR="00A519CA">
              <w:rPr>
                <w:color w:val="000000" w:themeColor="text1"/>
              </w:rPr>
              <w:t>s</w:t>
            </w:r>
            <w:r w:rsidR="003101D6" w:rsidRPr="003101D6">
              <w:rPr>
                <w:color w:val="000000" w:themeColor="text1"/>
              </w:rPr>
              <w:t xml:space="preserve"> par </w:t>
            </w:r>
            <w:r w:rsidR="00FE31C2">
              <w:rPr>
                <w:color w:val="000000" w:themeColor="text1"/>
              </w:rPr>
              <w:t xml:space="preserve">MK </w:t>
            </w:r>
            <w:r w:rsidR="003101D6" w:rsidRPr="003101D6">
              <w:rPr>
                <w:color w:val="000000" w:themeColor="text1"/>
              </w:rPr>
              <w:t xml:space="preserve">noteikumu projektā ietverto atbalsta pasākumu pārklāšanos ar darbībām, kas tiek īstenotas, piemēram, 4.2.2. specifiskā atbalsta mērķa </w:t>
            </w:r>
            <w:r w:rsidR="002D718D" w:rsidRPr="00FC15F9">
              <w:t>„</w:t>
            </w:r>
            <w:r w:rsidR="003101D6" w:rsidRPr="003101D6">
              <w:rPr>
                <w:color w:val="000000" w:themeColor="text1"/>
              </w:rPr>
              <w:t xml:space="preserve">Atbilstoši pašvaldības integrētajām attīstības programmām sekmēt energoefektivitātes paaugstināšanu un AER izmantošanu pašvaldību ēkās”, 4.5.1.2. pasākuma </w:t>
            </w:r>
            <w:r w:rsidR="002D718D" w:rsidRPr="00FC15F9">
              <w:t>„</w:t>
            </w:r>
            <w:r w:rsidR="003101D6" w:rsidRPr="003101D6">
              <w:rPr>
                <w:color w:val="000000" w:themeColor="text1"/>
              </w:rPr>
              <w:t xml:space="preserve">Attīstīt videi draudzīgu sabiedriskā transporta infrastruktūru”,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5.6.2. specifiskā atbalsta mērķa “Teritoriju </w:t>
            </w:r>
            <w:proofErr w:type="spellStart"/>
            <w:r w:rsidR="003101D6" w:rsidRPr="003101D6">
              <w:rPr>
                <w:color w:val="000000" w:themeColor="text1"/>
              </w:rPr>
              <w:t>revitalizācija</w:t>
            </w:r>
            <w:proofErr w:type="spellEnd"/>
            <w:r w:rsidR="003101D6" w:rsidRPr="003101D6">
              <w:rPr>
                <w:color w:val="000000" w:themeColor="text1"/>
              </w:rPr>
              <w:t xml:space="preserve">, reģenerējot degradētās teritorijas atbilstoši pašvaldību integrētajām attīstības programmām” </w:t>
            </w:r>
            <w:r w:rsidRPr="003101D6">
              <w:rPr>
                <w:color w:val="000000" w:themeColor="text1"/>
              </w:rPr>
              <w:t>ietvaros</w:t>
            </w:r>
            <w:r w:rsidR="00A519CA">
              <w:rPr>
                <w:color w:val="000000" w:themeColor="text1"/>
              </w:rPr>
              <w:t>,</w:t>
            </w:r>
            <w:r w:rsidRPr="003101D6">
              <w:rPr>
                <w:color w:val="000000" w:themeColor="text1"/>
              </w:rPr>
              <w:t xml:space="preserve"> uz </w:t>
            </w:r>
            <w:r w:rsidR="00A519CA">
              <w:rPr>
                <w:color w:val="000000" w:themeColor="text1"/>
              </w:rPr>
              <w:t xml:space="preserve">finanšu instrumenta </w:t>
            </w:r>
            <w:r w:rsidRPr="003101D6">
              <w:rPr>
                <w:color w:val="000000" w:themeColor="text1"/>
              </w:rPr>
              <w:t>finansējuma saņemšanu ir nepieciešams nodrošināt demarkāciju</w:t>
            </w:r>
            <w:r w:rsidR="002F7140">
              <w:rPr>
                <w:color w:val="000000" w:themeColor="text1"/>
              </w:rPr>
              <w:t>, kas tiks veikta projektu līmenī, veicot projektu iesniegumu vērtēšanu</w:t>
            </w:r>
            <w:r w:rsidRPr="003101D6">
              <w:rPr>
                <w:color w:val="000000" w:themeColor="text1"/>
              </w:rPr>
              <w:t>.</w:t>
            </w:r>
            <w:r w:rsidR="00255086">
              <w:rPr>
                <w:color w:val="000000" w:themeColor="text1"/>
              </w:rPr>
              <w:t xml:space="preserve"> </w:t>
            </w:r>
            <w:r w:rsidRPr="003101D6">
              <w:rPr>
                <w:color w:val="000000" w:themeColor="text1"/>
              </w:rPr>
              <w:t>Galvenie nosacījumi, kas nodrošinās demarkāciju</w:t>
            </w:r>
            <w:r w:rsidR="00A7792A">
              <w:rPr>
                <w:color w:val="000000" w:themeColor="text1"/>
              </w:rPr>
              <w:t>,</w:t>
            </w:r>
            <w:r w:rsidRPr="003101D6">
              <w:rPr>
                <w:color w:val="000000" w:themeColor="text1"/>
              </w:rPr>
              <w:t xml:space="preserve"> ir</w:t>
            </w:r>
            <w:r w:rsidR="00302753">
              <w:rPr>
                <w:color w:val="000000" w:themeColor="text1"/>
              </w:rPr>
              <w:t xml:space="preserve"> </w:t>
            </w:r>
            <w:r w:rsidR="00BE2F3B" w:rsidRPr="002F33E9">
              <w:rPr>
                <w:color w:val="000000" w:themeColor="text1"/>
              </w:rPr>
              <w:t>f</w:t>
            </w:r>
            <w:r w:rsidR="003B08AD" w:rsidRPr="002F33E9">
              <w:rPr>
                <w:color w:val="000000" w:themeColor="text1"/>
              </w:rPr>
              <w:t>inansējuma sadalījums atbalstāmajām aktivitātēm</w:t>
            </w:r>
            <w:r w:rsidR="00B811DD" w:rsidRPr="002F33E9">
              <w:rPr>
                <w:color w:val="000000" w:themeColor="text1"/>
              </w:rPr>
              <w:t>, kas</w:t>
            </w:r>
            <w:r w:rsidR="003B08AD" w:rsidRPr="002F33E9">
              <w:rPr>
                <w:color w:val="000000" w:themeColor="text1"/>
              </w:rPr>
              <w:t xml:space="preserve"> ir noteikts, ņemot vērā </w:t>
            </w:r>
            <w:r w:rsidR="00FE31C2" w:rsidRPr="002F33E9">
              <w:rPr>
                <w:color w:val="000000" w:themeColor="text1"/>
              </w:rPr>
              <w:t xml:space="preserve">MK </w:t>
            </w:r>
            <w:r w:rsidR="003B08AD" w:rsidRPr="002F33E9">
              <w:rPr>
                <w:color w:val="000000" w:themeColor="text1"/>
              </w:rPr>
              <w:t>noteikumu projekta 22. un 23.</w:t>
            </w:r>
            <w:r w:rsidR="00BE2F3B" w:rsidRPr="002F33E9">
              <w:rPr>
                <w:color w:val="000000" w:themeColor="text1"/>
              </w:rPr>
              <w:t> </w:t>
            </w:r>
            <w:r w:rsidR="003B08AD" w:rsidRPr="002F33E9">
              <w:rPr>
                <w:color w:val="000000" w:themeColor="text1"/>
              </w:rPr>
              <w:t>punktā raksturoto tehnoloģiju specifiku un tirgus tendences inovatīvu risinājumu izmaksām</w:t>
            </w:r>
            <w:r w:rsidR="006D03FD" w:rsidRPr="002F33E9">
              <w:rPr>
                <w:color w:val="000000" w:themeColor="text1"/>
              </w:rPr>
              <w:t>, kā arī</w:t>
            </w:r>
            <w:r w:rsidR="006D03FD" w:rsidRPr="002F33E9">
              <w:rPr>
                <w:color w:val="FF0000"/>
              </w:rPr>
              <w:t xml:space="preserve"> </w:t>
            </w:r>
            <w:r w:rsidR="00B811DD" w:rsidRPr="002F33E9">
              <w:t>ierobežojums</w:t>
            </w:r>
            <w:r w:rsidR="006D03FD" w:rsidRPr="002F33E9">
              <w:t xml:space="preserve"> pretendēt uz finanšu instrumenta finansējumu atbilstoši </w:t>
            </w:r>
            <w:r w:rsidR="00255086" w:rsidRPr="002F33E9">
              <w:t xml:space="preserve">šo noteikumu </w:t>
            </w:r>
            <w:r w:rsidR="006D03FD" w:rsidRPr="002F33E9">
              <w:t>15.3</w:t>
            </w:r>
            <w:r w:rsidR="003B08AD" w:rsidRPr="002F33E9">
              <w:t>.</w:t>
            </w:r>
            <w:r w:rsidR="006D03FD" w:rsidRPr="002F33E9">
              <w:t xml:space="preserve"> </w:t>
            </w:r>
            <w:r w:rsidR="00B811DD" w:rsidRPr="002F33E9">
              <w:t>apakš</w:t>
            </w:r>
            <w:r w:rsidR="006D03FD" w:rsidRPr="002F33E9">
              <w:t>punkt</w:t>
            </w:r>
            <w:r w:rsidR="00B811DD" w:rsidRPr="002F33E9">
              <w:t>am</w:t>
            </w:r>
            <w:r w:rsidR="006D03FD" w:rsidRPr="002F33E9">
              <w:t>.</w:t>
            </w:r>
          </w:p>
        </w:tc>
      </w:tr>
      <w:tr w:rsidR="0067267D" w:rsidRPr="00FC15F9" w14:paraId="6AFE7CD4" w14:textId="77777777" w:rsidTr="00464AFB">
        <w:trPr>
          <w:trHeight w:val="476"/>
        </w:trPr>
        <w:tc>
          <w:tcPr>
            <w:tcW w:w="550" w:type="dxa"/>
          </w:tcPr>
          <w:p w14:paraId="5A8C56CF" w14:textId="77777777" w:rsidR="0067267D" w:rsidRPr="00FC15F9" w:rsidRDefault="00133143">
            <w:pPr>
              <w:pStyle w:val="naiskr"/>
              <w:spacing w:before="0" w:after="0"/>
            </w:pPr>
            <w:r w:rsidRPr="00FC15F9">
              <w:lastRenderedPageBreak/>
              <w:t>3</w:t>
            </w:r>
            <w:r w:rsidR="0067267D" w:rsidRPr="00FC15F9">
              <w:t>.</w:t>
            </w:r>
          </w:p>
        </w:tc>
        <w:tc>
          <w:tcPr>
            <w:tcW w:w="2149" w:type="dxa"/>
          </w:tcPr>
          <w:p w14:paraId="54EB2F78" w14:textId="77777777" w:rsidR="0067267D" w:rsidRPr="00FC15F9" w:rsidRDefault="0067267D" w:rsidP="00464AFB">
            <w:pPr>
              <w:pStyle w:val="naiskr"/>
              <w:spacing w:before="0" w:after="0"/>
              <w:ind w:right="142"/>
            </w:pPr>
            <w:r w:rsidRPr="00FC15F9">
              <w:t xml:space="preserve">Projekta izstrādē iesaistītās </w:t>
            </w:r>
            <w:r w:rsidRPr="00FC15F9">
              <w:lastRenderedPageBreak/>
              <w:t>institūcijas</w:t>
            </w:r>
          </w:p>
        </w:tc>
        <w:tc>
          <w:tcPr>
            <w:tcW w:w="6756" w:type="dxa"/>
          </w:tcPr>
          <w:p w14:paraId="5D88FA7D" w14:textId="77777777" w:rsidR="009377FA" w:rsidRPr="00FC15F9" w:rsidRDefault="00281EC0" w:rsidP="00710A1A">
            <w:pPr>
              <w:pStyle w:val="naiskr"/>
              <w:spacing w:before="0" w:after="0"/>
              <w:ind w:left="141" w:right="94"/>
            </w:pPr>
            <w:r w:rsidRPr="00FC15F9">
              <w:lastRenderedPageBreak/>
              <w:t xml:space="preserve">Vides aizsardzības </w:t>
            </w:r>
            <w:r w:rsidRPr="00601FFF">
              <w:t>un re</w:t>
            </w:r>
            <w:r w:rsidR="00CF4AC4" w:rsidRPr="00601FFF">
              <w:t>ģionālās attīstības ministrija</w:t>
            </w:r>
            <w:r w:rsidR="00856CE1" w:rsidRPr="00601FFF">
              <w:t>, Vides investīciju fonds</w:t>
            </w:r>
          </w:p>
        </w:tc>
      </w:tr>
      <w:tr w:rsidR="0067267D" w:rsidRPr="00FC15F9" w14:paraId="2F107801" w14:textId="77777777" w:rsidTr="00464AFB">
        <w:tc>
          <w:tcPr>
            <w:tcW w:w="550" w:type="dxa"/>
          </w:tcPr>
          <w:p w14:paraId="4007AEAD" w14:textId="77777777" w:rsidR="0067267D" w:rsidRPr="00FC15F9" w:rsidRDefault="00133143">
            <w:pPr>
              <w:pStyle w:val="naiskr"/>
              <w:spacing w:before="0" w:after="0"/>
            </w:pPr>
            <w:r w:rsidRPr="00FC15F9">
              <w:t>4</w:t>
            </w:r>
            <w:r w:rsidR="0067267D" w:rsidRPr="00FC15F9">
              <w:t>.</w:t>
            </w:r>
          </w:p>
        </w:tc>
        <w:tc>
          <w:tcPr>
            <w:tcW w:w="2149" w:type="dxa"/>
          </w:tcPr>
          <w:p w14:paraId="01C4FECA" w14:textId="77777777" w:rsidR="0067267D" w:rsidRPr="00FC15F9" w:rsidRDefault="0067267D" w:rsidP="00464AFB">
            <w:pPr>
              <w:pStyle w:val="naiskr"/>
              <w:spacing w:before="0" w:after="0"/>
              <w:ind w:right="142"/>
            </w:pPr>
            <w:r w:rsidRPr="00FC15F9">
              <w:t>Cita informācija</w:t>
            </w:r>
          </w:p>
        </w:tc>
        <w:tc>
          <w:tcPr>
            <w:tcW w:w="6756" w:type="dxa"/>
          </w:tcPr>
          <w:p w14:paraId="7D6F39FC" w14:textId="77777777" w:rsidR="0067267D" w:rsidRPr="00FC15F9" w:rsidRDefault="0067267D" w:rsidP="00464AFB">
            <w:pPr>
              <w:pStyle w:val="naiskr"/>
              <w:spacing w:before="0" w:after="0"/>
              <w:ind w:left="141" w:right="236"/>
            </w:pPr>
            <w:r w:rsidRPr="00FC15F9">
              <w:t>Nav.</w:t>
            </w:r>
          </w:p>
        </w:tc>
      </w:tr>
    </w:tbl>
    <w:p w14:paraId="25D887B8" w14:textId="77777777" w:rsidR="00826E46" w:rsidRPr="00FC15F9" w:rsidRDefault="00826E46"/>
    <w:tbl>
      <w:tblPr>
        <w:tblpPr w:leftFromText="180" w:rightFromText="180" w:vertAnchor="text" w:horzAnchor="margin" w:tblpXSpec="center" w:tblpY="14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283"/>
        <w:gridCol w:w="5670"/>
      </w:tblGrid>
      <w:tr w:rsidR="0067267D" w:rsidRPr="00FC15F9" w14:paraId="438B71C2" w14:textId="77777777" w:rsidTr="00464AFB">
        <w:tc>
          <w:tcPr>
            <w:tcW w:w="9503" w:type="dxa"/>
            <w:gridSpan w:val="3"/>
            <w:vAlign w:val="center"/>
          </w:tcPr>
          <w:p w14:paraId="7EDB7103" w14:textId="77777777" w:rsidR="0067267D" w:rsidRPr="00FC15F9" w:rsidRDefault="0067267D">
            <w:pPr>
              <w:pStyle w:val="naisnod"/>
              <w:spacing w:before="0" w:after="0"/>
            </w:pPr>
            <w:r w:rsidRPr="00FC15F9">
              <w:t xml:space="preserve">II. </w:t>
            </w:r>
            <w:r w:rsidR="00133143" w:rsidRPr="00FC15F9">
              <w:t>Tiesību akta projekta ietekme uz sabiedrību, tautsaimniecības attīstību un administratīvo slogu</w:t>
            </w:r>
          </w:p>
        </w:tc>
      </w:tr>
      <w:tr w:rsidR="0067267D" w:rsidRPr="00FC15F9" w14:paraId="1A1F53A0" w14:textId="77777777" w:rsidTr="00464AFB">
        <w:trPr>
          <w:trHeight w:val="467"/>
        </w:trPr>
        <w:tc>
          <w:tcPr>
            <w:tcW w:w="550" w:type="dxa"/>
          </w:tcPr>
          <w:p w14:paraId="5797E815" w14:textId="77777777" w:rsidR="0067267D" w:rsidRPr="00FC15F9" w:rsidRDefault="0067267D">
            <w:pPr>
              <w:pStyle w:val="naiskr"/>
              <w:spacing w:before="0" w:after="0"/>
            </w:pPr>
            <w:r w:rsidRPr="00FC15F9">
              <w:t>1.</w:t>
            </w:r>
          </w:p>
        </w:tc>
        <w:tc>
          <w:tcPr>
            <w:tcW w:w="3283" w:type="dxa"/>
          </w:tcPr>
          <w:p w14:paraId="79AF47D7" w14:textId="77777777" w:rsidR="0067267D" w:rsidRPr="00FC15F9" w:rsidRDefault="00133143">
            <w:pPr>
              <w:pStyle w:val="naiskr"/>
              <w:spacing w:before="0" w:after="0"/>
            </w:pPr>
            <w:r w:rsidRPr="00FC15F9">
              <w:t xml:space="preserve">Sabiedrības </w:t>
            </w:r>
            <w:proofErr w:type="spellStart"/>
            <w:r w:rsidRPr="00FC15F9">
              <w:t>mērķgrupas</w:t>
            </w:r>
            <w:proofErr w:type="spellEnd"/>
            <w:r w:rsidRPr="00FC15F9">
              <w:t>, kuras tiesiskais regulējums ietekmē vai varētu ietekmēt</w:t>
            </w:r>
          </w:p>
        </w:tc>
        <w:tc>
          <w:tcPr>
            <w:tcW w:w="5670" w:type="dxa"/>
          </w:tcPr>
          <w:p w14:paraId="5463F79E" w14:textId="77777777" w:rsidR="003724E7" w:rsidRPr="00FC15F9" w:rsidRDefault="00CA22A0" w:rsidP="004651E8">
            <w:pPr>
              <w:spacing w:before="0" w:after="0"/>
              <w:ind w:left="141"/>
            </w:pPr>
            <w:r>
              <w:t>P</w:t>
            </w:r>
            <w:r w:rsidR="009E4010" w:rsidRPr="00FC15F9">
              <w:t>ašvaldības</w:t>
            </w:r>
            <w:r w:rsidR="00AB4B3B" w:rsidRPr="00FC15F9">
              <w:t xml:space="preserve"> </w:t>
            </w:r>
            <w:r w:rsidR="00777B60">
              <w:t xml:space="preserve">vai </w:t>
            </w:r>
            <w:r w:rsidR="00AB4B3B" w:rsidRPr="00FC15F9">
              <w:t>to iestādes, kā arī pašvaldību kapitālsabiedrības</w:t>
            </w:r>
            <w:r w:rsidR="009E4010" w:rsidRPr="00FC15F9">
              <w:t>.</w:t>
            </w:r>
          </w:p>
        </w:tc>
      </w:tr>
      <w:tr w:rsidR="00165C1E" w:rsidRPr="00FC15F9" w14:paraId="27631B1B" w14:textId="77777777" w:rsidTr="00464AFB">
        <w:trPr>
          <w:trHeight w:val="523"/>
        </w:trPr>
        <w:tc>
          <w:tcPr>
            <w:tcW w:w="550" w:type="dxa"/>
          </w:tcPr>
          <w:p w14:paraId="3ED7D1D4" w14:textId="77777777" w:rsidR="00165C1E" w:rsidRPr="00FC15F9" w:rsidRDefault="00165C1E" w:rsidP="00165C1E">
            <w:pPr>
              <w:pStyle w:val="naiskr"/>
              <w:spacing w:before="0" w:after="0"/>
            </w:pPr>
            <w:r w:rsidRPr="00FC15F9">
              <w:t>2.</w:t>
            </w:r>
          </w:p>
        </w:tc>
        <w:tc>
          <w:tcPr>
            <w:tcW w:w="3283" w:type="dxa"/>
          </w:tcPr>
          <w:p w14:paraId="78998E66" w14:textId="77777777" w:rsidR="00165C1E" w:rsidRPr="00FC15F9" w:rsidRDefault="00133143" w:rsidP="00165C1E">
            <w:pPr>
              <w:pStyle w:val="naiskr"/>
              <w:spacing w:before="0" w:after="0"/>
            </w:pPr>
            <w:r w:rsidRPr="00FC15F9">
              <w:t>Tiesiskā regulējuma ietekme uz tautsaimniecību un administratīvo slogu</w:t>
            </w:r>
          </w:p>
        </w:tc>
        <w:tc>
          <w:tcPr>
            <w:tcW w:w="5670" w:type="dxa"/>
          </w:tcPr>
          <w:p w14:paraId="35F8DDD6" w14:textId="77777777" w:rsidR="00165C1E" w:rsidRPr="00FC15F9" w:rsidRDefault="001A6A23" w:rsidP="00736A68">
            <w:pPr>
              <w:pStyle w:val="naiskr"/>
              <w:spacing w:before="0" w:after="0"/>
              <w:ind w:left="131" w:right="152"/>
            </w:pPr>
            <w:r w:rsidRPr="00FC15F9">
              <w:t xml:space="preserve">Normatīvā akta apstiprināšanas gadījumā tiks īstenoti projekti, kas, ņemot vērā to specifiku, veicinās nodarbinātību, samazinās enerģijas patēriņu un </w:t>
            </w:r>
            <w:r w:rsidR="00736A68">
              <w:t>SEG</w:t>
            </w:r>
            <w:r w:rsidRPr="00FC15F9">
              <w:t xml:space="preserve"> emisijas, dodot ieguldījumu Latvijai obligātā enerģijas ietaupījumu mērķa sasniegšanā</w:t>
            </w:r>
            <w:r>
              <w:t>, samazinās negatīvo ietekmi uz veselību</w:t>
            </w:r>
            <w:r w:rsidRPr="00FC15F9">
              <w:t xml:space="preserve"> un </w:t>
            </w:r>
            <w:r>
              <w:t xml:space="preserve">atjaunojamo energoresursu izmantošanas projekti veicinās </w:t>
            </w:r>
            <w:r w:rsidRPr="00FC15F9">
              <w:t>Latvijas ener</w:t>
            </w:r>
            <w:r>
              <w:t>ģētisko ne</w:t>
            </w:r>
            <w:r w:rsidRPr="00FC15F9">
              <w:t>atkarīb</w:t>
            </w:r>
            <w:r>
              <w:t>u. Ieguvumu izjutīs sabiedrība, jo tehnoloģijas</w:t>
            </w:r>
            <w:r w:rsidR="006D50BA">
              <w:t xml:space="preserve"> tiks ieviestas</w:t>
            </w:r>
            <w:r>
              <w:t xml:space="preserve"> pilsētvidē. </w:t>
            </w:r>
            <w:r w:rsidR="00591EBB">
              <w:t>Īstenotie</w:t>
            </w:r>
            <w:r>
              <w:t xml:space="preserve"> projekti samazinās pašvaldību izmaksas par enerģijas patēriņu.</w:t>
            </w:r>
          </w:p>
        </w:tc>
      </w:tr>
      <w:tr w:rsidR="00165C1E" w:rsidRPr="00FC15F9" w14:paraId="194632C2" w14:textId="77777777" w:rsidTr="00464AFB">
        <w:trPr>
          <w:trHeight w:val="357"/>
        </w:trPr>
        <w:tc>
          <w:tcPr>
            <w:tcW w:w="550" w:type="dxa"/>
          </w:tcPr>
          <w:p w14:paraId="2013B5C6" w14:textId="77777777" w:rsidR="00165C1E" w:rsidRPr="00FC15F9" w:rsidRDefault="00133143" w:rsidP="00165C1E">
            <w:pPr>
              <w:pStyle w:val="naiskr"/>
              <w:spacing w:before="0" w:after="0"/>
            </w:pPr>
            <w:r w:rsidRPr="00FC15F9">
              <w:t>3</w:t>
            </w:r>
            <w:r w:rsidR="00165C1E" w:rsidRPr="00FC15F9">
              <w:t>.</w:t>
            </w:r>
          </w:p>
        </w:tc>
        <w:tc>
          <w:tcPr>
            <w:tcW w:w="3283" w:type="dxa"/>
          </w:tcPr>
          <w:p w14:paraId="2F31340A" w14:textId="77777777" w:rsidR="00165C1E" w:rsidRPr="00FC15F9" w:rsidRDefault="00165C1E" w:rsidP="00165C1E">
            <w:pPr>
              <w:pStyle w:val="naiskr"/>
              <w:spacing w:before="0" w:after="0"/>
            </w:pPr>
            <w:r w:rsidRPr="00FC15F9">
              <w:t>Administratīvo izmaksu monetārs novērtējums</w:t>
            </w:r>
          </w:p>
        </w:tc>
        <w:tc>
          <w:tcPr>
            <w:tcW w:w="5670" w:type="dxa"/>
          </w:tcPr>
          <w:p w14:paraId="0DA62593" w14:textId="77777777" w:rsidR="00B66320" w:rsidRPr="00FC15F9" w:rsidRDefault="00B66320" w:rsidP="00C94B51">
            <w:pPr>
              <w:spacing w:before="0" w:after="0" w:line="240" w:lineRule="auto"/>
              <w:ind w:left="131" w:right="140"/>
            </w:pPr>
            <w:r w:rsidRPr="00FC15F9">
              <w:t xml:space="preserve">Normatīvā </w:t>
            </w:r>
            <w:smartTag w:uri="schemas-tilde-lv/tildestengine" w:element="veidnes">
              <w:smartTagPr>
                <w:attr w:name="text" w:val="akta"/>
                <w:attr w:name="id" w:val="-1"/>
                <w:attr w:name="baseform" w:val="akt|s"/>
              </w:smartTagPr>
              <w:r w:rsidRPr="00FC15F9">
                <w:t>akta</w:t>
              </w:r>
            </w:smartTag>
            <w:r w:rsidRPr="00FC15F9">
              <w:t xml:space="preserve"> apstiprināšanas gadījumā tiks īstenots projektu </w:t>
            </w:r>
            <w:smartTag w:uri="schemas-tilde-lv/tildestengine" w:element="veidnes">
              <w:smartTagPr>
                <w:attr w:name="text" w:val="iesniegumu"/>
                <w:attr w:name="id" w:val="-1"/>
                <w:attr w:name="baseform" w:val="iesniegum|s"/>
              </w:smartTagPr>
              <w:r w:rsidRPr="00FC15F9">
                <w:t>iesniegumu</w:t>
              </w:r>
            </w:smartTag>
            <w:r w:rsidRPr="00FC15F9">
              <w:t xml:space="preserve"> konkurss, kas, ņemot vērā tā specifiku, </w:t>
            </w:r>
            <w:r w:rsidR="004D32BF">
              <w:t>samazinās pašvaldībām izdevumus par enerģij</w:t>
            </w:r>
            <w:r w:rsidR="00736A68">
              <w:t>as patēriņu</w:t>
            </w:r>
            <w:r w:rsidR="004D32BF">
              <w:t xml:space="preserve">, </w:t>
            </w:r>
            <w:r w:rsidRPr="00FC15F9">
              <w:t xml:space="preserve">veicinās </w:t>
            </w:r>
            <w:r w:rsidR="00736A68">
              <w:t>SEG</w:t>
            </w:r>
            <w:r w:rsidR="00A25FEB" w:rsidRPr="00FC15F9">
              <w:t xml:space="preserve"> emisiju samazināšanu</w:t>
            </w:r>
            <w:r w:rsidRPr="00FC15F9">
              <w:t>.</w:t>
            </w:r>
          </w:p>
          <w:p w14:paraId="39FC25E2" w14:textId="77777777" w:rsidR="00165C1E" w:rsidRPr="00FC15F9" w:rsidRDefault="00B66320" w:rsidP="00C94B51">
            <w:pPr>
              <w:spacing w:before="0" w:after="0"/>
              <w:ind w:left="131" w:right="140"/>
            </w:pPr>
            <w:r w:rsidRPr="00FC15F9">
              <w:t>Konkursa ietvaros pieejamais finansējums ir </w:t>
            </w:r>
            <w:r w:rsidR="00E66211" w:rsidRPr="00FC15F9">
              <w:t>8</w:t>
            </w:r>
            <w:r w:rsidRPr="00FC15F9">
              <w:t> 000 000 EUR.</w:t>
            </w:r>
          </w:p>
        </w:tc>
      </w:tr>
      <w:tr w:rsidR="0067267D" w:rsidRPr="00FC15F9" w14:paraId="5A8314DC" w14:textId="77777777" w:rsidTr="00464AFB">
        <w:tc>
          <w:tcPr>
            <w:tcW w:w="550" w:type="dxa"/>
          </w:tcPr>
          <w:p w14:paraId="35160648" w14:textId="77777777" w:rsidR="0067267D" w:rsidRPr="00FC15F9" w:rsidRDefault="00133143">
            <w:pPr>
              <w:pStyle w:val="naiskr"/>
              <w:spacing w:before="0" w:after="0"/>
            </w:pPr>
            <w:r w:rsidRPr="00FC15F9">
              <w:t>4</w:t>
            </w:r>
            <w:r w:rsidR="0067267D" w:rsidRPr="00FC15F9">
              <w:t>.</w:t>
            </w:r>
          </w:p>
        </w:tc>
        <w:tc>
          <w:tcPr>
            <w:tcW w:w="3283" w:type="dxa"/>
          </w:tcPr>
          <w:p w14:paraId="28FBCEC6" w14:textId="77777777" w:rsidR="0067267D" w:rsidRPr="00FC15F9" w:rsidRDefault="0067267D">
            <w:pPr>
              <w:pStyle w:val="naiskr"/>
              <w:spacing w:before="0" w:after="0"/>
            </w:pPr>
            <w:r w:rsidRPr="00FC15F9">
              <w:t>Cita informācija</w:t>
            </w:r>
          </w:p>
        </w:tc>
        <w:tc>
          <w:tcPr>
            <w:tcW w:w="5670" w:type="dxa"/>
          </w:tcPr>
          <w:p w14:paraId="5F385ADE" w14:textId="77777777" w:rsidR="00B66320" w:rsidRPr="00FC15F9" w:rsidRDefault="001A6A23" w:rsidP="00C94B51">
            <w:pPr>
              <w:pStyle w:val="naiskr"/>
              <w:spacing w:before="0" w:after="0" w:line="240" w:lineRule="auto"/>
              <w:ind w:left="131" w:right="152"/>
            </w:pPr>
            <w:r>
              <w:t>Nav.</w:t>
            </w:r>
          </w:p>
          <w:p w14:paraId="1002E7CB" w14:textId="77777777" w:rsidR="0067267D" w:rsidRPr="00FC15F9" w:rsidRDefault="0067267D" w:rsidP="000C090C">
            <w:pPr>
              <w:pStyle w:val="naiskr"/>
              <w:spacing w:before="0" w:after="0"/>
            </w:pPr>
          </w:p>
        </w:tc>
      </w:tr>
    </w:tbl>
    <w:p w14:paraId="71C42C03" w14:textId="77777777" w:rsidR="00F740A5" w:rsidRPr="00FC15F9" w:rsidRDefault="00F740A5" w:rsidP="00F740A5">
      <w:pPr>
        <w:pStyle w:val="Paraststmeklis1"/>
        <w:spacing w:before="0" w:beforeAutospacing="0" w:after="0" w:afterAutospacing="0"/>
        <w:rPr>
          <w:i/>
        </w:rPr>
      </w:pPr>
    </w:p>
    <w:tbl>
      <w:tblPr>
        <w:tblW w:w="538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3"/>
        <w:gridCol w:w="1286"/>
        <w:gridCol w:w="1403"/>
        <w:gridCol w:w="1375"/>
        <w:gridCol w:w="1371"/>
        <w:gridCol w:w="2202"/>
      </w:tblGrid>
      <w:tr w:rsidR="00464AFB" w:rsidRPr="00FC15F9" w14:paraId="68087394" w14:textId="77777777" w:rsidTr="00A831C2">
        <w:tc>
          <w:tcPr>
            <w:tcW w:w="5000" w:type="pct"/>
            <w:gridSpan w:val="6"/>
            <w:shd w:val="clear" w:color="auto" w:fill="auto"/>
          </w:tcPr>
          <w:p w14:paraId="0DD9651B" w14:textId="77777777" w:rsidR="00464AFB" w:rsidRPr="00FC15F9" w:rsidRDefault="00464AFB" w:rsidP="00464AFB">
            <w:pPr>
              <w:pStyle w:val="NormalWeb"/>
              <w:spacing w:before="0" w:beforeAutospacing="0" w:after="0" w:afterAutospacing="0"/>
              <w:jc w:val="center"/>
            </w:pPr>
            <w:r w:rsidRPr="00FC15F9">
              <w:rPr>
                <w:b/>
                <w:bCs/>
              </w:rPr>
              <w:t>III. Tiesību akta projekta ietekme uz valsts budžetu un pašvaldību budžetiem</w:t>
            </w:r>
          </w:p>
        </w:tc>
      </w:tr>
      <w:tr w:rsidR="00464AFB" w:rsidRPr="00FC15F9" w14:paraId="1DAA5D89" w14:textId="77777777" w:rsidTr="00A831C2">
        <w:tc>
          <w:tcPr>
            <w:tcW w:w="1185" w:type="pct"/>
            <w:vMerge w:val="restart"/>
            <w:shd w:val="clear" w:color="auto" w:fill="auto"/>
          </w:tcPr>
          <w:p w14:paraId="2746EC81" w14:textId="77777777" w:rsidR="00464AFB" w:rsidRPr="00FC15F9" w:rsidRDefault="00464AFB" w:rsidP="0095368C">
            <w:pPr>
              <w:pStyle w:val="NormalWeb"/>
              <w:spacing w:before="0" w:beforeAutospacing="0" w:after="0" w:afterAutospacing="0"/>
              <w:jc w:val="left"/>
            </w:pPr>
            <w:r w:rsidRPr="00FC15F9">
              <w:t>Rādītāji</w:t>
            </w:r>
          </w:p>
        </w:tc>
        <w:tc>
          <w:tcPr>
            <w:tcW w:w="1343" w:type="pct"/>
            <w:gridSpan w:val="2"/>
            <w:tcBorders>
              <w:bottom w:val="nil"/>
            </w:tcBorders>
            <w:shd w:val="clear" w:color="auto" w:fill="auto"/>
            <w:vAlign w:val="bottom"/>
          </w:tcPr>
          <w:p w14:paraId="66EBCE61" w14:textId="2D6536E1" w:rsidR="00464AFB" w:rsidRPr="00FC15F9" w:rsidRDefault="00C4531B" w:rsidP="00CC066A">
            <w:pPr>
              <w:pStyle w:val="NormalWeb"/>
              <w:spacing w:before="0" w:beforeAutospacing="0" w:after="0" w:afterAutospacing="0"/>
              <w:jc w:val="center"/>
            </w:pPr>
            <w:r w:rsidRPr="00FC15F9">
              <w:t>201</w:t>
            </w:r>
            <w:r w:rsidR="00CC066A">
              <w:t>8</w:t>
            </w:r>
          </w:p>
        </w:tc>
        <w:tc>
          <w:tcPr>
            <w:tcW w:w="2472" w:type="pct"/>
            <w:gridSpan w:val="3"/>
            <w:shd w:val="clear" w:color="auto" w:fill="auto"/>
          </w:tcPr>
          <w:p w14:paraId="7F593DF2" w14:textId="77777777" w:rsidR="00464AFB" w:rsidRPr="00FC15F9" w:rsidRDefault="00464AFB" w:rsidP="001F04F1">
            <w:pPr>
              <w:pStyle w:val="NormalWeb"/>
              <w:spacing w:before="0" w:beforeAutospacing="0" w:after="0" w:afterAutospacing="0"/>
              <w:jc w:val="center"/>
            </w:pPr>
            <w:r w:rsidRPr="00FC15F9">
              <w:t>Turpmākie gadi (EUR)</w:t>
            </w:r>
          </w:p>
        </w:tc>
      </w:tr>
      <w:tr w:rsidR="00464AFB" w:rsidRPr="00FC15F9" w14:paraId="6A4032F4" w14:textId="77777777" w:rsidTr="00A831C2">
        <w:tc>
          <w:tcPr>
            <w:tcW w:w="1185" w:type="pct"/>
            <w:vMerge/>
            <w:shd w:val="clear" w:color="auto" w:fill="auto"/>
          </w:tcPr>
          <w:p w14:paraId="2BD3048C" w14:textId="77777777" w:rsidR="00464AFB" w:rsidRPr="00FC15F9" w:rsidRDefault="00464AFB" w:rsidP="0095368C">
            <w:pPr>
              <w:pStyle w:val="NormalWeb"/>
              <w:spacing w:before="0" w:beforeAutospacing="0" w:after="0" w:afterAutospacing="0"/>
              <w:jc w:val="left"/>
            </w:pPr>
          </w:p>
        </w:tc>
        <w:tc>
          <w:tcPr>
            <w:tcW w:w="1343" w:type="pct"/>
            <w:gridSpan w:val="2"/>
            <w:tcBorders>
              <w:top w:val="nil"/>
            </w:tcBorders>
            <w:shd w:val="clear" w:color="auto" w:fill="auto"/>
          </w:tcPr>
          <w:p w14:paraId="5962360A" w14:textId="77777777" w:rsidR="00464AFB" w:rsidRPr="00FC15F9" w:rsidRDefault="00464AFB" w:rsidP="00464AFB">
            <w:pPr>
              <w:pStyle w:val="NormalWeb"/>
              <w:spacing w:before="0" w:beforeAutospacing="0" w:after="0" w:afterAutospacing="0"/>
            </w:pPr>
          </w:p>
        </w:tc>
        <w:tc>
          <w:tcPr>
            <w:tcW w:w="687" w:type="pct"/>
            <w:shd w:val="clear" w:color="auto" w:fill="auto"/>
          </w:tcPr>
          <w:p w14:paraId="27C00CE7" w14:textId="1EF720D2" w:rsidR="00464AFB" w:rsidRPr="00FC15F9" w:rsidRDefault="00C4531B" w:rsidP="00464AFB">
            <w:pPr>
              <w:pStyle w:val="NormalWeb"/>
              <w:spacing w:before="0" w:beforeAutospacing="0" w:after="0" w:afterAutospacing="0"/>
            </w:pPr>
            <w:r w:rsidRPr="00FC15F9">
              <w:t>201</w:t>
            </w:r>
            <w:r w:rsidR="00CC066A">
              <w:t>9</w:t>
            </w:r>
          </w:p>
        </w:tc>
        <w:tc>
          <w:tcPr>
            <w:tcW w:w="685" w:type="pct"/>
            <w:shd w:val="clear" w:color="auto" w:fill="auto"/>
          </w:tcPr>
          <w:p w14:paraId="0DBBC9A5" w14:textId="09B2CBEB" w:rsidR="00464AFB" w:rsidRPr="00FC15F9" w:rsidRDefault="00C4531B" w:rsidP="00C4531B">
            <w:pPr>
              <w:pStyle w:val="NormalWeb"/>
              <w:spacing w:before="0" w:beforeAutospacing="0" w:after="0" w:afterAutospacing="0"/>
            </w:pPr>
            <w:r w:rsidRPr="00FC15F9">
              <w:t>20</w:t>
            </w:r>
            <w:r w:rsidR="00CC066A">
              <w:t>20</w:t>
            </w:r>
          </w:p>
        </w:tc>
        <w:tc>
          <w:tcPr>
            <w:tcW w:w="1100" w:type="pct"/>
            <w:shd w:val="clear" w:color="auto" w:fill="auto"/>
          </w:tcPr>
          <w:p w14:paraId="78337C9B" w14:textId="2B45AF9E" w:rsidR="00464AFB" w:rsidRPr="00FC15F9" w:rsidRDefault="00C4531B" w:rsidP="00C4531B">
            <w:pPr>
              <w:pStyle w:val="NormalWeb"/>
              <w:spacing w:before="0" w:beforeAutospacing="0" w:after="0" w:afterAutospacing="0"/>
            </w:pPr>
            <w:r w:rsidRPr="00FC15F9">
              <w:t>202</w:t>
            </w:r>
            <w:r w:rsidR="00CC066A">
              <w:t>1</w:t>
            </w:r>
          </w:p>
        </w:tc>
      </w:tr>
      <w:tr w:rsidR="00464AFB" w:rsidRPr="00FC15F9" w14:paraId="15F2E6BD" w14:textId="77777777" w:rsidTr="00A831C2">
        <w:tc>
          <w:tcPr>
            <w:tcW w:w="1185" w:type="pct"/>
            <w:vMerge/>
            <w:shd w:val="clear" w:color="auto" w:fill="auto"/>
          </w:tcPr>
          <w:p w14:paraId="3BEFA32B" w14:textId="77777777" w:rsidR="00464AFB" w:rsidRPr="00FC15F9" w:rsidRDefault="00464AFB" w:rsidP="0095368C">
            <w:pPr>
              <w:pStyle w:val="NormalWeb"/>
              <w:spacing w:before="0" w:beforeAutospacing="0" w:after="0" w:afterAutospacing="0"/>
              <w:jc w:val="left"/>
            </w:pPr>
          </w:p>
        </w:tc>
        <w:tc>
          <w:tcPr>
            <w:tcW w:w="642" w:type="pct"/>
            <w:shd w:val="clear" w:color="auto" w:fill="auto"/>
          </w:tcPr>
          <w:p w14:paraId="73536B01" w14:textId="77777777" w:rsidR="00464AFB" w:rsidRPr="00FC15F9" w:rsidRDefault="00464AFB" w:rsidP="00464AFB">
            <w:pPr>
              <w:pStyle w:val="NormalWeb"/>
              <w:spacing w:before="0" w:beforeAutospacing="0" w:after="0" w:afterAutospacing="0"/>
            </w:pPr>
            <w:r w:rsidRPr="00FC15F9">
              <w:t>Saskaņā ar valsts budžetu kārtējam gadam</w:t>
            </w:r>
          </w:p>
        </w:tc>
        <w:tc>
          <w:tcPr>
            <w:tcW w:w="701" w:type="pct"/>
            <w:shd w:val="clear" w:color="auto" w:fill="auto"/>
          </w:tcPr>
          <w:p w14:paraId="623D0304" w14:textId="77777777" w:rsidR="00464AFB" w:rsidRPr="00FC15F9" w:rsidRDefault="00464AFB" w:rsidP="00464AFB">
            <w:pPr>
              <w:pStyle w:val="NormalWeb"/>
              <w:spacing w:before="0" w:beforeAutospacing="0" w:after="0" w:afterAutospacing="0"/>
            </w:pPr>
            <w:r w:rsidRPr="00FC15F9">
              <w:t>Izmaiņas kārtējā gadā, salīdzinot ar valsts budžetu kārtējam gadam</w:t>
            </w:r>
          </w:p>
        </w:tc>
        <w:tc>
          <w:tcPr>
            <w:tcW w:w="687" w:type="pct"/>
            <w:shd w:val="clear" w:color="auto" w:fill="auto"/>
          </w:tcPr>
          <w:p w14:paraId="59A9A1D2" w14:textId="2B6F118C" w:rsidR="00464AFB" w:rsidRPr="00FC15F9" w:rsidRDefault="00464AFB" w:rsidP="00F06535">
            <w:pPr>
              <w:pStyle w:val="NormalWeb"/>
              <w:spacing w:before="0" w:beforeAutospacing="0" w:after="0" w:afterAutospacing="0"/>
            </w:pPr>
            <w:r w:rsidRPr="00FC15F9">
              <w:t xml:space="preserve">Izmaiņas salīdzinot ar </w:t>
            </w:r>
            <w:r w:rsidR="00F81113">
              <w:t>201</w:t>
            </w:r>
            <w:r w:rsidR="00F06535">
              <w:t>8</w:t>
            </w:r>
            <w:r w:rsidR="00944BE8">
              <w:t>.</w:t>
            </w:r>
            <w:r w:rsidRPr="00FC15F9">
              <w:t xml:space="preserve"> gadu</w:t>
            </w:r>
          </w:p>
        </w:tc>
        <w:tc>
          <w:tcPr>
            <w:tcW w:w="685" w:type="pct"/>
            <w:shd w:val="clear" w:color="auto" w:fill="auto"/>
          </w:tcPr>
          <w:p w14:paraId="5BB1C84F" w14:textId="5F00F6D5" w:rsidR="00464AFB" w:rsidRPr="00FC15F9" w:rsidRDefault="00464AFB" w:rsidP="00F06535">
            <w:pPr>
              <w:pStyle w:val="NormalWeb"/>
              <w:spacing w:before="0" w:beforeAutospacing="0" w:after="0" w:afterAutospacing="0"/>
            </w:pPr>
            <w:r w:rsidRPr="00FC15F9">
              <w:t xml:space="preserve">Izmaiņas salīdzinot ar </w:t>
            </w:r>
            <w:r w:rsidR="00F81113">
              <w:t>201</w:t>
            </w:r>
            <w:r w:rsidR="00F06535">
              <w:t>8</w:t>
            </w:r>
            <w:r w:rsidR="00944BE8">
              <w:t>.</w:t>
            </w:r>
            <w:r w:rsidRPr="00FC15F9">
              <w:t xml:space="preserve"> gadu</w:t>
            </w:r>
          </w:p>
        </w:tc>
        <w:tc>
          <w:tcPr>
            <w:tcW w:w="1100" w:type="pct"/>
            <w:shd w:val="clear" w:color="auto" w:fill="auto"/>
          </w:tcPr>
          <w:p w14:paraId="4E5E626E" w14:textId="430A3474" w:rsidR="00464AFB" w:rsidRPr="00FC15F9" w:rsidRDefault="00464AFB" w:rsidP="00F06535">
            <w:pPr>
              <w:pStyle w:val="NormalWeb"/>
              <w:spacing w:before="0" w:beforeAutospacing="0" w:after="0" w:afterAutospacing="0"/>
            </w:pPr>
            <w:r w:rsidRPr="00FC15F9">
              <w:t xml:space="preserve">Izmaiņas salīdzinot ar </w:t>
            </w:r>
            <w:r w:rsidR="00F81113">
              <w:t>201</w:t>
            </w:r>
            <w:r w:rsidR="00F06535">
              <w:t>8</w:t>
            </w:r>
            <w:r w:rsidR="00944BE8">
              <w:t>.</w:t>
            </w:r>
            <w:r w:rsidRPr="00FC15F9">
              <w:t xml:space="preserve"> gadu</w:t>
            </w:r>
          </w:p>
        </w:tc>
      </w:tr>
      <w:tr w:rsidR="00464AFB" w:rsidRPr="00FC15F9" w14:paraId="5FF56086" w14:textId="77777777" w:rsidTr="00A831C2">
        <w:tc>
          <w:tcPr>
            <w:tcW w:w="1185" w:type="pct"/>
            <w:shd w:val="clear" w:color="auto" w:fill="auto"/>
          </w:tcPr>
          <w:p w14:paraId="228A8CCC" w14:textId="77777777" w:rsidR="00464AFB" w:rsidRPr="00FC15F9" w:rsidRDefault="00464AFB" w:rsidP="0095368C">
            <w:pPr>
              <w:pStyle w:val="NormalWeb"/>
              <w:spacing w:before="0" w:beforeAutospacing="0" w:after="0" w:afterAutospacing="0"/>
              <w:jc w:val="left"/>
            </w:pPr>
            <w:r w:rsidRPr="00FC15F9">
              <w:t>1</w:t>
            </w:r>
          </w:p>
        </w:tc>
        <w:tc>
          <w:tcPr>
            <w:tcW w:w="642" w:type="pct"/>
            <w:shd w:val="clear" w:color="auto" w:fill="auto"/>
          </w:tcPr>
          <w:p w14:paraId="38482110" w14:textId="77777777" w:rsidR="00464AFB" w:rsidRPr="00FC15F9" w:rsidRDefault="00464AFB" w:rsidP="00464AFB">
            <w:pPr>
              <w:pStyle w:val="NormalWeb"/>
              <w:spacing w:before="0" w:beforeAutospacing="0" w:after="0" w:afterAutospacing="0"/>
            </w:pPr>
            <w:r w:rsidRPr="00FC15F9">
              <w:t>2</w:t>
            </w:r>
          </w:p>
        </w:tc>
        <w:tc>
          <w:tcPr>
            <w:tcW w:w="701" w:type="pct"/>
            <w:shd w:val="clear" w:color="auto" w:fill="auto"/>
          </w:tcPr>
          <w:p w14:paraId="42292A12" w14:textId="77777777" w:rsidR="00464AFB" w:rsidRPr="00FC15F9" w:rsidRDefault="00464AFB" w:rsidP="00464AFB">
            <w:pPr>
              <w:pStyle w:val="NormalWeb"/>
              <w:spacing w:before="0" w:beforeAutospacing="0" w:after="0" w:afterAutospacing="0"/>
            </w:pPr>
            <w:r w:rsidRPr="00FC15F9">
              <w:t>3</w:t>
            </w:r>
          </w:p>
        </w:tc>
        <w:tc>
          <w:tcPr>
            <w:tcW w:w="687" w:type="pct"/>
            <w:shd w:val="clear" w:color="auto" w:fill="auto"/>
          </w:tcPr>
          <w:p w14:paraId="403FC46A" w14:textId="77777777" w:rsidR="00464AFB" w:rsidRPr="00FC15F9" w:rsidRDefault="00464AFB" w:rsidP="00464AFB">
            <w:pPr>
              <w:pStyle w:val="NormalWeb"/>
              <w:spacing w:before="0" w:beforeAutospacing="0" w:after="0" w:afterAutospacing="0"/>
            </w:pPr>
            <w:r w:rsidRPr="00FC15F9">
              <w:t>4</w:t>
            </w:r>
          </w:p>
        </w:tc>
        <w:tc>
          <w:tcPr>
            <w:tcW w:w="685" w:type="pct"/>
            <w:shd w:val="clear" w:color="auto" w:fill="auto"/>
          </w:tcPr>
          <w:p w14:paraId="695EE21C" w14:textId="77777777" w:rsidR="00464AFB" w:rsidRPr="00FC15F9" w:rsidRDefault="00464AFB" w:rsidP="00464AFB">
            <w:pPr>
              <w:pStyle w:val="NormalWeb"/>
              <w:spacing w:before="0" w:beforeAutospacing="0" w:after="0" w:afterAutospacing="0"/>
            </w:pPr>
            <w:r w:rsidRPr="00FC15F9">
              <w:t>5</w:t>
            </w:r>
          </w:p>
        </w:tc>
        <w:tc>
          <w:tcPr>
            <w:tcW w:w="1100" w:type="pct"/>
            <w:shd w:val="clear" w:color="auto" w:fill="auto"/>
          </w:tcPr>
          <w:p w14:paraId="78153093" w14:textId="77777777" w:rsidR="00464AFB" w:rsidRPr="00FC15F9" w:rsidRDefault="00464AFB" w:rsidP="00464AFB">
            <w:pPr>
              <w:pStyle w:val="NormalWeb"/>
              <w:spacing w:before="0" w:beforeAutospacing="0" w:after="0" w:afterAutospacing="0"/>
            </w:pPr>
            <w:r w:rsidRPr="00FC15F9">
              <w:t>6</w:t>
            </w:r>
          </w:p>
        </w:tc>
      </w:tr>
      <w:tr w:rsidR="00A55B36" w:rsidRPr="00FC15F9" w14:paraId="4900D629" w14:textId="77777777" w:rsidTr="008A3648">
        <w:tc>
          <w:tcPr>
            <w:tcW w:w="1185" w:type="pct"/>
            <w:shd w:val="clear" w:color="auto" w:fill="auto"/>
          </w:tcPr>
          <w:p w14:paraId="6384EEE3" w14:textId="77777777" w:rsidR="00A55B36" w:rsidRPr="00FC15F9" w:rsidRDefault="00A55B36" w:rsidP="0095368C">
            <w:pPr>
              <w:pStyle w:val="NormalWeb"/>
              <w:spacing w:before="0" w:beforeAutospacing="0" w:after="0" w:afterAutospacing="0"/>
              <w:jc w:val="left"/>
            </w:pPr>
            <w:r w:rsidRPr="00FC15F9">
              <w:t>1.Budžeta ieņēmumi:</w:t>
            </w:r>
          </w:p>
        </w:tc>
        <w:tc>
          <w:tcPr>
            <w:tcW w:w="642" w:type="pct"/>
            <w:shd w:val="clear" w:color="auto" w:fill="auto"/>
            <w:vAlign w:val="center"/>
          </w:tcPr>
          <w:p w14:paraId="7DCD5E1E" w14:textId="77777777" w:rsidR="00A55B36" w:rsidRPr="00FC15F9" w:rsidRDefault="00411A88" w:rsidP="00A7792A">
            <w:pPr>
              <w:pStyle w:val="NormalWeb"/>
              <w:spacing w:before="0" w:beforeAutospacing="0" w:after="0" w:afterAutospacing="0"/>
              <w:jc w:val="center"/>
            </w:pPr>
            <w:r>
              <w:t>0</w:t>
            </w:r>
          </w:p>
        </w:tc>
        <w:tc>
          <w:tcPr>
            <w:tcW w:w="701" w:type="pct"/>
            <w:shd w:val="clear" w:color="auto" w:fill="auto"/>
            <w:vAlign w:val="center"/>
          </w:tcPr>
          <w:p w14:paraId="4AA09511" w14:textId="4914B933" w:rsidR="00A55B36" w:rsidRPr="00FC15F9" w:rsidRDefault="00411A88" w:rsidP="00464AFB">
            <w:pPr>
              <w:pStyle w:val="NormalWeb"/>
              <w:spacing w:before="0" w:beforeAutospacing="0" w:after="0" w:afterAutospacing="0"/>
            </w:pPr>
            <w:r>
              <w:t>4 000 000</w:t>
            </w:r>
          </w:p>
        </w:tc>
        <w:tc>
          <w:tcPr>
            <w:tcW w:w="687" w:type="pct"/>
            <w:shd w:val="clear" w:color="auto" w:fill="auto"/>
            <w:vAlign w:val="center"/>
          </w:tcPr>
          <w:p w14:paraId="0D8383DF" w14:textId="798B0F44" w:rsidR="00A55B36" w:rsidRPr="00FC15F9" w:rsidRDefault="00A55B36" w:rsidP="001E0B2F">
            <w:r>
              <w:t>2</w:t>
            </w:r>
            <w:r w:rsidR="001E0B2F">
              <w:t xml:space="preserve"> </w:t>
            </w:r>
            <w:r>
              <w:t>0</w:t>
            </w:r>
            <w:r w:rsidRPr="00FC15F9">
              <w:t>00 000</w:t>
            </w:r>
          </w:p>
        </w:tc>
        <w:tc>
          <w:tcPr>
            <w:tcW w:w="685" w:type="pct"/>
            <w:shd w:val="clear" w:color="auto" w:fill="auto"/>
            <w:vAlign w:val="center"/>
          </w:tcPr>
          <w:p w14:paraId="0966BB8F" w14:textId="77777777" w:rsidR="00A55B36" w:rsidRPr="00FC15F9" w:rsidRDefault="00A55B36" w:rsidP="00464AFB">
            <w:pPr>
              <w:rPr>
                <w:rFonts w:ascii="Calibri" w:hAnsi="Calibri"/>
                <w:color w:val="000000"/>
                <w:sz w:val="22"/>
                <w:szCs w:val="22"/>
              </w:rPr>
            </w:pPr>
            <w:r>
              <w:t>2</w:t>
            </w:r>
            <w:r w:rsidRPr="00FC15F9">
              <w:t> </w:t>
            </w:r>
            <w:r>
              <w:t>0</w:t>
            </w:r>
            <w:r w:rsidRPr="00FC15F9">
              <w:t>00 000</w:t>
            </w:r>
          </w:p>
        </w:tc>
        <w:tc>
          <w:tcPr>
            <w:tcW w:w="1100" w:type="pct"/>
            <w:shd w:val="clear" w:color="auto" w:fill="auto"/>
            <w:vAlign w:val="center"/>
          </w:tcPr>
          <w:p w14:paraId="4536239B" w14:textId="66D5AEB1" w:rsidR="00A55B36" w:rsidRPr="00FC15F9" w:rsidRDefault="001E0B2F" w:rsidP="00A7792A">
            <w:pPr>
              <w:jc w:val="center"/>
              <w:rPr>
                <w:rFonts w:ascii="Calibri" w:hAnsi="Calibri"/>
                <w:color w:val="000000"/>
                <w:sz w:val="22"/>
                <w:szCs w:val="22"/>
              </w:rPr>
            </w:pPr>
            <w:r>
              <w:t>0</w:t>
            </w:r>
          </w:p>
        </w:tc>
      </w:tr>
      <w:tr w:rsidR="00A55B36" w:rsidRPr="00FC15F9" w14:paraId="7DBD0EB9" w14:textId="77777777" w:rsidTr="008A3648">
        <w:tc>
          <w:tcPr>
            <w:tcW w:w="1185" w:type="pct"/>
            <w:shd w:val="clear" w:color="auto" w:fill="auto"/>
          </w:tcPr>
          <w:p w14:paraId="4024CF77" w14:textId="77777777" w:rsidR="00A55B36" w:rsidRPr="00FC15F9" w:rsidRDefault="00A55B36" w:rsidP="0095368C">
            <w:pPr>
              <w:autoSpaceDE w:val="0"/>
              <w:autoSpaceDN w:val="0"/>
              <w:adjustRightInd w:val="0"/>
              <w:jc w:val="left"/>
            </w:pPr>
            <w:r w:rsidRPr="00FC15F9">
              <w:t>1.1. valsts pamatbudžets, tai skaitā</w:t>
            </w:r>
          </w:p>
          <w:p w14:paraId="5F37E9A3" w14:textId="77777777" w:rsidR="00A55B36" w:rsidRPr="00FC15F9" w:rsidRDefault="00A55B36" w:rsidP="0095368C">
            <w:pPr>
              <w:autoSpaceDE w:val="0"/>
              <w:autoSpaceDN w:val="0"/>
              <w:adjustRightInd w:val="0"/>
              <w:jc w:val="left"/>
            </w:pPr>
            <w:r w:rsidRPr="00FC15F9">
              <w:t>ieņēmumi no maksas pakalpojumiem un citi</w:t>
            </w:r>
          </w:p>
          <w:p w14:paraId="7F0AF125" w14:textId="77777777" w:rsidR="00A55B36" w:rsidRPr="00FC15F9" w:rsidRDefault="00A55B36" w:rsidP="0095368C">
            <w:pPr>
              <w:pStyle w:val="NormalWeb"/>
              <w:spacing w:before="0" w:beforeAutospacing="0" w:after="0" w:afterAutospacing="0"/>
              <w:jc w:val="left"/>
            </w:pPr>
            <w:r w:rsidRPr="00FC15F9">
              <w:lastRenderedPageBreak/>
              <w:t>pašu ieņēmumi</w:t>
            </w:r>
          </w:p>
        </w:tc>
        <w:tc>
          <w:tcPr>
            <w:tcW w:w="642" w:type="pct"/>
            <w:shd w:val="clear" w:color="auto" w:fill="auto"/>
            <w:vAlign w:val="center"/>
          </w:tcPr>
          <w:p w14:paraId="61D21DF6" w14:textId="77777777" w:rsidR="00A55B36" w:rsidRPr="00FC15F9" w:rsidRDefault="00411A88" w:rsidP="00A55B36">
            <w:pPr>
              <w:pStyle w:val="NormalWeb"/>
              <w:spacing w:before="0" w:beforeAutospacing="0" w:after="0" w:afterAutospacing="0"/>
              <w:jc w:val="center"/>
            </w:pPr>
            <w:r>
              <w:lastRenderedPageBreak/>
              <w:t>0</w:t>
            </w:r>
          </w:p>
        </w:tc>
        <w:tc>
          <w:tcPr>
            <w:tcW w:w="701" w:type="pct"/>
            <w:shd w:val="clear" w:color="auto" w:fill="auto"/>
            <w:vAlign w:val="center"/>
          </w:tcPr>
          <w:p w14:paraId="54D45A94" w14:textId="3B11A881" w:rsidR="00A55B36" w:rsidRPr="00FC15F9" w:rsidRDefault="00411A88" w:rsidP="00464AFB">
            <w:pPr>
              <w:pStyle w:val="NormalWeb"/>
              <w:spacing w:before="0" w:beforeAutospacing="0" w:after="0" w:afterAutospacing="0"/>
            </w:pPr>
            <w:r>
              <w:t>4 000 000</w:t>
            </w:r>
          </w:p>
        </w:tc>
        <w:tc>
          <w:tcPr>
            <w:tcW w:w="687" w:type="pct"/>
            <w:shd w:val="clear" w:color="auto" w:fill="auto"/>
            <w:vAlign w:val="center"/>
          </w:tcPr>
          <w:p w14:paraId="71A3D566" w14:textId="642D03F5" w:rsidR="00A55B36" w:rsidRPr="00FC15F9" w:rsidRDefault="00A55B36" w:rsidP="00464AFB">
            <w:r>
              <w:t>2</w:t>
            </w:r>
            <w:r w:rsidRPr="00FC15F9">
              <w:t> </w:t>
            </w:r>
            <w:r>
              <w:t>0</w:t>
            </w:r>
            <w:r w:rsidRPr="00FC15F9">
              <w:t>00 000</w:t>
            </w:r>
          </w:p>
        </w:tc>
        <w:tc>
          <w:tcPr>
            <w:tcW w:w="685" w:type="pct"/>
            <w:shd w:val="clear" w:color="auto" w:fill="auto"/>
            <w:vAlign w:val="center"/>
          </w:tcPr>
          <w:p w14:paraId="353EB100" w14:textId="77777777" w:rsidR="00A55B36" w:rsidRPr="00FC15F9" w:rsidRDefault="00A55B36" w:rsidP="00464AFB">
            <w:r>
              <w:t>2</w:t>
            </w:r>
            <w:r w:rsidRPr="00FC15F9">
              <w:t> </w:t>
            </w:r>
            <w:r>
              <w:t>0</w:t>
            </w:r>
            <w:r w:rsidRPr="00FC15F9">
              <w:t>00 000</w:t>
            </w:r>
          </w:p>
        </w:tc>
        <w:tc>
          <w:tcPr>
            <w:tcW w:w="1100" w:type="pct"/>
            <w:shd w:val="clear" w:color="auto" w:fill="auto"/>
            <w:vAlign w:val="center"/>
          </w:tcPr>
          <w:p w14:paraId="41192C16" w14:textId="2E9BBA68" w:rsidR="00A55B36" w:rsidRPr="00FC15F9" w:rsidRDefault="001E0B2F" w:rsidP="00A7792A">
            <w:pPr>
              <w:jc w:val="center"/>
            </w:pPr>
            <w:r>
              <w:t>0</w:t>
            </w:r>
          </w:p>
        </w:tc>
      </w:tr>
      <w:tr w:rsidR="00464AFB" w:rsidRPr="00FC15F9" w14:paraId="132DB266" w14:textId="77777777" w:rsidTr="008A3648">
        <w:tc>
          <w:tcPr>
            <w:tcW w:w="1185" w:type="pct"/>
            <w:shd w:val="clear" w:color="auto" w:fill="auto"/>
          </w:tcPr>
          <w:p w14:paraId="58EABB07" w14:textId="77777777" w:rsidR="00464AFB" w:rsidRPr="00FC15F9" w:rsidRDefault="00464AFB" w:rsidP="0095368C">
            <w:pPr>
              <w:pStyle w:val="NormalWeb"/>
              <w:spacing w:before="0" w:beforeAutospacing="0" w:after="0" w:afterAutospacing="0"/>
              <w:jc w:val="left"/>
            </w:pPr>
            <w:r w:rsidRPr="00FC15F9">
              <w:t>1.2. valsts speciālais budžets</w:t>
            </w:r>
          </w:p>
        </w:tc>
        <w:tc>
          <w:tcPr>
            <w:tcW w:w="642" w:type="pct"/>
            <w:shd w:val="clear" w:color="auto" w:fill="auto"/>
            <w:vAlign w:val="center"/>
          </w:tcPr>
          <w:p w14:paraId="4015E411" w14:textId="77777777" w:rsidR="00464AFB" w:rsidRPr="00FC15F9" w:rsidRDefault="00E56857" w:rsidP="00DB2813">
            <w:pPr>
              <w:pStyle w:val="NormalWeb"/>
              <w:spacing w:before="0" w:beforeAutospacing="0" w:after="0" w:afterAutospacing="0"/>
              <w:jc w:val="center"/>
            </w:pPr>
            <w:r>
              <w:t>0</w:t>
            </w:r>
          </w:p>
        </w:tc>
        <w:tc>
          <w:tcPr>
            <w:tcW w:w="701" w:type="pct"/>
            <w:shd w:val="clear" w:color="auto" w:fill="auto"/>
            <w:vAlign w:val="center"/>
          </w:tcPr>
          <w:p w14:paraId="22DB48ED" w14:textId="77777777" w:rsidR="00464AFB" w:rsidRPr="00FC15F9" w:rsidRDefault="00E56857" w:rsidP="00DB2813">
            <w:pPr>
              <w:pStyle w:val="NormalWeb"/>
              <w:spacing w:before="0" w:beforeAutospacing="0" w:after="0" w:afterAutospacing="0"/>
              <w:jc w:val="center"/>
            </w:pPr>
            <w:r>
              <w:t>0</w:t>
            </w:r>
          </w:p>
        </w:tc>
        <w:tc>
          <w:tcPr>
            <w:tcW w:w="687" w:type="pct"/>
            <w:shd w:val="clear" w:color="auto" w:fill="auto"/>
            <w:vAlign w:val="center"/>
          </w:tcPr>
          <w:p w14:paraId="51898363" w14:textId="77777777" w:rsidR="00464AFB" w:rsidRPr="00FC15F9" w:rsidRDefault="00E56857" w:rsidP="00DB2813">
            <w:pPr>
              <w:pStyle w:val="NormalWeb"/>
              <w:spacing w:before="0" w:beforeAutospacing="0" w:after="0" w:afterAutospacing="0"/>
              <w:jc w:val="center"/>
            </w:pPr>
            <w:r>
              <w:t>0</w:t>
            </w:r>
          </w:p>
        </w:tc>
        <w:tc>
          <w:tcPr>
            <w:tcW w:w="685" w:type="pct"/>
            <w:shd w:val="clear" w:color="auto" w:fill="auto"/>
            <w:vAlign w:val="center"/>
          </w:tcPr>
          <w:p w14:paraId="23825E42" w14:textId="77777777" w:rsidR="00464AFB" w:rsidRPr="00FC15F9" w:rsidRDefault="00E56857" w:rsidP="00DB2813">
            <w:pPr>
              <w:pStyle w:val="NormalWeb"/>
              <w:spacing w:before="0" w:beforeAutospacing="0" w:after="0" w:afterAutospacing="0"/>
              <w:jc w:val="center"/>
            </w:pPr>
            <w:r>
              <w:t>0</w:t>
            </w:r>
          </w:p>
        </w:tc>
        <w:tc>
          <w:tcPr>
            <w:tcW w:w="1100" w:type="pct"/>
            <w:shd w:val="clear" w:color="auto" w:fill="auto"/>
            <w:vAlign w:val="center"/>
          </w:tcPr>
          <w:p w14:paraId="5B66D607" w14:textId="77777777" w:rsidR="00464AFB" w:rsidRPr="00FC15F9" w:rsidRDefault="00E56857" w:rsidP="00DB2813">
            <w:pPr>
              <w:pStyle w:val="NormalWeb"/>
              <w:spacing w:before="0" w:beforeAutospacing="0" w:after="0" w:afterAutospacing="0"/>
              <w:jc w:val="center"/>
            </w:pPr>
            <w:r>
              <w:t>0</w:t>
            </w:r>
          </w:p>
        </w:tc>
      </w:tr>
      <w:tr w:rsidR="00464AFB" w:rsidRPr="00FC15F9" w14:paraId="39DC3811" w14:textId="77777777" w:rsidTr="008A3648">
        <w:tc>
          <w:tcPr>
            <w:tcW w:w="1185" w:type="pct"/>
            <w:shd w:val="clear" w:color="auto" w:fill="auto"/>
          </w:tcPr>
          <w:p w14:paraId="5B219D17" w14:textId="77777777" w:rsidR="00464AFB" w:rsidRPr="00FC15F9" w:rsidRDefault="00464AFB" w:rsidP="0095368C">
            <w:pPr>
              <w:pStyle w:val="NormalWeb"/>
              <w:spacing w:before="0" w:beforeAutospacing="0" w:after="0" w:afterAutospacing="0"/>
              <w:jc w:val="left"/>
            </w:pPr>
            <w:r w:rsidRPr="00FC15F9">
              <w:t>1.3. pašvaldību budžets</w:t>
            </w:r>
          </w:p>
        </w:tc>
        <w:tc>
          <w:tcPr>
            <w:tcW w:w="642" w:type="pct"/>
            <w:shd w:val="clear" w:color="auto" w:fill="auto"/>
            <w:vAlign w:val="center"/>
          </w:tcPr>
          <w:p w14:paraId="33945160" w14:textId="77777777" w:rsidR="00464AFB" w:rsidRPr="00FC15F9" w:rsidRDefault="00E56857" w:rsidP="00DB2813">
            <w:pPr>
              <w:pStyle w:val="NormalWeb"/>
              <w:spacing w:before="0" w:beforeAutospacing="0" w:after="0" w:afterAutospacing="0"/>
              <w:jc w:val="center"/>
            </w:pPr>
            <w:r>
              <w:t>0</w:t>
            </w:r>
          </w:p>
        </w:tc>
        <w:tc>
          <w:tcPr>
            <w:tcW w:w="701" w:type="pct"/>
            <w:shd w:val="clear" w:color="auto" w:fill="auto"/>
            <w:vAlign w:val="center"/>
          </w:tcPr>
          <w:p w14:paraId="5C02976E" w14:textId="77777777" w:rsidR="00464AFB" w:rsidRPr="00FC15F9" w:rsidRDefault="00E56857" w:rsidP="00DB2813">
            <w:pPr>
              <w:pStyle w:val="NormalWeb"/>
              <w:spacing w:before="0" w:beforeAutospacing="0" w:after="0" w:afterAutospacing="0"/>
              <w:jc w:val="center"/>
            </w:pPr>
            <w:r>
              <w:t>0</w:t>
            </w:r>
          </w:p>
        </w:tc>
        <w:tc>
          <w:tcPr>
            <w:tcW w:w="687" w:type="pct"/>
            <w:shd w:val="clear" w:color="auto" w:fill="auto"/>
            <w:vAlign w:val="center"/>
          </w:tcPr>
          <w:p w14:paraId="6A7842B5" w14:textId="77777777" w:rsidR="00464AFB" w:rsidRPr="00FC15F9" w:rsidRDefault="00E56857" w:rsidP="00DB2813">
            <w:pPr>
              <w:pStyle w:val="NormalWeb"/>
              <w:spacing w:before="0" w:beforeAutospacing="0" w:after="0" w:afterAutospacing="0"/>
              <w:jc w:val="center"/>
            </w:pPr>
            <w:r>
              <w:t>0</w:t>
            </w:r>
          </w:p>
        </w:tc>
        <w:tc>
          <w:tcPr>
            <w:tcW w:w="685" w:type="pct"/>
            <w:shd w:val="clear" w:color="auto" w:fill="auto"/>
            <w:vAlign w:val="center"/>
          </w:tcPr>
          <w:p w14:paraId="22A3FB3D" w14:textId="77777777" w:rsidR="00464AFB" w:rsidRPr="00FC15F9" w:rsidRDefault="00E56857" w:rsidP="00DB2813">
            <w:pPr>
              <w:pStyle w:val="NormalWeb"/>
              <w:spacing w:before="0" w:beforeAutospacing="0" w:after="0" w:afterAutospacing="0"/>
              <w:jc w:val="center"/>
            </w:pPr>
            <w:r>
              <w:t>0</w:t>
            </w:r>
          </w:p>
        </w:tc>
        <w:tc>
          <w:tcPr>
            <w:tcW w:w="1100" w:type="pct"/>
            <w:shd w:val="clear" w:color="auto" w:fill="auto"/>
            <w:vAlign w:val="center"/>
          </w:tcPr>
          <w:p w14:paraId="07EA12B4" w14:textId="77777777" w:rsidR="00464AFB" w:rsidRPr="00FC15F9" w:rsidRDefault="00E56857" w:rsidP="00DB2813">
            <w:pPr>
              <w:pStyle w:val="NormalWeb"/>
              <w:spacing w:before="0" w:beforeAutospacing="0" w:after="0" w:afterAutospacing="0"/>
              <w:jc w:val="center"/>
            </w:pPr>
            <w:r>
              <w:t>0</w:t>
            </w:r>
          </w:p>
        </w:tc>
      </w:tr>
      <w:tr w:rsidR="00927D2D" w:rsidRPr="00FC15F9" w14:paraId="7A5DDAB0" w14:textId="77777777" w:rsidTr="008A3648">
        <w:tc>
          <w:tcPr>
            <w:tcW w:w="1185" w:type="pct"/>
            <w:shd w:val="clear" w:color="auto" w:fill="auto"/>
          </w:tcPr>
          <w:p w14:paraId="505FB240" w14:textId="77777777" w:rsidR="00927D2D" w:rsidRPr="00FC15F9" w:rsidRDefault="00927D2D" w:rsidP="00927D2D">
            <w:pPr>
              <w:pStyle w:val="NormalWeb"/>
              <w:spacing w:before="0" w:beforeAutospacing="0" w:after="0" w:afterAutospacing="0"/>
              <w:jc w:val="left"/>
            </w:pPr>
            <w:r w:rsidRPr="00FC15F9">
              <w:t>2. Budžeta izdevumi:</w:t>
            </w:r>
          </w:p>
        </w:tc>
        <w:tc>
          <w:tcPr>
            <w:tcW w:w="642" w:type="pct"/>
            <w:shd w:val="clear" w:color="auto" w:fill="auto"/>
            <w:vAlign w:val="center"/>
          </w:tcPr>
          <w:p w14:paraId="0246256F" w14:textId="77777777" w:rsidR="00927D2D" w:rsidRPr="00A55B36" w:rsidRDefault="00411A88" w:rsidP="00A831C2">
            <w:pPr>
              <w:pStyle w:val="NormalWeb"/>
              <w:spacing w:before="0" w:beforeAutospacing="0" w:after="0" w:afterAutospacing="0"/>
              <w:jc w:val="center"/>
            </w:pPr>
            <w:r>
              <w:t>0</w:t>
            </w:r>
          </w:p>
        </w:tc>
        <w:tc>
          <w:tcPr>
            <w:tcW w:w="701" w:type="pct"/>
            <w:shd w:val="clear" w:color="auto" w:fill="auto"/>
            <w:vAlign w:val="center"/>
          </w:tcPr>
          <w:p w14:paraId="5816C12E" w14:textId="462BBAC9" w:rsidR="00927D2D" w:rsidRPr="00A55B36" w:rsidRDefault="001D5B74" w:rsidP="00927D2D">
            <w:pPr>
              <w:jc w:val="center"/>
            </w:pPr>
            <w:r>
              <w:t>5 714 286</w:t>
            </w:r>
          </w:p>
        </w:tc>
        <w:tc>
          <w:tcPr>
            <w:tcW w:w="687" w:type="pct"/>
            <w:shd w:val="clear" w:color="auto" w:fill="auto"/>
            <w:vAlign w:val="center"/>
          </w:tcPr>
          <w:p w14:paraId="7BFDE1D8" w14:textId="274AF628" w:rsidR="00927D2D" w:rsidRPr="00A55B36" w:rsidRDefault="00487117" w:rsidP="000743A4">
            <w:pPr>
              <w:jc w:val="center"/>
            </w:pPr>
            <w:r w:rsidRPr="00A55B36">
              <w:t>2</w:t>
            </w:r>
            <w:r w:rsidR="00A831C2" w:rsidRPr="00A55B36">
              <w:t> </w:t>
            </w:r>
            <w:r w:rsidR="001D5B74">
              <w:t>857 143</w:t>
            </w:r>
          </w:p>
        </w:tc>
        <w:tc>
          <w:tcPr>
            <w:tcW w:w="685" w:type="pct"/>
            <w:shd w:val="clear" w:color="auto" w:fill="auto"/>
            <w:vAlign w:val="center"/>
          </w:tcPr>
          <w:p w14:paraId="55CE0E08" w14:textId="7876EC70" w:rsidR="00927D2D" w:rsidRPr="00A55B36" w:rsidRDefault="00B77AB0" w:rsidP="001D5B74">
            <w:pPr>
              <w:jc w:val="center"/>
            </w:pPr>
            <w:r>
              <w:t xml:space="preserve">  </w:t>
            </w:r>
            <w:r w:rsidR="001D5B74">
              <w:t>2</w:t>
            </w:r>
            <w:r>
              <w:t xml:space="preserve"> </w:t>
            </w:r>
            <w:r w:rsidR="001D5B74">
              <w:t>857 143</w:t>
            </w:r>
          </w:p>
        </w:tc>
        <w:tc>
          <w:tcPr>
            <w:tcW w:w="1100" w:type="pct"/>
            <w:shd w:val="clear" w:color="auto" w:fill="auto"/>
            <w:vAlign w:val="center"/>
          </w:tcPr>
          <w:p w14:paraId="5CFD3EC4" w14:textId="05598CB0" w:rsidR="00927D2D" w:rsidRPr="00A55B36" w:rsidRDefault="00B77AB0" w:rsidP="00927D2D">
            <w:pPr>
              <w:jc w:val="center"/>
            </w:pPr>
            <w:r>
              <w:t>0</w:t>
            </w:r>
          </w:p>
        </w:tc>
      </w:tr>
      <w:tr w:rsidR="00927D2D" w:rsidRPr="00FC15F9" w14:paraId="1AB49936" w14:textId="77777777" w:rsidTr="008A3648">
        <w:tc>
          <w:tcPr>
            <w:tcW w:w="1185" w:type="pct"/>
            <w:shd w:val="clear" w:color="auto" w:fill="auto"/>
          </w:tcPr>
          <w:p w14:paraId="7D9B8AF1" w14:textId="04DCE531" w:rsidR="00927D2D" w:rsidRPr="00FC15F9" w:rsidRDefault="00927D2D" w:rsidP="00927D2D">
            <w:pPr>
              <w:pStyle w:val="NormalWeb"/>
              <w:spacing w:before="0" w:beforeAutospacing="0" w:after="0" w:afterAutospacing="0"/>
              <w:jc w:val="left"/>
            </w:pPr>
            <w:r w:rsidRPr="00FC15F9">
              <w:t>2.1. valsts pamatbudžets</w:t>
            </w:r>
          </w:p>
        </w:tc>
        <w:tc>
          <w:tcPr>
            <w:tcW w:w="642" w:type="pct"/>
            <w:shd w:val="clear" w:color="auto" w:fill="auto"/>
            <w:vAlign w:val="center"/>
          </w:tcPr>
          <w:p w14:paraId="532E4D3D" w14:textId="77777777" w:rsidR="00927D2D" w:rsidRPr="00A55B36" w:rsidRDefault="00411A88" w:rsidP="00C4531B">
            <w:pPr>
              <w:pStyle w:val="NormalWeb"/>
              <w:spacing w:before="0" w:beforeAutospacing="0" w:after="0" w:afterAutospacing="0"/>
              <w:jc w:val="center"/>
            </w:pPr>
            <w:r>
              <w:t>0</w:t>
            </w:r>
          </w:p>
        </w:tc>
        <w:tc>
          <w:tcPr>
            <w:tcW w:w="701" w:type="pct"/>
            <w:shd w:val="clear" w:color="auto" w:fill="auto"/>
            <w:vAlign w:val="center"/>
          </w:tcPr>
          <w:p w14:paraId="32560995" w14:textId="16A98491" w:rsidR="00927D2D" w:rsidRPr="00A55B36" w:rsidRDefault="00411A88" w:rsidP="00927D2D">
            <w:pPr>
              <w:jc w:val="center"/>
            </w:pPr>
            <w:r>
              <w:t>4 000 000</w:t>
            </w:r>
          </w:p>
        </w:tc>
        <w:tc>
          <w:tcPr>
            <w:tcW w:w="687" w:type="pct"/>
            <w:shd w:val="clear" w:color="auto" w:fill="auto"/>
            <w:vAlign w:val="center"/>
          </w:tcPr>
          <w:p w14:paraId="29BA6C9A" w14:textId="5776FA0D" w:rsidR="00927D2D" w:rsidRPr="00A55B36" w:rsidRDefault="00B77AB0" w:rsidP="00487117">
            <w:pPr>
              <w:jc w:val="center"/>
            </w:pPr>
            <w:r>
              <w:t>2</w:t>
            </w:r>
            <w:r w:rsidR="00487117" w:rsidRPr="00A55B36">
              <w:t> 000 000</w:t>
            </w:r>
          </w:p>
        </w:tc>
        <w:tc>
          <w:tcPr>
            <w:tcW w:w="685" w:type="pct"/>
            <w:shd w:val="clear" w:color="auto" w:fill="auto"/>
            <w:vAlign w:val="center"/>
          </w:tcPr>
          <w:p w14:paraId="6FE510C1" w14:textId="77777777" w:rsidR="00927D2D" w:rsidRPr="00A55B36" w:rsidRDefault="00487117" w:rsidP="00487117">
            <w:pPr>
              <w:jc w:val="center"/>
            </w:pPr>
            <w:r w:rsidRPr="00A55B36">
              <w:t>2 000 000</w:t>
            </w:r>
          </w:p>
        </w:tc>
        <w:tc>
          <w:tcPr>
            <w:tcW w:w="1100" w:type="pct"/>
            <w:shd w:val="clear" w:color="auto" w:fill="auto"/>
            <w:vAlign w:val="center"/>
          </w:tcPr>
          <w:p w14:paraId="41C0C0E3" w14:textId="0A63B4D2" w:rsidR="00927D2D" w:rsidRPr="00A55B36" w:rsidRDefault="00B77AB0" w:rsidP="00927D2D">
            <w:pPr>
              <w:jc w:val="center"/>
            </w:pPr>
            <w:r>
              <w:t>0</w:t>
            </w:r>
          </w:p>
        </w:tc>
      </w:tr>
      <w:tr w:rsidR="00927D2D" w:rsidRPr="00FC15F9" w14:paraId="7C714D08" w14:textId="77777777" w:rsidTr="008A3648">
        <w:tc>
          <w:tcPr>
            <w:tcW w:w="1185" w:type="pct"/>
            <w:shd w:val="clear" w:color="auto" w:fill="auto"/>
          </w:tcPr>
          <w:p w14:paraId="1D6670CE" w14:textId="77777777" w:rsidR="00927D2D" w:rsidRPr="00FC15F9" w:rsidRDefault="00927D2D" w:rsidP="00927D2D">
            <w:pPr>
              <w:pStyle w:val="NormalWeb"/>
              <w:spacing w:before="0" w:beforeAutospacing="0" w:after="0" w:afterAutospacing="0"/>
              <w:jc w:val="left"/>
            </w:pPr>
            <w:r w:rsidRPr="00FC15F9">
              <w:t>2.2. valsts speciālais budžets</w:t>
            </w:r>
          </w:p>
        </w:tc>
        <w:tc>
          <w:tcPr>
            <w:tcW w:w="642" w:type="pct"/>
            <w:shd w:val="clear" w:color="auto" w:fill="auto"/>
            <w:vAlign w:val="center"/>
          </w:tcPr>
          <w:p w14:paraId="7E024D8C" w14:textId="77777777" w:rsidR="00927D2D" w:rsidRPr="00A55B36" w:rsidRDefault="00E56857" w:rsidP="00DB2813">
            <w:pPr>
              <w:pStyle w:val="NormalWeb"/>
              <w:spacing w:before="0" w:beforeAutospacing="0" w:after="0" w:afterAutospacing="0"/>
              <w:jc w:val="center"/>
            </w:pPr>
            <w:r>
              <w:t>0</w:t>
            </w:r>
          </w:p>
        </w:tc>
        <w:tc>
          <w:tcPr>
            <w:tcW w:w="701" w:type="pct"/>
            <w:shd w:val="clear" w:color="auto" w:fill="auto"/>
            <w:vAlign w:val="center"/>
          </w:tcPr>
          <w:p w14:paraId="3965F556" w14:textId="77777777" w:rsidR="00927D2D" w:rsidRPr="00A55B36" w:rsidRDefault="00E56857" w:rsidP="00DB2813">
            <w:pPr>
              <w:pStyle w:val="NormalWeb"/>
              <w:spacing w:before="0" w:beforeAutospacing="0" w:after="0" w:afterAutospacing="0"/>
              <w:jc w:val="center"/>
            </w:pPr>
            <w:r>
              <w:t>0</w:t>
            </w:r>
          </w:p>
        </w:tc>
        <w:tc>
          <w:tcPr>
            <w:tcW w:w="687" w:type="pct"/>
            <w:shd w:val="clear" w:color="auto" w:fill="auto"/>
            <w:vAlign w:val="center"/>
          </w:tcPr>
          <w:p w14:paraId="1781B94A" w14:textId="77777777" w:rsidR="00927D2D" w:rsidRPr="00A55B36" w:rsidRDefault="00E56857" w:rsidP="00DB2813">
            <w:pPr>
              <w:pStyle w:val="NormalWeb"/>
              <w:spacing w:before="0" w:beforeAutospacing="0" w:after="0" w:afterAutospacing="0"/>
              <w:jc w:val="center"/>
            </w:pPr>
            <w:r>
              <w:t>0</w:t>
            </w:r>
          </w:p>
        </w:tc>
        <w:tc>
          <w:tcPr>
            <w:tcW w:w="685" w:type="pct"/>
            <w:shd w:val="clear" w:color="auto" w:fill="auto"/>
            <w:vAlign w:val="center"/>
          </w:tcPr>
          <w:p w14:paraId="66AE0593" w14:textId="77777777" w:rsidR="00927D2D" w:rsidRPr="00A55B36" w:rsidRDefault="00E56857" w:rsidP="00DB2813">
            <w:pPr>
              <w:pStyle w:val="NormalWeb"/>
              <w:spacing w:before="0" w:beforeAutospacing="0" w:after="0" w:afterAutospacing="0"/>
              <w:jc w:val="center"/>
            </w:pPr>
            <w:r>
              <w:t>0</w:t>
            </w:r>
          </w:p>
        </w:tc>
        <w:tc>
          <w:tcPr>
            <w:tcW w:w="1100" w:type="pct"/>
            <w:shd w:val="clear" w:color="auto" w:fill="auto"/>
            <w:vAlign w:val="center"/>
          </w:tcPr>
          <w:p w14:paraId="3D18D35C" w14:textId="77777777" w:rsidR="00927D2D" w:rsidRPr="00A55B36" w:rsidRDefault="00E56857" w:rsidP="00DB2813">
            <w:pPr>
              <w:pStyle w:val="NormalWeb"/>
              <w:spacing w:before="0" w:beforeAutospacing="0" w:after="0" w:afterAutospacing="0"/>
              <w:jc w:val="center"/>
            </w:pPr>
            <w:r>
              <w:t>0</w:t>
            </w:r>
          </w:p>
        </w:tc>
      </w:tr>
      <w:tr w:rsidR="00927D2D" w:rsidRPr="00FC15F9" w14:paraId="035032F8" w14:textId="77777777" w:rsidTr="008A3648">
        <w:tc>
          <w:tcPr>
            <w:tcW w:w="1185" w:type="pct"/>
            <w:shd w:val="clear" w:color="auto" w:fill="auto"/>
          </w:tcPr>
          <w:p w14:paraId="21A5193B" w14:textId="77777777" w:rsidR="00927D2D" w:rsidRPr="00311363" w:rsidRDefault="00927D2D" w:rsidP="00927D2D">
            <w:pPr>
              <w:pStyle w:val="NormalWeb"/>
              <w:spacing w:before="0" w:beforeAutospacing="0" w:after="0" w:afterAutospacing="0"/>
              <w:jc w:val="left"/>
            </w:pPr>
            <w:r w:rsidRPr="00311363">
              <w:t>2.3. pašvaldību budžets</w:t>
            </w:r>
          </w:p>
        </w:tc>
        <w:tc>
          <w:tcPr>
            <w:tcW w:w="642" w:type="pct"/>
            <w:shd w:val="clear" w:color="auto" w:fill="auto"/>
            <w:vAlign w:val="center"/>
          </w:tcPr>
          <w:p w14:paraId="55C5A082" w14:textId="77777777" w:rsidR="00927D2D" w:rsidRPr="00311363" w:rsidRDefault="00E56857" w:rsidP="00DB2813">
            <w:pPr>
              <w:pStyle w:val="NormalWeb"/>
              <w:spacing w:before="0" w:beforeAutospacing="0" w:after="0" w:afterAutospacing="0"/>
              <w:jc w:val="center"/>
            </w:pPr>
            <w:r w:rsidRPr="00311363">
              <w:t>0</w:t>
            </w:r>
          </w:p>
        </w:tc>
        <w:tc>
          <w:tcPr>
            <w:tcW w:w="701" w:type="pct"/>
            <w:shd w:val="clear" w:color="auto" w:fill="auto"/>
            <w:vAlign w:val="center"/>
          </w:tcPr>
          <w:p w14:paraId="19AB7E49" w14:textId="2E1C8593" w:rsidR="00927D2D" w:rsidRPr="00311363" w:rsidRDefault="00B77AB0" w:rsidP="00DB2813">
            <w:pPr>
              <w:pStyle w:val="NormalWeb"/>
              <w:spacing w:before="0" w:beforeAutospacing="0" w:after="0" w:afterAutospacing="0"/>
              <w:jc w:val="center"/>
            </w:pPr>
            <w:r>
              <w:t>1 714 286</w:t>
            </w:r>
          </w:p>
        </w:tc>
        <w:tc>
          <w:tcPr>
            <w:tcW w:w="687" w:type="pct"/>
            <w:shd w:val="clear" w:color="auto" w:fill="auto"/>
            <w:vAlign w:val="center"/>
          </w:tcPr>
          <w:p w14:paraId="63186EF0" w14:textId="48281DEB" w:rsidR="00927D2D" w:rsidRPr="00311363" w:rsidRDefault="001C5578" w:rsidP="00DB2813">
            <w:pPr>
              <w:pStyle w:val="NormalWeb"/>
              <w:spacing w:before="0" w:beforeAutospacing="0" w:after="0" w:afterAutospacing="0"/>
              <w:jc w:val="center"/>
            </w:pPr>
            <w:r>
              <w:t>857 143</w:t>
            </w:r>
          </w:p>
        </w:tc>
        <w:tc>
          <w:tcPr>
            <w:tcW w:w="685" w:type="pct"/>
            <w:shd w:val="clear" w:color="auto" w:fill="auto"/>
            <w:vAlign w:val="center"/>
          </w:tcPr>
          <w:p w14:paraId="3B64E4C6" w14:textId="77777777" w:rsidR="00927D2D" w:rsidRPr="00311363" w:rsidRDefault="008F2BFC" w:rsidP="00DB2813">
            <w:pPr>
              <w:pStyle w:val="NormalWeb"/>
              <w:spacing w:before="0" w:beforeAutospacing="0" w:after="0" w:afterAutospacing="0"/>
              <w:jc w:val="center"/>
            </w:pPr>
            <w:r w:rsidRPr="00311363">
              <w:t>857 143</w:t>
            </w:r>
          </w:p>
        </w:tc>
        <w:tc>
          <w:tcPr>
            <w:tcW w:w="1100" w:type="pct"/>
            <w:shd w:val="clear" w:color="auto" w:fill="auto"/>
            <w:vAlign w:val="center"/>
          </w:tcPr>
          <w:p w14:paraId="28A955E0" w14:textId="2238E0A3" w:rsidR="00927D2D" w:rsidRPr="00311363" w:rsidRDefault="00B77AB0" w:rsidP="00DB2813">
            <w:pPr>
              <w:pStyle w:val="NormalWeb"/>
              <w:spacing w:before="0" w:beforeAutospacing="0" w:after="0" w:afterAutospacing="0"/>
              <w:jc w:val="center"/>
            </w:pPr>
            <w:r>
              <w:t>0</w:t>
            </w:r>
          </w:p>
        </w:tc>
      </w:tr>
      <w:tr w:rsidR="00927D2D" w:rsidRPr="00FC15F9" w14:paraId="7B63AA84" w14:textId="77777777" w:rsidTr="008A3648">
        <w:tc>
          <w:tcPr>
            <w:tcW w:w="1185" w:type="pct"/>
            <w:shd w:val="clear" w:color="auto" w:fill="auto"/>
          </w:tcPr>
          <w:p w14:paraId="36BFF73C" w14:textId="77777777" w:rsidR="00927D2D" w:rsidRPr="00311363" w:rsidRDefault="00927D2D" w:rsidP="00927D2D">
            <w:pPr>
              <w:pStyle w:val="NormalWeb"/>
              <w:spacing w:before="0" w:beforeAutospacing="0" w:after="0" w:afterAutospacing="0"/>
              <w:jc w:val="left"/>
            </w:pPr>
            <w:r w:rsidRPr="00311363">
              <w:t>3. Finansiālā ietekme:</w:t>
            </w:r>
          </w:p>
        </w:tc>
        <w:tc>
          <w:tcPr>
            <w:tcW w:w="642" w:type="pct"/>
            <w:shd w:val="clear" w:color="auto" w:fill="auto"/>
            <w:vAlign w:val="center"/>
          </w:tcPr>
          <w:p w14:paraId="7D7C99E7" w14:textId="77777777" w:rsidR="00927D2D" w:rsidRPr="00311363" w:rsidRDefault="00E56857" w:rsidP="00DB2813">
            <w:pPr>
              <w:spacing w:before="63" w:after="63"/>
              <w:ind w:right="127"/>
              <w:jc w:val="center"/>
            </w:pPr>
            <w:r w:rsidRPr="00311363">
              <w:t>0</w:t>
            </w:r>
          </w:p>
        </w:tc>
        <w:tc>
          <w:tcPr>
            <w:tcW w:w="701" w:type="pct"/>
            <w:shd w:val="clear" w:color="auto" w:fill="auto"/>
            <w:vAlign w:val="center"/>
          </w:tcPr>
          <w:p w14:paraId="30293359" w14:textId="7B0E8ED9" w:rsidR="00927D2D" w:rsidRPr="00311363" w:rsidRDefault="004227F2" w:rsidP="00DB2813">
            <w:pPr>
              <w:jc w:val="center"/>
            </w:pPr>
            <w:r>
              <w:t>-</w:t>
            </w:r>
            <w:r w:rsidR="00B77AB0">
              <w:t>1 714 286</w:t>
            </w:r>
          </w:p>
        </w:tc>
        <w:tc>
          <w:tcPr>
            <w:tcW w:w="687" w:type="pct"/>
            <w:shd w:val="clear" w:color="auto" w:fill="auto"/>
            <w:vAlign w:val="center"/>
          </w:tcPr>
          <w:p w14:paraId="37A39DB2" w14:textId="46109DCE" w:rsidR="00927D2D" w:rsidRPr="00311363" w:rsidRDefault="004227F2" w:rsidP="001C5578">
            <w:pPr>
              <w:jc w:val="center"/>
            </w:pPr>
            <w:r>
              <w:t>-</w:t>
            </w:r>
            <w:r w:rsidR="001C5578">
              <w:t>857 143</w:t>
            </w:r>
          </w:p>
        </w:tc>
        <w:tc>
          <w:tcPr>
            <w:tcW w:w="685" w:type="pct"/>
            <w:shd w:val="clear" w:color="auto" w:fill="auto"/>
            <w:vAlign w:val="center"/>
          </w:tcPr>
          <w:p w14:paraId="1AE590A1" w14:textId="77777777" w:rsidR="00927D2D" w:rsidRPr="00311363" w:rsidRDefault="001D5B74" w:rsidP="00DB2813">
            <w:pPr>
              <w:jc w:val="center"/>
            </w:pPr>
            <w:r w:rsidRPr="00311363">
              <w:t>- 857 143</w:t>
            </w:r>
          </w:p>
        </w:tc>
        <w:tc>
          <w:tcPr>
            <w:tcW w:w="1100" w:type="pct"/>
            <w:shd w:val="clear" w:color="auto" w:fill="auto"/>
            <w:vAlign w:val="center"/>
          </w:tcPr>
          <w:p w14:paraId="73EA3798" w14:textId="0C457243" w:rsidR="00927D2D" w:rsidRPr="00311363" w:rsidRDefault="00B77AB0" w:rsidP="00DB2813">
            <w:pPr>
              <w:jc w:val="center"/>
            </w:pPr>
            <w:r>
              <w:t>0</w:t>
            </w:r>
          </w:p>
        </w:tc>
      </w:tr>
      <w:tr w:rsidR="00927D2D" w:rsidRPr="00FC15F9" w14:paraId="03FC3CB5" w14:textId="77777777" w:rsidTr="008A3648">
        <w:tc>
          <w:tcPr>
            <w:tcW w:w="1185" w:type="pct"/>
            <w:shd w:val="clear" w:color="auto" w:fill="auto"/>
          </w:tcPr>
          <w:p w14:paraId="39918429" w14:textId="77777777" w:rsidR="00927D2D" w:rsidRPr="00311363" w:rsidRDefault="00927D2D" w:rsidP="00927D2D">
            <w:pPr>
              <w:pStyle w:val="NormalWeb"/>
              <w:spacing w:before="0" w:beforeAutospacing="0" w:after="0" w:afterAutospacing="0"/>
              <w:jc w:val="left"/>
            </w:pPr>
            <w:r w:rsidRPr="00311363">
              <w:t>3.1. valsts pamatbudžets</w:t>
            </w:r>
          </w:p>
        </w:tc>
        <w:tc>
          <w:tcPr>
            <w:tcW w:w="642" w:type="pct"/>
            <w:shd w:val="clear" w:color="auto" w:fill="auto"/>
            <w:vAlign w:val="center"/>
          </w:tcPr>
          <w:p w14:paraId="1E87FCA0" w14:textId="77777777" w:rsidR="00927D2D" w:rsidRPr="00311363" w:rsidRDefault="00E56857" w:rsidP="00DB2813">
            <w:pPr>
              <w:spacing w:before="63" w:after="63"/>
              <w:ind w:right="127"/>
              <w:jc w:val="center"/>
            </w:pPr>
            <w:r w:rsidRPr="00311363">
              <w:t>0</w:t>
            </w:r>
          </w:p>
        </w:tc>
        <w:tc>
          <w:tcPr>
            <w:tcW w:w="701" w:type="pct"/>
            <w:shd w:val="clear" w:color="auto" w:fill="auto"/>
            <w:vAlign w:val="center"/>
          </w:tcPr>
          <w:p w14:paraId="61F356E5" w14:textId="77777777" w:rsidR="00927D2D" w:rsidRPr="00311363" w:rsidRDefault="00E56857" w:rsidP="00DB2813">
            <w:pPr>
              <w:jc w:val="center"/>
            </w:pPr>
            <w:r w:rsidRPr="00311363">
              <w:t>0</w:t>
            </w:r>
          </w:p>
        </w:tc>
        <w:tc>
          <w:tcPr>
            <w:tcW w:w="687" w:type="pct"/>
            <w:shd w:val="clear" w:color="auto" w:fill="auto"/>
            <w:vAlign w:val="center"/>
          </w:tcPr>
          <w:p w14:paraId="4F59880D" w14:textId="77777777" w:rsidR="00927D2D" w:rsidRPr="00311363" w:rsidRDefault="00E56857" w:rsidP="00DB2813">
            <w:pPr>
              <w:jc w:val="center"/>
            </w:pPr>
            <w:r w:rsidRPr="00311363">
              <w:t>0</w:t>
            </w:r>
          </w:p>
        </w:tc>
        <w:tc>
          <w:tcPr>
            <w:tcW w:w="685" w:type="pct"/>
            <w:shd w:val="clear" w:color="auto" w:fill="auto"/>
            <w:vAlign w:val="center"/>
          </w:tcPr>
          <w:p w14:paraId="38C5340A" w14:textId="77777777" w:rsidR="00927D2D" w:rsidRPr="00311363" w:rsidRDefault="00E56857" w:rsidP="00DB2813">
            <w:pPr>
              <w:jc w:val="center"/>
            </w:pPr>
            <w:r w:rsidRPr="00311363">
              <w:t>0</w:t>
            </w:r>
          </w:p>
        </w:tc>
        <w:tc>
          <w:tcPr>
            <w:tcW w:w="1100" w:type="pct"/>
            <w:shd w:val="clear" w:color="auto" w:fill="auto"/>
            <w:vAlign w:val="center"/>
          </w:tcPr>
          <w:p w14:paraId="006A2AE5" w14:textId="77777777" w:rsidR="00927D2D" w:rsidRPr="00311363" w:rsidRDefault="00E56857" w:rsidP="00DB2813">
            <w:pPr>
              <w:jc w:val="center"/>
            </w:pPr>
            <w:r w:rsidRPr="00311363">
              <w:t>0</w:t>
            </w:r>
          </w:p>
        </w:tc>
      </w:tr>
      <w:tr w:rsidR="00927D2D" w:rsidRPr="00FC15F9" w14:paraId="4AF5351F" w14:textId="77777777" w:rsidTr="008A3648">
        <w:tc>
          <w:tcPr>
            <w:tcW w:w="1185" w:type="pct"/>
            <w:shd w:val="clear" w:color="auto" w:fill="auto"/>
          </w:tcPr>
          <w:p w14:paraId="7EB190FE" w14:textId="77777777" w:rsidR="00927D2D" w:rsidRPr="00311363" w:rsidRDefault="00927D2D" w:rsidP="00927D2D">
            <w:pPr>
              <w:pStyle w:val="NormalWeb"/>
              <w:spacing w:before="0" w:beforeAutospacing="0" w:after="0" w:afterAutospacing="0"/>
              <w:jc w:val="left"/>
            </w:pPr>
            <w:r w:rsidRPr="00311363">
              <w:t>3.2. speciālais budžets</w:t>
            </w:r>
          </w:p>
        </w:tc>
        <w:tc>
          <w:tcPr>
            <w:tcW w:w="642" w:type="pct"/>
            <w:shd w:val="clear" w:color="auto" w:fill="auto"/>
            <w:vAlign w:val="center"/>
          </w:tcPr>
          <w:p w14:paraId="7D14502C" w14:textId="77777777" w:rsidR="00927D2D" w:rsidRPr="00311363" w:rsidRDefault="00E56857" w:rsidP="00DB2813">
            <w:pPr>
              <w:pStyle w:val="NormalWeb"/>
              <w:spacing w:before="0" w:beforeAutospacing="0" w:after="0" w:afterAutospacing="0"/>
              <w:jc w:val="center"/>
            </w:pPr>
            <w:r w:rsidRPr="00311363">
              <w:t>0</w:t>
            </w:r>
          </w:p>
        </w:tc>
        <w:tc>
          <w:tcPr>
            <w:tcW w:w="701" w:type="pct"/>
            <w:shd w:val="clear" w:color="auto" w:fill="auto"/>
            <w:vAlign w:val="center"/>
          </w:tcPr>
          <w:p w14:paraId="0F549828" w14:textId="77777777" w:rsidR="00927D2D" w:rsidRPr="00311363" w:rsidRDefault="00E56857" w:rsidP="00DB2813">
            <w:pPr>
              <w:pStyle w:val="NormalWeb"/>
              <w:spacing w:before="0" w:beforeAutospacing="0" w:after="0" w:afterAutospacing="0"/>
              <w:jc w:val="center"/>
            </w:pPr>
            <w:r w:rsidRPr="00311363">
              <w:t>0</w:t>
            </w:r>
          </w:p>
        </w:tc>
        <w:tc>
          <w:tcPr>
            <w:tcW w:w="687" w:type="pct"/>
            <w:shd w:val="clear" w:color="auto" w:fill="auto"/>
            <w:vAlign w:val="center"/>
          </w:tcPr>
          <w:p w14:paraId="3B5DE6DC" w14:textId="77777777" w:rsidR="00927D2D" w:rsidRPr="00311363" w:rsidRDefault="00E56857" w:rsidP="00DB2813">
            <w:pPr>
              <w:pStyle w:val="NormalWeb"/>
              <w:spacing w:before="0" w:beforeAutospacing="0" w:after="0" w:afterAutospacing="0"/>
              <w:jc w:val="center"/>
            </w:pPr>
            <w:r w:rsidRPr="00311363">
              <w:t>0</w:t>
            </w:r>
          </w:p>
        </w:tc>
        <w:tc>
          <w:tcPr>
            <w:tcW w:w="685" w:type="pct"/>
            <w:shd w:val="clear" w:color="auto" w:fill="auto"/>
            <w:vAlign w:val="center"/>
          </w:tcPr>
          <w:p w14:paraId="1C6E65D5" w14:textId="77777777" w:rsidR="00927D2D" w:rsidRPr="00311363" w:rsidRDefault="00E56857" w:rsidP="00DB2813">
            <w:pPr>
              <w:pStyle w:val="NormalWeb"/>
              <w:spacing w:before="0" w:beforeAutospacing="0" w:after="0" w:afterAutospacing="0"/>
              <w:jc w:val="center"/>
            </w:pPr>
            <w:r w:rsidRPr="00311363">
              <w:t>0</w:t>
            </w:r>
          </w:p>
        </w:tc>
        <w:tc>
          <w:tcPr>
            <w:tcW w:w="1100" w:type="pct"/>
            <w:shd w:val="clear" w:color="auto" w:fill="auto"/>
            <w:vAlign w:val="center"/>
          </w:tcPr>
          <w:p w14:paraId="52456309" w14:textId="77777777" w:rsidR="00927D2D" w:rsidRPr="00311363" w:rsidRDefault="00E56857" w:rsidP="00DB2813">
            <w:pPr>
              <w:pStyle w:val="NormalWeb"/>
              <w:spacing w:before="0" w:beforeAutospacing="0" w:after="0" w:afterAutospacing="0"/>
              <w:jc w:val="center"/>
            </w:pPr>
            <w:r w:rsidRPr="00311363">
              <w:t>0</w:t>
            </w:r>
          </w:p>
        </w:tc>
      </w:tr>
      <w:tr w:rsidR="00927D2D" w:rsidRPr="00FC15F9" w14:paraId="4F57E19A" w14:textId="77777777" w:rsidTr="008A3648">
        <w:tc>
          <w:tcPr>
            <w:tcW w:w="1185" w:type="pct"/>
            <w:shd w:val="clear" w:color="auto" w:fill="auto"/>
          </w:tcPr>
          <w:p w14:paraId="3C03D2D5" w14:textId="77777777" w:rsidR="00927D2D" w:rsidRPr="00311363" w:rsidRDefault="00927D2D" w:rsidP="00927D2D">
            <w:pPr>
              <w:pStyle w:val="NormalWeb"/>
              <w:spacing w:before="0" w:beforeAutospacing="0" w:after="0" w:afterAutospacing="0"/>
              <w:jc w:val="left"/>
            </w:pPr>
            <w:r w:rsidRPr="00311363">
              <w:t>3.3. pašvaldību budžets</w:t>
            </w:r>
          </w:p>
        </w:tc>
        <w:tc>
          <w:tcPr>
            <w:tcW w:w="642" w:type="pct"/>
            <w:shd w:val="clear" w:color="auto" w:fill="auto"/>
            <w:vAlign w:val="center"/>
          </w:tcPr>
          <w:p w14:paraId="79BC16C8" w14:textId="77777777" w:rsidR="00927D2D" w:rsidRPr="00311363" w:rsidRDefault="00E56857" w:rsidP="00DB2813">
            <w:pPr>
              <w:pStyle w:val="NormalWeb"/>
              <w:spacing w:before="0" w:beforeAutospacing="0" w:after="0" w:afterAutospacing="0"/>
              <w:jc w:val="center"/>
            </w:pPr>
            <w:r w:rsidRPr="00311363">
              <w:t>0</w:t>
            </w:r>
          </w:p>
        </w:tc>
        <w:tc>
          <w:tcPr>
            <w:tcW w:w="701" w:type="pct"/>
            <w:shd w:val="clear" w:color="auto" w:fill="auto"/>
            <w:vAlign w:val="center"/>
          </w:tcPr>
          <w:p w14:paraId="3FC2FBF4" w14:textId="469AE0B4" w:rsidR="00927D2D" w:rsidRPr="00311363" w:rsidRDefault="00B77AB0" w:rsidP="00B77AB0">
            <w:pPr>
              <w:pStyle w:val="NormalWeb"/>
              <w:spacing w:before="0" w:beforeAutospacing="0" w:after="0" w:afterAutospacing="0"/>
            </w:pPr>
            <w:r>
              <w:t>-1 714 286</w:t>
            </w:r>
          </w:p>
        </w:tc>
        <w:tc>
          <w:tcPr>
            <w:tcW w:w="687" w:type="pct"/>
            <w:shd w:val="clear" w:color="auto" w:fill="auto"/>
            <w:vAlign w:val="center"/>
          </w:tcPr>
          <w:p w14:paraId="36489EE0" w14:textId="7B58B697" w:rsidR="00927D2D" w:rsidRPr="00311363" w:rsidRDefault="007C7F8D" w:rsidP="00B77AB0">
            <w:pPr>
              <w:pStyle w:val="NormalWeb"/>
              <w:spacing w:before="0" w:beforeAutospacing="0" w:after="0" w:afterAutospacing="0"/>
              <w:jc w:val="center"/>
            </w:pPr>
            <w:r>
              <w:t> </w:t>
            </w:r>
            <w:r w:rsidR="00B77AB0">
              <w:t>-857 143</w:t>
            </w:r>
          </w:p>
        </w:tc>
        <w:tc>
          <w:tcPr>
            <w:tcW w:w="685" w:type="pct"/>
            <w:shd w:val="clear" w:color="auto" w:fill="auto"/>
            <w:vAlign w:val="center"/>
          </w:tcPr>
          <w:p w14:paraId="1B03CC0C" w14:textId="77777777" w:rsidR="00927D2D" w:rsidRPr="00311363" w:rsidRDefault="0023687F" w:rsidP="00DB2813">
            <w:pPr>
              <w:pStyle w:val="NormalWeb"/>
              <w:spacing w:before="0" w:beforeAutospacing="0" w:after="0" w:afterAutospacing="0"/>
              <w:jc w:val="center"/>
            </w:pPr>
            <w:r w:rsidRPr="00311363">
              <w:t>-</w:t>
            </w:r>
            <w:r w:rsidR="000A5A03" w:rsidRPr="00311363">
              <w:t xml:space="preserve"> </w:t>
            </w:r>
            <w:r w:rsidR="001D5B74" w:rsidRPr="00311363">
              <w:t>857 143</w:t>
            </w:r>
          </w:p>
        </w:tc>
        <w:tc>
          <w:tcPr>
            <w:tcW w:w="1100" w:type="pct"/>
            <w:shd w:val="clear" w:color="auto" w:fill="auto"/>
            <w:vAlign w:val="center"/>
          </w:tcPr>
          <w:p w14:paraId="7BB7A593" w14:textId="1561A609" w:rsidR="00927D2D" w:rsidRPr="00311363" w:rsidRDefault="00B77AB0" w:rsidP="00DB2813">
            <w:pPr>
              <w:pStyle w:val="NormalWeb"/>
              <w:spacing w:before="0" w:beforeAutospacing="0" w:after="0" w:afterAutospacing="0"/>
              <w:jc w:val="center"/>
            </w:pPr>
            <w:r>
              <w:t>0</w:t>
            </w:r>
          </w:p>
        </w:tc>
      </w:tr>
      <w:tr w:rsidR="00927D2D" w:rsidRPr="00FC15F9" w14:paraId="2BD4B678" w14:textId="77777777" w:rsidTr="008A3648">
        <w:trPr>
          <w:trHeight w:val="323"/>
        </w:trPr>
        <w:tc>
          <w:tcPr>
            <w:tcW w:w="1185" w:type="pct"/>
            <w:vMerge w:val="restart"/>
            <w:shd w:val="clear" w:color="auto" w:fill="auto"/>
          </w:tcPr>
          <w:p w14:paraId="7976ABAE" w14:textId="77777777" w:rsidR="00927D2D" w:rsidRPr="00FC15F9" w:rsidRDefault="00927D2D" w:rsidP="00927D2D">
            <w:pPr>
              <w:autoSpaceDE w:val="0"/>
              <w:autoSpaceDN w:val="0"/>
              <w:adjustRightInd w:val="0"/>
              <w:spacing w:before="0" w:after="0" w:line="240" w:lineRule="auto"/>
              <w:jc w:val="left"/>
            </w:pPr>
            <w:r w:rsidRPr="00FC15F9">
              <w:t>4. Finanšu līdzekļi papildu izdevumu finansēšanai (kompensējošu izdevumu samazinājumu norāda ar "+" zīmi)</w:t>
            </w:r>
          </w:p>
        </w:tc>
        <w:tc>
          <w:tcPr>
            <w:tcW w:w="642" w:type="pct"/>
            <w:vMerge w:val="restart"/>
            <w:shd w:val="clear" w:color="auto" w:fill="auto"/>
            <w:vAlign w:val="center"/>
          </w:tcPr>
          <w:p w14:paraId="58A53123" w14:textId="77777777" w:rsidR="00927D2D" w:rsidRPr="00A55B36" w:rsidRDefault="00E56857" w:rsidP="00927D2D">
            <w:pPr>
              <w:pStyle w:val="NormalWeb"/>
              <w:spacing w:before="0" w:beforeAutospacing="0" w:after="0" w:afterAutospacing="0"/>
              <w:jc w:val="center"/>
            </w:pPr>
            <w:r>
              <w:t>X</w:t>
            </w:r>
          </w:p>
        </w:tc>
        <w:tc>
          <w:tcPr>
            <w:tcW w:w="701" w:type="pct"/>
            <w:shd w:val="clear" w:color="auto" w:fill="auto"/>
            <w:vAlign w:val="center"/>
          </w:tcPr>
          <w:p w14:paraId="545B0087" w14:textId="77777777" w:rsidR="00927D2D" w:rsidRPr="00A55B36" w:rsidRDefault="00E56857" w:rsidP="00DB2813">
            <w:pPr>
              <w:jc w:val="center"/>
            </w:pPr>
            <w:r>
              <w:t>0</w:t>
            </w:r>
          </w:p>
        </w:tc>
        <w:tc>
          <w:tcPr>
            <w:tcW w:w="687" w:type="pct"/>
            <w:shd w:val="clear" w:color="auto" w:fill="auto"/>
            <w:vAlign w:val="center"/>
          </w:tcPr>
          <w:p w14:paraId="42301BB3" w14:textId="77777777" w:rsidR="00927D2D" w:rsidRPr="00A55B36" w:rsidRDefault="00E56857" w:rsidP="00DB2813">
            <w:pPr>
              <w:jc w:val="center"/>
            </w:pPr>
            <w:r>
              <w:t>0</w:t>
            </w:r>
          </w:p>
        </w:tc>
        <w:tc>
          <w:tcPr>
            <w:tcW w:w="685" w:type="pct"/>
            <w:shd w:val="clear" w:color="auto" w:fill="auto"/>
            <w:vAlign w:val="center"/>
          </w:tcPr>
          <w:p w14:paraId="4AA38801" w14:textId="77777777" w:rsidR="00927D2D" w:rsidRPr="00A55B36" w:rsidRDefault="00E56857" w:rsidP="00DB2813">
            <w:pPr>
              <w:jc w:val="center"/>
            </w:pPr>
            <w:r>
              <w:t>0</w:t>
            </w:r>
          </w:p>
        </w:tc>
        <w:tc>
          <w:tcPr>
            <w:tcW w:w="1100" w:type="pct"/>
            <w:shd w:val="clear" w:color="auto" w:fill="auto"/>
            <w:vAlign w:val="center"/>
          </w:tcPr>
          <w:p w14:paraId="7EA5705E" w14:textId="77777777" w:rsidR="00927D2D" w:rsidRPr="00A55B36" w:rsidRDefault="00E56857" w:rsidP="00DB2813">
            <w:pPr>
              <w:jc w:val="center"/>
            </w:pPr>
            <w:r>
              <w:t>0</w:t>
            </w:r>
          </w:p>
        </w:tc>
      </w:tr>
      <w:tr w:rsidR="00464AFB" w:rsidRPr="00FC15F9" w14:paraId="04B6A532" w14:textId="77777777" w:rsidTr="008A3648">
        <w:trPr>
          <w:trHeight w:val="413"/>
        </w:trPr>
        <w:tc>
          <w:tcPr>
            <w:tcW w:w="1185" w:type="pct"/>
            <w:vMerge/>
            <w:shd w:val="clear" w:color="auto" w:fill="auto"/>
          </w:tcPr>
          <w:p w14:paraId="1A68D7DD" w14:textId="77777777" w:rsidR="00464AFB" w:rsidRPr="00FC15F9" w:rsidRDefault="00464AFB" w:rsidP="0095368C">
            <w:pPr>
              <w:autoSpaceDE w:val="0"/>
              <w:autoSpaceDN w:val="0"/>
              <w:adjustRightInd w:val="0"/>
              <w:jc w:val="left"/>
            </w:pPr>
          </w:p>
        </w:tc>
        <w:tc>
          <w:tcPr>
            <w:tcW w:w="642" w:type="pct"/>
            <w:vMerge/>
            <w:shd w:val="clear" w:color="auto" w:fill="auto"/>
            <w:vAlign w:val="center"/>
          </w:tcPr>
          <w:p w14:paraId="432DEA97" w14:textId="77777777" w:rsidR="00464AFB" w:rsidRPr="00FC15F9" w:rsidRDefault="00464AFB" w:rsidP="00464AFB">
            <w:pPr>
              <w:pStyle w:val="NormalWeb"/>
              <w:spacing w:before="0" w:beforeAutospacing="0" w:after="0" w:afterAutospacing="0"/>
            </w:pPr>
          </w:p>
        </w:tc>
        <w:tc>
          <w:tcPr>
            <w:tcW w:w="701" w:type="pct"/>
            <w:shd w:val="clear" w:color="auto" w:fill="auto"/>
            <w:vAlign w:val="center"/>
          </w:tcPr>
          <w:p w14:paraId="538D6A43" w14:textId="77777777" w:rsidR="00464AFB" w:rsidRPr="00FC15F9" w:rsidRDefault="00E56857" w:rsidP="00DB2813">
            <w:pPr>
              <w:spacing w:before="0" w:after="0"/>
              <w:jc w:val="center"/>
            </w:pPr>
            <w:r>
              <w:t>0</w:t>
            </w:r>
          </w:p>
        </w:tc>
        <w:tc>
          <w:tcPr>
            <w:tcW w:w="687" w:type="pct"/>
            <w:shd w:val="clear" w:color="auto" w:fill="auto"/>
            <w:vAlign w:val="center"/>
          </w:tcPr>
          <w:p w14:paraId="73326A26" w14:textId="77777777" w:rsidR="00464AFB" w:rsidRPr="00FC15F9" w:rsidRDefault="00E56857" w:rsidP="00DB2813">
            <w:pPr>
              <w:pStyle w:val="NormalWeb"/>
              <w:spacing w:before="0" w:beforeAutospacing="0" w:after="0" w:afterAutospacing="0"/>
              <w:jc w:val="center"/>
            </w:pPr>
            <w:r>
              <w:t>0</w:t>
            </w:r>
          </w:p>
        </w:tc>
        <w:tc>
          <w:tcPr>
            <w:tcW w:w="685" w:type="pct"/>
            <w:shd w:val="clear" w:color="auto" w:fill="auto"/>
            <w:vAlign w:val="center"/>
          </w:tcPr>
          <w:p w14:paraId="701F1D87" w14:textId="77777777" w:rsidR="00464AFB" w:rsidRPr="00FC15F9" w:rsidRDefault="00E56857" w:rsidP="00DB2813">
            <w:pPr>
              <w:spacing w:before="0" w:after="0"/>
              <w:jc w:val="center"/>
            </w:pPr>
            <w:r>
              <w:t>0</w:t>
            </w:r>
          </w:p>
        </w:tc>
        <w:tc>
          <w:tcPr>
            <w:tcW w:w="1100" w:type="pct"/>
            <w:shd w:val="clear" w:color="auto" w:fill="auto"/>
            <w:vAlign w:val="center"/>
          </w:tcPr>
          <w:p w14:paraId="74BCA945" w14:textId="77777777" w:rsidR="00464AFB" w:rsidRPr="00FC15F9" w:rsidRDefault="00E56857" w:rsidP="00DB2813">
            <w:pPr>
              <w:spacing w:before="0" w:after="0"/>
              <w:jc w:val="center"/>
            </w:pPr>
            <w:r>
              <w:t>0</w:t>
            </w:r>
          </w:p>
        </w:tc>
      </w:tr>
      <w:tr w:rsidR="00464AFB" w:rsidRPr="00FC15F9" w14:paraId="0A014CA5" w14:textId="77777777" w:rsidTr="008A3648">
        <w:trPr>
          <w:trHeight w:val="1269"/>
        </w:trPr>
        <w:tc>
          <w:tcPr>
            <w:tcW w:w="1185" w:type="pct"/>
            <w:vMerge/>
            <w:shd w:val="clear" w:color="auto" w:fill="auto"/>
          </w:tcPr>
          <w:p w14:paraId="6DEC1CA5" w14:textId="77777777" w:rsidR="00464AFB" w:rsidRPr="00FC15F9" w:rsidRDefault="00464AFB" w:rsidP="0095368C">
            <w:pPr>
              <w:autoSpaceDE w:val="0"/>
              <w:autoSpaceDN w:val="0"/>
              <w:adjustRightInd w:val="0"/>
              <w:jc w:val="left"/>
            </w:pPr>
          </w:p>
        </w:tc>
        <w:tc>
          <w:tcPr>
            <w:tcW w:w="642" w:type="pct"/>
            <w:vMerge/>
            <w:shd w:val="clear" w:color="auto" w:fill="auto"/>
            <w:vAlign w:val="center"/>
          </w:tcPr>
          <w:p w14:paraId="1613C999" w14:textId="77777777" w:rsidR="00464AFB" w:rsidRPr="00FC15F9" w:rsidRDefault="00464AFB" w:rsidP="00464AFB">
            <w:pPr>
              <w:pStyle w:val="NormalWeb"/>
              <w:spacing w:before="0" w:beforeAutospacing="0" w:after="0" w:afterAutospacing="0"/>
            </w:pPr>
          </w:p>
        </w:tc>
        <w:tc>
          <w:tcPr>
            <w:tcW w:w="701" w:type="pct"/>
            <w:shd w:val="clear" w:color="auto" w:fill="auto"/>
            <w:vAlign w:val="center"/>
          </w:tcPr>
          <w:p w14:paraId="1029BC8A" w14:textId="77777777" w:rsidR="00464AFB" w:rsidRPr="00FC15F9" w:rsidRDefault="00E56857" w:rsidP="00DB2813">
            <w:pPr>
              <w:spacing w:before="0" w:after="0"/>
              <w:jc w:val="center"/>
            </w:pPr>
            <w:r>
              <w:t>0</w:t>
            </w:r>
          </w:p>
        </w:tc>
        <w:tc>
          <w:tcPr>
            <w:tcW w:w="687" w:type="pct"/>
            <w:shd w:val="clear" w:color="auto" w:fill="auto"/>
            <w:vAlign w:val="center"/>
          </w:tcPr>
          <w:p w14:paraId="2C32B853" w14:textId="77777777" w:rsidR="00464AFB" w:rsidRPr="00FC15F9" w:rsidRDefault="00E56857" w:rsidP="00DB2813">
            <w:pPr>
              <w:pStyle w:val="NormalWeb"/>
              <w:spacing w:before="0" w:beforeAutospacing="0" w:after="0" w:afterAutospacing="0"/>
              <w:jc w:val="center"/>
            </w:pPr>
            <w:r>
              <w:t>0</w:t>
            </w:r>
          </w:p>
        </w:tc>
        <w:tc>
          <w:tcPr>
            <w:tcW w:w="685" w:type="pct"/>
            <w:shd w:val="clear" w:color="auto" w:fill="auto"/>
            <w:vAlign w:val="center"/>
          </w:tcPr>
          <w:p w14:paraId="30D618DA" w14:textId="77777777" w:rsidR="00464AFB" w:rsidRPr="00FC15F9" w:rsidRDefault="00E56857" w:rsidP="00DB2813">
            <w:pPr>
              <w:spacing w:before="0" w:after="0"/>
              <w:jc w:val="center"/>
            </w:pPr>
            <w:r>
              <w:t>0</w:t>
            </w:r>
          </w:p>
        </w:tc>
        <w:tc>
          <w:tcPr>
            <w:tcW w:w="1100" w:type="pct"/>
            <w:shd w:val="clear" w:color="auto" w:fill="auto"/>
            <w:vAlign w:val="center"/>
          </w:tcPr>
          <w:p w14:paraId="20842EBA" w14:textId="77777777" w:rsidR="00464AFB" w:rsidRPr="00FC15F9" w:rsidRDefault="00E56857" w:rsidP="00DB2813">
            <w:pPr>
              <w:spacing w:before="0" w:after="0"/>
              <w:jc w:val="center"/>
            </w:pPr>
            <w:r>
              <w:t>0</w:t>
            </w:r>
          </w:p>
        </w:tc>
      </w:tr>
      <w:tr w:rsidR="0023687F" w:rsidRPr="00FC15F9" w14:paraId="1D272312" w14:textId="77777777" w:rsidTr="00E073C7">
        <w:tc>
          <w:tcPr>
            <w:tcW w:w="1185" w:type="pct"/>
            <w:shd w:val="clear" w:color="auto" w:fill="auto"/>
          </w:tcPr>
          <w:p w14:paraId="6EE61CD2" w14:textId="77777777" w:rsidR="0023687F" w:rsidRPr="00FC15F9" w:rsidRDefault="0023687F" w:rsidP="0023687F">
            <w:pPr>
              <w:autoSpaceDE w:val="0"/>
              <w:autoSpaceDN w:val="0"/>
              <w:adjustRightInd w:val="0"/>
              <w:jc w:val="left"/>
            </w:pPr>
            <w:r w:rsidRPr="00FC15F9">
              <w:t>5. Precizēta finansiālā ietekme:</w:t>
            </w:r>
          </w:p>
        </w:tc>
        <w:tc>
          <w:tcPr>
            <w:tcW w:w="642" w:type="pct"/>
            <w:vMerge w:val="restart"/>
            <w:shd w:val="clear" w:color="auto" w:fill="auto"/>
            <w:vAlign w:val="center"/>
          </w:tcPr>
          <w:p w14:paraId="0CEC9E0D" w14:textId="77777777" w:rsidR="0023687F" w:rsidRPr="00FC15F9" w:rsidRDefault="0023687F" w:rsidP="0023687F">
            <w:pPr>
              <w:pStyle w:val="NormalWeb"/>
              <w:spacing w:before="0" w:beforeAutospacing="0" w:after="0" w:afterAutospacing="0"/>
              <w:jc w:val="center"/>
            </w:pPr>
            <w:r>
              <w:t>X</w:t>
            </w:r>
          </w:p>
        </w:tc>
        <w:tc>
          <w:tcPr>
            <w:tcW w:w="701" w:type="pct"/>
            <w:shd w:val="clear" w:color="auto" w:fill="auto"/>
            <w:vAlign w:val="center"/>
          </w:tcPr>
          <w:p w14:paraId="6C7812A4" w14:textId="5E2B5F64" w:rsidR="0023687F" w:rsidRPr="00FC15F9" w:rsidRDefault="00B77AB0" w:rsidP="00DB2813">
            <w:pPr>
              <w:pStyle w:val="NormalWeb"/>
              <w:spacing w:before="0" w:beforeAutospacing="0" w:after="0" w:afterAutospacing="0"/>
              <w:jc w:val="center"/>
            </w:pPr>
            <w:r>
              <w:t>-1 714 286</w:t>
            </w:r>
          </w:p>
        </w:tc>
        <w:tc>
          <w:tcPr>
            <w:tcW w:w="687" w:type="pct"/>
            <w:shd w:val="clear" w:color="auto" w:fill="auto"/>
            <w:vAlign w:val="center"/>
          </w:tcPr>
          <w:p w14:paraId="55700714" w14:textId="40F75B0A" w:rsidR="0023687F" w:rsidRPr="00FC15F9" w:rsidRDefault="007C7F8D" w:rsidP="00B77AB0">
            <w:pPr>
              <w:jc w:val="center"/>
            </w:pPr>
            <w:r>
              <w:t>-</w:t>
            </w:r>
            <w:r w:rsidR="00B77AB0">
              <w:t>857 143</w:t>
            </w:r>
          </w:p>
        </w:tc>
        <w:tc>
          <w:tcPr>
            <w:tcW w:w="685" w:type="pct"/>
            <w:shd w:val="clear" w:color="auto" w:fill="auto"/>
            <w:vAlign w:val="center"/>
          </w:tcPr>
          <w:p w14:paraId="45CC5A84" w14:textId="77777777" w:rsidR="0023687F" w:rsidRPr="00FC15F9" w:rsidRDefault="0023687F" w:rsidP="00DB2813">
            <w:pPr>
              <w:pStyle w:val="NormalWeb"/>
              <w:spacing w:before="0" w:beforeAutospacing="0" w:after="0" w:afterAutospacing="0"/>
              <w:jc w:val="center"/>
            </w:pPr>
            <w:r w:rsidRPr="00616F56">
              <w:t>- 857 143</w:t>
            </w:r>
          </w:p>
        </w:tc>
        <w:tc>
          <w:tcPr>
            <w:tcW w:w="1100" w:type="pct"/>
            <w:shd w:val="clear" w:color="auto" w:fill="auto"/>
            <w:vAlign w:val="center"/>
          </w:tcPr>
          <w:p w14:paraId="4BB94209" w14:textId="6C6C750F" w:rsidR="0023687F" w:rsidRPr="00FC15F9" w:rsidRDefault="00B77AB0" w:rsidP="00DB2813">
            <w:pPr>
              <w:pStyle w:val="NormalWeb"/>
              <w:spacing w:before="0" w:beforeAutospacing="0" w:after="0" w:afterAutospacing="0"/>
              <w:jc w:val="center"/>
            </w:pPr>
            <w:r>
              <w:t>0</w:t>
            </w:r>
          </w:p>
        </w:tc>
      </w:tr>
      <w:tr w:rsidR="00464AFB" w:rsidRPr="00FC15F9" w14:paraId="06434D15" w14:textId="77777777" w:rsidTr="008A3648">
        <w:tc>
          <w:tcPr>
            <w:tcW w:w="1185" w:type="pct"/>
            <w:shd w:val="clear" w:color="auto" w:fill="auto"/>
          </w:tcPr>
          <w:p w14:paraId="01792E2D" w14:textId="77777777" w:rsidR="00464AFB" w:rsidRPr="00FC15F9" w:rsidRDefault="00464AFB" w:rsidP="0095368C">
            <w:pPr>
              <w:autoSpaceDE w:val="0"/>
              <w:autoSpaceDN w:val="0"/>
              <w:adjustRightInd w:val="0"/>
              <w:jc w:val="left"/>
            </w:pPr>
            <w:r w:rsidRPr="00FC15F9">
              <w:t>5.1. valsts pamatbudžets</w:t>
            </w:r>
          </w:p>
        </w:tc>
        <w:tc>
          <w:tcPr>
            <w:tcW w:w="642" w:type="pct"/>
            <w:vMerge/>
            <w:shd w:val="clear" w:color="auto" w:fill="auto"/>
            <w:vAlign w:val="center"/>
          </w:tcPr>
          <w:p w14:paraId="20ED3683" w14:textId="77777777" w:rsidR="00464AFB" w:rsidRPr="00FC15F9" w:rsidRDefault="00464AFB" w:rsidP="00464AFB">
            <w:pPr>
              <w:pStyle w:val="NormalWeb"/>
              <w:spacing w:before="0" w:beforeAutospacing="0" w:after="0" w:afterAutospacing="0"/>
            </w:pPr>
          </w:p>
        </w:tc>
        <w:tc>
          <w:tcPr>
            <w:tcW w:w="701" w:type="pct"/>
            <w:shd w:val="clear" w:color="auto" w:fill="auto"/>
            <w:vAlign w:val="center"/>
          </w:tcPr>
          <w:p w14:paraId="475101FA" w14:textId="77777777" w:rsidR="00464AFB" w:rsidRPr="00FC15F9" w:rsidRDefault="00E56857" w:rsidP="00DB2813">
            <w:pPr>
              <w:pStyle w:val="NormalWeb"/>
              <w:spacing w:before="0" w:beforeAutospacing="0" w:after="0" w:afterAutospacing="0"/>
              <w:jc w:val="center"/>
            </w:pPr>
            <w:r>
              <w:t>0</w:t>
            </w:r>
          </w:p>
        </w:tc>
        <w:tc>
          <w:tcPr>
            <w:tcW w:w="687" w:type="pct"/>
            <w:shd w:val="clear" w:color="auto" w:fill="auto"/>
            <w:vAlign w:val="center"/>
          </w:tcPr>
          <w:p w14:paraId="09C5B69E" w14:textId="77777777" w:rsidR="00464AFB" w:rsidRPr="00FC15F9" w:rsidRDefault="00E56857" w:rsidP="00DB2813">
            <w:pPr>
              <w:jc w:val="center"/>
            </w:pPr>
            <w:r>
              <w:t>0</w:t>
            </w:r>
          </w:p>
        </w:tc>
        <w:tc>
          <w:tcPr>
            <w:tcW w:w="685" w:type="pct"/>
            <w:shd w:val="clear" w:color="auto" w:fill="auto"/>
            <w:vAlign w:val="center"/>
          </w:tcPr>
          <w:p w14:paraId="00FB7EA7" w14:textId="77777777" w:rsidR="00464AFB" w:rsidRPr="00FC15F9" w:rsidRDefault="00E56857" w:rsidP="00DB2813">
            <w:pPr>
              <w:pStyle w:val="NormalWeb"/>
              <w:spacing w:before="0" w:beforeAutospacing="0" w:after="0" w:afterAutospacing="0"/>
              <w:jc w:val="center"/>
            </w:pPr>
            <w:r>
              <w:t>0</w:t>
            </w:r>
          </w:p>
        </w:tc>
        <w:tc>
          <w:tcPr>
            <w:tcW w:w="1100" w:type="pct"/>
            <w:shd w:val="clear" w:color="auto" w:fill="auto"/>
            <w:vAlign w:val="center"/>
          </w:tcPr>
          <w:p w14:paraId="4B36896F" w14:textId="77777777" w:rsidR="00464AFB" w:rsidRPr="00FC15F9" w:rsidRDefault="00E56857" w:rsidP="00DB2813">
            <w:pPr>
              <w:pStyle w:val="NormalWeb"/>
              <w:spacing w:before="0" w:beforeAutospacing="0" w:after="0" w:afterAutospacing="0"/>
              <w:jc w:val="center"/>
            </w:pPr>
            <w:r>
              <w:t>0</w:t>
            </w:r>
          </w:p>
        </w:tc>
      </w:tr>
      <w:tr w:rsidR="00464AFB" w:rsidRPr="00FC15F9" w14:paraId="1BB3BA56" w14:textId="77777777" w:rsidTr="008A3648">
        <w:tc>
          <w:tcPr>
            <w:tcW w:w="1185" w:type="pct"/>
            <w:shd w:val="clear" w:color="auto" w:fill="auto"/>
          </w:tcPr>
          <w:p w14:paraId="5EF0D0D4" w14:textId="77777777" w:rsidR="00464AFB" w:rsidRPr="00FC15F9" w:rsidRDefault="00464AFB" w:rsidP="0095368C">
            <w:pPr>
              <w:autoSpaceDE w:val="0"/>
              <w:autoSpaceDN w:val="0"/>
              <w:adjustRightInd w:val="0"/>
              <w:jc w:val="left"/>
            </w:pPr>
            <w:r w:rsidRPr="00FC15F9">
              <w:t>5.2. speciālais budžets</w:t>
            </w:r>
          </w:p>
        </w:tc>
        <w:tc>
          <w:tcPr>
            <w:tcW w:w="642" w:type="pct"/>
            <w:vMerge/>
            <w:shd w:val="clear" w:color="auto" w:fill="auto"/>
            <w:vAlign w:val="center"/>
          </w:tcPr>
          <w:p w14:paraId="578849AE" w14:textId="77777777" w:rsidR="00464AFB" w:rsidRPr="00FC15F9" w:rsidRDefault="00464AFB" w:rsidP="00464AFB">
            <w:pPr>
              <w:pStyle w:val="NormalWeb"/>
              <w:spacing w:before="0" w:beforeAutospacing="0" w:after="0" w:afterAutospacing="0"/>
            </w:pPr>
          </w:p>
        </w:tc>
        <w:tc>
          <w:tcPr>
            <w:tcW w:w="701" w:type="pct"/>
            <w:shd w:val="clear" w:color="auto" w:fill="auto"/>
            <w:vAlign w:val="center"/>
          </w:tcPr>
          <w:p w14:paraId="227F6AEF" w14:textId="77777777" w:rsidR="00464AFB" w:rsidRPr="00FC15F9" w:rsidRDefault="00E56857" w:rsidP="00DB2813">
            <w:pPr>
              <w:spacing w:before="0" w:after="0"/>
              <w:jc w:val="center"/>
            </w:pPr>
            <w:r>
              <w:t>0</w:t>
            </w:r>
          </w:p>
        </w:tc>
        <w:tc>
          <w:tcPr>
            <w:tcW w:w="687" w:type="pct"/>
            <w:shd w:val="clear" w:color="auto" w:fill="auto"/>
            <w:vAlign w:val="center"/>
          </w:tcPr>
          <w:p w14:paraId="0D361AAF" w14:textId="77777777" w:rsidR="00464AFB" w:rsidRPr="00FC15F9" w:rsidRDefault="00E56857" w:rsidP="00DB2813">
            <w:pPr>
              <w:spacing w:before="0" w:after="0"/>
              <w:jc w:val="center"/>
            </w:pPr>
            <w:r>
              <w:t>0</w:t>
            </w:r>
          </w:p>
        </w:tc>
        <w:tc>
          <w:tcPr>
            <w:tcW w:w="685" w:type="pct"/>
            <w:shd w:val="clear" w:color="auto" w:fill="auto"/>
            <w:vAlign w:val="center"/>
          </w:tcPr>
          <w:p w14:paraId="6FAA6677" w14:textId="77777777" w:rsidR="00464AFB" w:rsidRPr="00FC15F9" w:rsidRDefault="00E56857" w:rsidP="00DB2813">
            <w:pPr>
              <w:spacing w:before="0" w:after="0"/>
              <w:jc w:val="center"/>
            </w:pPr>
            <w:r>
              <w:t>0</w:t>
            </w:r>
          </w:p>
        </w:tc>
        <w:tc>
          <w:tcPr>
            <w:tcW w:w="1100" w:type="pct"/>
            <w:shd w:val="clear" w:color="auto" w:fill="auto"/>
            <w:vAlign w:val="center"/>
          </w:tcPr>
          <w:p w14:paraId="7729DA97" w14:textId="77777777" w:rsidR="00464AFB" w:rsidRPr="00FC15F9" w:rsidRDefault="00E56857" w:rsidP="00DB2813">
            <w:pPr>
              <w:spacing w:before="0" w:after="0"/>
              <w:jc w:val="center"/>
            </w:pPr>
            <w:r>
              <w:t>0</w:t>
            </w:r>
          </w:p>
        </w:tc>
      </w:tr>
      <w:tr w:rsidR="0023687F" w:rsidRPr="00FC15F9" w14:paraId="487E465F" w14:textId="77777777" w:rsidTr="008A3648">
        <w:tc>
          <w:tcPr>
            <w:tcW w:w="1185" w:type="pct"/>
            <w:shd w:val="clear" w:color="auto" w:fill="auto"/>
          </w:tcPr>
          <w:p w14:paraId="590022DF" w14:textId="77777777" w:rsidR="0023687F" w:rsidRPr="00FC15F9" w:rsidRDefault="0023687F" w:rsidP="0023687F">
            <w:pPr>
              <w:autoSpaceDE w:val="0"/>
              <w:autoSpaceDN w:val="0"/>
              <w:adjustRightInd w:val="0"/>
              <w:jc w:val="left"/>
            </w:pPr>
            <w:r w:rsidRPr="00FC15F9">
              <w:t>5.3. pašvaldību budžets</w:t>
            </w:r>
          </w:p>
        </w:tc>
        <w:tc>
          <w:tcPr>
            <w:tcW w:w="642" w:type="pct"/>
            <w:vMerge/>
            <w:shd w:val="clear" w:color="auto" w:fill="auto"/>
            <w:vAlign w:val="center"/>
          </w:tcPr>
          <w:p w14:paraId="7546B69A" w14:textId="77777777" w:rsidR="0023687F" w:rsidRPr="00FC15F9" w:rsidRDefault="0023687F" w:rsidP="0023687F">
            <w:pPr>
              <w:pStyle w:val="NormalWeb"/>
              <w:spacing w:before="0" w:beforeAutospacing="0" w:after="0" w:afterAutospacing="0"/>
            </w:pPr>
          </w:p>
        </w:tc>
        <w:tc>
          <w:tcPr>
            <w:tcW w:w="701" w:type="pct"/>
            <w:shd w:val="clear" w:color="auto" w:fill="auto"/>
            <w:vAlign w:val="center"/>
          </w:tcPr>
          <w:p w14:paraId="34D819DF" w14:textId="17D3A5E8" w:rsidR="0023687F" w:rsidRPr="00FC15F9" w:rsidRDefault="00B77AB0" w:rsidP="00DB2813">
            <w:pPr>
              <w:spacing w:before="0" w:after="0"/>
              <w:jc w:val="center"/>
            </w:pPr>
            <w:r>
              <w:t>-1 714 286</w:t>
            </w:r>
          </w:p>
        </w:tc>
        <w:tc>
          <w:tcPr>
            <w:tcW w:w="687" w:type="pct"/>
            <w:shd w:val="clear" w:color="auto" w:fill="auto"/>
            <w:vAlign w:val="center"/>
          </w:tcPr>
          <w:p w14:paraId="61655774" w14:textId="2D9066A9" w:rsidR="0023687F" w:rsidRPr="00FC15F9" w:rsidRDefault="007C7F8D" w:rsidP="00B77AB0">
            <w:pPr>
              <w:spacing w:before="0" w:after="0"/>
              <w:jc w:val="center"/>
            </w:pPr>
            <w:r>
              <w:t>-</w:t>
            </w:r>
            <w:r w:rsidR="00B77AB0">
              <w:t>857 143</w:t>
            </w:r>
          </w:p>
        </w:tc>
        <w:tc>
          <w:tcPr>
            <w:tcW w:w="685" w:type="pct"/>
            <w:shd w:val="clear" w:color="auto" w:fill="auto"/>
            <w:vAlign w:val="center"/>
          </w:tcPr>
          <w:p w14:paraId="07D8D602" w14:textId="77777777" w:rsidR="0023687F" w:rsidRPr="00FC15F9" w:rsidRDefault="0023687F" w:rsidP="00DB2813">
            <w:pPr>
              <w:spacing w:before="0" w:after="0"/>
              <w:jc w:val="center"/>
            </w:pPr>
            <w:r w:rsidRPr="008663E7">
              <w:t>- 857 143</w:t>
            </w:r>
          </w:p>
        </w:tc>
        <w:tc>
          <w:tcPr>
            <w:tcW w:w="1100" w:type="pct"/>
            <w:shd w:val="clear" w:color="auto" w:fill="auto"/>
            <w:vAlign w:val="center"/>
          </w:tcPr>
          <w:p w14:paraId="2496CE8A" w14:textId="17BF2FC6" w:rsidR="0023687F" w:rsidRPr="00FC15F9" w:rsidRDefault="00B77AB0" w:rsidP="00DB2813">
            <w:pPr>
              <w:spacing w:before="0" w:after="0"/>
              <w:jc w:val="center"/>
            </w:pPr>
            <w:r>
              <w:t>0</w:t>
            </w:r>
          </w:p>
        </w:tc>
      </w:tr>
      <w:tr w:rsidR="00464AFB" w:rsidRPr="00FC15F9" w14:paraId="130534C1" w14:textId="77777777" w:rsidTr="00A831C2">
        <w:tc>
          <w:tcPr>
            <w:tcW w:w="1185" w:type="pct"/>
            <w:shd w:val="clear" w:color="auto" w:fill="auto"/>
          </w:tcPr>
          <w:p w14:paraId="2F5E73DE" w14:textId="77777777" w:rsidR="00464AFB" w:rsidRPr="00FC15F9" w:rsidRDefault="00464AFB" w:rsidP="0095368C">
            <w:pPr>
              <w:autoSpaceDE w:val="0"/>
              <w:autoSpaceDN w:val="0"/>
              <w:adjustRightInd w:val="0"/>
              <w:spacing w:before="0" w:after="0" w:line="240" w:lineRule="auto"/>
              <w:jc w:val="left"/>
            </w:pPr>
            <w:r w:rsidRPr="00FC15F9">
              <w:t>6. Detalizēts ieņēmumu un izdevumu</w:t>
            </w:r>
            <w:r w:rsidR="0095368C" w:rsidRPr="00FC15F9">
              <w:t xml:space="preserve"> </w:t>
            </w:r>
            <w:r w:rsidRPr="00FC15F9">
              <w:t>aprēķins (ja nepieciešams, detalizētu</w:t>
            </w:r>
            <w:r w:rsidR="0095368C" w:rsidRPr="00FC15F9">
              <w:t xml:space="preserve"> </w:t>
            </w:r>
            <w:r w:rsidRPr="00FC15F9">
              <w:t>ieņēmumu un izdevumu aprēķinu var</w:t>
            </w:r>
            <w:r w:rsidR="0095368C" w:rsidRPr="00FC15F9">
              <w:t xml:space="preserve"> </w:t>
            </w:r>
            <w:r w:rsidRPr="00FC15F9">
              <w:t>pievienot anotācijas pielikumā):</w:t>
            </w:r>
          </w:p>
        </w:tc>
        <w:tc>
          <w:tcPr>
            <w:tcW w:w="3815" w:type="pct"/>
            <w:gridSpan w:val="5"/>
            <w:vMerge w:val="restart"/>
            <w:shd w:val="clear" w:color="auto" w:fill="auto"/>
          </w:tcPr>
          <w:p w14:paraId="558FDED1" w14:textId="0682D516" w:rsidR="00311363" w:rsidRPr="00A7792A" w:rsidRDefault="001F40E1" w:rsidP="00464AFB">
            <w:r w:rsidRPr="00A7792A">
              <w:t>201</w:t>
            </w:r>
            <w:r>
              <w:t>8</w:t>
            </w:r>
            <w:r w:rsidR="009474DC" w:rsidRPr="00A7792A">
              <w:t>. gadā plānoti avansa maksājumi</w:t>
            </w:r>
            <w:r w:rsidR="009C4656" w:rsidRPr="00A7792A">
              <w:t xml:space="preserve"> atbilstoši </w:t>
            </w:r>
            <w:r w:rsidR="00FE31C2" w:rsidRPr="00A7792A">
              <w:t xml:space="preserve">MK </w:t>
            </w:r>
            <w:r w:rsidR="009C4656" w:rsidRPr="00A7792A">
              <w:t xml:space="preserve">noteikuma projekta </w:t>
            </w:r>
            <w:r w:rsidR="00557131">
              <w:t>71</w:t>
            </w:r>
            <w:r w:rsidR="009C4656" w:rsidRPr="00A7792A">
              <w:t>.1.</w:t>
            </w:r>
            <w:r w:rsidR="0069226B" w:rsidRPr="00A7792A">
              <w:t> </w:t>
            </w:r>
            <w:r w:rsidR="009C4656" w:rsidRPr="00A7792A">
              <w:t>apakšpunktam</w:t>
            </w:r>
            <w:r w:rsidR="009474DC" w:rsidRPr="00A7792A">
              <w:t>, 201</w:t>
            </w:r>
            <w:r w:rsidR="001E0B2F">
              <w:t>9</w:t>
            </w:r>
            <w:r w:rsidR="0069226B" w:rsidRPr="00A7792A">
              <w:t>.</w:t>
            </w:r>
            <w:r w:rsidR="009474DC" w:rsidRPr="00A7792A">
              <w:t xml:space="preserve"> un 20</w:t>
            </w:r>
            <w:r w:rsidR="001E0B2F">
              <w:t>20</w:t>
            </w:r>
            <w:r w:rsidR="009474DC" w:rsidRPr="00A7792A">
              <w:t xml:space="preserve">. gadā </w:t>
            </w:r>
            <w:r w:rsidR="0069226B" w:rsidRPr="00A7792A">
              <w:t xml:space="preserve">veicami </w:t>
            </w:r>
            <w:r w:rsidR="009474DC" w:rsidRPr="00A7792A">
              <w:t xml:space="preserve">starpposma maksājumi atbilstoši faktiski konkursa ietvaros apstiprināto projektu naudas plūsmu </w:t>
            </w:r>
            <w:r w:rsidR="009474DC" w:rsidRPr="00A7792A">
              <w:rPr>
                <w:color w:val="000000" w:themeColor="text1"/>
              </w:rPr>
              <w:t>prognozēm.</w:t>
            </w:r>
            <w:r w:rsidR="00311363" w:rsidRPr="00A7792A">
              <w:rPr>
                <w:color w:val="000000" w:themeColor="text1"/>
              </w:rPr>
              <w:t xml:space="preserve"> </w:t>
            </w:r>
          </w:p>
          <w:p w14:paraId="0B63E998" w14:textId="2D893419" w:rsidR="00464AFB" w:rsidRPr="00FC15F9" w:rsidRDefault="00311363" w:rsidP="006E6884">
            <w:r w:rsidRPr="00B372E0">
              <w:t xml:space="preserve">Ņemot vērā, ka projekta iesniedzēji ir arī Latvijas Republikas pašvaldības, savukārt konkursa ietvaros maksimāli pieļaujamā finanšu instrumenta atbalsta intensitāte nepārsniedz 70 % no projekta kopējām attiecināmajām izmaksām un </w:t>
            </w:r>
            <w:r w:rsidR="006A1966" w:rsidRPr="00B372E0">
              <w:t xml:space="preserve">atbilstoši </w:t>
            </w:r>
            <w:r w:rsidR="00FE31C2">
              <w:t xml:space="preserve">MK </w:t>
            </w:r>
            <w:r w:rsidR="006A1966" w:rsidRPr="00B372E0">
              <w:t>noteikumu projekta 2</w:t>
            </w:r>
            <w:r w:rsidR="006E6884">
              <w:t>1</w:t>
            </w:r>
            <w:r w:rsidR="006A1966" w:rsidRPr="00B372E0">
              <w:t xml:space="preserve">. punktam </w:t>
            </w:r>
            <w:r w:rsidRPr="00B372E0">
              <w:t xml:space="preserve">projekta finansējuma saņēmējs </w:t>
            </w:r>
            <w:r w:rsidRPr="00AD5F38">
              <w:t>līdzfinansējumu nodrošina no saviem līdzekļiem,</w:t>
            </w:r>
            <w:r w:rsidR="009C4656" w:rsidRPr="00AD5F38">
              <w:t xml:space="preserve"> prognozēja</w:t>
            </w:r>
            <w:r w:rsidR="00B541F5" w:rsidRPr="00AD5F38">
              <w:t>mā</w:t>
            </w:r>
            <w:r w:rsidR="00FE31C2" w:rsidRPr="00AD5F38">
              <w:t xml:space="preserve"> MK</w:t>
            </w:r>
            <w:r w:rsidR="009C4656" w:rsidRPr="00AD5F38">
              <w:t xml:space="preserve"> noteikumu projekta finansiālā ietekme uz pašvaldību budžetiem</w:t>
            </w:r>
            <w:r w:rsidR="00A747B3" w:rsidRPr="00AD5F38">
              <w:t xml:space="preserve">, pieņemot, ka visi projektu finansējuma saņēmēji būs pašvaldības, </w:t>
            </w:r>
            <w:r w:rsidR="009C4656" w:rsidRPr="00AD5F38">
              <w:lastRenderedPageBreak/>
              <w:t>201</w:t>
            </w:r>
            <w:r w:rsidR="00E4406B" w:rsidRPr="00AD5F38">
              <w:t>8</w:t>
            </w:r>
            <w:r w:rsidR="009C4656" w:rsidRPr="00AD5F38">
              <w:t xml:space="preserve">. gadā ir 1 714 286 </w:t>
            </w:r>
            <w:r w:rsidR="00944BE8" w:rsidRPr="00AD5F38">
              <w:t>EUR</w:t>
            </w:r>
            <w:r w:rsidR="009C4656" w:rsidRPr="00AD5F38">
              <w:t>, 201</w:t>
            </w:r>
            <w:r w:rsidR="00E4406B" w:rsidRPr="00AD5F38">
              <w:t>9</w:t>
            </w:r>
            <w:r w:rsidR="009C4656" w:rsidRPr="00AD5F38">
              <w:t>. gadā un 20</w:t>
            </w:r>
            <w:r w:rsidR="00E4406B" w:rsidRPr="00AD5F38">
              <w:t>20</w:t>
            </w:r>
            <w:r w:rsidR="009C4656" w:rsidRPr="00AD5F38">
              <w:t xml:space="preserve">. gadā 857 143 </w:t>
            </w:r>
            <w:r w:rsidR="00944BE8" w:rsidRPr="00AD5F38">
              <w:t>EUR</w:t>
            </w:r>
            <w:r w:rsidR="008265B9" w:rsidRPr="00AD5F38">
              <w:rPr>
                <w:i/>
              </w:rPr>
              <w:t>.</w:t>
            </w:r>
          </w:p>
        </w:tc>
      </w:tr>
      <w:tr w:rsidR="00464AFB" w:rsidRPr="00FC15F9" w14:paraId="4C83F30E" w14:textId="77777777" w:rsidTr="00A831C2">
        <w:tc>
          <w:tcPr>
            <w:tcW w:w="1185" w:type="pct"/>
            <w:shd w:val="clear" w:color="auto" w:fill="auto"/>
          </w:tcPr>
          <w:p w14:paraId="49C57CFF" w14:textId="77777777" w:rsidR="00464AFB" w:rsidRPr="00FC15F9" w:rsidRDefault="00464AFB" w:rsidP="0095368C">
            <w:pPr>
              <w:autoSpaceDE w:val="0"/>
              <w:autoSpaceDN w:val="0"/>
              <w:adjustRightInd w:val="0"/>
              <w:jc w:val="left"/>
            </w:pPr>
            <w:r w:rsidRPr="00FC15F9">
              <w:t>6.1. detalizēts ieņēmumu aprēķins</w:t>
            </w:r>
          </w:p>
        </w:tc>
        <w:tc>
          <w:tcPr>
            <w:tcW w:w="3815" w:type="pct"/>
            <w:gridSpan w:val="5"/>
            <w:vMerge/>
            <w:shd w:val="clear" w:color="auto" w:fill="auto"/>
          </w:tcPr>
          <w:p w14:paraId="385914E9" w14:textId="77777777" w:rsidR="00464AFB" w:rsidRPr="00FC15F9" w:rsidRDefault="00464AFB" w:rsidP="00464AFB">
            <w:pPr>
              <w:pStyle w:val="NormalWeb"/>
              <w:spacing w:before="0" w:beforeAutospacing="0" w:after="0" w:afterAutospacing="0"/>
            </w:pPr>
          </w:p>
        </w:tc>
      </w:tr>
      <w:tr w:rsidR="00464AFB" w:rsidRPr="00FC15F9" w14:paraId="1A54AC1C" w14:textId="77777777" w:rsidTr="00A831C2">
        <w:tc>
          <w:tcPr>
            <w:tcW w:w="1185" w:type="pct"/>
            <w:shd w:val="clear" w:color="auto" w:fill="auto"/>
          </w:tcPr>
          <w:p w14:paraId="7D1033B4" w14:textId="77777777" w:rsidR="00464AFB" w:rsidRPr="00FC15F9" w:rsidRDefault="00464AFB" w:rsidP="0095368C">
            <w:pPr>
              <w:autoSpaceDE w:val="0"/>
              <w:autoSpaceDN w:val="0"/>
              <w:adjustRightInd w:val="0"/>
              <w:jc w:val="left"/>
            </w:pPr>
            <w:r w:rsidRPr="00FC15F9">
              <w:t xml:space="preserve">6.2. detalizēts </w:t>
            </w:r>
            <w:r w:rsidRPr="00FC15F9">
              <w:lastRenderedPageBreak/>
              <w:t>izdevumu aprēķins</w:t>
            </w:r>
          </w:p>
        </w:tc>
        <w:tc>
          <w:tcPr>
            <w:tcW w:w="3815" w:type="pct"/>
            <w:gridSpan w:val="5"/>
            <w:vMerge/>
            <w:shd w:val="clear" w:color="auto" w:fill="auto"/>
          </w:tcPr>
          <w:p w14:paraId="719C7580" w14:textId="77777777" w:rsidR="00464AFB" w:rsidRPr="00FC15F9" w:rsidRDefault="00464AFB" w:rsidP="00464AFB">
            <w:pPr>
              <w:pStyle w:val="NormalWeb"/>
              <w:spacing w:before="0" w:beforeAutospacing="0" w:after="0" w:afterAutospacing="0"/>
            </w:pPr>
          </w:p>
        </w:tc>
      </w:tr>
      <w:tr w:rsidR="00464AFB" w:rsidRPr="00FC15F9" w14:paraId="146CAA47" w14:textId="77777777" w:rsidTr="00A831C2">
        <w:trPr>
          <w:trHeight w:val="841"/>
        </w:trPr>
        <w:tc>
          <w:tcPr>
            <w:tcW w:w="1185" w:type="pct"/>
            <w:shd w:val="clear" w:color="auto" w:fill="auto"/>
          </w:tcPr>
          <w:p w14:paraId="3D5B6458" w14:textId="77777777" w:rsidR="00464AFB" w:rsidRPr="00FC15F9" w:rsidRDefault="00464AFB" w:rsidP="0095368C">
            <w:pPr>
              <w:autoSpaceDE w:val="0"/>
              <w:autoSpaceDN w:val="0"/>
              <w:adjustRightInd w:val="0"/>
              <w:jc w:val="left"/>
            </w:pPr>
            <w:r w:rsidRPr="00FC15F9">
              <w:t>7. Cita informācija</w:t>
            </w:r>
          </w:p>
        </w:tc>
        <w:tc>
          <w:tcPr>
            <w:tcW w:w="3815" w:type="pct"/>
            <w:gridSpan w:val="5"/>
            <w:shd w:val="clear" w:color="auto" w:fill="auto"/>
          </w:tcPr>
          <w:p w14:paraId="76256A51" w14:textId="0AEE2D81" w:rsidR="00464AFB" w:rsidRPr="00FC15F9" w:rsidRDefault="00C4531B" w:rsidP="00A7792A">
            <w:pPr>
              <w:spacing w:before="0" w:after="0"/>
              <w:ind w:left="33" w:right="35"/>
            </w:pPr>
            <w:r w:rsidRPr="00FC15F9">
              <w:t xml:space="preserve">  </w:t>
            </w:r>
            <w:r w:rsidR="00464AFB" w:rsidRPr="00FC15F9">
              <w:t xml:space="preserve">Konkursa ietvaros pieejamais finansējums ir </w:t>
            </w:r>
            <w:r w:rsidR="00E66211" w:rsidRPr="00FC15F9">
              <w:t>8</w:t>
            </w:r>
            <w:r w:rsidR="00464AFB" w:rsidRPr="00FC15F9">
              <w:t xml:space="preserve"> 000 000 </w:t>
            </w:r>
            <w:r w:rsidR="00944BE8" w:rsidRPr="00944BE8">
              <w:t>EUR</w:t>
            </w:r>
            <w:r w:rsidR="00464AFB" w:rsidRPr="00FC15F9">
              <w:t>. Finansējums</w:t>
            </w:r>
            <w:r w:rsidR="00411A88">
              <w:t xml:space="preserve"> tiks </w:t>
            </w:r>
            <w:r w:rsidR="008C38CD">
              <w:t xml:space="preserve">plānots </w:t>
            </w:r>
            <w:r w:rsidR="00464AFB" w:rsidRPr="00FC15F9">
              <w:t>Vides aizsardzības un reģionālās attīstības ministrijas programmas „Emisijas kvotu izsolīšanas instruments” (33.00.00) apakšprogrammā „Emisijas kvotu izsolīšanas instrumenta projekti” (33.02.00</w:t>
            </w:r>
            <w:r w:rsidR="008C38CD">
              <w:t>)</w:t>
            </w:r>
            <w:r w:rsidR="008C38CD" w:rsidRPr="00736ABB">
              <w:t xml:space="preserve"> atbilstoši faktiski</w:t>
            </w:r>
            <w:r w:rsidR="009474DC">
              <w:t xml:space="preserve"> konkursa ietvaros</w:t>
            </w:r>
            <w:r w:rsidR="008C38CD" w:rsidRPr="00736ABB">
              <w:t xml:space="preserve"> apstiprināto projektu naudas plūsmu prognozēm, papildu nepieciešamos finanšu līdzekļus pieprasot un saņemot normatīvajos aktos noteiktajā kārtībā no budžeta resora </w:t>
            </w:r>
            <w:r w:rsidR="002D718D" w:rsidRPr="00FC15F9">
              <w:t>„</w:t>
            </w:r>
            <w:r w:rsidR="008C38CD" w:rsidRPr="00736ABB">
              <w:t xml:space="preserve">74.Gadskārtējā valsts budžeta izpildes procesā pārdalāmais finansējums” budžeta programmas 80.00.00 </w:t>
            </w:r>
            <w:r w:rsidR="002D718D" w:rsidRPr="00FC15F9">
              <w:t>„</w:t>
            </w:r>
            <w:r w:rsidR="008C38CD" w:rsidRPr="00736ABB">
              <w:t>Nesadalītais finansējums Eiropas Savienības politiku instrumentu un pārējās ārvalstu finanšu palīdzības līdzfinansēto projektu un pasākumu īstenošanai</w:t>
            </w:r>
            <w:r w:rsidR="00E468B1">
              <w:t>”</w:t>
            </w:r>
            <w:r w:rsidR="00E56857">
              <w:t>.</w:t>
            </w:r>
          </w:p>
        </w:tc>
      </w:tr>
    </w:tbl>
    <w:p w14:paraId="27CD1B38" w14:textId="77777777" w:rsidR="001F04F1" w:rsidRPr="00FC15F9" w:rsidRDefault="001F04F1" w:rsidP="00456C58">
      <w:pPr>
        <w:pStyle w:val="NormalWeb"/>
        <w:spacing w:before="0" w:beforeAutospacing="0" w:after="0" w:afterAutospacing="0"/>
        <w:rPr>
          <w:i/>
        </w:rPr>
      </w:pPr>
    </w:p>
    <w:tbl>
      <w:tblPr>
        <w:tblW w:w="9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83"/>
        <w:gridCol w:w="2289"/>
        <w:gridCol w:w="594"/>
        <w:gridCol w:w="2081"/>
        <w:gridCol w:w="2088"/>
        <w:gridCol w:w="2079"/>
      </w:tblGrid>
      <w:tr w:rsidR="00CE3374" w:rsidRPr="00FC15F9" w14:paraId="68271634" w14:textId="77777777" w:rsidTr="00CE3374">
        <w:trPr>
          <w:trHeight w:val="381"/>
          <w:jc w:val="center"/>
        </w:trPr>
        <w:tc>
          <w:tcPr>
            <w:tcW w:w="9614" w:type="dxa"/>
            <w:gridSpan w:val="6"/>
            <w:tcBorders>
              <w:top w:val="single" w:sz="4" w:space="0" w:color="auto"/>
              <w:left w:val="single" w:sz="4" w:space="0" w:color="auto"/>
              <w:bottom w:val="single" w:sz="4" w:space="0" w:color="auto"/>
              <w:right w:val="single" w:sz="4" w:space="0" w:color="auto"/>
            </w:tcBorders>
            <w:vAlign w:val="center"/>
            <w:hideMark/>
          </w:tcPr>
          <w:p w14:paraId="0299FA61" w14:textId="77777777" w:rsidR="00CE3374" w:rsidRPr="00FC15F9" w:rsidRDefault="00CE3374">
            <w:pPr>
              <w:pStyle w:val="naisnod"/>
              <w:spacing w:before="0" w:after="0" w:line="240" w:lineRule="auto"/>
              <w:ind w:left="57" w:right="57"/>
              <w:rPr>
                <w:color w:val="000000" w:themeColor="text1"/>
                <w:lang w:eastAsia="en-US"/>
              </w:rPr>
            </w:pPr>
            <w:r w:rsidRPr="00FC15F9">
              <w:rPr>
                <w:color w:val="000000" w:themeColor="text1"/>
                <w:lang w:eastAsia="en-US"/>
              </w:rPr>
              <w:t>V. Tiesību akta projekta atbilstība Latvijas Republikas starptautiskajām saistībām</w:t>
            </w:r>
          </w:p>
        </w:tc>
      </w:tr>
      <w:tr w:rsidR="00CE3374" w:rsidRPr="00FC15F9" w14:paraId="0EC81070" w14:textId="77777777" w:rsidTr="001D2B74">
        <w:trPr>
          <w:trHeight w:val="660"/>
          <w:jc w:val="center"/>
        </w:trPr>
        <w:tc>
          <w:tcPr>
            <w:tcW w:w="483" w:type="dxa"/>
            <w:tcBorders>
              <w:top w:val="outset" w:sz="6" w:space="0" w:color="auto"/>
              <w:left w:val="outset" w:sz="6" w:space="0" w:color="auto"/>
              <w:bottom w:val="outset" w:sz="6" w:space="0" w:color="auto"/>
              <w:right w:val="outset" w:sz="6" w:space="0" w:color="auto"/>
            </w:tcBorders>
            <w:hideMark/>
          </w:tcPr>
          <w:p w14:paraId="3E8BC739" w14:textId="77777777" w:rsidR="00CE3374" w:rsidRPr="00FC15F9" w:rsidRDefault="00CE3374">
            <w:pPr>
              <w:spacing w:before="0" w:after="0" w:line="240" w:lineRule="auto"/>
              <w:ind w:left="57"/>
              <w:rPr>
                <w:color w:val="000000" w:themeColor="text1"/>
              </w:rPr>
            </w:pPr>
            <w:r w:rsidRPr="00FC15F9">
              <w:rPr>
                <w:color w:val="000000" w:themeColor="text1"/>
              </w:rPr>
              <w:t>1.</w:t>
            </w:r>
          </w:p>
        </w:tc>
        <w:tc>
          <w:tcPr>
            <w:tcW w:w="2289" w:type="dxa"/>
            <w:tcBorders>
              <w:top w:val="outset" w:sz="6" w:space="0" w:color="auto"/>
              <w:left w:val="outset" w:sz="6" w:space="0" w:color="auto"/>
              <w:bottom w:val="outset" w:sz="6" w:space="0" w:color="auto"/>
              <w:right w:val="outset" w:sz="6" w:space="0" w:color="auto"/>
            </w:tcBorders>
            <w:hideMark/>
          </w:tcPr>
          <w:p w14:paraId="1366A9A1" w14:textId="77777777" w:rsidR="00CE3374" w:rsidRPr="00FC15F9" w:rsidRDefault="00CE3374">
            <w:pPr>
              <w:spacing w:before="0" w:after="0" w:line="240" w:lineRule="auto"/>
              <w:ind w:left="57"/>
              <w:rPr>
                <w:color w:val="000000" w:themeColor="text1"/>
              </w:rPr>
            </w:pPr>
            <w:r w:rsidRPr="00FC15F9">
              <w:rPr>
                <w:color w:val="000000" w:themeColor="text1"/>
              </w:rPr>
              <w:t>Saistības pret Eiropas Savienību</w:t>
            </w:r>
          </w:p>
        </w:tc>
        <w:tc>
          <w:tcPr>
            <w:tcW w:w="6842" w:type="dxa"/>
            <w:gridSpan w:val="4"/>
            <w:tcBorders>
              <w:top w:val="outset" w:sz="6" w:space="0" w:color="auto"/>
              <w:left w:val="outset" w:sz="6" w:space="0" w:color="auto"/>
              <w:bottom w:val="outset" w:sz="6" w:space="0" w:color="auto"/>
              <w:right w:val="outset" w:sz="6" w:space="0" w:color="auto"/>
            </w:tcBorders>
            <w:hideMark/>
          </w:tcPr>
          <w:p w14:paraId="648649BF" w14:textId="2BCE91BF" w:rsidR="00CE3374" w:rsidRPr="00FC15F9" w:rsidRDefault="00AB4B3B" w:rsidP="0069226B">
            <w:pPr>
              <w:shd w:val="clear" w:color="auto" w:fill="FFFFFF"/>
              <w:spacing w:before="0" w:after="0" w:line="240" w:lineRule="auto"/>
              <w:ind w:left="24"/>
              <w:rPr>
                <w:rFonts w:eastAsia="Calibri"/>
                <w:color w:val="000000"/>
              </w:rPr>
            </w:pPr>
            <w:r w:rsidRPr="00FC15F9">
              <w:rPr>
                <w:color w:val="000000" w:themeColor="text1"/>
              </w:rPr>
              <w:t>Projekts šo jomu neskar.</w:t>
            </w:r>
          </w:p>
        </w:tc>
      </w:tr>
      <w:tr w:rsidR="00CE3374" w:rsidRPr="00FC15F9" w14:paraId="47D0A0B7" w14:textId="77777777" w:rsidTr="00CE3374">
        <w:trPr>
          <w:jc w:val="center"/>
        </w:trPr>
        <w:tc>
          <w:tcPr>
            <w:tcW w:w="483" w:type="dxa"/>
            <w:tcBorders>
              <w:top w:val="outset" w:sz="6" w:space="0" w:color="auto"/>
              <w:left w:val="outset" w:sz="6" w:space="0" w:color="auto"/>
              <w:bottom w:val="outset" w:sz="6" w:space="0" w:color="auto"/>
              <w:right w:val="outset" w:sz="6" w:space="0" w:color="auto"/>
            </w:tcBorders>
            <w:hideMark/>
          </w:tcPr>
          <w:p w14:paraId="2C2B4951" w14:textId="77777777" w:rsidR="00CE3374" w:rsidRPr="00FC15F9" w:rsidRDefault="00CE3374">
            <w:pPr>
              <w:spacing w:before="0" w:after="0" w:line="240" w:lineRule="auto"/>
              <w:ind w:left="57"/>
              <w:rPr>
                <w:rFonts w:eastAsiaTheme="minorHAnsi"/>
                <w:color w:val="000000" w:themeColor="text1"/>
              </w:rPr>
            </w:pPr>
            <w:r w:rsidRPr="00FC15F9">
              <w:rPr>
                <w:color w:val="000000" w:themeColor="text1"/>
              </w:rPr>
              <w:t>2.</w:t>
            </w:r>
          </w:p>
        </w:tc>
        <w:tc>
          <w:tcPr>
            <w:tcW w:w="2289" w:type="dxa"/>
            <w:tcBorders>
              <w:top w:val="outset" w:sz="6" w:space="0" w:color="auto"/>
              <w:left w:val="outset" w:sz="6" w:space="0" w:color="auto"/>
              <w:bottom w:val="outset" w:sz="6" w:space="0" w:color="auto"/>
              <w:right w:val="outset" w:sz="6" w:space="0" w:color="auto"/>
            </w:tcBorders>
            <w:hideMark/>
          </w:tcPr>
          <w:p w14:paraId="13A87DD9" w14:textId="77777777" w:rsidR="00CE3374" w:rsidRPr="00FC15F9" w:rsidRDefault="00CE3374">
            <w:pPr>
              <w:spacing w:before="0" w:after="0" w:line="240" w:lineRule="auto"/>
              <w:ind w:left="57"/>
              <w:rPr>
                <w:color w:val="000000" w:themeColor="text1"/>
              </w:rPr>
            </w:pPr>
            <w:r w:rsidRPr="00FC15F9">
              <w:rPr>
                <w:color w:val="000000" w:themeColor="text1"/>
              </w:rPr>
              <w:t>Citas starptautiskās saistības</w:t>
            </w:r>
          </w:p>
        </w:tc>
        <w:tc>
          <w:tcPr>
            <w:tcW w:w="6842" w:type="dxa"/>
            <w:gridSpan w:val="4"/>
            <w:tcBorders>
              <w:top w:val="outset" w:sz="6" w:space="0" w:color="auto"/>
              <w:left w:val="outset" w:sz="6" w:space="0" w:color="auto"/>
              <w:bottom w:val="outset" w:sz="6" w:space="0" w:color="auto"/>
              <w:right w:val="outset" w:sz="6" w:space="0" w:color="auto"/>
            </w:tcBorders>
            <w:hideMark/>
          </w:tcPr>
          <w:p w14:paraId="41F0A401" w14:textId="77777777" w:rsidR="00CE3374" w:rsidRPr="00FC15F9" w:rsidRDefault="00CE3374">
            <w:pPr>
              <w:spacing w:before="0" w:after="0" w:line="240" w:lineRule="auto"/>
              <w:ind w:left="57"/>
              <w:rPr>
                <w:color w:val="000000" w:themeColor="text1"/>
              </w:rPr>
            </w:pPr>
            <w:r w:rsidRPr="00FC15F9">
              <w:rPr>
                <w:color w:val="000000" w:themeColor="text1"/>
              </w:rPr>
              <w:t>Projekts šo jomu neskar.</w:t>
            </w:r>
          </w:p>
        </w:tc>
      </w:tr>
      <w:tr w:rsidR="00CE3374" w:rsidRPr="00FC15F9" w14:paraId="00AAB7C7" w14:textId="77777777" w:rsidTr="00CE3374">
        <w:trPr>
          <w:jc w:val="center"/>
        </w:trPr>
        <w:tc>
          <w:tcPr>
            <w:tcW w:w="483" w:type="dxa"/>
            <w:tcBorders>
              <w:top w:val="outset" w:sz="6" w:space="0" w:color="auto"/>
              <w:left w:val="outset" w:sz="6" w:space="0" w:color="auto"/>
              <w:bottom w:val="outset" w:sz="6" w:space="0" w:color="auto"/>
              <w:right w:val="outset" w:sz="6" w:space="0" w:color="auto"/>
            </w:tcBorders>
            <w:hideMark/>
          </w:tcPr>
          <w:p w14:paraId="29B26AF7" w14:textId="77777777" w:rsidR="00CE3374" w:rsidRPr="00FC15F9" w:rsidRDefault="00CE3374">
            <w:pPr>
              <w:spacing w:before="0" w:after="0" w:line="240" w:lineRule="auto"/>
              <w:ind w:left="57"/>
              <w:rPr>
                <w:color w:val="000000" w:themeColor="text1"/>
              </w:rPr>
            </w:pPr>
            <w:r w:rsidRPr="00FC15F9">
              <w:rPr>
                <w:color w:val="000000" w:themeColor="text1"/>
              </w:rPr>
              <w:t>3.</w:t>
            </w:r>
          </w:p>
        </w:tc>
        <w:tc>
          <w:tcPr>
            <w:tcW w:w="2289" w:type="dxa"/>
            <w:tcBorders>
              <w:top w:val="outset" w:sz="6" w:space="0" w:color="auto"/>
              <w:left w:val="outset" w:sz="6" w:space="0" w:color="auto"/>
              <w:bottom w:val="outset" w:sz="6" w:space="0" w:color="auto"/>
              <w:right w:val="outset" w:sz="6" w:space="0" w:color="auto"/>
            </w:tcBorders>
            <w:hideMark/>
          </w:tcPr>
          <w:p w14:paraId="3CBE6171" w14:textId="77777777" w:rsidR="00CE3374" w:rsidRPr="00FC15F9" w:rsidRDefault="00CE3374">
            <w:pPr>
              <w:spacing w:before="0" w:after="0" w:line="240" w:lineRule="auto"/>
              <w:ind w:left="57"/>
              <w:rPr>
                <w:color w:val="000000" w:themeColor="text1"/>
              </w:rPr>
            </w:pPr>
            <w:r w:rsidRPr="00FC15F9">
              <w:rPr>
                <w:color w:val="000000" w:themeColor="text1"/>
              </w:rPr>
              <w:t>Cita informācija</w:t>
            </w:r>
          </w:p>
        </w:tc>
        <w:tc>
          <w:tcPr>
            <w:tcW w:w="6842" w:type="dxa"/>
            <w:gridSpan w:val="4"/>
            <w:tcBorders>
              <w:top w:val="outset" w:sz="6" w:space="0" w:color="auto"/>
              <w:left w:val="outset" w:sz="6" w:space="0" w:color="auto"/>
              <w:bottom w:val="outset" w:sz="6" w:space="0" w:color="auto"/>
              <w:right w:val="outset" w:sz="6" w:space="0" w:color="auto"/>
            </w:tcBorders>
            <w:hideMark/>
          </w:tcPr>
          <w:p w14:paraId="6EAD127A" w14:textId="77777777" w:rsidR="00CE3374" w:rsidRPr="00FC15F9" w:rsidRDefault="00CE3374">
            <w:pPr>
              <w:spacing w:before="0" w:after="0" w:line="240" w:lineRule="auto"/>
              <w:rPr>
                <w:color w:val="000000" w:themeColor="text1"/>
              </w:rPr>
            </w:pPr>
            <w:r w:rsidRPr="00FC15F9">
              <w:rPr>
                <w:color w:val="000000" w:themeColor="text1"/>
              </w:rPr>
              <w:t>Nav.</w:t>
            </w:r>
          </w:p>
        </w:tc>
      </w:tr>
      <w:tr w:rsidR="00CE3374" w:rsidRPr="00FC15F9" w14:paraId="5D8F0F1C" w14:textId="77777777" w:rsidTr="00CE3374">
        <w:trPr>
          <w:jc w:val="center"/>
        </w:trPr>
        <w:tc>
          <w:tcPr>
            <w:tcW w:w="9614" w:type="dxa"/>
            <w:gridSpan w:val="6"/>
            <w:tcBorders>
              <w:top w:val="outset" w:sz="6" w:space="0" w:color="auto"/>
              <w:left w:val="outset" w:sz="6" w:space="0" w:color="auto"/>
              <w:bottom w:val="outset" w:sz="6" w:space="0" w:color="auto"/>
              <w:right w:val="outset" w:sz="6" w:space="0" w:color="auto"/>
            </w:tcBorders>
            <w:vAlign w:val="center"/>
            <w:hideMark/>
          </w:tcPr>
          <w:p w14:paraId="3058FEAC" w14:textId="77777777" w:rsidR="00CE3374" w:rsidRPr="00FC15F9" w:rsidRDefault="00CE3374">
            <w:pPr>
              <w:spacing w:before="0" w:after="0" w:line="240" w:lineRule="auto"/>
              <w:ind w:left="57"/>
              <w:jc w:val="center"/>
              <w:rPr>
                <w:b/>
                <w:color w:val="000000" w:themeColor="text1"/>
              </w:rPr>
            </w:pPr>
            <w:r w:rsidRPr="00FC15F9">
              <w:rPr>
                <w:b/>
                <w:color w:val="000000" w:themeColor="text1"/>
              </w:rPr>
              <w:t>1.tabula</w:t>
            </w:r>
          </w:p>
          <w:p w14:paraId="612EDADC" w14:textId="77777777" w:rsidR="00CE3374" w:rsidRPr="00FC15F9" w:rsidRDefault="00CE3374">
            <w:pPr>
              <w:spacing w:before="0" w:after="0" w:line="240" w:lineRule="auto"/>
              <w:ind w:left="57"/>
              <w:jc w:val="center"/>
              <w:rPr>
                <w:color w:val="000000" w:themeColor="text1"/>
              </w:rPr>
            </w:pPr>
            <w:r w:rsidRPr="00FC15F9">
              <w:rPr>
                <w:b/>
                <w:color w:val="000000" w:themeColor="text1"/>
              </w:rPr>
              <w:t>Tiesību akta projekta atbilstība ES tiesību aktiem</w:t>
            </w:r>
          </w:p>
        </w:tc>
      </w:tr>
      <w:tr w:rsidR="00CE3374" w:rsidRPr="00FC15F9" w14:paraId="0D6E5214" w14:textId="77777777" w:rsidTr="00CE3374">
        <w:trPr>
          <w:jc w:val="center"/>
        </w:trPr>
        <w:tc>
          <w:tcPr>
            <w:tcW w:w="3366" w:type="dxa"/>
            <w:gridSpan w:val="3"/>
            <w:tcBorders>
              <w:top w:val="outset" w:sz="6" w:space="0" w:color="auto"/>
              <w:left w:val="outset" w:sz="6" w:space="0" w:color="auto"/>
              <w:bottom w:val="outset" w:sz="6" w:space="0" w:color="auto"/>
              <w:right w:val="outset" w:sz="6" w:space="0" w:color="auto"/>
            </w:tcBorders>
            <w:hideMark/>
          </w:tcPr>
          <w:p w14:paraId="54439DF5" w14:textId="77777777" w:rsidR="00CE3374" w:rsidRPr="00FC15F9" w:rsidRDefault="00CE3374">
            <w:pPr>
              <w:spacing w:before="0" w:after="0" w:line="240" w:lineRule="auto"/>
              <w:ind w:left="57"/>
              <w:rPr>
                <w:color w:val="000000" w:themeColor="text1"/>
              </w:rPr>
            </w:pPr>
            <w:r w:rsidRPr="00FC15F9">
              <w:rPr>
                <w:color w:val="000000" w:themeColor="text1"/>
              </w:rPr>
              <w:t>Attiecīgā ES tiesību akta datums, numurs un nosaukums</w:t>
            </w:r>
          </w:p>
        </w:tc>
        <w:tc>
          <w:tcPr>
            <w:tcW w:w="6248" w:type="dxa"/>
            <w:gridSpan w:val="3"/>
            <w:tcBorders>
              <w:top w:val="outset" w:sz="6" w:space="0" w:color="auto"/>
              <w:left w:val="outset" w:sz="6" w:space="0" w:color="auto"/>
              <w:bottom w:val="outset" w:sz="6" w:space="0" w:color="auto"/>
              <w:right w:val="outset" w:sz="6" w:space="0" w:color="auto"/>
            </w:tcBorders>
            <w:hideMark/>
          </w:tcPr>
          <w:p w14:paraId="410F925A" w14:textId="77777777" w:rsidR="00CE3374" w:rsidRPr="00FC15F9" w:rsidRDefault="001D2B74">
            <w:pPr>
              <w:shd w:val="clear" w:color="auto" w:fill="FFFFFF"/>
              <w:spacing w:before="0" w:after="0" w:line="240" w:lineRule="auto"/>
              <w:ind w:left="-17"/>
              <w:rPr>
                <w:color w:val="000000" w:themeColor="text1"/>
              </w:rPr>
            </w:pPr>
            <w:r>
              <w:rPr>
                <w:bCs/>
                <w:color w:val="000000"/>
              </w:rPr>
              <w:t>N</w:t>
            </w:r>
            <w:r w:rsidR="00E10314">
              <w:rPr>
                <w:bCs/>
                <w:color w:val="000000"/>
              </w:rPr>
              <w:t>av</w:t>
            </w:r>
          </w:p>
        </w:tc>
      </w:tr>
      <w:tr w:rsidR="00CE3374" w:rsidRPr="00FC15F9" w14:paraId="2C785EC4" w14:textId="77777777" w:rsidTr="00CE3374">
        <w:trPr>
          <w:jc w:val="center"/>
        </w:trPr>
        <w:tc>
          <w:tcPr>
            <w:tcW w:w="3366" w:type="dxa"/>
            <w:gridSpan w:val="3"/>
            <w:tcBorders>
              <w:top w:val="outset" w:sz="6" w:space="0" w:color="auto"/>
              <w:left w:val="outset" w:sz="6" w:space="0" w:color="auto"/>
              <w:bottom w:val="outset" w:sz="6" w:space="0" w:color="auto"/>
              <w:right w:val="outset" w:sz="6" w:space="0" w:color="auto"/>
            </w:tcBorders>
            <w:vAlign w:val="center"/>
            <w:hideMark/>
          </w:tcPr>
          <w:p w14:paraId="5C4F7266" w14:textId="77777777" w:rsidR="00CE3374" w:rsidRPr="00FC15F9" w:rsidRDefault="00CE3374">
            <w:pPr>
              <w:spacing w:before="0" w:after="0" w:line="240" w:lineRule="auto"/>
              <w:ind w:left="57"/>
              <w:jc w:val="center"/>
              <w:rPr>
                <w:color w:val="000000" w:themeColor="text1"/>
              </w:rPr>
            </w:pPr>
            <w:r w:rsidRPr="00FC15F9">
              <w:rPr>
                <w:color w:val="000000" w:themeColor="text1"/>
              </w:rPr>
              <w:t>A</w:t>
            </w:r>
          </w:p>
        </w:tc>
        <w:tc>
          <w:tcPr>
            <w:tcW w:w="2081" w:type="dxa"/>
            <w:tcBorders>
              <w:top w:val="outset" w:sz="6" w:space="0" w:color="auto"/>
              <w:left w:val="outset" w:sz="6" w:space="0" w:color="auto"/>
              <w:bottom w:val="outset" w:sz="6" w:space="0" w:color="auto"/>
              <w:right w:val="outset" w:sz="6" w:space="0" w:color="auto"/>
            </w:tcBorders>
            <w:vAlign w:val="center"/>
            <w:hideMark/>
          </w:tcPr>
          <w:p w14:paraId="6EE4A88A" w14:textId="77777777" w:rsidR="00CE3374" w:rsidRPr="00FC15F9" w:rsidRDefault="00CE3374">
            <w:pPr>
              <w:spacing w:before="0" w:after="0" w:line="240" w:lineRule="auto"/>
              <w:ind w:left="57"/>
              <w:jc w:val="center"/>
              <w:rPr>
                <w:color w:val="000000" w:themeColor="text1"/>
              </w:rPr>
            </w:pPr>
            <w:r w:rsidRPr="00FC15F9">
              <w:rPr>
                <w:color w:val="000000" w:themeColor="text1"/>
              </w:rPr>
              <w:t>B</w:t>
            </w:r>
          </w:p>
        </w:tc>
        <w:tc>
          <w:tcPr>
            <w:tcW w:w="2088" w:type="dxa"/>
            <w:tcBorders>
              <w:top w:val="outset" w:sz="6" w:space="0" w:color="auto"/>
              <w:left w:val="outset" w:sz="6" w:space="0" w:color="auto"/>
              <w:bottom w:val="outset" w:sz="6" w:space="0" w:color="auto"/>
              <w:right w:val="outset" w:sz="6" w:space="0" w:color="auto"/>
            </w:tcBorders>
            <w:vAlign w:val="center"/>
            <w:hideMark/>
          </w:tcPr>
          <w:p w14:paraId="5522AF24" w14:textId="77777777" w:rsidR="00CE3374" w:rsidRPr="00FC15F9" w:rsidRDefault="00CE3374">
            <w:pPr>
              <w:spacing w:before="0" w:after="0" w:line="240" w:lineRule="auto"/>
              <w:ind w:left="57"/>
              <w:jc w:val="center"/>
              <w:rPr>
                <w:color w:val="000000" w:themeColor="text1"/>
              </w:rPr>
            </w:pPr>
            <w:r w:rsidRPr="00FC15F9">
              <w:rPr>
                <w:color w:val="000000" w:themeColor="text1"/>
              </w:rPr>
              <w:t>C</w:t>
            </w:r>
          </w:p>
        </w:tc>
        <w:tc>
          <w:tcPr>
            <w:tcW w:w="2079" w:type="dxa"/>
            <w:tcBorders>
              <w:top w:val="outset" w:sz="6" w:space="0" w:color="auto"/>
              <w:left w:val="outset" w:sz="6" w:space="0" w:color="auto"/>
              <w:bottom w:val="outset" w:sz="6" w:space="0" w:color="auto"/>
              <w:right w:val="outset" w:sz="6" w:space="0" w:color="auto"/>
            </w:tcBorders>
            <w:vAlign w:val="center"/>
            <w:hideMark/>
          </w:tcPr>
          <w:p w14:paraId="2EA5DF68" w14:textId="77777777" w:rsidR="00CE3374" w:rsidRPr="00FC15F9" w:rsidRDefault="00CE3374">
            <w:pPr>
              <w:spacing w:before="0" w:after="0" w:line="240" w:lineRule="auto"/>
              <w:ind w:left="57"/>
              <w:jc w:val="center"/>
              <w:rPr>
                <w:color w:val="000000" w:themeColor="text1"/>
              </w:rPr>
            </w:pPr>
            <w:r w:rsidRPr="00FC15F9">
              <w:rPr>
                <w:color w:val="000000" w:themeColor="text1"/>
              </w:rPr>
              <w:t>D</w:t>
            </w:r>
          </w:p>
        </w:tc>
      </w:tr>
      <w:tr w:rsidR="00CE3374" w:rsidRPr="00FC15F9" w14:paraId="1218186D" w14:textId="77777777" w:rsidTr="00CE3374">
        <w:trPr>
          <w:jc w:val="center"/>
        </w:trPr>
        <w:tc>
          <w:tcPr>
            <w:tcW w:w="3366" w:type="dxa"/>
            <w:gridSpan w:val="3"/>
            <w:tcBorders>
              <w:top w:val="outset" w:sz="6" w:space="0" w:color="auto"/>
              <w:left w:val="outset" w:sz="6" w:space="0" w:color="auto"/>
              <w:bottom w:val="outset" w:sz="6" w:space="0" w:color="auto"/>
              <w:right w:val="outset" w:sz="6" w:space="0" w:color="auto"/>
            </w:tcBorders>
            <w:hideMark/>
          </w:tcPr>
          <w:p w14:paraId="20D851B5" w14:textId="77777777" w:rsidR="00CE3374" w:rsidRPr="00FC15F9" w:rsidRDefault="00CE3374">
            <w:pPr>
              <w:spacing w:before="0" w:after="0" w:line="240" w:lineRule="auto"/>
              <w:ind w:left="57"/>
              <w:rPr>
                <w:color w:val="000000" w:themeColor="text1"/>
                <w:spacing w:val="-3"/>
              </w:rPr>
            </w:pPr>
            <w:r w:rsidRPr="00FC15F9">
              <w:rPr>
                <w:color w:val="000000" w:themeColor="text1"/>
                <w:spacing w:val="-3"/>
              </w:rPr>
              <w:t>Attiecīgā ES tiesību akta panta numurs (uzskaitot katru tiesību akta vienību – pantu, daļu, punktu, apakšpunktu)</w:t>
            </w:r>
          </w:p>
        </w:tc>
        <w:tc>
          <w:tcPr>
            <w:tcW w:w="2081" w:type="dxa"/>
            <w:tcBorders>
              <w:top w:val="outset" w:sz="6" w:space="0" w:color="auto"/>
              <w:left w:val="outset" w:sz="6" w:space="0" w:color="auto"/>
              <w:bottom w:val="outset" w:sz="6" w:space="0" w:color="auto"/>
              <w:right w:val="outset" w:sz="6" w:space="0" w:color="auto"/>
            </w:tcBorders>
            <w:hideMark/>
          </w:tcPr>
          <w:p w14:paraId="25C351B1" w14:textId="77777777" w:rsidR="00CE3374" w:rsidRPr="00FC15F9" w:rsidRDefault="00CE3374">
            <w:pPr>
              <w:spacing w:before="0" w:after="0" w:line="240" w:lineRule="auto"/>
              <w:ind w:left="57"/>
              <w:rPr>
                <w:color w:val="000000" w:themeColor="text1"/>
                <w:spacing w:val="-3"/>
              </w:rPr>
            </w:pPr>
            <w:r w:rsidRPr="00FC15F9">
              <w:rPr>
                <w:color w:val="000000" w:themeColor="text1"/>
                <w:spacing w:val="-3"/>
              </w:rPr>
              <w:t>Projekta vienība, kas pārņem vai ievieš katru šīs tabulas A ailē minēto ES tiesību akta vienību, vai tiesību akts, kur attiecīgā ES tiesību akta vienība pārņemta vai ieviesta</w:t>
            </w:r>
          </w:p>
        </w:tc>
        <w:tc>
          <w:tcPr>
            <w:tcW w:w="2088" w:type="dxa"/>
            <w:tcBorders>
              <w:top w:val="outset" w:sz="6" w:space="0" w:color="auto"/>
              <w:left w:val="outset" w:sz="6" w:space="0" w:color="auto"/>
              <w:bottom w:val="outset" w:sz="6" w:space="0" w:color="auto"/>
              <w:right w:val="outset" w:sz="6" w:space="0" w:color="auto"/>
            </w:tcBorders>
            <w:hideMark/>
          </w:tcPr>
          <w:p w14:paraId="5121AAF9" w14:textId="77777777" w:rsidR="00CE3374" w:rsidRPr="00FC15F9" w:rsidRDefault="00CE3374">
            <w:pPr>
              <w:spacing w:before="0" w:after="0" w:line="240" w:lineRule="auto"/>
              <w:ind w:left="57"/>
              <w:rPr>
                <w:color w:val="000000" w:themeColor="text1"/>
                <w:spacing w:val="-3"/>
              </w:rPr>
            </w:pPr>
            <w:r w:rsidRPr="00FC15F9">
              <w:rPr>
                <w:color w:val="000000" w:themeColor="text1"/>
                <w:spacing w:val="-3"/>
              </w:rPr>
              <w:t>Informācija par to, vai šīs tabulas A ailē minētās ES tiesību akta vienības tiek pārņemtas vai ieviestas pilnībā vai daļēji.</w:t>
            </w:r>
          </w:p>
          <w:p w14:paraId="13A8EABA" w14:textId="77777777" w:rsidR="00CE3374" w:rsidRPr="00FC15F9" w:rsidRDefault="00CE3374">
            <w:pPr>
              <w:spacing w:before="0" w:after="0" w:line="240" w:lineRule="auto"/>
              <w:ind w:left="57"/>
              <w:rPr>
                <w:color w:val="000000" w:themeColor="text1"/>
                <w:spacing w:val="-3"/>
              </w:rPr>
            </w:pPr>
            <w:r w:rsidRPr="00FC15F9">
              <w:rPr>
                <w:color w:val="000000" w:themeColor="text1"/>
                <w:spacing w:val="-3"/>
              </w:rPr>
              <w:t>Ja attiecīgā ES tiesību akta vienība tiek pārņemta vai ieviesta daļēji, sniedz attiecīgu skaidrojumu, kā arī precīzi norāda, kad un kādā veidā ES tiesību akta vienība tiks pārņemta vai ieviesta pilnībā.</w:t>
            </w:r>
          </w:p>
          <w:p w14:paraId="524193FF" w14:textId="77777777" w:rsidR="00CE3374" w:rsidRPr="00FC15F9" w:rsidRDefault="00CE3374">
            <w:pPr>
              <w:spacing w:before="0" w:after="0" w:line="240" w:lineRule="auto"/>
              <w:ind w:left="57"/>
              <w:rPr>
                <w:color w:val="000000" w:themeColor="text1"/>
                <w:spacing w:val="-3"/>
              </w:rPr>
            </w:pPr>
            <w:r w:rsidRPr="00FC15F9">
              <w:rPr>
                <w:color w:val="000000" w:themeColor="text1"/>
                <w:spacing w:val="-3"/>
              </w:rPr>
              <w:t>Norāda institūciju, kas ir atbildīga par šo saistību izpildi pilnībā</w:t>
            </w:r>
          </w:p>
        </w:tc>
        <w:tc>
          <w:tcPr>
            <w:tcW w:w="2079" w:type="dxa"/>
            <w:tcBorders>
              <w:top w:val="outset" w:sz="6" w:space="0" w:color="auto"/>
              <w:left w:val="outset" w:sz="6" w:space="0" w:color="auto"/>
              <w:bottom w:val="outset" w:sz="6" w:space="0" w:color="auto"/>
              <w:right w:val="outset" w:sz="6" w:space="0" w:color="auto"/>
            </w:tcBorders>
            <w:hideMark/>
          </w:tcPr>
          <w:p w14:paraId="38D780D8" w14:textId="77777777" w:rsidR="00CE3374" w:rsidRPr="00FC15F9" w:rsidRDefault="00CE3374">
            <w:pPr>
              <w:spacing w:before="0" w:after="0" w:line="240" w:lineRule="auto"/>
              <w:ind w:left="57"/>
              <w:rPr>
                <w:color w:val="000000" w:themeColor="text1"/>
              </w:rPr>
            </w:pPr>
            <w:r w:rsidRPr="00FC15F9">
              <w:rPr>
                <w:color w:val="000000" w:themeColor="text1"/>
                <w:spacing w:val="-3"/>
              </w:rPr>
              <w:t xml:space="preserve">Informācija par to, vai šīs </w:t>
            </w:r>
            <w:r w:rsidRPr="00FC15F9">
              <w:rPr>
                <w:color w:val="000000" w:themeColor="text1"/>
              </w:rPr>
              <w:t>tabulas B ailē minētās projekta vienības paredz stingrākas prasības nekā šīs tabulas A ailē minētās ES tiesību akta vienības.</w:t>
            </w:r>
          </w:p>
          <w:p w14:paraId="3E76A4D4" w14:textId="77777777" w:rsidR="00CE3374" w:rsidRPr="00FC15F9" w:rsidRDefault="00CE3374">
            <w:pPr>
              <w:spacing w:before="0" w:after="0" w:line="240" w:lineRule="auto"/>
              <w:ind w:left="57"/>
              <w:rPr>
                <w:color w:val="000000" w:themeColor="text1"/>
              </w:rPr>
            </w:pPr>
            <w:r w:rsidRPr="00FC15F9">
              <w:rPr>
                <w:color w:val="000000" w:themeColor="text1"/>
              </w:rPr>
              <w:t>Ja projekts satur stingrā</w:t>
            </w:r>
            <w:r w:rsidRPr="00FC15F9">
              <w:rPr>
                <w:color w:val="000000" w:themeColor="text1"/>
              </w:rPr>
              <w:softHyphen/>
              <w:t>kas prasības nekā attie</w:t>
            </w:r>
            <w:r w:rsidRPr="00FC15F9">
              <w:rPr>
                <w:color w:val="000000" w:themeColor="text1"/>
              </w:rPr>
              <w:softHyphen/>
              <w:t>cīgais ES tiesību akts, norāda pamatojumu un samērīgumu.</w:t>
            </w:r>
          </w:p>
          <w:p w14:paraId="689E21FE" w14:textId="77777777" w:rsidR="00CE3374" w:rsidRPr="00FC15F9" w:rsidRDefault="00CE3374">
            <w:pPr>
              <w:spacing w:before="0" w:after="0" w:line="240" w:lineRule="auto"/>
              <w:ind w:left="57"/>
              <w:rPr>
                <w:color w:val="000000" w:themeColor="text1"/>
                <w:spacing w:val="-3"/>
              </w:rPr>
            </w:pPr>
            <w:r w:rsidRPr="00FC15F9">
              <w:rPr>
                <w:color w:val="000000" w:themeColor="text1"/>
              </w:rPr>
              <w:t>Norāda iespējamās alternatīvas (t.sk. alternatīvas, kas neparedz tiesiskā regulējuma izstrādi) – kādos gadījumos būtu iespējams izvairīties no stingrāku prasību</w:t>
            </w:r>
            <w:r w:rsidRPr="00FC15F9">
              <w:rPr>
                <w:color w:val="000000" w:themeColor="text1"/>
                <w:spacing w:val="-3"/>
              </w:rPr>
              <w:t xml:space="preserve"> </w:t>
            </w:r>
            <w:r w:rsidRPr="00FC15F9">
              <w:rPr>
                <w:color w:val="000000" w:themeColor="text1"/>
                <w:spacing w:val="-3"/>
              </w:rPr>
              <w:lastRenderedPageBreak/>
              <w:t xml:space="preserve">noteikšanas, nekā paredzēts attiecīgajos </w:t>
            </w:r>
          </w:p>
          <w:p w14:paraId="158B0A55" w14:textId="77777777" w:rsidR="00CE3374" w:rsidRPr="00FC15F9" w:rsidRDefault="00CE3374">
            <w:pPr>
              <w:spacing w:before="0" w:after="0" w:line="240" w:lineRule="auto"/>
              <w:ind w:left="57"/>
              <w:rPr>
                <w:color w:val="000000" w:themeColor="text1"/>
                <w:spacing w:val="-3"/>
              </w:rPr>
            </w:pPr>
            <w:r w:rsidRPr="00FC15F9">
              <w:rPr>
                <w:color w:val="000000" w:themeColor="text1"/>
                <w:spacing w:val="-3"/>
              </w:rPr>
              <w:t>ES tiesību aktos</w:t>
            </w:r>
          </w:p>
        </w:tc>
      </w:tr>
      <w:tr w:rsidR="00CE3374" w:rsidRPr="00FC15F9" w14:paraId="2F220CE1" w14:textId="77777777" w:rsidTr="00CE3374">
        <w:trPr>
          <w:jc w:val="center"/>
        </w:trPr>
        <w:tc>
          <w:tcPr>
            <w:tcW w:w="3366" w:type="dxa"/>
            <w:gridSpan w:val="3"/>
            <w:tcBorders>
              <w:top w:val="outset" w:sz="6" w:space="0" w:color="auto"/>
              <w:left w:val="outset" w:sz="6" w:space="0" w:color="auto"/>
              <w:bottom w:val="outset" w:sz="6" w:space="0" w:color="auto"/>
              <w:right w:val="outset" w:sz="6" w:space="0" w:color="auto"/>
            </w:tcBorders>
            <w:hideMark/>
          </w:tcPr>
          <w:p w14:paraId="416DD441" w14:textId="77777777" w:rsidR="00CE3374" w:rsidRPr="00FC15F9" w:rsidRDefault="00CE3374">
            <w:pPr>
              <w:spacing w:before="0" w:after="0" w:line="240" w:lineRule="auto"/>
              <w:ind w:left="57"/>
              <w:rPr>
                <w:color w:val="000000" w:themeColor="text1"/>
                <w:spacing w:val="-3"/>
              </w:rPr>
            </w:pPr>
            <w:r w:rsidRPr="00FC15F9">
              <w:rPr>
                <w:color w:val="000000" w:themeColor="text1"/>
                <w:spacing w:val="-3"/>
              </w:rPr>
              <w:lastRenderedPageBreak/>
              <w:t>Kā ir izmantota ES tiesību aktā paredzētā rīcības brīvība dalībvalstij pārņemt vai ieviest noteiktas ES tiesību akta normas?</w:t>
            </w:r>
          </w:p>
          <w:p w14:paraId="2D74A678" w14:textId="77777777" w:rsidR="00CE3374" w:rsidRPr="00FC15F9" w:rsidRDefault="00CE3374">
            <w:pPr>
              <w:spacing w:before="0" w:after="0" w:line="240" w:lineRule="auto"/>
              <w:ind w:left="57"/>
              <w:rPr>
                <w:color w:val="000000" w:themeColor="text1"/>
                <w:spacing w:val="-3"/>
              </w:rPr>
            </w:pPr>
            <w:r w:rsidRPr="00FC15F9">
              <w:rPr>
                <w:color w:val="000000" w:themeColor="text1"/>
                <w:spacing w:val="-3"/>
              </w:rPr>
              <w:t>Kādēļ?</w:t>
            </w:r>
          </w:p>
        </w:tc>
        <w:tc>
          <w:tcPr>
            <w:tcW w:w="6248" w:type="dxa"/>
            <w:gridSpan w:val="3"/>
            <w:tcBorders>
              <w:top w:val="outset" w:sz="6" w:space="0" w:color="auto"/>
              <w:left w:val="outset" w:sz="6" w:space="0" w:color="auto"/>
              <w:bottom w:val="outset" w:sz="6" w:space="0" w:color="auto"/>
              <w:right w:val="outset" w:sz="6" w:space="0" w:color="auto"/>
            </w:tcBorders>
            <w:hideMark/>
          </w:tcPr>
          <w:p w14:paraId="6F230FCD" w14:textId="77777777" w:rsidR="00CE3374" w:rsidRPr="00FC15F9" w:rsidRDefault="001D2B74">
            <w:pPr>
              <w:spacing w:before="0" w:after="0" w:line="240" w:lineRule="auto"/>
              <w:ind w:left="57"/>
              <w:rPr>
                <w:color w:val="000000" w:themeColor="text1"/>
              </w:rPr>
            </w:pPr>
            <w:r>
              <w:rPr>
                <w:color w:val="000000" w:themeColor="text1"/>
                <w:spacing w:val="-2"/>
              </w:rPr>
              <w:t xml:space="preserve">Stingrākas prasības netiek </w:t>
            </w:r>
            <w:r w:rsidR="00CE3374" w:rsidRPr="00FC15F9">
              <w:rPr>
                <w:color w:val="000000" w:themeColor="text1"/>
                <w:spacing w:val="-2"/>
              </w:rPr>
              <w:t>piemērotas.</w:t>
            </w:r>
          </w:p>
        </w:tc>
      </w:tr>
      <w:tr w:rsidR="00CE3374" w:rsidRPr="00FC15F9" w14:paraId="44097AA4" w14:textId="77777777" w:rsidTr="00CE3374">
        <w:trPr>
          <w:jc w:val="center"/>
        </w:trPr>
        <w:tc>
          <w:tcPr>
            <w:tcW w:w="3366" w:type="dxa"/>
            <w:gridSpan w:val="3"/>
            <w:tcBorders>
              <w:top w:val="outset" w:sz="6" w:space="0" w:color="auto"/>
              <w:left w:val="outset" w:sz="6" w:space="0" w:color="auto"/>
              <w:bottom w:val="outset" w:sz="6" w:space="0" w:color="auto"/>
              <w:right w:val="outset" w:sz="6" w:space="0" w:color="auto"/>
            </w:tcBorders>
            <w:hideMark/>
          </w:tcPr>
          <w:p w14:paraId="4854F2AC" w14:textId="77777777" w:rsidR="00CE3374" w:rsidRPr="00FC15F9" w:rsidRDefault="00CE3374">
            <w:pPr>
              <w:spacing w:before="0" w:after="0" w:line="240" w:lineRule="auto"/>
              <w:ind w:left="57"/>
              <w:rPr>
                <w:color w:val="000000" w:themeColor="text1"/>
                <w:spacing w:val="-3"/>
              </w:rPr>
            </w:pPr>
            <w:r w:rsidRPr="00FC15F9">
              <w:rPr>
                <w:color w:val="000000" w:themeColor="text1"/>
                <w:spacing w:val="-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248" w:type="dxa"/>
            <w:gridSpan w:val="3"/>
            <w:tcBorders>
              <w:top w:val="outset" w:sz="6" w:space="0" w:color="auto"/>
              <w:left w:val="outset" w:sz="6" w:space="0" w:color="auto"/>
              <w:bottom w:val="outset" w:sz="6" w:space="0" w:color="auto"/>
              <w:right w:val="outset" w:sz="6" w:space="0" w:color="auto"/>
            </w:tcBorders>
            <w:hideMark/>
          </w:tcPr>
          <w:p w14:paraId="7DEE8FA4" w14:textId="77777777" w:rsidR="00CE3374" w:rsidRPr="00FC15F9" w:rsidRDefault="00E10314">
            <w:pPr>
              <w:spacing w:before="0" w:after="0" w:line="240" w:lineRule="auto"/>
              <w:ind w:left="57" w:right="100"/>
              <w:rPr>
                <w:color w:val="000000" w:themeColor="text1"/>
              </w:rPr>
            </w:pPr>
            <w:r w:rsidRPr="00FC15F9">
              <w:rPr>
                <w:color w:val="000000" w:themeColor="text1"/>
              </w:rPr>
              <w:t>Nav.</w:t>
            </w:r>
          </w:p>
        </w:tc>
      </w:tr>
      <w:tr w:rsidR="00CE3374" w:rsidRPr="00FC15F9" w14:paraId="6A7CC68C" w14:textId="77777777" w:rsidTr="00CE3374">
        <w:trPr>
          <w:jc w:val="center"/>
        </w:trPr>
        <w:tc>
          <w:tcPr>
            <w:tcW w:w="3366" w:type="dxa"/>
            <w:gridSpan w:val="3"/>
            <w:tcBorders>
              <w:top w:val="outset" w:sz="6" w:space="0" w:color="auto"/>
              <w:left w:val="outset" w:sz="6" w:space="0" w:color="auto"/>
              <w:bottom w:val="single" w:sz="4" w:space="0" w:color="auto"/>
              <w:right w:val="outset" w:sz="6" w:space="0" w:color="auto"/>
            </w:tcBorders>
            <w:hideMark/>
          </w:tcPr>
          <w:p w14:paraId="3AB2CD5B" w14:textId="77777777" w:rsidR="00CE3374" w:rsidRPr="00FC15F9" w:rsidRDefault="00CE3374">
            <w:pPr>
              <w:spacing w:before="0" w:after="0" w:line="240" w:lineRule="auto"/>
              <w:ind w:left="57"/>
              <w:rPr>
                <w:color w:val="000000" w:themeColor="text1"/>
              </w:rPr>
            </w:pPr>
            <w:r w:rsidRPr="00FC15F9">
              <w:rPr>
                <w:color w:val="000000" w:themeColor="text1"/>
              </w:rPr>
              <w:t>Cita informācija</w:t>
            </w:r>
          </w:p>
        </w:tc>
        <w:tc>
          <w:tcPr>
            <w:tcW w:w="6248" w:type="dxa"/>
            <w:gridSpan w:val="3"/>
            <w:tcBorders>
              <w:top w:val="outset" w:sz="6" w:space="0" w:color="auto"/>
              <w:left w:val="outset" w:sz="6" w:space="0" w:color="auto"/>
              <w:bottom w:val="single" w:sz="4" w:space="0" w:color="auto"/>
              <w:right w:val="outset" w:sz="6" w:space="0" w:color="auto"/>
            </w:tcBorders>
            <w:hideMark/>
          </w:tcPr>
          <w:p w14:paraId="787CE57C" w14:textId="77777777" w:rsidR="00CE3374" w:rsidRPr="00FC15F9" w:rsidRDefault="00CE3374">
            <w:pPr>
              <w:spacing w:before="0" w:after="0" w:line="240" w:lineRule="auto"/>
              <w:ind w:left="57"/>
              <w:rPr>
                <w:color w:val="000000" w:themeColor="text1"/>
              </w:rPr>
            </w:pPr>
            <w:r w:rsidRPr="00FC15F9">
              <w:rPr>
                <w:color w:val="000000" w:themeColor="text1"/>
              </w:rPr>
              <w:t>Nav.</w:t>
            </w:r>
          </w:p>
        </w:tc>
      </w:tr>
    </w:tbl>
    <w:p w14:paraId="4FD9D67B" w14:textId="77777777" w:rsidR="00CE3374" w:rsidRPr="00FC15F9" w:rsidRDefault="00CE3374" w:rsidP="00456C58">
      <w:pPr>
        <w:pStyle w:val="NormalWeb"/>
        <w:spacing w:before="0" w:beforeAutospacing="0" w:after="0" w:afterAutospacing="0"/>
        <w:rPr>
          <w:i/>
        </w:rPr>
      </w:pPr>
    </w:p>
    <w:tbl>
      <w:tblPr>
        <w:tblW w:w="949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0"/>
        <w:gridCol w:w="823"/>
        <w:gridCol w:w="3054"/>
        <w:gridCol w:w="4911"/>
      </w:tblGrid>
      <w:tr w:rsidR="0067267D" w:rsidRPr="00FC15F9" w14:paraId="47B6C58D" w14:textId="77777777" w:rsidTr="00464AFB">
        <w:tc>
          <w:tcPr>
            <w:tcW w:w="9498" w:type="dxa"/>
            <w:gridSpan w:val="4"/>
          </w:tcPr>
          <w:p w14:paraId="7305FC8E" w14:textId="77777777" w:rsidR="0067267D" w:rsidRPr="00FC15F9" w:rsidRDefault="0067267D">
            <w:pPr>
              <w:pStyle w:val="naisnod"/>
              <w:spacing w:before="0" w:after="0"/>
              <w:ind w:left="57" w:right="57"/>
            </w:pPr>
            <w:r w:rsidRPr="00FC15F9">
              <w:t xml:space="preserve">VI. </w:t>
            </w:r>
            <w:r w:rsidR="00133143" w:rsidRPr="00FC15F9">
              <w:t>Sabiedrības līdzdalība un komunikācijas aktivitātes</w:t>
            </w:r>
          </w:p>
        </w:tc>
      </w:tr>
      <w:tr w:rsidR="00495396" w:rsidRPr="00FC15F9" w14:paraId="2BBD4BBE" w14:textId="77777777" w:rsidTr="00464AFB">
        <w:trPr>
          <w:trHeight w:val="553"/>
        </w:trPr>
        <w:tc>
          <w:tcPr>
            <w:tcW w:w="710" w:type="dxa"/>
          </w:tcPr>
          <w:p w14:paraId="49C596B4" w14:textId="77777777" w:rsidR="00495396" w:rsidRPr="00FC15F9" w:rsidRDefault="00495396">
            <w:pPr>
              <w:pStyle w:val="naiskr"/>
              <w:spacing w:before="0" w:after="0"/>
              <w:ind w:left="57" w:right="57"/>
              <w:rPr>
                <w:bCs/>
              </w:rPr>
            </w:pPr>
            <w:r w:rsidRPr="00FC15F9">
              <w:rPr>
                <w:bCs/>
              </w:rPr>
              <w:t>1.</w:t>
            </w:r>
          </w:p>
        </w:tc>
        <w:tc>
          <w:tcPr>
            <w:tcW w:w="3877" w:type="dxa"/>
            <w:gridSpan w:val="2"/>
          </w:tcPr>
          <w:p w14:paraId="3C33411F" w14:textId="77777777" w:rsidR="00495396" w:rsidRPr="00FC15F9" w:rsidRDefault="00133143" w:rsidP="00290D53">
            <w:pPr>
              <w:pStyle w:val="naiskr"/>
              <w:tabs>
                <w:tab w:val="left" w:pos="170"/>
              </w:tabs>
              <w:spacing w:before="0" w:after="0"/>
              <w:ind w:left="57" w:right="192"/>
            </w:pPr>
            <w:r w:rsidRPr="00FC15F9">
              <w:t>Plānotās sabiedrības līdzdalības un komunikācijas aktivitātes saistībā ar projektu</w:t>
            </w:r>
          </w:p>
        </w:tc>
        <w:tc>
          <w:tcPr>
            <w:tcW w:w="4911" w:type="dxa"/>
          </w:tcPr>
          <w:p w14:paraId="155611EA" w14:textId="77777777" w:rsidR="007D5691" w:rsidRDefault="00F36DD2" w:rsidP="007D5691">
            <w:pPr>
              <w:pStyle w:val="naiskr"/>
              <w:spacing w:before="0" w:after="0"/>
              <w:ind w:left="57" w:right="57"/>
            </w:pPr>
            <w:r>
              <w:t xml:space="preserve"> </w:t>
            </w:r>
            <w:r w:rsidR="007D5691">
              <w:t xml:space="preserve"> </w:t>
            </w:r>
            <w:r w:rsidR="007D5691" w:rsidRPr="00FC15F9">
              <w:t>Vides aizsardzības un r</w:t>
            </w:r>
            <w:r w:rsidR="007D5691">
              <w:t xml:space="preserve">eģionālās attīstības ministrija organizēja divas sanāksmes </w:t>
            </w:r>
            <w:r w:rsidR="00FE31C2">
              <w:t xml:space="preserve">MK </w:t>
            </w:r>
            <w:r w:rsidR="007D5691">
              <w:t>noteikumu projekta izstrādes veidošanas procesā:</w:t>
            </w:r>
          </w:p>
          <w:p w14:paraId="21F9F4B5" w14:textId="2EBA1957" w:rsidR="007D5691" w:rsidRDefault="007D5691" w:rsidP="007D5691">
            <w:pPr>
              <w:pStyle w:val="naiskr"/>
              <w:numPr>
                <w:ilvl w:val="0"/>
                <w:numId w:val="21"/>
              </w:numPr>
              <w:spacing w:before="0" w:after="0"/>
              <w:ind w:left="375" w:right="57" w:hanging="318"/>
            </w:pPr>
            <w:r>
              <w:t xml:space="preserve">2017. gada 25. janvārī </w:t>
            </w:r>
            <w:r w:rsidRPr="004D32BF">
              <w:t xml:space="preserve">konsultācijas ar </w:t>
            </w:r>
            <w:r w:rsidR="003B63F4">
              <w:t>viedo pilsētvides tehnoloģiju ekspertiem</w:t>
            </w:r>
            <w:r>
              <w:t>;</w:t>
            </w:r>
          </w:p>
          <w:p w14:paraId="0D2D8E29" w14:textId="77777777" w:rsidR="007D5691" w:rsidRDefault="007D5691" w:rsidP="007D5691">
            <w:pPr>
              <w:pStyle w:val="naiskr"/>
              <w:numPr>
                <w:ilvl w:val="0"/>
                <w:numId w:val="21"/>
              </w:numPr>
              <w:spacing w:before="0" w:after="0"/>
              <w:ind w:left="375" w:right="57" w:hanging="318"/>
            </w:pPr>
            <w:r>
              <w:t>2017. gada 20. februārī sanāksme ar potenciālajiem projekta iesniedzēju pārstāvjiem</w:t>
            </w:r>
            <w:r>
              <w:rPr>
                <w:iCs/>
              </w:rPr>
              <w:t>.</w:t>
            </w:r>
          </w:p>
          <w:p w14:paraId="27B37C89" w14:textId="1FBA2634" w:rsidR="0095368C" w:rsidRPr="00FC15F9" w:rsidRDefault="00E66211" w:rsidP="00670175">
            <w:pPr>
              <w:pStyle w:val="naiskr"/>
              <w:spacing w:before="0" w:after="0"/>
              <w:ind w:left="57" w:right="57"/>
            </w:pPr>
            <w:r w:rsidRPr="00FC15F9">
              <w:t xml:space="preserve"> </w:t>
            </w:r>
            <w:r w:rsidR="00F36DD2">
              <w:t xml:space="preserve"> </w:t>
            </w:r>
            <w:r w:rsidR="00C44468">
              <w:t xml:space="preserve">2017. gada 8. februārī </w:t>
            </w:r>
            <w:r w:rsidR="00FE31C2">
              <w:t xml:space="preserve">MK </w:t>
            </w:r>
            <w:r w:rsidR="00C44468">
              <w:t xml:space="preserve">noteikumu projekts </w:t>
            </w:r>
            <w:r w:rsidR="00670175">
              <w:t>tika</w:t>
            </w:r>
            <w:r w:rsidR="00C44468">
              <w:t xml:space="preserve"> publicēts </w:t>
            </w:r>
            <w:r w:rsidR="00670175">
              <w:t xml:space="preserve">ministrijas tīmekļvietnē </w:t>
            </w:r>
            <w:r w:rsidR="00C44468">
              <w:t>publiskai apspriešanai līdz 22.</w:t>
            </w:r>
            <w:r w:rsidR="0069226B">
              <w:t> </w:t>
            </w:r>
            <w:r w:rsidR="00C44468">
              <w:t xml:space="preserve">februārim. </w:t>
            </w:r>
            <w:r w:rsidR="004D32BF">
              <w:t>Ieinteresētās puses var</w:t>
            </w:r>
            <w:r w:rsidR="00670175">
              <w:t>ēja</w:t>
            </w:r>
            <w:r w:rsidR="004D32BF">
              <w:t xml:space="preserve"> sniegt viedokli </w:t>
            </w:r>
            <w:r w:rsidR="00670175">
              <w:t xml:space="preserve">arī pēc MK noteikumu projekta </w:t>
            </w:r>
            <w:r w:rsidR="00E225D9">
              <w:t>izsludinā</w:t>
            </w:r>
            <w:r w:rsidR="007D5691">
              <w:t>šanas</w:t>
            </w:r>
            <w:r w:rsidR="00A6329D">
              <w:t xml:space="preserve"> Valsts sekretāru sanāksm</w:t>
            </w:r>
            <w:r w:rsidR="00E225D9">
              <w:t>ē</w:t>
            </w:r>
            <w:r w:rsidR="00A6329D">
              <w:t>.</w:t>
            </w:r>
          </w:p>
        </w:tc>
      </w:tr>
      <w:tr w:rsidR="00495396" w:rsidRPr="00FC15F9" w14:paraId="3FB2DCB7" w14:textId="77777777" w:rsidTr="00464AFB">
        <w:trPr>
          <w:trHeight w:val="339"/>
        </w:trPr>
        <w:tc>
          <w:tcPr>
            <w:tcW w:w="710" w:type="dxa"/>
          </w:tcPr>
          <w:p w14:paraId="180F85CD" w14:textId="77777777" w:rsidR="00495396" w:rsidRPr="00FC15F9" w:rsidRDefault="00495396">
            <w:pPr>
              <w:pStyle w:val="naiskr"/>
              <w:spacing w:before="0" w:after="0"/>
              <w:ind w:left="57" w:right="57"/>
              <w:rPr>
                <w:bCs/>
              </w:rPr>
            </w:pPr>
            <w:r w:rsidRPr="00FC15F9">
              <w:rPr>
                <w:bCs/>
              </w:rPr>
              <w:t>2.</w:t>
            </w:r>
          </w:p>
        </w:tc>
        <w:tc>
          <w:tcPr>
            <w:tcW w:w="3877" w:type="dxa"/>
            <w:gridSpan w:val="2"/>
          </w:tcPr>
          <w:p w14:paraId="268CD1C8" w14:textId="77777777" w:rsidR="00495396" w:rsidRPr="00FC15F9" w:rsidRDefault="00495396" w:rsidP="00290D53">
            <w:pPr>
              <w:pStyle w:val="naiskr"/>
              <w:spacing w:before="0" w:after="0"/>
              <w:ind w:left="57" w:right="192"/>
            </w:pPr>
            <w:r w:rsidRPr="00FC15F9">
              <w:t xml:space="preserve">Sabiedrības līdzdalība projekta izstrādē </w:t>
            </w:r>
          </w:p>
        </w:tc>
        <w:tc>
          <w:tcPr>
            <w:tcW w:w="4911" w:type="dxa"/>
          </w:tcPr>
          <w:p w14:paraId="0901AED1" w14:textId="5D40C957" w:rsidR="00E0173F" w:rsidRDefault="00F36DD2" w:rsidP="0069226B">
            <w:pPr>
              <w:pStyle w:val="Heading1"/>
              <w:spacing w:before="0" w:beforeAutospacing="0" w:after="0" w:afterAutospacing="0" w:line="240" w:lineRule="auto"/>
              <w:ind w:left="91" w:right="142"/>
              <w:jc w:val="both"/>
              <w:rPr>
                <w:b w:val="0"/>
                <w:bCs w:val="0"/>
                <w:kern w:val="0"/>
                <w:szCs w:val="24"/>
              </w:rPr>
            </w:pPr>
            <w:bookmarkStart w:id="42" w:name="_Ref468052045"/>
            <w:r>
              <w:rPr>
                <w:b w:val="0"/>
                <w:bCs w:val="0"/>
                <w:kern w:val="0"/>
                <w:szCs w:val="24"/>
              </w:rPr>
              <w:t xml:space="preserve"> </w:t>
            </w:r>
            <w:r w:rsidR="0069226B">
              <w:rPr>
                <w:b w:val="0"/>
                <w:bCs w:val="0"/>
                <w:kern w:val="0"/>
                <w:szCs w:val="24"/>
              </w:rPr>
              <w:t xml:space="preserve"> </w:t>
            </w:r>
            <w:r w:rsidR="00EF0543">
              <w:rPr>
                <w:b w:val="0"/>
                <w:bCs w:val="0"/>
                <w:kern w:val="0"/>
                <w:szCs w:val="24"/>
              </w:rPr>
              <w:t>K</w:t>
            </w:r>
            <w:r w:rsidR="004D32BF" w:rsidRPr="004D32BF">
              <w:rPr>
                <w:b w:val="0"/>
                <w:bCs w:val="0"/>
                <w:kern w:val="0"/>
                <w:szCs w:val="24"/>
              </w:rPr>
              <w:t>onsultācij</w:t>
            </w:r>
            <w:r w:rsidR="003B63F4">
              <w:rPr>
                <w:b w:val="0"/>
                <w:bCs w:val="0"/>
                <w:kern w:val="0"/>
                <w:szCs w:val="24"/>
              </w:rPr>
              <w:t>u sanāksme</w:t>
            </w:r>
            <w:r w:rsidR="00123B59">
              <w:rPr>
                <w:b w:val="0"/>
                <w:bCs w:val="0"/>
                <w:kern w:val="0"/>
                <w:szCs w:val="24"/>
              </w:rPr>
              <w:t xml:space="preserve"> (25.01.2017)</w:t>
            </w:r>
            <w:r w:rsidR="004D32BF" w:rsidRPr="004D32BF">
              <w:rPr>
                <w:b w:val="0"/>
                <w:bCs w:val="0"/>
                <w:kern w:val="0"/>
                <w:szCs w:val="24"/>
              </w:rPr>
              <w:t xml:space="preserve"> ar biedrību un nodibinājumu, izglītības un pētniecības </w:t>
            </w:r>
            <w:r w:rsidR="00E0173F" w:rsidRPr="004D32BF">
              <w:rPr>
                <w:b w:val="0"/>
                <w:bCs w:val="0"/>
                <w:kern w:val="0"/>
                <w:szCs w:val="24"/>
              </w:rPr>
              <w:t>iestā</w:t>
            </w:r>
            <w:r w:rsidR="00E0173F">
              <w:rPr>
                <w:b w:val="0"/>
                <w:bCs w:val="0"/>
                <w:kern w:val="0"/>
                <w:szCs w:val="24"/>
              </w:rPr>
              <w:t>žu</w:t>
            </w:r>
            <w:r w:rsidR="004D32BF" w:rsidRPr="004D32BF">
              <w:rPr>
                <w:b w:val="0"/>
                <w:bCs w:val="0"/>
                <w:kern w:val="0"/>
                <w:szCs w:val="24"/>
              </w:rPr>
              <w:t xml:space="preserve">, kuras saistītas ar potenciālām </w:t>
            </w:r>
            <w:r w:rsidR="003B63F4">
              <w:rPr>
                <w:b w:val="0"/>
                <w:bCs w:val="0"/>
                <w:kern w:val="0"/>
                <w:szCs w:val="24"/>
              </w:rPr>
              <w:t xml:space="preserve">viedajām </w:t>
            </w:r>
            <w:r w:rsidR="004D32BF" w:rsidRPr="004D32BF">
              <w:rPr>
                <w:b w:val="0"/>
                <w:bCs w:val="0"/>
                <w:kern w:val="0"/>
                <w:szCs w:val="24"/>
              </w:rPr>
              <w:t>pilsētvides tehnoloģijām</w:t>
            </w:r>
            <w:bookmarkEnd w:id="42"/>
            <w:r w:rsidR="00271E78">
              <w:rPr>
                <w:b w:val="0"/>
                <w:bCs w:val="0"/>
                <w:kern w:val="0"/>
                <w:szCs w:val="24"/>
              </w:rPr>
              <w:t xml:space="preserve"> no to izstrādes un tehnoloģiskā viedokļa</w:t>
            </w:r>
            <w:r w:rsidR="00E0173F">
              <w:rPr>
                <w:b w:val="0"/>
                <w:bCs w:val="0"/>
                <w:kern w:val="0"/>
                <w:szCs w:val="24"/>
              </w:rPr>
              <w:t>, ekspertiem</w:t>
            </w:r>
            <w:r w:rsidR="003B63F4">
              <w:rPr>
                <w:b w:val="0"/>
                <w:bCs w:val="0"/>
                <w:kern w:val="0"/>
                <w:szCs w:val="24"/>
              </w:rPr>
              <w:t>.</w:t>
            </w:r>
          </w:p>
          <w:p w14:paraId="0358A400" w14:textId="2F9A1111" w:rsidR="00F87999" w:rsidRDefault="00E0173F" w:rsidP="0069226B">
            <w:pPr>
              <w:pStyle w:val="Heading1"/>
              <w:spacing w:before="0" w:beforeAutospacing="0" w:after="0" w:afterAutospacing="0" w:line="240" w:lineRule="auto"/>
              <w:ind w:left="91" w:right="142"/>
              <w:jc w:val="both"/>
              <w:rPr>
                <w:b w:val="0"/>
                <w:bCs w:val="0"/>
                <w:kern w:val="0"/>
                <w:szCs w:val="24"/>
              </w:rPr>
            </w:pPr>
            <w:r>
              <w:rPr>
                <w:b w:val="0"/>
                <w:bCs w:val="0"/>
                <w:kern w:val="0"/>
                <w:szCs w:val="24"/>
              </w:rPr>
              <w:t>S</w:t>
            </w:r>
            <w:r w:rsidR="003B63F4">
              <w:rPr>
                <w:b w:val="0"/>
                <w:bCs w:val="0"/>
                <w:kern w:val="0"/>
                <w:szCs w:val="24"/>
              </w:rPr>
              <w:t>an</w:t>
            </w:r>
            <w:r w:rsidR="00271E78">
              <w:rPr>
                <w:b w:val="0"/>
                <w:bCs w:val="0"/>
                <w:kern w:val="0"/>
                <w:szCs w:val="24"/>
              </w:rPr>
              <w:t>āksm</w:t>
            </w:r>
            <w:r>
              <w:rPr>
                <w:b w:val="0"/>
                <w:bCs w:val="0"/>
                <w:kern w:val="0"/>
                <w:szCs w:val="24"/>
              </w:rPr>
              <w:t>e</w:t>
            </w:r>
            <w:r w:rsidR="00123B59">
              <w:rPr>
                <w:b w:val="0"/>
                <w:bCs w:val="0"/>
                <w:kern w:val="0"/>
                <w:szCs w:val="24"/>
              </w:rPr>
              <w:t xml:space="preserve"> (20.02.2017)</w:t>
            </w:r>
            <w:r w:rsidR="003B63F4">
              <w:rPr>
                <w:b w:val="0"/>
                <w:bCs w:val="0"/>
                <w:kern w:val="0"/>
                <w:szCs w:val="24"/>
              </w:rPr>
              <w:t xml:space="preserve"> </w:t>
            </w:r>
            <w:r w:rsidR="00271E78">
              <w:rPr>
                <w:b w:val="0"/>
                <w:bCs w:val="0"/>
                <w:kern w:val="0"/>
                <w:szCs w:val="24"/>
              </w:rPr>
              <w:t xml:space="preserve">ar potenciālajiem </w:t>
            </w:r>
            <w:r>
              <w:rPr>
                <w:b w:val="0"/>
                <w:bCs w:val="0"/>
                <w:kern w:val="0"/>
                <w:szCs w:val="24"/>
              </w:rPr>
              <w:t>projektu iesniedzējiem  - </w:t>
            </w:r>
            <w:r w:rsidR="003B63F4" w:rsidRPr="003B63F4">
              <w:rPr>
                <w:b w:val="0"/>
                <w:bCs w:val="0"/>
                <w:kern w:val="0"/>
                <w:szCs w:val="24"/>
              </w:rPr>
              <w:t>L</w:t>
            </w:r>
            <w:r w:rsidR="00271E78">
              <w:rPr>
                <w:b w:val="0"/>
                <w:bCs w:val="0"/>
                <w:kern w:val="0"/>
                <w:szCs w:val="24"/>
              </w:rPr>
              <w:t xml:space="preserve">atvijas Lielo pilsētu </w:t>
            </w:r>
            <w:r w:rsidR="00255D4D" w:rsidRPr="003B63F4">
              <w:rPr>
                <w:b w:val="0"/>
                <w:bCs w:val="0"/>
                <w:kern w:val="0"/>
                <w:szCs w:val="24"/>
              </w:rPr>
              <w:t>asociācija</w:t>
            </w:r>
            <w:r w:rsidR="00255D4D">
              <w:rPr>
                <w:b w:val="0"/>
                <w:bCs w:val="0"/>
                <w:kern w:val="0"/>
                <w:szCs w:val="24"/>
              </w:rPr>
              <w:t>s</w:t>
            </w:r>
            <w:r w:rsidR="00271E78">
              <w:rPr>
                <w:b w:val="0"/>
                <w:bCs w:val="0"/>
                <w:kern w:val="0"/>
                <w:szCs w:val="24"/>
              </w:rPr>
              <w:t xml:space="preserve">, </w:t>
            </w:r>
            <w:r w:rsidR="003B63F4" w:rsidRPr="003B63F4">
              <w:rPr>
                <w:b w:val="0"/>
                <w:bCs w:val="0"/>
                <w:kern w:val="0"/>
                <w:szCs w:val="24"/>
              </w:rPr>
              <w:t xml:space="preserve">Latvijas Pašvaldību </w:t>
            </w:r>
            <w:r w:rsidR="00255D4D">
              <w:rPr>
                <w:b w:val="0"/>
                <w:bCs w:val="0"/>
                <w:kern w:val="0"/>
                <w:szCs w:val="24"/>
              </w:rPr>
              <w:t xml:space="preserve">savienības </w:t>
            </w:r>
            <w:r w:rsidR="00271E78">
              <w:rPr>
                <w:b w:val="0"/>
                <w:bCs w:val="0"/>
                <w:kern w:val="0"/>
                <w:szCs w:val="24"/>
              </w:rPr>
              <w:t>un pašvaldību pārstāvji.</w:t>
            </w:r>
          </w:p>
          <w:p w14:paraId="7A984C45" w14:textId="77777777" w:rsidR="00123B59" w:rsidRPr="00FC15F9" w:rsidRDefault="00123B59" w:rsidP="0069226B">
            <w:pPr>
              <w:pStyle w:val="Heading1"/>
              <w:spacing w:before="0" w:beforeAutospacing="0" w:after="0" w:afterAutospacing="0" w:line="240" w:lineRule="auto"/>
              <w:ind w:left="91" w:right="142"/>
              <w:jc w:val="both"/>
              <w:rPr>
                <w:b w:val="0"/>
                <w:bCs w:val="0"/>
                <w:kern w:val="0"/>
                <w:szCs w:val="24"/>
              </w:rPr>
            </w:pPr>
            <w:r>
              <w:rPr>
                <w:b w:val="0"/>
                <w:bCs w:val="0"/>
                <w:kern w:val="0"/>
                <w:szCs w:val="24"/>
              </w:rPr>
              <w:t xml:space="preserve">  </w:t>
            </w:r>
            <w:r w:rsidR="00C24794">
              <w:rPr>
                <w:b w:val="0"/>
                <w:bCs w:val="0"/>
                <w:kern w:val="0"/>
                <w:szCs w:val="24"/>
              </w:rPr>
              <w:t>P</w:t>
            </w:r>
            <w:r>
              <w:rPr>
                <w:b w:val="0"/>
                <w:bCs w:val="0"/>
                <w:kern w:val="0"/>
                <w:szCs w:val="24"/>
              </w:rPr>
              <w:t>ubliskās apspriešanas</w:t>
            </w:r>
            <w:r w:rsidR="00C24794">
              <w:rPr>
                <w:b w:val="0"/>
                <w:bCs w:val="0"/>
                <w:kern w:val="0"/>
                <w:szCs w:val="24"/>
              </w:rPr>
              <w:t xml:space="preserve"> laikā</w:t>
            </w:r>
            <w:r w:rsidR="00717E50">
              <w:rPr>
                <w:b w:val="0"/>
                <w:bCs w:val="0"/>
                <w:kern w:val="0"/>
                <w:szCs w:val="24"/>
              </w:rPr>
              <w:t xml:space="preserve"> (termiņš 22.02.2017) tika saņemti rakstiski priekšlikumi no Liepājas</w:t>
            </w:r>
            <w:r w:rsidR="004651E8">
              <w:rPr>
                <w:b w:val="0"/>
                <w:bCs w:val="0"/>
                <w:kern w:val="0"/>
                <w:szCs w:val="24"/>
              </w:rPr>
              <w:t xml:space="preserve"> pilsētas pašvaldības (20.02.2017</w:t>
            </w:r>
            <w:r w:rsidR="00FB1E40">
              <w:rPr>
                <w:b w:val="0"/>
                <w:bCs w:val="0"/>
                <w:kern w:val="0"/>
                <w:szCs w:val="24"/>
              </w:rPr>
              <w:t xml:space="preserve"> un 22.02.2017</w:t>
            </w:r>
            <w:r w:rsidR="004651E8">
              <w:rPr>
                <w:b w:val="0"/>
                <w:bCs w:val="0"/>
                <w:kern w:val="0"/>
                <w:szCs w:val="24"/>
              </w:rPr>
              <w:t>),</w:t>
            </w:r>
            <w:r w:rsidR="00E10314">
              <w:rPr>
                <w:b w:val="0"/>
                <w:bCs w:val="0"/>
                <w:kern w:val="0"/>
                <w:szCs w:val="24"/>
              </w:rPr>
              <w:t xml:space="preserve"> Daugavpils</w:t>
            </w:r>
            <w:r w:rsidR="00717E50">
              <w:rPr>
                <w:b w:val="0"/>
                <w:bCs w:val="0"/>
                <w:kern w:val="0"/>
                <w:szCs w:val="24"/>
              </w:rPr>
              <w:t xml:space="preserve"> pilsētas pašvaldības</w:t>
            </w:r>
            <w:r w:rsidR="00E10314">
              <w:rPr>
                <w:b w:val="0"/>
                <w:bCs w:val="0"/>
                <w:kern w:val="0"/>
                <w:szCs w:val="24"/>
              </w:rPr>
              <w:t xml:space="preserve"> (21.02.2017)</w:t>
            </w:r>
            <w:r w:rsidR="004651E8">
              <w:rPr>
                <w:b w:val="0"/>
                <w:bCs w:val="0"/>
                <w:kern w:val="0"/>
                <w:szCs w:val="24"/>
              </w:rPr>
              <w:t>, Jūrmalas pilsētas domes (22.02.2017), biedrības “</w:t>
            </w:r>
            <w:proofErr w:type="spellStart"/>
            <w:r w:rsidR="004651E8">
              <w:rPr>
                <w:b w:val="0"/>
                <w:bCs w:val="0"/>
                <w:kern w:val="0"/>
                <w:szCs w:val="24"/>
              </w:rPr>
              <w:t>Passive</w:t>
            </w:r>
            <w:proofErr w:type="spellEnd"/>
            <w:r w:rsidR="004651E8">
              <w:rPr>
                <w:b w:val="0"/>
                <w:bCs w:val="0"/>
                <w:kern w:val="0"/>
                <w:szCs w:val="24"/>
              </w:rPr>
              <w:t xml:space="preserve"> </w:t>
            </w:r>
            <w:proofErr w:type="spellStart"/>
            <w:r w:rsidR="004651E8">
              <w:rPr>
                <w:b w:val="0"/>
                <w:bCs w:val="0"/>
                <w:kern w:val="0"/>
                <w:szCs w:val="24"/>
              </w:rPr>
              <w:t>House</w:t>
            </w:r>
            <w:proofErr w:type="spellEnd"/>
            <w:r w:rsidR="004651E8">
              <w:rPr>
                <w:b w:val="0"/>
                <w:bCs w:val="0"/>
                <w:kern w:val="0"/>
                <w:szCs w:val="24"/>
              </w:rPr>
              <w:t xml:space="preserve"> Latvija” </w:t>
            </w:r>
            <w:r w:rsidR="004651E8">
              <w:rPr>
                <w:b w:val="0"/>
                <w:bCs w:val="0"/>
                <w:kern w:val="0"/>
                <w:szCs w:val="24"/>
              </w:rPr>
              <w:lastRenderedPageBreak/>
              <w:t>(22.02.2017)</w:t>
            </w:r>
            <w:r w:rsidR="00601FFF">
              <w:rPr>
                <w:b w:val="0"/>
                <w:bCs w:val="0"/>
                <w:kern w:val="0"/>
                <w:szCs w:val="24"/>
              </w:rPr>
              <w:t>,</w:t>
            </w:r>
            <w:r w:rsidR="006024D5">
              <w:rPr>
                <w:b w:val="0"/>
                <w:bCs w:val="0"/>
                <w:kern w:val="0"/>
                <w:szCs w:val="24"/>
              </w:rPr>
              <w:t xml:space="preserve"> </w:t>
            </w:r>
            <w:r w:rsidR="00601FFF">
              <w:rPr>
                <w:b w:val="0"/>
                <w:bCs w:val="0"/>
                <w:kern w:val="0"/>
                <w:szCs w:val="24"/>
              </w:rPr>
              <w:t>b</w:t>
            </w:r>
            <w:r w:rsidR="006024D5">
              <w:rPr>
                <w:b w:val="0"/>
                <w:bCs w:val="0"/>
                <w:kern w:val="0"/>
                <w:szCs w:val="24"/>
              </w:rPr>
              <w:t>iedrības par atklātību – Delna (22.02.2017)</w:t>
            </w:r>
            <w:r w:rsidR="00601FFF">
              <w:rPr>
                <w:b w:val="0"/>
                <w:bCs w:val="0"/>
                <w:kern w:val="0"/>
                <w:szCs w:val="24"/>
              </w:rPr>
              <w:t>.</w:t>
            </w:r>
          </w:p>
        </w:tc>
      </w:tr>
      <w:tr w:rsidR="00CC395A" w:rsidRPr="00FC15F9" w14:paraId="54F18CDE" w14:textId="77777777" w:rsidTr="00464AFB">
        <w:trPr>
          <w:trHeight w:val="375"/>
        </w:trPr>
        <w:tc>
          <w:tcPr>
            <w:tcW w:w="710" w:type="dxa"/>
          </w:tcPr>
          <w:p w14:paraId="4BCA36D1" w14:textId="77777777" w:rsidR="00CC395A" w:rsidRPr="00FC15F9" w:rsidRDefault="00CC395A">
            <w:pPr>
              <w:pStyle w:val="naiskr"/>
              <w:spacing w:before="0" w:after="0"/>
              <w:ind w:left="57" w:right="57"/>
              <w:rPr>
                <w:bCs/>
              </w:rPr>
            </w:pPr>
            <w:r w:rsidRPr="00FC15F9">
              <w:rPr>
                <w:bCs/>
              </w:rPr>
              <w:lastRenderedPageBreak/>
              <w:t>3.</w:t>
            </w:r>
          </w:p>
        </w:tc>
        <w:tc>
          <w:tcPr>
            <w:tcW w:w="3877" w:type="dxa"/>
            <w:gridSpan w:val="2"/>
          </w:tcPr>
          <w:p w14:paraId="27A5BDB4" w14:textId="77777777" w:rsidR="00CC395A" w:rsidRPr="00FC15F9" w:rsidRDefault="00CC395A" w:rsidP="00290D53">
            <w:pPr>
              <w:pStyle w:val="naiskr"/>
              <w:spacing w:before="0" w:after="0"/>
              <w:ind w:left="57" w:right="192"/>
            </w:pPr>
            <w:r w:rsidRPr="00FC15F9">
              <w:t xml:space="preserve">Sabiedrības līdzdalības rezultāti </w:t>
            </w:r>
          </w:p>
        </w:tc>
        <w:tc>
          <w:tcPr>
            <w:tcW w:w="4911" w:type="dxa"/>
          </w:tcPr>
          <w:p w14:paraId="1C6B6AB3" w14:textId="756531DB" w:rsidR="00F87999" w:rsidRDefault="00A6329D" w:rsidP="00F36DD2">
            <w:pPr>
              <w:pStyle w:val="naiskr"/>
              <w:spacing w:before="0" w:after="0"/>
              <w:ind w:left="57" w:right="57"/>
              <w:rPr>
                <w:bCs/>
              </w:rPr>
            </w:pPr>
            <w:r>
              <w:rPr>
                <w:bCs/>
              </w:rPr>
              <w:t xml:space="preserve"> </w:t>
            </w:r>
            <w:r w:rsidR="00F36DD2">
              <w:rPr>
                <w:bCs/>
              </w:rPr>
              <w:t xml:space="preserve"> 2017.</w:t>
            </w:r>
            <w:r w:rsidR="00E0173F">
              <w:rPr>
                <w:bCs/>
              </w:rPr>
              <w:t> </w:t>
            </w:r>
            <w:r w:rsidR="00F36DD2">
              <w:rPr>
                <w:bCs/>
              </w:rPr>
              <w:t>gada 25.</w:t>
            </w:r>
            <w:r w:rsidR="00E0173F">
              <w:rPr>
                <w:bCs/>
              </w:rPr>
              <w:t> </w:t>
            </w:r>
            <w:r w:rsidR="00F36DD2">
              <w:rPr>
                <w:bCs/>
              </w:rPr>
              <w:t>janvāra un 20.</w:t>
            </w:r>
            <w:r w:rsidR="00E0173F">
              <w:rPr>
                <w:bCs/>
              </w:rPr>
              <w:t> </w:t>
            </w:r>
            <w:r w:rsidR="00F36DD2">
              <w:rPr>
                <w:bCs/>
              </w:rPr>
              <w:t>februāra sanāksmēs (VI sadaļas 1. punktā minētās sanāksmes) i</w:t>
            </w:r>
            <w:r>
              <w:rPr>
                <w:bCs/>
              </w:rPr>
              <w:t>ztei</w:t>
            </w:r>
            <w:r w:rsidR="00E225D9">
              <w:rPr>
                <w:bCs/>
              </w:rPr>
              <w:t>ktie</w:t>
            </w:r>
            <w:r>
              <w:rPr>
                <w:bCs/>
              </w:rPr>
              <w:t xml:space="preserve"> ierosinājum</w:t>
            </w:r>
            <w:r w:rsidR="00E225D9">
              <w:rPr>
                <w:bCs/>
              </w:rPr>
              <w:t>i ir izvērtēti un iespēju robežās, ņemot vērā konkursa mērķi, iekļauti konkursa nolikumā</w:t>
            </w:r>
            <w:r>
              <w:rPr>
                <w:bCs/>
              </w:rPr>
              <w:t xml:space="preserve">. </w:t>
            </w:r>
            <w:r w:rsidR="00123B59">
              <w:rPr>
                <w:bCs/>
              </w:rPr>
              <w:t xml:space="preserve">Ir precizēta terminoloģija un </w:t>
            </w:r>
            <w:r w:rsidR="00FE31C2">
              <w:rPr>
                <w:bCs/>
              </w:rPr>
              <w:t xml:space="preserve">MK </w:t>
            </w:r>
            <w:r w:rsidR="00123B59">
              <w:rPr>
                <w:bCs/>
              </w:rPr>
              <w:t>noteikumu specifika, lai samazinātu interpret</w:t>
            </w:r>
            <w:r w:rsidR="00E0173F">
              <w:rPr>
                <w:bCs/>
              </w:rPr>
              <w:t>ācijas</w:t>
            </w:r>
            <w:r w:rsidR="00123B59">
              <w:rPr>
                <w:bCs/>
              </w:rPr>
              <w:t xml:space="preserve"> iespēja</w:t>
            </w:r>
            <w:r w:rsidR="00EF0543">
              <w:rPr>
                <w:bCs/>
              </w:rPr>
              <w:t>s</w:t>
            </w:r>
            <w:r w:rsidR="00123B59">
              <w:rPr>
                <w:bCs/>
              </w:rPr>
              <w:t>.</w:t>
            </w:r>
          </w:p>
          <w:p w14:paraId="5FE9135E" w14:textId="19DFB2A3" w:rsidR="00F36DD2" w:rsidRDefault="00F36DD2" w:rsidP="00E10314">
            <w:pPr>
              <w:pStyle w:val="naiskr"/>
              <w:spacing w:before="0" w:after="0"/>
              <w:ind w:left="57" w:right="57"/>
              <w:rPr>
                <w:bCs/>
              </w:rPr>
            </w:pPr>
            <w:r>
              <w:rPr>
                <w:bCs/>
              </w:rPr>
              <w:t xml:space="preserve">  </w:t>
            </w:r>
            <w:r w:rsidR="008451B3">
              <w:rPr>
                <w:bCs/>
              </w:rPr>
              <w:t>P</w:t>
            </w:r>
            <w:r w:rsidR="00DD679F">
              <w:rPr>
                <w:bCs/>
              </w:rPr>
              <w:t>ēc p</w:t>
            </w:r>
            <w:r w:rsidR="008451B3">
              <w:rPr>
                <w:bCs/>
              </w:rPr>
              <w:t xml:space="preserve">ubliskās apspriešanas </w:t>
            </w:r>
            <w:r w:rsidR="00C24794">
              <w:rPr>
                <w:bCs/>
              </w:rPr>
              <w:t xml:space="preserve">tika izskatīti </w:t>
            </w:r>
            <w:r w:rsidR="00FB1E40">
              <w:rPr>
                <w:bCs/>
              </w:rPr>
              <w:t>seši</w:t>
            </w:r>
            <w:r w:rsidR="008451B3">
              <w:rPr>
                <w:bCs/>
              </w:rPr>
              <w:t xml:space="preserve"> saņemti</w:t>
            </w:r>
            <w:r w:rsidR="00717E50">
              <w:rPr>
                <w:bCs/>
              </w:rPr>
              <w:t>e</w:t>
            </w:r>
            <w:r w:rsidR="008451B3">
              <w:rPr>
                <w:bCs/>
              </w:rPr>
              <w:t xml:space="preserve"> priekšlikumi no Liepājas pilsētas pašvaldības</w:t>
            </w:r>
            <w:r w:rsidR="00717E50" w:rsidRPr="00717E50">
              <w:rPr>
                <w:bCs/>
              </w:rPr>
              <w:t>.</w:t>
            </w:r>
            <w:r w:rsidR="003519F9">
              <w:rPr>
                <w:bCs/>
              </w:rPr>
              <w:t xml:space="preserve"> </w:t>
            </w:r>
            <w:r w:rsidR="00E0173F">
              <w:rPr>
                <w:bCs/>
              </w:rPr>
              <w:t xml:space="preserve">Ir </w:t>
            </w:r>
            <w:r w:rsidR="003519F9">
              <w:rPr>
                <w:bCs/>
              </w:rPr>
              <w:t xml:space="preserve">ņemts vērā </w:t>
            </w:r>
            <w:r w:rsidR="00E0173F">
              <w:rPr>
                <w:bCs/>
              </w:rPr>
              <w:t xml:space="preserve">ierosinājums </w:t>
            </w:r>
            <w:r w:rsidR="003519F9">
              <w:rPr>
                <w:bCs/>
              </w:rPr>
              <w:t>palielināt kopēj</w:t>
            </w:r>
            <w:r w:rsidR="00E0173F">
              <w:rPr>
                <w:bCs/>
              </w:rPr>
              <w:t>o</w:t>
            </w:r>
            <w:r w:rsidR="003519F9">
              <w:rPr>
                <w:bCs/>
              </w:rPr>
              <w:t xml:space="preserve"> uzstādīt</w:t>
            </w:r>
            <w:r w:rsidR="00E0173F">
              <w:rPr>
                <w:bCs/>
              </w:rPr>
              <w:t>o</w:t>
            </w:r>
            <w:r w:rsidR="003519F9">
              <w:rPr>
                <w:bCs/>
              </w:rPr>
              <w:t xml:space="preserve"> elektrisk</w:t>
            </w:r>
            <w:r w:rsidR="00E0173F">
              <w:rPr>
                <w:bCs/>
              </w:rPr>
              <w:t>o</w:t>
            </w:r>
            <w:r w:rsidR="003519F9">
              <w:rPr>
                <w:bCs/>
              </w:rPr>
              <w:t xml:space="preserve"> jaudu (</w:t>
            </w:r>
            <w:r w:rsidR="00E0173F">
              <w:rPr>
                <w:bCs/>
              </w:rPr>
              <w:t>noteikumu 24</w:t>
            </w:r>
            <w:r w:rsidR="00E10314">
              <w:rPr>
                <w:bCs/>
              </w:rPr>
              <w:t>.1</w:t>
            </w:r>
            <w:r w:rsidR="003519F9">
              <w:rPr>
                <w:bCs/>
              </w:rPr>
              <w:t>. </w:t>
            </w:r>
            <w:r w:rsidR="00E0173F">
              <w:rPr>
                <w:bCs/>
              </w:rPr>
              <w:t>apakš</w:t>
            </w:r>
            <w:r w:rsidR="003519F9">
              <w:rPr>
                <w:bCs/>
              </w:rPr>
              <w:t xml:space="preserve">punkts), savukārt </w:t>
            </w:r>
            <w:r w:rsidR="00E0173F">
              <w:rPr>
                <w:bCs/>
              </w:rPr>
              <w:t xml:space="preserve">nav ņemts vērā </w:t>
            </w:r>
            <w:r w:rsidR="003519F9">
              <w:rPr>
                <w:bCs/>
              </w:rPr>
              <w:t>priekšlikum</w:t>
            </w:r>
            <w:r w:rsidR="00E0173F">
              <w:rPr>
                <w:bCs/>
              </w:rPr>
              <w:t>s</w:t>
            </w:r>
            <w:r w:rsidR="003519F9">
              <w:rPr>
                <w:bCs/>
              </w:rPr>
              <w:t xml:space="preserve"> </w:t>
            </w:r>
            <w:r w:rsidR="00CC4831">
              <w:rPr>
                <w:bCs/>
              </w:rPr>
              <w:t xml:space="preserve">par finansējuma </w:t>
            </w:r>
            <w:r w:rsidR="003519F9">
              <w:rPr>
                <w:bCs/>
              </w:rPr>
              <w:t>nenodal</w:t>
            </w:r>
            <w:r w:rsidR="00CC4831">
              <w:rPr>
                <w:bCs/>
              </w:rPr>
              <w:t>īšanu</w:t>
            </w:r>
            <w:r w:rsidR="003519F9">
              <w:rPr>
                <w:bCs/>
              </w:rPr>
              <w:t xml:space="preserve"> divām jomām (</w:t>
            </w:r>
            <w:r w:rsidR="00E0173F">
              <w:rPr>
                <w:bCs/>
              </w:rPr>
              <w:t xml:space="preserve">noteikumu </w:t>
            </w:r>
            <w:r w:rsidR="003519F9">
              <w:rPr>
                <w:bCs/>
              </w:rPr>
              <w:t>6. pants)</w:t>
            </w:r>
            <w:r w:rsidR="00607BCB">
              <w:rPr>
                <w:bCs/>
              </w:rPr>
              <w:t>, attiecin</w:t>
            </w:r>
            <w:r w:rsidR="00CC4831">
              <w:rPr>
                <w:bCs/>
              </w:rPr>
              <w:t>āmajām</w:t>
            </w:r>
            <w:r w:rsidR="00607BCB">
              <w:rPr>
                <w:bCs/>
              </w:rPr>
              <w:t xml:space="preserve"> </w:t>
            </w:r>
            <w:r w:rsidR="00CC4831">
              <w:rPr>
                <w:bCs/>
              </w:rPr>
              <w:t>izmaksām</w:t>
            </w:r>
            <w:r w:rsidR="00607BCB">
              <w:rPr>
                <w:bCs/>
              </w:rPr>
              <w:t xml:space="preserve"> par ieguldījumiem ēkas norobežojošās konstrukcijas pielāgošanai projekta aktivitātēm un </w:t>
            </w:r>
            <w:r w:rsidR="00CC4831">
              <w:rPr>
                <w:bCs/>
              </w:rPr>
              <w:t xml:space="preserve">par </w:t>
            </w:r>
            <w:r w:rsidR="00607BCB">
              <w:rPr>
                <w:bCs/>
              </w:rPr>
              <w:t>projektu iesniegšanas termiņ</w:t>
            </w:r>
            <w:r w:rsidR="00FB1E40">
              <w:rPr>
                <w:bCs/>
              </w:rPr>
              <w:t>a pagarināšanu</w:t>
            </w:r>
            <w:r w:rsidR="00E0173F">
              <w:rPr>
                <w:bCs/>
              </w:rPr>
              <w:t xml:space="preserve"> (noteikumu 34.</w:t>
            </w:r>
            <w:r w:rsidR="00255D4D">
              <w:rPr>
                <w:bCs/>
              </w:rPr>
              <w:t xml:space="preserve"> </w:t>
            </w:r>
            <w:r w:rsidR="00E0173F">
              <w:rPr>
                <w:bCs/>
              </w:rPr>
              <w:t>punkts)</w:t>
            </w:r>
            <w:r w:rsidR="00607BCB">
              <w:rPr>
                <w:bCs/>
              </w:rPr>
              <w:t>.</w:t>
            </w:r>
          </w:p>
          <w:p w14:paraId="0B98DBC9" w14:textId="02EF0867" w:rsidR="00E10314" w:rsidRDefault="00E10314" w:rsidP="002B44A6">
            <w:pPr>
              <w:pStyle w:val="naiskr"/>
              <w:spacing w:before="0" w:after="0"/>
              <w:ind w:left="57" w:right="57"/>
              <w:rPr>
                <w:bCs/>
              </w:rPr>
            </w:pPr>
            <w:r>
              <w:rPr>
                <w:bCs/>
              </w:rPr>
              <w:t xml:space="preserve">  </w:t>
            </w:r>
            <w:r w:rsidR="00EF0543">
              <w:rPr>
                <w:bCs/>
              </w:rPr>
              <w:t xml:space="preserve">Tika izskatīti </w:t>
            </w:r>
            <w:r w:rsidR="009E19EC">
              <w:rPr>
                <w:bCs/>
              </w:rPr>
              <w:t xml:space="preserve">četri </w:t>
            </w:r>
            <w:r>
              <w:rPr>
                <w:bCs/>
              </w:rPr>
              <w:t>priekšlikumi no Daugavpils pilsētas pašvaldības</w:t>
            </w:r>
            <w:r w:rsidR="009E19EC">
              <w:rPr>
                <w:bCs/>
              </w:rPr>
              <w:t>. Ņemts vērā priekšlikums par</w:t>
            </w:r>
            <w:r w:rsidR="00E55459">
              <w:rPr>
                <w:bCs/>
              </w:rPr>
              <w:t xml:space="preserve"> papildu punktu piešķiršanu pašvaldībām, kurām ir ieviesta sertificētā </w:t>
            </w:r>
            <w:proofErr w:type="spellStart"/>
            <w:r w:rsidR="00E55459">
              <w:rPr>
                <w:bCs/>
              </w:rPr>
              <w:t>energopārvaldības</w:t>
            </w:r>
            <w:proofErr w:type="spellEnd"/>
            <w:r w:rsidR="00E55459">
              <w:rPr>
                <w:bCs/>
              </w:rPr>
              <w:t xml:space="preserve"> sistēma, </w:t>
            </w:r>
            <w:r w:rsidR="002B44A6">
              <w:rPr>
                <w:bCs/>
              </w:rPr>
              <w:t xml:space="preserve">savukārt </w:t>
            </w:r>
            <w:r w:rsidR="00077C7A">
              <w:rPr>
                <w:bCs/>
              </w:rPr>
              <w:t xml:space="preserve">nav </w:t>
            </w:r>
            <w:r w:rsidR="002B44A6">
              <w:rPr>
                <w:bCs/>
              </w:rPr>
              <w:t xml:space="preserve">ņemti vērā </w:t>
            </w:r>
            <w:r w:rsidR="00E55459">
              <w:rPr>
                <w:bCs/>
              </w:rPr>
              <w:t>priekšlikumi par 4. pielikuma kvalitātes kritērijiem</w:t>
            </w:r>
            <w:r w:rsidR="00077C7A">
              <w:rPr>
                <w:bCs/>
              </w:rPr>
              <w:t>:</w:t>
            </w:r>
            <w:r w:rsidR="00E55459">
              <w:rPr>
                <w:bCs/>
              </w:rPr>
              <w:t xml:space="preserve"> 1. kritērijs</w:t>
            </w:r>
            <w:r w:rsidR="00077C7A">
              <w:rPr>
                <w:bCs/>
              </w:rPr>
              <w:t>:</w:t>
            </w:r>
            <w:r w:rsidR="00E55459">
              <w:rPr>
                <w:bCs/>
              </w:rPr>
              <w:t xml:space="preserve"> par </w:t>
            </w:r>
            <w:r w:rsidR="00601879">
              <w:rPr>
                <w:bCs/>
              </w:rPr>
              <w:t xml:space="preserve">oglekļa dioksīda </w:t>
            </w:r>
            <w:r w:rsidR="002B44A6">
              <w:rPr>
                <w:bCs/>
              </w:rPr>
              <w:t xml:space="preserve">samazinājumu </w:t>
            </w:r>
            <w:r w:rsidR="00E55459">
              <w:rPr>
                <w:bCs/>
              </w:rPr>
              <w:t>vērtē</w:t>
            </w:r>
            <w:r w:rsidR="002B44A6">
              <w:rPr>
                <w:bCs/>
              </w:rPr>
              <w:t>šanu pēc dokumentācijā norādītā</w:t>
            </w:r>
            <w:r w:rsidR="00E55459">
              <w:rPr>
                <w:bCs/>
              </w:rPr>
              <w:t xml:space="preserve">, </w:t>
            </w:r>
            <w:r w:rsidR="002B44A6">
              <w:rPr>
                <w:bCs/>
              </w:rPr>
              <w:t>2.</w:t>
            </w:r>
            <w:r w:rsidR="00077C7A">
              <w:rPr>
                <w:bCs/>
              </w:rPr>
              <w:t> </w:t>
            </w:r>
            <w:r w:rsidR="002B44A6">
              <w:rPr>
                <w:bCs/>
              </w:rPr>
              <w:t>kritērijā</w:t>
            </w:r>
            <w:r w:rsidR="00077C7A">
              <w:rPr>
                <w:bCs/>
              </w:rPr>
              <w:t>:</w:t>
            </w:r>
            <w:r w:rsidR="00E55459">
              <w:rPr>
                <w:bCs/>
              </w:rPr>
              <w:t xml:space="preserve"> </w:t>
            </w:r>
            <w:r w:rsidR="002B44A6">
              <w:rPr>
                <w:bCs/>
              </w:rPr>
              <w:t>izvērtēt pēc ieguldītā finansējuma attiecības pret ietaupītā</w:t>
            </w:r>
            <w:r w:rsidR="00E55459">
              <w:rPr>
                <w:bCs/>
              </w:rPr>
              <w:t xml:space="preserve"> </w:t>
            </w:r>
            <w:r w:rsidR="00601879">
              <w:rPr>
                <w:bCs/>
              </w:rPr>
              <w:t xml:space="preserve">oglekļa dioksīda </w:t>
            </w:r>
            <w:r w:rsidR="002B44A6">
              <w:rPr>
                <w:bCs/>
              </w:rPr>
              <w:t>samazinājuma un 9.</w:t>
            </w:r>
            <w:r w:rsidR="00077C7A">
              <w:rPr>
                <w:bCs/>
              </w:rPr>
              <w:t> </w:t>
            </w:r>
            <w:r w:rsidR="00E55459">
              <w:rPr>
                <w:bCs/>
              </w:rPr>
              <w:t>krit</w:t>
            </w:r>
            <w:r w:rsidR="002B44A6">
              <w:rPr>
                <w:bCs/>
              </w:rPr>
              <w:t>ērijā</w:t>
            </w:r>
            <w:r w:rsidR="00077C7A">
              <w:rPr>
                <w:bCs/>
              </w:rPr>
              <w:t>:</w:t>
            </w:r>
            <w:r w:rsidR="002B44A6">
              <w:rPr>
                <w:bCs/>
              </w:rPr>
              <w:t xml:space="preserve"> papildus ieviest vērtējumu ar punktiem</w:t>
            </w:r>
            <w:r w:rsidR="00E55459">
              <w:rPr>
                <w:bCs/>
              </w:rPr>
              <w:t xml:space="preserve"> </w:t>
            </w:r>
            <w:r w:rsidR="002B44A6">
              <w:rPr>
                <w:bCs/>
              </w:rPr>
              <w:t>par projekta vidēju</w:t>
            </w:r>
            <w:r w:rsidR="00E55459">
              <w:rPr>
                <w:bCs/>
              </w:rPr>
              <w:t xml:space="preserve"> gatavības pak</w:t>
            </w:r>
            <w:r w:rsidR="002B44A6">
              <w:rPr>
                <w:bCs/>
              </w:rPr>
              <w:t>āpi.</w:t>
            </w:r>
            <w:r w:rsidR="00E55459">
              <w:rPr>
                <w:bCs/>
              </w:rPr>
              <w:t xml:space="preserve"> </w:t>
            </w:r>
          </w:p>
          <w:p w14:paraId="0234714F" w14:textId="08D08371" w:rsidR="00C24794" w:rsidRDefault="00C24794" w:rsidP="00C24794">
            <w:pPr>
              <w:pStyle w:val="naiskr"/>
              <w:spacing w:before="0" w:after="0"/>
              <w:ind w:left="57" w:right="57"/>
              <w:rPr>
                <w:bCs/>
              </w:rPr>
            </w:pPr>
            <w:r>
              <w:rPr>
                <w:bCs/>
              </w:rPr>
              <w:t xml:space="preserve">   </w:t>
            </w:r>
            <w:r w:rsidR="00DD679F">
              <w:rPr>
                <w:bCs/>
              </w:rPr>
              <w:t>T</w:t>
            </w:r>
            <w:r>
              <w:rPr>
                <w:bCs/>
              </w:rPr>
              <w:t>ika izskatīti pieci saņemtie priekšlikumi no Jūrmalas pilsētas domes</w:t>
            </w:r>
            <w:r w:rsidRPr="00717E50">
              <w:rPr>
                <w:bCs/>
              </w:rPr>
              <w:t>.</w:t>
            </w:r>
            <w:r>
              <w:rPr>
                <w:bCs/>
              </w:rPr>
              <w:t xml:space="preserve"> Tiek ņemts vērā ieteikums precizēt terminoloģiju, projekta aktivitāšu īstenošanas termiņu</w:t>
            </w:r>
            <w:r w:rsidR="00FB1E40">
              <w:rPr>
                <w:bCs/>
              </w:rPr>
              <w:t>, iesniegto dokumentu attiecināšanu</w:t>
            </w:r>
            <w:r>
              <w:rPr>
                <w:bCs/>
              </w:rPr>
              <w:t xml:space="preserve">, savukārt </w:t>
            </w:r>
            <w:r w:rsidR="00077C7A">
              <w:rPr>
                <w:bCs/>
              </w:rPr>
              <w:t xml:space="preserve">nav ņemti vērā </w:t>
            </w:r>
            <w:r>
              <w:rPr>
                <w:bCs/>
              </w:rPr>
              <w:t>priekšlikumi par</w:t>
            </w:r>
            <w:r w:rsidR="00FB1E40">
              <w:rPr>
                <w:bCs/>
              </w:rPr>
              <w:t xml:space="preserve"> monitoringa perioda demonstrācijas un publicitātes aktivitāšu attiecināšanu</w:t>
            </w:r>
            <w:r>
              <w:rPr>
                <w:bCs/>
              </w:rPr>
              <w:t>.</w:t>
            </w:r>
          </w:p>
          <w:p w14:paraId="30EB9B86" w14:textId="64E2B548" w:rsidR="00C24794" w:rsidRDefault="00C24794" w:rsidP="00C24794">
            <w:pPr>
              <w:pStyle w:val="naiskr"/>
              <w:spacing w:before="0" w:after="0"/>
              <w:ind w:left="57" w:right="57"/>
              <w:rPr>
                <w:bCs/>
              </w:rPr>
            </w:pPr>
            <w:r>
              <w:rPr>
                <w:bCs/>
              </w:rPr>
              <w:t xml:space="preserve">   </w:t>
            </w:r>
            <w:r w:rsidR="00DD679F">
              <w:rPr>
                <w:bCs/>
              </w:rPr>
              <w:t>T</w:t>
            </w:r>
            <w:r>
              <w:rPr>
                <w:bCs/>
              </w:rPr>
              <w:t xml:space="preserve">ika izskatīti </w:t>
            </w:r>
            <w:r w:rsidR="00FB1E40">
              <w:rPr>
                <w:bCs/>
              </w:rPr>
              <w:t>pieci</w:t>
            </w:r>
            <w:r>
              <w:rPr>
                <w:bCs/>
              </w:rPr>
              <w:t xml:space="preserve"> saņemtie priekšlikumi no </w:t>
            </w:r>
            <w:r w:rsidR="00FB1E40">
              <w:rPr>
                <w:bCs/>
              </w:rPr>
              <w:t>b</w:t>
            </w:r>
            <w:r w:rsidR="00FB1E40" w:rsidRPr="00FB1E40">
              <w:rPr>
                <w:bCs/>
              </w:rPr>
              <w:t>iedrība</w:t>
            </w:r>
            <w:r w:rsidR="00FB1E40">
              <w:rPr>
                <w:bCs/>
              </w:rPr>
              <w:t>s</w:t>
            </w:r>
            <w:r w:rsidR="00FB1E40" w:rsidRPr="00FB1E40">
              <w:rPr>
                <w:bCs/>
              </w:rPr>
              <w:t xml:space="preserve"> </w:t>
            </w:r>
            <w:r w:rsidR="002D718D" w:rsidRPr="00FC15F9">
              <w:t>„</w:t>
            </w:r>
            <w:proofErr w:type="spellStart"/>
            <w:r w:rsidR="00FB1E40" w:rsidRPr="00FB1E40">
              <w:rPr>
                <w:bCs/>
              </w:rPr>
              <w:t>Passive</w:t>
            </w:r>
            <w:proofErr w:type="spellEnd"/>
            <w:r w:rsidR="00FB1E40" w:rsidRPr="00FB1E40">
              <w:rPr>
                <w:bCs/>
              </w:rPr>
              <w:t xml:space="preserve"> </w:t>
            </w:r>
            <w:proofErr w:type="spellStart"/>
            <w:r w:rsidR="00FB1E40" w:rsidRPr="00FB1E40">
              <w:rPr>
                <w:bCs/>
              </w:rPr>
              <w:t>House</w:t>
            </w:r>
            <w:proofErr w:type="spellEnd"/>
            <w:r w:rsidR="00FB1E40" w:rsidRPr="00FB1E40">
              <w:rPr>
                <w:bCs/>
              </w:rPr>
              <w:t xml:space="preserve"> Latvija</w:t>
            </w:r>
            <w:r w:rsidR="00FB1E40">
              <w:rPr>
                <w:bCs/>
              </w:rPr>
              <w:t>”</w:t>
            </w:r>
            <w:r w:rsidRPr="00717E50">
              <w:rPr>
                <w:bCs/>
              </w:rPr>
              <w:t>.</w:t>
            </w:r>
            <w:r>
              <w:rPr>
                <w:bCs/>
              </w:rPr>
              <w:t xml:space="preserve"> </w:t>
            </w:r>
            <w:r w:rsidR="008F0894">
              <w:rPr>
                <w:bCs/>
              </w:rPr>
              <w:t>Ņ</w:t>
            </w:r>
            <w:r>
              <w:rPr>
                <w:bCs/>
              </w:rPr>
              <w:t>emts vērā</w:t>
            </w:r>
            <w:r w:rsidR="00FB1E40">
              <w:rPr>
                <w:bCs/>
              </w:rPr>
              <w:t xml:space="preserve"> ierosinājums izvērtēt pilsētu plānošanu un attīstību (</w:t>
            </w:r>
            <w:r w:rsidR="008F0894">
              <w:rPr>
                <w:bCs/>
              </w:rPr>
              <w:t>noteikumu 4.pielikums papildināts ar k</w:t>
            </w:r>
            <w:r w:rsidR="00FB1E40">
              <w:rPr>
                <w:bCs/>
              </w:rPr>
              <w:t>valitātes kritērij</w:t>
            </w:r>
            <w:r w:rsidR="008F0894">
              <w:rPr>
                <w:bCs/>
              </w:rPr>
              <w:t>u</w:t>
            </w:r>
            <w:r w:rsidR="00FB1E40">
              <w:rPr>
                <w:bCs/>
              </w:rPr>
              <w:t xml:space="preserve"> </w:t>
            </w:r>
            <w:r w:rsidR="008F0894">
              <w:rPr>
                <w:bCs/>
              </w:rPr>
              <w:t>N</w:t>
            </w:r>
            <w:r w:rsidR="00FB1E40">
              <w:rPr>
                <w:bCs/>
              </w:rPr>
              <w:t>r. 3)</w:t>
            </w:r>
            <w:r>
              <w:rPr>
                <w:bCs/>
              </w:rPr>
              <w:t xml:space="preserve">, savukārt </w:t>
            </w:r>
            <w:r w:rsidR="008F0894">
              <w:rPr>
                <w:bCs/>
              </w:rPr>
              <w:t>nav ņemti vērā</w:t>
            </w:r>
            <w:r>
              <w:rPr>
                <w:bCs/>
              </w:rPr>
              <w:t xml:space="preserve"> priekšlikumi par</w:t>
            </w:r>
            <w:r w:rsidR="00FB1E40">
              <w:rPr>
                <w:bCs/>
              </w:rPr>
              <w:t xml:space="preserve"> </w:t>
            </w:r>
            <w:r w:rsidR="0088278A">
              <w:rPr>
                <w:bCs/>
              </w:rPr>
              <w:t xml:space="preserve">maksimālā </w:t>
            </w:r>
            <w:r w:rsidR="00FB1E40">
              <w:rPr>
                <w:bCs/>
              </w:rPr>
              <w:t>finansējuma palielināšanu</w:t>
            </w:r>
            <w:r w:rsidR="0088278A">
              <w:rPr>
                <w:bCs/>
              </w:rPr>
              <w:t xml:space="preserve">, kā arī </w:t>
            </w:r>
            <w:r w:rsidR="008F0894">
              <w:rPr>
                <w:bCs/>
              </w:rPr>
              <w:t>k</w:t>
            </w:r>
            <w:r w:rsidR="0088278A">
              <w:rPr>
                <w:bCs/>
              </w:rPr>
              <w:t>valit</w:t>
            </w:r>
            <w:r w:rsidR="008F0894">
              <w:rPr>
                <w:bCs/>
              </w:rPr>
              <w:t>ātes vērtēšanas</w:t>
            </w:r>
            <w:r w:rsidR="0088278A">
              <w:rPr>
                <w:bCs/>
              </w:rPr>
              <w:t xml:space="preserve"> kritēriju </w:t>
            </w:r>
            <w:r w:rsidR="008F0894">
              <w:rPr>
                <w:bCs/>
              </w:rPr>
              <w:t>precizēšanu</w:t>
            </w:r>
            <w:r>
              <w:rPr>
                <w:bCs/>
              </w:rPr>
              <w:t>.</w:t>
            </w:r>
          </w:p>
          <w:p w14:paraId="6D5C3970" w14:textId="77777777" w:rsidR="00C24794" w:rsidRDefault="00C24794" w:rsidP="008F0894">
            <w:pPr>
              <w:pStyle w:val="naiskr"/>
              <w:spacing w:before="0" w:after="0"/>
              <w:ind w:left="57" w:right="57"/>
              <w:rPr>
                <w:bCs/>
              </w:rPr>
            </w:pPr>
            <w:r>
              <w:rPr>
                <w:bCs/>
              </w:rPr>
              <w:t xml:space="preserve">   </w:t>
            </w:r>
            <w:r w:rsidR="008F0894">
              <w:rPr>
                <w:bCs/>
              </w:rPr>
              <w:t xml:space="preserve">Ir </w:t>
            </w:r>
            <w:r w:rsidR="00DD679F">
              <w:rPr>
                <w:bCs/>
              </w:rPr>
              <w:t xml:space="preserve">izskatīti desmit saņemtie biedrības par atklātību – Delna priekšlikumi. </w:t>
            </w:r>
            <w:r w:rsidR="008F0894">
              <w:rPr>
                <w:bCs/>
              </w:rPr>
              <w:t xml:space="preserve">Ir </w:t>
            </w:r>
            <w:r w:rsidR="00DD679F">
              <w:rPr>
                <w:bCs/>
              </w:rPr>
              <w:t>ņemt</w:t>
            </w:r>
            <w:r w:rsidR="008F0894">
              <w:rPr>
                <w:bCs/>
              </w:rPr>
              <w:t>i</w:t>
            </w:r>
            <w:r w:rsidR="00DD679F">
              <w:rPr>
                <w:bCs/>
              </w:rPr>
              <w:t xml:space="preserve"> vērā priekšlikum</w:t>
            </w:r>
            <w:r w:rsidR="008F0894">
              <w:rPr>
                <w:bCs/>
              </w:rPr>
              <w:t>i</w:t>
            </w:r>
            <w:r w:rsidR="00DD679F">
              <w:rPr>
                <w:bCs/>
              </w:rPr>
              <w:t xml:space="preserve"> pilnveidot terminoloģiju, </w:t>
            </w:r>
            <w:r w:rsidR="00DD679F">
              <w:rPr>
                <w:bCs/>
              </w:rPr>
              <w:lastRenderedPageBreak/>
              <w:t>priekšlikums par publicitātes un demonstrāciju pasākumu attiecināšanu</w:t>
            </w:r>
            <w:r w:rsidR="008F0894">
              <w:rPr>
                <w:bCs/>
              </w:rPr>
              <w:t xml:space="preserve"> un</w:t>
            </w:r>
            <w:r w:rsidR="00516E9C">
              <w:rPr>
                <w:bCs/>
              </w:rPr>
              <w:t xml:space="preserve"> priekšlikums par kvalitātes vērtēšanas kritērij</w:t>
            </w:r>
            <w:r w:rsidR="008F0894">
              <w:rPr>
                <w:bCs/>
              </w:rPr>
              <w:t>u</w:t>
            </w:r>
            <w:r w:rsidR="00516E9C">
              <w:rPr>
                <w:bCs/>
              </w:rPr>
              <w:t xml:space="preserve"> </w:t>
            </w:r>
            <w:r w:rsidR="008F0894">
              <w:rPr>
                <w:bCs/>
              </w:rPr>
              <w:t>par</w:t>
            </w:r>
            <w:r w:rsidR="00516E9C">
              <w:rPr>
                <w:bCs/>
              </w:rPr>
              <w:t xml:space="preserve"> </w:t>
            </w:r>
            <w:r w:rsidR="008F0894">
              <w:rPr>
                <w:bCs/>
              </w:rPr>
              <w:t xml:space="preserve">projekta </w:t>
            </w:r>
            <w:r w:rsidR="00516E9C">
              <w:rPr>
                <w:bCs/>
              </w:rPr>
              <w:t>iesniedzēja pieprasīt</w:t>
            </w:r>
            <w:r w:rsidR="008F0894">
              <w:rPr>
                <w:bCs/>
              </w:rPr>
              <w:t>o</w:t>
            </w:r>
            <w:r w:rsidR="00516E9C">
              <w:rPr>
                <w:bCs/>
              </w:rPr>
              <w:t xml:space="preserve"> finansējum</w:t>
            </w:r>
            <w:r w:rsidR="008F0894">
              <w:rPr>
                <w:bCs/>
              </w:rPr>
              <w:t>u</w:t>
            </w:r>
            <w:r w:rsidR="00601FFF">
              <w:rPr>
                <w:bCs/>
              </w:rPr>
              <w:t>.</w:t>
            </w:r>
            <w:r w:rsidR="00516E9C">
              <w:rPr>
                <w:bCs/>
              </w:rPr>
              <w:t xml:space="preserve"> </w:t>
            </w:r>
            <w:r w:rsidR="00601FFF">
              <w:rPr>
                <w:bCs/>
              </w:rPr>
              <w:t>D</w:t>
            </w:r>
            <w:r w:rsidR="00516E9C">
              <w:rPr>
                <w:bCs/>
              </w:rPr>
              <w:t>aļēji ņemt</w:t>
            </w:r>
            <w:r w:rsidR="008F0894">
              <w:rPr>
                <w:bCs/>
              </w:rPr>
              <w:t>i</w:t>
            </w:r>
            <w:r w:rsidR="00516E9C">
              <w:rPr>
                <w:bCs/>
              </w:rPr>
              <w:t xml:space="preserve"> vērā priekšlikum</w:t>
            </w:r>
            <w:r w:rsidR="008F0894">
              <w:rPr>
                <w:bCs/>
              </w:rPr>
              <w:t>i</w:t>
            </w:r>
            <w:r w:rsidR="00516E9C">
              <w:rPr>
                <w:bCs/>
              </w:rPr>
              <w:t xml:space="preserve"> par inovācijas novērtējumu</w:t>
            </w:r>
            <w:r w:rsidR="003C4D34">
              <w:rPr>
                <w:bCs/>
              </w:rPr>
              <w:t xml:space="preserve"> un ierobežot projekta iesniedzēja projekta iesniegumu skaitu</w:t>
            </w:r>
            <w:r w:rsidR="00601FFF">
              <w:rPr>
                <w:bCs/>
              </w:rPr>
              <w:t>.</w:t>
            </w:r>
            <w:r w:rsidR="00516E9C">
              <w:rPr>
                <w:bCs/>
              </w:rPr>
              <w:t xml:space="preserve"> </w:t>
            </w:r>
            <w:r w:rsidR="00601FFF">
              <w:rPr>
                <w:bCs/>
              </w:rPr>
              <w:t>S</w:t>
            </w:r>
            <w:r w:rsidR="00516E9C">
              <w:rPr>
                <w:bCs/>
              </w:rPr>
              <w:t xml:space="preserve">avukārt </w:t>
            </w:r>
            <w:r w:rsidR="008F0894">
              <w:rPr>
                <w:bCs/>
              </w:rPr>
              <w:t xml:space="preserve">nav </w:t>
            </w:r>
            <w:r w:rsidR="00516E9C">
              <w:rPr>
                <w:bCs/>
              </w:rPr>
              <w:t>ņemti vērā priekšlikumi par konkursa mērķa tehnoloģiju maiņu, projekta īstenošanas vietas noteik</w:t>
            </w:r>
            <w:r w:rsidR="003C4D34">
              <w:rPr>
                <w:bCs/>
              </w:rPr>
              <w:t>šanu</w:t>
            </w:r>
            <w:r w:rsidR="00601FFF">
              <w:rPr>
                <w:bCs/>
              </w:rPr>
              <w:t xml:space="preserve"> un</w:t>
            </w:r>
            <w:r w:rsidR="00CC5DCC">
              <w:rPr>
                <w:bCs/>
              </w:rPr>
              <w:t xml:space="preserve"> kritērij</w:t>
            </w:r>
            <w:r w:rsidR="008F0894">
              <w:rPr>
                <w:bCs/>
              </w:rPr>
              <w:t>a</w:t>
            </w:r>
            <w:r w:rsidR="00CC5DCC">
              <w:rPr>
                <w:bCs/>
              </w:rPr>
              <w:t xml:space="preserve"> par projekta iesniegšanas gatavību</w:t>
            </w:r>
            <w:r w:rsidR="008F0894">
              <w:rPr>
                <w:bCs/>
              </w:rPr>
              <w:t xml:space="preserve"> papildināšanu</w:t>
            </w:r>
            <w:r w:rsidR="00CC5DCC">
              <w:rPr>
                <w:bCs/>
              </w:rPr>
              <w:t>.</w:t>
            </w:r>
          </w:p>
          <w:p w14:paraId="5018C8C9" w14:textId="34FF0599" w:rsidR="009F78D4" w:rsidRDefault="009F78D4" w:rsidP="009F78D4">
            <w:pPr>
              <w:pStyle w:val="naiskr"/>
              <w:spacing w:before="0" w:after="0"/>
              <w:ind w:left="57" w:right="57"/>
              <w:rPr>
                <w:bCs/>
              </w:rPr>
            </w:pPr>
            <w:r>
              <w:rPr>
                <w:bCs/>
              </w:rPr>
              <w:t xml:space="preserve">   Ir izskatīti 11 saņemtie priekšlikumi no biedrības </w:t>
            </w:r>
            <w:r w:rsidR="002D718D" w:rsidRPr="00FC15F9">
              <w:t>„</w:t>
            </w:r>
            <w:r>
              <w:rPr>
                <w:bCs/>
              </w:rPr>
              <w:t>Latvijas Energoefektivitātes asociācija”. Ir ņemti vērā daļēji priekšlikumi par oglekļa dioksīda emisiju samazinājuma efektivitātes rādītāja noteikšanu, kā arī attiecī</w:t>
            </w:r>
            <w:r w:rsidR="009303CB">
              <w:rPr>
                <w:bCs/>
              </w:rPr>
              <w:t>b</w:t>
            </w:r>
            <w:r>
              <w:rPr>
                <w:bCs/>
              </w:rPr>
              <w:t xml:space="preserve">ā uz projektu iesniegumu skaitu atbilstoši plānotajām aktivitātēm. Savukārt nav ņemti vērā priekšlikumi par </w:t>
            </w:r>
            <w:r w:rsidR="009303CB">
              <w:rPr>
                <w:bCs/>
              </w:rPr>
              <w:t xml:space="preserve">atsevišķu kvalitātes vērtēšanas kritēriju precizēšanu, projektu iesniedzēja loka paplašināšanu, tehnisko nosacījumu precizēšana, it </w:t>
            </w:r>
            <w:r w:rsidR="003C6255">
              <w:rPr>
                <w:bCs/>
              </w:rPr>
              <w:t>īpaši</w:t>
            </w:r>
            <w:r w:rsidR="009303CB">
              <w:rPr>
                <w:bCs/>
              </w:rPr>
              <w:t xml:space="preserve"> attiecībā uz viedo pilsētvides tehnoloģiju izmantošanu ielu apgaismojumā, </w:t>
            </w:r>
            <w:r w:rsidR="003C6255">
              <w:rPr>
                <w:bCs/>
              </w:rPr>
              <w:t>kā arī termiņa pagarināšanu projektu iesniegumu precizējumu veikšanai.</w:t>
            </w:r>
          </w:p>
          <w:p w14:paraId="59BA2385" w14:textId="66295924" w:rsidR="00F42425" w:rsidRPr="00C24794" w:rsidRDefault="00F42425" w:rsidP="00064387">
            <w:pPr>
              <w:pStyle w:val="naiskr"/>
              <w:spacing w:before="0" w:after="0"/>
              <w:ind w:left="57" w:right="57"/>
              <w:rPr>
                <w:bCs/>
              </w:rPr>
            </w:pPr>
            <w:r>
              <w:rPr>
                <w:bCs/>
              </w:rPr>
              <w:t xml:space="preserve">   Ir izskatīti </w:t>
            </w:r>
            <w:r w:rsidR="00064387">
              <w:rPr>
                <w:bCs/>
              </w:rPr>
              <w:t>pieci</w:t>
            </w:r>
            <w:r>
              <w:rPr>
                <w:bCs/>
              </w:rPr>
              <w:t xml:space="preserve"> saņemtie priekšlikumi no Rīgas Tehniskās universitātes. Ir ņemti vērā priekšlikumi par terminoloģijas precizēšanu</w:t>
            </w:r>
            <w:r w:rsidR="003509B0">
              <w:rPr>
                <w:bCs/>
              </w:rPr>
              <w:t xml:space="preserve"> un neattiecināmo izmaksu pozīcijas precizēšanu</w:t>
            </w:r>
            <w:r>
              <w:rPr>
                <w:bCs/>
              </w:rPr>
              <w:t>. Savukārt nav ņemt vērā priekšlikum</w:t>
            </w:r>
            <w:r w:rsidR="00064387">
              <w:rPr>
                <w:bCs/>
              </w:rPr>
              <w:t>i</w:t>
            </w:r>
            <w:r>
              <w:rPr>
                <w:bCs/>
              </w:rPr>
              <w:t xml:space="preserve"> par viena kvalitātes vērtēšanas kritērija precizēšanu</w:t>
            </w:r>
            <w:r w:rsidR="00064387">
              <w:rPr>
                <w:bCs/>
              </w:rPr>
              <w:t xml:space="preserve"> un</w:t>
            </w:r>
            <w:r>
              <w:rPr>
                <w:bCs/>
              </w:rPr>
              <w:t xml:space="preserve"> tehnisko nosacījumu precizēšan</w:t>
            </w:r>
            <w:r w:rsidR="00064387">
              <w:rPr>
                <w:bCs/>
              </w:rPr>
              <w:t>u</w:t>
            </w:r>
            <w:r>
              <w:rPr>
                <w:bCs/>
              </w:rPr>
              <w:t>, it īpaši attiecībā uz viedo pilsētvides tehnoloģiju izmantošanu ielu apgaismojumā.</w:t>
            </w:r>
          </w:p>
        </w:tc>
      </w:tr>
      <w:tr w:rsidR="0067267D" w:rsidRPr="00FC15F9" w14:paraId="19A02AE2" w14:textId="77777777" w:rsidTr="00464AFB">
        <w:trPr>
          <w:trHeight w:val="489"/>
        </w:trPr>
        <w:tc>
          <w:tcPr>
            <w:tcW w:w="710" w:type="dxa"/>
          </w:tcPr>
          <w:p w14:paraId="51B5FB89" w14:textId="77777777" w:rsidR="0067267D" w:rsidRPr="00FC15F9" w:rsidRDefault="00133143">
            <w:pPr>
              <w:pStyle w:val="naiskr"/>
              <w:spacing w:before="0" w:after="0"/>
              <w:ind w:left="57" w:right="57"/>
              <w:rPr>
                <w:bCs/>
              </w:rPr>
            </w:pPr>
            <w:r w:rsidRPr="00FC15F9">
              <w:rPr>
                <w:bCs/>
              </w:rPr>
              <w:lastRenderedPageBreak/>
              <w:t>4</w:t>
            </w:r>
            <w:r w:rsidR="0067267D" w:rsidRPr="00FC15F9">
              <w:rPr>
                <w:bCs/>
              </w:rPr>
              <w:t>.</w:t>
            </w:r>
          </w:p>
        </w:tc>
        <w:tc>
          <w:tcPr>
            <w:tcW w:w="3877" w:type="dxa"/>
            <w:gridSpan w:val="2"/>
          </w:tcPr>
          <w:p w14:paraId="4D7F9D45" w14:textId="77777777" w:rsidR="0067267D" w:rsidRPr="00FC15F9" w:rsidRDefault="0067267D" w:rsidP="00A7792A">
            <w:pPr>
              <w:pStyle w:val="naiskr"/>
              <w:spacing w:before="0" w:after="0"/>
              <w:ind w:left="57" w:right="192"/>
            </w:pPr>
            <w:r w:rsidRPr="00FC15F9">
              <w:t>Cita informācija</w:t>
            </w:r>
          </w:p>
        </w:tc>
        <w:tc>
          <w:tcPr>
            <w:tcW w:w="4911" w:type="dxa"/>
          </w:tcPr>
          <w:p w14:paraId="33C14C7D" w14:textId="77777777" w:rsidR="0067267D" w:rsidRPr="00FC15F9" w:rsidRDefault="0067267D">
            <w:pPr>
              <w:pStyle w:val="naiskr"/>
              <w:spacing w:before="0" w:after="0"/>
              <w:ind w:left="57" w:right="57"/>
            </w:pPr>
            <w:r w:rsidRPr="00FC15F9">
              <w:t>Nav.</w:t>
            </w:r>
          </w:p>
        </w:tc>
      </w:tr>
      <w:tr w:rsidR="00065E5A" w:rsidRPr="00FC15F9" w14:paraId="1A564F6C" w14:textId="77777777" w:rsidTr="00464AFB">
        <w:trPr>
          <w:gridBefore w:val="2"/>
          <w:wBefore w:w="1533" w:type="dxa"/>
          <w:trHeight w:val="489"/>
        </w:trPr>
        <w:tc>
          <w:tcPr>
            <w:tcW w:w="7965" w:type="dxa"/>
            <w:gridSpan w:val="2"/>
            <w:tcBorders>
              <w:left w:val="nil"/>
              <w:right w:val="nil"/>
            </w:tcBorders>
          </w:tcPr>
          <w:p w14:paraId="3099E0EA" w14:textId="77777777" w:rsidR="00065E5A" w:rsidRPr="00FC15F9" w:rsidRDefault="00065E5A" w:rsidP="003A75AA">
            <w:pPr>
              <w:pStyle w:val="naiskr"/>
              <w:spacing w:before="0" w:after="0"/>
              <w:ind w:right="57"/>
            </w:pPr>
          </w:p>
        </w:tc>
      </w:tr>
      <w:tr w:rsidR="0067267D" w:rsidRPr="00FC15F9" w14:paraId="1485C196" w14:textId="77777777" w:rsidTr="00464AFB">
        <w:tblPrEx>
          <w:tblCellMar>
            <w:top w:w="28" w:type="dxa"/>
            <w:left w:w="28" w:type="dxa"/>
            <w:bottom w:w="28" w:type="dxa"/>
            <w:right w:w="28" w:type="dxa"/>
          </w:tblCellMar>
        </w:tblPrEx>
        <w:tc>
          <w:tcPr>
            <w:tcW w:w="9498" w:type="dxa"/>
            <w:gridSpan w:val="4"/>
            <w:tcBorders>
              <w:top w:val="single" w:sz="4" w:space="0" w:color="auto"/>
            </w:tcBorders>
          </w:tcPr>
          <w:p w14:paraId="7C31909D" w14:textId="77777777" w:rsidR="0067267D" w:rsidRPr="00FC15F9" w:rsidRDefault="0067267D">
            <w:pPr>
              <w:pStyle w:val="naisnod"/>
              <w:spacing w:before="0" w:after="0"/>
              <w:ind w:left="57" w:right="57"/>
            </w:pPr>
            <w:r w:rsidRPr="00FC15F9">
              <w:t xml:space="preserve">VII. </w:t>
            </w:r>
            <w:r w:rsidR="00133143" w:rsidRPr="00FC15F9">
              <w:t>Tiesību akta projekta izpildes nodrošināšana un tās ietekme uz institūcijām</w:t>
            </w:r>
          </w:p>
        </w:tc>
      </w:tr>
      <w:tr w:rsidR="0067267D" w:rsidRPr="00FC15F9" w14:paraId="04581145" w14:textId="77777777" w:rsidTr="00464AFB">
        <w:tblPrEx>
          <w:tblCellMar>
            <w:top w:w="28" w:type="dxa"/>
            <w:left w:w="28" w:type="dxa"/>
            <w:bottom w:w="28" w:type="dxa"/>
            <w:right w:w="28" w:type="dxa"/>
          </w:tblCellMar>
        </w:tblPrEx>
        <w:trPr>
          <w:trHeight w:val="427"/>
        </w:trPr>
        <w:tc>
          <w:tcPr>
            <w:tcW w:w="710" w:type="dxa"/>
          </w:tcPr>
          <w:p w14:paraId="6A60565B" w14:textId="77777777" w:rsidR="0067267D" w:rsidRPr="00FC15F9" w:rsidRDefault="0067267D">
            <w:pPr>
              <w:pStyle w:val="naisnod"/>
              <w:spacing w:before="0" w:after="0"/>
              <w:ind w:left="57" w:right="57"/>
              <w:jc w:val="left"/>
              <w:rPr>
                <w:b w:val="0"/>
              </w:rPr>
            </w:pPr>
            <w:r w:rsidRPr="00FC15F9">
              <w:rPr>
                <w:b w:val="0"/>
              </w:rPr>
              <w:t>1.</w:t>
            </w:r>
          </w:p>
        </w:tc>
        <w:tc>
          <w:tcPr>
            <w:tcW w:w="3877" w:type="dxa"/>
            <w:gridSpan w:val="2"/>
          </w:tcPr>
          <w:p w14:paraId="0CDDCA1D" w14:textId="77777777" w:rsidR="0067267D" w:rsidRPr="00FC15F9" w:rsidRDefault="0067267D">
            <w:pPr>
              <w:pStyle w:val="naisf"/>
              <w:spacing w:before="0" w:after="0"/>
              <w:ind w:left="57" w:right="57" w:firstLine="0"/>
              <w:jc w:val="left"/>
            </w:pPr>
            <w:r w:rsidRPr="00FC15F9">
              <w:t xml:space="preserve">Projekta izpildē iesaistītās institūcijas </w:t>
            </w:r>
          </w:p>
        </w:tc>
        <w:tc>
          <w:tcPr>
            <w:tcW w:w="4911" w:type="dxa"/>
          </w:tcPr>
          <w:p w14:paraId="339F60F9" w14:textId="1B3F5B64" w:rsidR="0067267D" w:rsidRPr="00FC15F9" w:rsidRDefault="00DE7945" w:rsidP="00F251D8">
            <w:pPr>
              <w:pStyle w:val="naisnod"/>
              <w:spacing w:before="0" w:after="0"/>
              <w:ind w:left="57" w:right="57"/>
              <w:jc w:val="both"/>
              <w:rPr>
                <w:b w:val="0"/>
              </w:rPr>
            </w:pPr>
            <w:r w:rsidRPr="00DE7945">
              <w:rPr>
                <w:b w:val="0"/>
                <w:color w:val="000000"/>
              </w:rPr>
              <w:t>Uzdevumus, kas saistīti projektu iesniegumu pieņemšanu, vērtēšanu, apstiprināšanu un finanšu instrumenta finansējuma piešķiršanu, kā arī par līgumu par projekta īstenošanu  sagatavošanu, noslēgšanu, grozīšanu un laušanu, pārskatu pārbaudi un projektu īstenošanas kontroli, veik</w:t>
            </w:r>
            <w:r w:rsidR="00AB6F5D">
              <w:rPr>
                <w:b w:val="0"/>
                <w:color w:val="000000"/>
              </w:rPr>
              <w:t>s</w:t>
            </w:r>
            <w:r w:rsidRPr="00DE7945">
              <w:rPr>
                <w:b w:val="0"/>
                <w:color w:val="000000"/>
              </w:rPr>
              <w:t xml:space="preserve"> valsts sabiedrībai ar ierobežotu atbildību </w:t>
            </w:r>
            <w:r w:rsidR="002D718D" w:rsidRPr="002D718D">
              <w:rPr>
                <w:b w:val="0"/>
              </w:rPr>
              <w:t>„</w:t>
            </w:r>
            <w:r w:rsidRPr="00DE7945">
              <w:rPr>
                <w:b w:val="0"/>
                <w:color w:val="000000"/>
              </w:rPr>
              <w:t>Vides investīciju fonds”</w:t>
            </w:r>
            <w:r w:rsidR="00AB6F5D">
              <w:rPr>
                <w:b w:val="0"/>
                <w:color w:val="000000"/>
              </w:rPr>
              <w:t>.</w:t>
            </w:r>
            <w:r w:rsidRPr="00DE7945">
              <w:rPr>
                <w:b w:val="0"/>
                <w:color w:val="000000"/>
              </w:rPr>
              <w:t xml:space="preserve"> </w:t>
            </w:r>
          </w:p>
        </w:tc>
      </w:tr>
      <w:tr w:rsidR="00165C1E" w:rsidRPr="00FC15F9" w14:paraId="10478824" w14:textId="77777777" w:rsidTr="00464AFB">
        <w:tblPrEx>
          <w:tblCellMar>
            <w:top w:w="28" w:type="dxa"/>
            <w:left w:w="28" w:type="dxa"/>
            <w:bottom w:w="28" w:type="dxa"/>
            <w:right w:w="28" w:type="dxa"/>
          </w:tblCellMar>
        </w:tblPrEx>
        <w:trPr>
          <w:trHeight w:val="463"/>
        </w:trPr>
        <w:tc>
          <w:tcPr>
            <w:tcW w:w="710" w:type="dxa"/>
          </w:tcPr>
          <w:p w14:paraId="419B2B41" w14:textId="77777777" w:rsidR="00165C1E" w:rsidRPr="00FC15F9" w:rsidRDefault="00165C1E">
            <w:pPr>
              <w:pStyle w:val="naisnod"/>
              <w:spacing w:before="0" w:after="0"/>
              <w:ind w:left="57" w:right="57"/>
              <w:jc w:val="left"/>
              <w:rPr>
                <w:b w:val="0"/>
              </w:rPr>
            </w:pPr>
            <w:r w:rsidRPr="00FC15F9">
              <w:rPr>
                <w:b w:val="0"/>
              </w:rPr>
              <w:t>2.</w:t>
            </w:r>
          </w:p>
        </w:tc>
        <w:tc>
          <w:tcPr>
            <w:tcW w:w="3877" w:type="dxa"/>
            <w:gridSpan w:val="2"/>
          </w:tcPr>
          <w:p w14:paraId="78D73660" w14:textId="77777777" w:rsidR="00165C1E" w:rsidRPr="00FC15F9" w:rsidRDefault="00133143" w:rsidP="00F26036">
            <w:pPr>
              <w:spacing w:before="0" w:after="0"/>
              <w:ind w:right="164"/>
            </w:pPr>
            <w:r w:rsidRPr="00FC15F9">
              <w:t xml:space="preserve">Projekta izpildes ietekme uz pārvaldes funkcijām un institucionālo struktūru. Jaunu institūciju izveide, esošu institūciju likvidācija vai </w:t>
            </w:r>
            <w:r w:rsidRPr="00FC15F9">
              <w:lastRenderedPageBreak/>
              <w:t>reorganizācija, to ietekme uz institūcijas cilvēkresursiem</w:t>
            </w:r>
          </w:p>
        </w:tc>
        <w:tc>
          <w:tcPr>
            <w:tcW w:w="4911" w:type="dxa"/>
          </w:tcPr>
          <w:p w14:paraId="734DF1F0" w14:textId="77777777" w:rsidR="00B06B16" w:rsidRPr="00FC15F9" w:rsidRDefault="00E26991" w:rsidP="00D93FA3">
            <w:pPr>
              <w:pStyle w:val="naisnod"/>
              <w:spacing w:before="0" w:after="0"/>
              <w:ind w:left="57" w:right="57"/>
              <w:jc w:val="both"/>
              <w:rPr>
                <w:b w:val="0"/>
              </w:rPr>
            </w:pPr>
            <w:r w:rsidRPr="00FC15F9">
              <w:rPr>
                <w:b w:val="0"/>
              </w:rPr>
              <w:lastRenderedPageBreak/>
              <w:t>Jaunas institūcijas netiks veidotas.</w:t>
            </w:r>
          </w:p>
        </w:tc>
      </w:tr>
      <w:tr w:rsidR="0067267D" w:rsidRPr="00FC15F9" w14:paraId="1E3200FE" w14:textId="77777777" w:rsidTr="00464AFB">
        <w:tblPrEx>
          <w:tblCellMar>
            <w:top w:w="28" w:type="dxa"/>
            <w:left w:w="28" w:type="dxa"/>
            <w:bottom w:w="28" w:type="dxa"/>
            <w:right w:w="28" w:type="dxa"/>
          </w:tblCellMar>
        </w:tblPrEx>
        <w:trPr>
          <w:trHeight w:val="476"/>
        </w:trPr>
        <w:tc>
          <w:tcPr>
            <w:tcW w:w="710" w:type="dxa"/>
          </w:tcPr>
          <w:p w14:paraId="233E7B9C" w14:textId="77777777" w:rsidR="0067267D" w:rsidRPr="00FC15F9" w:rsidRDefault="00C27360">
            <w:pPr>
              <w:pStyle w:val="naiskr"/>
              <w:spacing w:before="0" w:after="0"/>
              <w:ind w:left="57" w:right="57"/>
            </w:pPr>
            <w:r w:rsidRPr="00FC15F9">
              <w:t>3</w:t>
            </w:r>
            <w:r w:rsidR="0067267D" w:rsidRPr="00FC15F9">
              <w:t>.</w:t>
            </w:r>
          </w:p>
        </w:tc>
        <w:tc>
          <w:tcPr>
            <w:tcW w:w="3877" w:type="dxa"/>
            <w:gridSpan w:val="2"/>
          </w:tcPr>
          <w:p w14:paraId="2F18E1CB" w14:textId="77777777" w:rsidR="0067267D" w:rsidRPr="00FC15F9" w:rsidRDefault="0067267D">
            <w:pPr>
              <w:pStyle w:val="naiskr"/>
              <w:spacing w:before="0" w:after="0"/>
              <w:ind w:left="57" w:right="57"/>
            </w:pPr>
            <w:r w:rsidRPr="00FC15F9">
              <w:t>Cita informācija</w:t>
            </w:r>
          </w:p>
        </w:tc>
        <w:tc>
          <w:tcPr>
            <w:tcW w:w="4911" w:type="dxa"/>
          </w:tcPr>
          <w:p w14:paraId="689B0595" w14:textId="77777777" w:rsidR="0067267D" w:rsidRPr="00FC15F9" w:rsidRDefault="0067267D">
            <w:pPr>
              <w:pStyle w:val="naiskr"/>
              <w:spacing w:before="0" w:after="0"/>
              <w:ind w:left="57" w:right="57"/>
            </w:pPr>
            <w:r w:rsidRPr="00FC15F9">
              <w:t>Nav.</w:t>
            </w:r>
          </w:p>
        </w:tc>
      </w:tr>
    </w:tbl>
    <w:p w14:paraId="7F5CDE45" w14:textId="77777777" w:rsidR="001F04F1" w:rsidRPr="00FC15F9" w:rsidRDefault="001F04F1" w:rsidP="001F04F1">
      <w:pPr>
        <w:spacing w:before="0" w:after="0" w:line="240" w:lineRule="auto"/>
      </w:pPr>
    </w:p>
    <w:p w14:paraId="28C800A4" w14:textId="1F4E47DB" w:rsidR="001F04F1" w:rsidRPr="00FC15F9" w:rsidRDefault="000A7C2F" w:rsidP="001F04F1">
      <w:pPr>
        <w:spacing w:before="0" w:after="0" w:line="240" w:lineRule="auto"/>
      </w:pPr>
      <w:r>
        <w:t xml:space="preserve">Anotācijas IV sadaļa – </w:t>
      </w:r>
      <w:r w:rsidR="00F57C78">
        <w:t xml:space="preserve">MK noteikumu </w:t>
      </w:r>
      <w:r w:rsidR="008B0EC5">
        <w:t xml:space="preserve">projekts šo jomu nesakar. </w:t>
      </w:r>
    </w:p>
    <w:p w14:paraId="1BCD6BEC" w14:textId="77777777" w:rsidR="001F04F1" w:rsidRPr="00FC15F9" w:rsidRDefault="001F04F1" w:rsidP="001F04F1">
      <w:pPr>
        <w:spacing w:before="0" w:after="0" w:line="240" w:lineRule="auto"/>
      </w:pPr>
    </w:p>
    <w:p w14:paraId="32B1F621" w14:textId="77777777" w:rsidR="00987723" w:rsidRPr="00FC15F9" w:rsidRDefault="00987723" w:rsidP="001F04F1">
      <w:pPr>
        <w:spacing w:before="0" w:after="0" w:line="240" w:lineRule="auto"/>
      </w:pPr>
    </w:p>
    <w:p w14:paraId="703C2F12" w14:textId="2BC44649" w:rsidR="00E44FDF" w:rsidRPr="007969ED" w:rsidRDefault="00CA3E57" w:rsidP="001F04F1">
      <w:pPr>
        <w:spacing w:before="0" w:after="0" w:line="240" w:lineRule="auto"/>
      </w:pPr>
      <w:r>
        <w:t>V</w:t>
      </w:r>
      <w:r w:rsidR="000C090C" w:rsidRPr="007969ED">
        <w:t>ides aizsardzības un</w:t>
      </w:r>
    </w:p>
    <w:p w14:paraId="4FE6B2A2" w14:textId="5CC6857E" w:rsidR="00E07B96" w:rsidRPr="007969ED" w:rsidRDefault="000C090C" w:rsidP="001F04F1">
      <w:pPr>
        <w:spacing w:before="0" w:after="0" w:line="240" w:lineRule="auto"/>
      </w:pPr>
      <w:r w:rsidRPr="007969ED">
        <w:t xml:space="preserve">reģionālās attīstības </w:t>
      </w:r>
      <w:r w:rsidR="000D2564" w:rsidRPr="007969ED">
        <w:t>ministr</w:t>
      </w:r>
      <w:r w:rsidRPr="007969ED">
        <w:t>s</w:t>
      </w:r>
      <w:r w:rsidR="000D2564" w:rsidRPr="007969ED">
        <w:tab/>
      </w:r>
      <w:r w:rsidR="001F04F1" w:rsidRPr="007969ED">
        <w:tab/>
      </w:r>
      <w:r w:rsidR="00E44FDF" w:rsidRPr="007969ED">
        <w:tab/>
      </w:r>
      <w:r w:rsidR="00E44FDF" w:rsidRPr="007969ED">
        <w:tab/>
      </w:r>
      <w:r w:rsidR="00E44FDF" w:rsidRPr="007969ED">
        <w:tab/>
      </w:r>
      <w:r w:rsidR="00253EF0" w:rsidRPr="007969ED">
        <w:tab/>
      </w:r>
      <w:r w:rsidR="004A479A">
        <w:tab/>
        <w:t xml:space="preserve">       </w:t>
      </w:r>
      <w:r w:rsidRPr="007969ED">
        <w:t>K.</w:t>
      </w:r>
      <w:r w:rsidR="004A479A">
        <w:t> </w:t>
      </w:r>
      <w:r w:rsidRPr="007969ED">
        <w:t>Gerhards</w:t>
      </w:r>
    </w:p>
    <w:p w14:paraId="605FDCAC" w14:textId="77777777" w:rsidR="00987723" w:rsidRPr="007969ED" w:rsidRDefault="00987723" w:rsidP="001F04F1">
      <w:pPr>
        <w:spacing w:before="0" w:after="0" w:line="240" w:lineRule="auto"/>
      </w:pPr>
    </w:p>
    <w:p w14:paraId="01D4A9BA" w14:textId="77777777" w:rsidR="001F04F1" w:rsidRPr="00FC15F9" w:rsidRDefault="001F04F1" w:rsidP="001F04F1">
      <w:pPr>
        <w:spacing w:before="0" w:after="0" w:line="240" w:lineRule="auto"/>
        <w:rPr>
          <w:sz w:val="20"/>
          <w:szCs w:val="20"/>
        </w:rPr>
      </w:pPr>
      <w:bookmarkStart w:id="43" w:name="_GoBack"/>
      <w:bookmarkEnd w:id="43"/>
    </w:p>
    <w:p w14:paraId="567FE8C2" w14:textId="77777777" w:rsidR="001F04F1" w:rsidRPr="00FC15F9" w:rsidRDefault="001F04F1" w:rsidP="001F04F1">
      <w:pPr>
        <w:spacing w:before="0" w:after="0" w:line="240" w:lineRule="auto"/>
        <w:rPr>
          <w:sz w:val="20"/>
          <w:szCs w:val="20"/>
        </w:rPr>
      </w:pPr>
    </w:p>
    <w:p w14:paraId="0411506C" w14:textId="77777777" w:rsidR="00987723" w:rsidRPr="00FC15F9" w:rsidRDefault="00987723" w:rsidP="001F04F1">
      <w:pPr>
        <w:spacing w:before="0" w:after="0" w:line="240" w:lineRule="auto"/>
        <w:rPr>
          <w:sz w:val="20"/>
          <w:szCs w:val="20"/>
        </w:rPr>
      </w:pPr>
    </w:p>
    <w:p w14:paraId="596001A7" w14:textId="77777777" w:rsidR="00684628" w:rsidRPr="00FC15F9" w:rsidRDefault="00813A51" w:rsidP="001F04F1">
      <w:pPr>
        <w:spacing w:before="0" w:after="0" w:line="240" w:lineRule="auto"/>
        <w:rPr>
          <w:sz w:val="20"/>
        </w:rPr>
      </w:pPr>
      <w:r w:rsidRPr="00FC15F9">
        <w:rPr>
          <w:sz w:val="20"/>
        </w:rPr>
        <w:t>S. Grīnvalde</w:t>
      </w:r>
      <w:r w:rsidR="00220A43">
        <w:rPr>
          <w:sz w:val="20"/>
        </w:rPr>
        <w:t xml:space="preserve"> </w:t>
      </w:r>
      <w:r w:rsidR="00220A43" w:rsidRPr="00FC15F9">
        <w:rPr>
          <w:sz w:val="20"/>
        </w:rPr>
        <w:t>67026907,</w:t>
      </w:r>
    </w:p>
    <w:p w14:paraId="532C4573" w14:textId="77777777" w:rsidR="0067267D" w:rsidRDefault="00813A51" w:rsidP="001F04F1">
      <w:pPr>
        <w:spacing w:before="0" w:after="0" w:line="240" w:lineRule="auto"/>
      </w:pPr>
      <w:r w:rsidRPr="00FC15F9">
        <w:rPr>
          <w:sz w:val="20"/>
        </w:rPr>
        <w:t>sofija.grinvalde</w:t>
      </w:r>
      <w:r w:rsidR="00684628" w:rsidRPr="00FC15F9">
        <w:rPr>
          <w:sz w:val="20"/>
        </w:rPr>
        <w:t>@</w:t>
      </w:r>
      <w:r w:rsidR="000C090C" w:rsidRPr="00FC15F9">
        <w:rPr>
          <w:sz w:val="20"/>
        </w:rPr>
        <w:t>varam</w:t>
      </w:r>
      <w:r w:rsidR="00684628" w:rsidRPr="00FC15F9">
        <w:rPr>
          <w:sz w:val="20"/>
        </w:rPr>
        <w:t>.gov.lv</w:t>
      </w:r>
    </w:p>
    <w:sectPr w:rsidR="0067267D" w:rsidSect="00947C0C">
      <w:headerReference w:type="even" r:id="rId8"/>
      <w:headerReference w:type="default" r:id="rId9"/>
      <w:footerReference w:type="default" r:id="rId10"/>
      <w:footerReference w:type="first" r:id="rId11"/>
      <w:pgSz w:w="11906" w:h="16838" w:code="9"/>
      <w:pgMar w:top="1418"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3CF66E" w14:textId="77777777" w:rsidR="00AC19B2" w:rsidRDefault="00AC19B2">
      <w:pPr>
        <w:pStyle w:val="naisnod"/>
      </w:pPr>
      <w:r>
        <w:separator/>
      </w:r>
    </w:p>
  </w:endnote>
  <w:endnote w:type="continuationSeparator" w:id="0">
    <w:p w14:paraId="6DFCAE2F" w14:textId="77777777" w:rsidR="00AC19B2" w:rsidRDefault="00AC19B2">
      <w:pPr>
        <w:pStyle w:val="naisnod"/>
      </w:pPr>
      <w:r>
        <w:continuationSeparator/>
      </w:r>
    </w:p>
  </w:endnote>
  <w:endnote w:type="continuationNotice" w:id="1">
    <w:p w14:paraId="20CE614E" w14:textId="77777777" w:rsidR="00AC19B2" w:rsidRDefault="00AC19B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2FCB1" w14:textId="27EAC030" w:rsidR="00AC19B2" w:rsidRPr="009074FA" w:rsidRDefault="00AC19B2" w:rsidP="009074FA">
    <w:pPr>
      <w:spacing w:before="120" w:after="0" w:line="240" w:lineRule="auto"/>
      <w:rPr>
        <w:sz w:val="20"/>
        <w:szCs w:val="20"/>
      </w:rPr>
    </w:pPr>
    <w:r w:rsidRPr="009074FA">
      <w:fldChar w:fldCharType="begin"/>
    </w:r>
    <w:r w:rsidRPr="009074FA">
      <w:rPr>
        <w:sz w:val="20"/>
        <w:szCs w:val="20"/>
      </w:rPr>
      <w:instrText xml:space="preserve"> FILENAME   \* MERGEFORMAT </w:instrText>
    </w:r>
    <w:r w:rsidRPr="009074FA">
      <w:fldChar w:fldCharType="separate"/>
    </w:r>
    <w:r>
      <w:rPr>
        <w:noProof/>
        <w:sz w:val="20"/>
        <w:szCs w:val="20"/>
      </w:rPr>
      <w:t>VARAMAnot_210518_vpt</w:t>
    </w:r>
    <w:r w:rsidRPr="009074FA">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E8A07" w14:textId="73DBBE89" w:rsidR="00AC19B2" w:rsidRPr="009074FA" w:rsidRDefault="00AC19B2" w:rsidP="0076633D">
    <w:pPr>
      <w:spacing w:before="120" w:after="0" w:line="240" w:lineRule="auto"/>
      <w:rPr>
        <w:sz w:val="20"/>
        <w:szCs w:val="20"/>
      </w:rPr>
    </w:pPr>
    <w:fldSimple w:instr=" FILENAME   \* MERGEFORMAT ">
      <w:r w:rsidRPr="008C4FE2">
        <w:rPr>
          <w:noProof/>
          <w:sz w:val="20"/>
          <w:szCs w:val="20"/>
        </w:rPr>
        <w:t>VARAMAnot_210518_vpt</w:t>
      </w:r>
    </w:fldSimple>
    <w:r w:rsidRPr="009074FA" w:rsidDel="00716223">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05127" w14:textId="77777777" w:rsidR="00AC19B2" w:rsidRDefault="00AC19B2">
      <w:pPr>
        <w:pStyle w:val="naisnod"/>
      </w:pPr>
      <w:r>
        <w:separator/>
      </w:r>
    </w:p>
  </w:footnote>
  <w:footnote w:type="continuationSeparator" w:id="0">
    <w:p w14:paraId="67678BDF" w14:textId="77777777" w:rsidR="00AC19B2" w:rsidRDefault="00AC19B2">
      <w:pPr>
        <w:pStyle w:val="naisnod"/>
      </w:pPr>
      <w:r>
        <w:continuationSeparator/>
      </w:r>
    </w:p>
  </w:footnote>
  <w:footnote w:type="continuationNotice" w:id="1">
    <w:p w14:paraId="33F60637" w14:textId="77777777" w:rsidR="00AC19B2" w:rsidRDefault="00AC19B2">
      <w:pPr>
        <w:spacing w:before="0" w:after="0" w:line="240" w:lineRule="auto"/>
      </w:pPr>
    </w:p>
  </w:footnote>
  <w:footnote w:id="2">
    <w:p w14:paraId="6657058A" w14:textId="77777777" w:rsidR="00AC19B2" w:rsidRDefault="00AC19B2" w:rsidP="00352BEE">
      <w:pPr>
        <w:pStyle w:val="FootnoteText"/>
        <w:spacing w:before="0" w:after="0" w:line="240" w:lineRule="auto"/>
        <w:ind w:left="142" w:hanging="142"/>
        <w:jc w:val="left"/>
        <w:rPr>
          <w:sz w:val="16"/>
          <w:szCs w:val="16"/>
        </w:rPr>
      </w:pPr>
      <w:r>
        <w:rPr>
          <w:rStyle w:val="FootnoteReference"/>
          <w:sz w:val="16"/>
          <w:szCs w:val="16"/>
        </w:rPr>
        <w:footnoteRef/>
      </w:r>
      <w:r>
        <w:rPr>
          <w:sz w:val="16"/>
          <w:szCs w:val="16"/>
        </w:rPr>
        <w:t xml:space="preserve">  Latvijas SEG emisiju prognozes periodam 2014.-2035.gadam </w:t>
      </w:r>
      <w:hyperlink r:id="rId1" w:history="1">
        <w:r>
          <w:rPr>
            <w:rStyle w:val="Hyperlink"/>
            <w:sz w:val="16"/>
            <w:szCs w:val="16"/>
          </w:rPr>
          <w:t>http://cdr.eionet.europa.eu/lv/eu/mmr/art04-13-14_lcds_pams_projections/envvyqbag/</w:t>
        </w:r>
      </w:hyperlink>
    </w:p>
  </w:footnote>
  <w:footnote w:id="3">
    <w:p w14:paraId="337C6111" w14:textId="77777777" w:rsidR="00AC19B2" w:rsidRDefault="00AC19B2" w:rsidP="00352BEE">
      <w:pPr>
        <w:pStyle w:val="FootnoteText"/>
        <w:spacing w:before="0" w:after="0" w:line="240" w:lineRule="auto"/>
        <w:ind w:left="142" w:hanging="142"/>
        <w:rPr>
          <w:sz w:val="16"/>
          <w:szCs w:val="16"/>
        </w:rPr>
      </w:pPr>
      <w:r>
        <w:rPr>
          <w:rStyle w:val="FootnoteReference"/>
          <w:sz w:val="16"/>
          <w:szCs w:val="16"/>
        </w:rPr>
        <w:footnoteRef/>
      </w:r>
      <w:r>
        <w:rPr>
          <w:sz w:val="16"/>
          <w:szCs w:val="16"/>
        </w:rPr>
        <w:t xml:space="preserve"> Pēdējais šobrīd pieejamais oficiālais Ziņojums par SEG prognozēm, politiku un pasākumiem ir gatavots 2014.gadā, ņemot vērā SEG inventarizācijas datus (aktivitātes dati, radītais SEG emisiju apjoms) līdz 2012. gadam, kā arī ņemot vērā 2014. gada iedzīvotāju, makroekonomiskās un sektoru attīstības prognozes. Aktuālā un jaunākā informācija par Latvijas nākotnes progresu SEG emisiju samazināšanā būs pieejama 2017. gada pirmajā ceturksnī, kad Latvija pabeigs gatavot jaunās SEG prognozes!</w:t>
      </w:r>
    </w:p>
  </w:footnote>
  <w:footnote w:id="4">
    <w:p w14:paraId="45A48C29" w14:textId="77777777" w:rsidR="00AC19B2" w:rsidRDefault="00AC19B2" w:rsidP="00352BEE">
      <w:pPr>
        <w:pStyle w:val="FootnoteText"/>
        <w:spacing w:before="0" w:after="0" w:line="240" w:lineRule="auto"/>
        <w:ind w:left="142" w:hanging="142"/>
        <w:rPr>
          <w:rFonts w:asciiTheme="minorHAnsi" w:hAnsiTheme="minorHAnsi" w:cstheme="minorBidi"/>
          <w:sz w:val="16"/>
          <w:szCs w:val="16"/>
        </w:rPr>
      </w:pPr>
      <w:r>
        <w:rPr>
          <w:rStyle w:val="FootnoteReference"/>
          <w:sz w:val="16"/>
          <w:szCs w:val="16"/>
        </w:rPr>
        <w:footnoteRef/>
      </w:r>
      <w:r>
        <w:rPr>
          <w:sz w:val="16"/>
          <w:szCs w:val="16"/>
        </w:rPr>
        <w:t xml:space="preserve"> Šajā SEG prognožu scenārijā prognozējot SEG emisiju izmaiņas tiek ņemti vērā tie pasākumi, kas jau ir īstenoti, šobrīd tiek īstenoti, vai to īstenošana ir ieplānota un finansējums šo pasākumu īstenošanai ir noteikts (esošie pasākumi)</w:t>
      </w:r>
    </w:p>
  </w:footnote>
  <w:footnote w:id="5">
    <w:p w14:paraId="54A1E992" w14:textId="77777777" w:rsidR="00AC19B2" w:rsidRPr="00352BEE" w:rsidRDefault="00AC19B2" w:rsidP="004549E6">
      <w:pPr>
        <w:pStyle w:val="FootnoteText"/>
        <w:spacing w:before="0" w:after="0" w:line="240" w:lineRule="auto"/>
        <w:rPr>
          <w:sz w:val="16"/>
          <w:szCs w:val="16"/>
        </w:rPr>
      </w:pPr>
      <w:r w:rsidRPr="00352BEE">
        <w:rPr>
          <w:rStyle w:val="FootnoteReference"/>
          <w:sz w:val="16"/>
          <w:szCs w:val="16"/>
        </w:rPr>
        <w:footnoteRef/>
      </w:r>
      <w:r>
        <w:rPr>
          <w:sz w:val="16"/>
          <w:szCs w:val="16"/>
        </w:rPr>
        <w:t xml:space="preserve"> </w:t>
      </w:r>
      <w:r w:rsidRPr="00774C6E">
        <w:rPr>
          <w:sz w:val="16"/>
          <w:szCs w:val="16"/>
        </w:rPr>
        <w:t>Vides aizsardzības un reģionālās attīstības ministrija sadarbībā ar SIA “</w:t>
      </w:r>
      <w:proofErr w:type="spellStart"/>
      <w:r w:rsidRPr="00774C6E">
        <w:rPr>
          <w:sz w:val="16"/>
          <w:szCs w:val="16"/>
        </w:rPr>
        <w:t>Baltkonsults</w:t>
      </w:r>
      <w:proofErr w:type="spellEnd"/>
      <w:r w:rsidRPr="00774C6E">
        <w:rPr>
          <w:sz w:val="16"/>
          <w:szCs w:val="16"/>
        </w:rPr>
        <w:t xml:space="preserve">”, SIA “Estonian. </w:t>
      </w:r>
      <w:proofErr w:type="spellStart"/>
      <w:r w:rsidRPr="00774C6E">
        <w:rPr>
          <w:sz w:val="16"/>
          <w:szCs w:val="16"/>
        </w:rPr>
        <w:t>Latvian</w:t>
      </w:r>
      <w:proofErr w:type="spellEnd"/>
      <w:r w:rsidRPr="00774C6E">
        <w:rPr>
          <w:sz w:val="16"/>
          <w:szCs w:val="16"/>
        </w:rPr>
        <w:t xml:space="preserve"> &amp; </w:t>
      </w:r>
      <w:proofErr w:type="spellStart"/>
      <w:r w:rsidRPr="00774C6E">
        <w:rPr>
          <w:sz w:val="16"/>
          <w:szCs w:val="16"/>
        </w:rPr>
        <w:t>Lithuanian</w:t>
      </w:r>
      <w:proofErr w:type="spellEnd"/>
      <w:r w:rsidRPr="00774C6E">
        <w:rPr>
          <w:sz w:val="16"/>
          <w:szCs w:val="16"/>
        </w:rPr>
        <w:t xml:space="preserve"> </w:t>
      </w:r>
      <w:proofErr w:type="spellStart"/>
      <w:r w:rsidRPr="00774C6E">
        <w:rPr>
          <w:sz w:val="16"/>
          <w:szCs w:val="16"/>
        </w:rPr>
        <w:t>Environment</w:t>
      </w:r>
      <w:proofErr w:type="spellEnd"/>
      <w:r w:rsidRPr="00774C6E">
        <w:rPr>
          <w:sz w:val="16"/>
          <w:szCs w:val="16"/>
        </w:rPr>
        <w:t>” un LVMI “Silava” izstrādā</w:t>
      </w:r>
      <w:r>
        <w:rPr>
          <w:sz w:val="16"/>
          <w:szCs w:val="16"/>
        </w:rPr>
        <w:t>tie</w:t>
      </w:r>
      <w:r w:rsidRPr="00774C6E">
        <w:rPr>
          <w:sz w:val="16"/>
          <w:szCs w:val="16"/>
        </w:rPr>
        <w:t xml:space="preserve"> pētījum</w:t>
      </w:r>
      <w:r>
        <w:rPr>
          <w:sz w:val="16"/>
          <w:szCs w:val="16"/>
        </w:rPr>
        <w:t>i</w:t>
      </w:r>
      <w:r w:rsidRPr="00774C6E">
        <w:rPr>
          <w:sz w:val="16"/>
          <w:szCs w:val="16"/>
        </w:rPr>
        <w:t xml:space="preserve"> par risku un ievainojamības novērtēšanu un pielā</w:t>
      </w:r>
      <w:r>
        <w:rPr>
          <w:sz w:val="16"/>
          <w:szCs w:val="16"/>
        </w:rPr>
        <w:t>gošanās pasākumu identificēšanu</w:t>
      </w:r>
      <w:r w:rsidRPr="00774C6E">
        <w:rPr>
          <w:sz w:val="16"/>
          <w:szCs w:val="16"/>
        </w:rPr>
        <w:t xml:space="preserve"> četrās jomās </w:t>
      </w:r>
      <w:r>
        <w:rPr>
          <w:sz w:val="16"/>
          <w:szCs w:val="16"/>
        </w:rPr>
        <w:t xml:space="preserve">– </w:t>
      </w:r>
      <w:r w:rsidRPr="00774C6E">
        <w:rPr>
          <w:sz w:val="16"/>
          <w:szCs w:val="16"/>
        </w:rPr>
        <w:t>ainavu plānošana un tūrisms, bioloģiskā daudzveidība un ekosistēmu pakalpojumi, veselība un labklājība lauksaimniecība un mežsaimniecība</w:t>
      </w:r>
      <w:r w:rsidRPr="00352BEE">
        <w:rPr>
          <w:sz w:val="16"/>
          <w:szCs w:val="16"/>
        </w:rPr>
        <w:t xml:space="preserve"> http://www.varam.gov.lv/lat/publ/petijumi/petijumi_klimata_parmainu_joma/?doc=23668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9A7D5" w14:textId="77777777" w:rsidR="00AC19B2" w:rsidRDefault="00AC19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6862F6" w14:textId="77777777" w:rsidR="00AC19B2" w:rsidRDefault="00AC19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9427D" w14:textId="77777777" w:rsidR="00AC19B2" w:rsidRDefault="00AC19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3E57">
      <w:rPr>
        <w:rStyle w:val="PageNumber"/>
        <w:noProof/>
      </w:rPr>
      <w:t>11</w:t>
    </w:r>
    <w:r>
      <w:rPr>
        <w:rStyle w:val="PageNumber"/>
      </w:rPr>
      <w:fldChar w:fldCharType="end"/>
    </w:r>
  </w:p>
  <w:p w14:paraId="3DB8B53D" w14:textId="77777777" w:rsidR="00AC19B2" w:rsidRDefault="00AC19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54A"/>
    <w:multiLevelType w:val="hybridMultilevel"/>
    <w:tmpl w:val="98F220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1AC57A2"/>
    <w:multiLevelType w:val="hybridMultilevel"/>
    <w:tmpl w:val="5768BF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B31CAF"/>
    <w:multiLevelType w:val="hybridMultilevel"/>
    <w:tmpl w:val="47EECD26"/>
    <w:lvl w:ilvl="0" w:tplc="905A42A0">
      <w:start w:val="1"/>
      <w:numFmt w:val="decimal"/>
      <w:lvlText w:val="%1."/>
      <w:lvlJc w:val="left"/>
      <w:pPr>
        <w:ind w:left="501" w:hanging="360"/>
      </w:pPr>
    </w:lvl>
    <w:lvl w:ilvl="1" w:tplc="04260019">
      <w:start w:val="1"/>
      <w:numFmt w:val="lowerLetter"/>
      <w:lvlText w:val="%2."/>
      <w:lvlJc w:val="left"/>
      <w:pPr>
        <w:ind w:left="1221" w:hanging="360"/>
      </w:pPr>
    </w:lvl>
    <w:lvl w:ilvl="2" w:tplc="0426001B">
      <w:start w:val="1"/>
      <w:numFmt w:val="lowerRoman"/>
      <w:lvlText w:val="%3."/>
      <w:lvlJc w:val="right"/>
      <w:pPr>
        <w:ind w:left="1941" w:hanging="180"/>
      </w:pPr>
    </w:lvl>
    <w:lvl w:ilvl="3" w:tplc="0426000F">
      <w:start w:val="1"/>
      <w:numFmt w:val="decimal"/>
      <w:lvlText w:val="%4."/>
      <w:lvlJc w:val="left"/>
      <w:pPr>
        <w:ind w:left="2661" w:hanging="360"/>
      </w:pPr>
    </w:lvl>
    <w:lvl w:ilvl="4" w:tplc="04260019">
      <w:start w:val="1"/>
      <w:numFmt w:val="lowerLetter"/>
      <w:lvlText w:val="%5."/>
      <w:lvlJc w:val="left"/>
      <w:pPr>
        <w:ind w:left="3381" w:hanging="360"/>
      </w:pPr>
    </w:lvl>
    <w:lvl w:ilvl="5" w:tplc="0426001B">
      <w:start w:val="1"/>
      <w:numFmt w:val="lowerRoman"/>
      <w:lvlText w:val="%6."/>
      <w:lvlJc w:val="right"/>
      <w:pPr>
        <w:ind w:left="4101" w:hanging="180"/>
      </w:pPr>
    </w:lvl>
    <w:lvl w:ilvl="6" w:tplc="0426000F">
      <w:start w:val="1"/>
      <w:numFmt w:val="decimal"/>
      <w:lvlText w:val="%7."/>
      <w:lvlJc w:val="left"/>
      <w:pPr>
        <w:ind w:left="4821" w:hanging="360"/>
      </w:pPr>
    </w:lvl>
    <w:lvl w:ilvl="7" w:tplc="04260019">
      <w:start w:val="1"/>
      <w:numFmt w:val="lowerLetter"/>
      <w:lvlText w:val="%8."/>
      <w:lvlJc w:val="left"/>
      <w:pPr>
        <w:ind w:left="5541" w:hanging="360"/>
      </w:pPr>
    </w:lvl>
    <w:lvl w:ilvl="8" w:tplc="0426001B">
      <w:start w:val="1"/>
      <w:numFmt w:val="lowerRoman"/>
      <w:lvlText w:val="%9."/>
      <w:lvlJc w:val="right"/>
      <w:pPr>
        <w:ind w:left="6261" w:hanging="180"/>
      </w:pPr>
    </w:lvl>
  </w:abstractNum>
  <w:abstractNum w:abstractNumId="3" w15:restartNumberingAfterBreak="0">
    <w:nsid w:val="065A47D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2A744F"/>
    <w:multiLevelType w:val="hybridMultilevel"/>
    <w:tmpl w:val="9A2AB626"/>
    <w:lvl w:ilvl="0" w:tplc="A45A8FE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D3841BC"/>
    <w:multiLevelType w:val="hybridMultilevel"/>
    <w:tmpl w:val="68B2DC76"/>
    <w:lvl w:ilvl="0" w:tplc="C7A478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E3C1E93"/>
    <w:multiLevelType w:val="hybridMultilevel"/>
    <w:tmpl w:val="75A24C38"/>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28D2637"/>
    <w:multiLevelType w:val="hybridMultilevel"/>
    <w:tmpl w:val="9FDC29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7EA7A4D"/>
    <w:multiLevelType w:val="hybridMultilevel"/>
    <w:tmpl w:val="91945736"/>
    <w:lvl w:ilvl="0" w:tplc="412E038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9BA01A1"/>
    <w:multiLevelType w:val="hybridMultilevel"/>
    <w:tmpl w:val="3182C668"/>
    <w:lvl w:ilvl="0" w:tplc="0426000F">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0" w15:restartNumberingAfterBreak="0">
    <w:nsid w:val="2AE53CFC"/>
    <w:multiLevelType w:val="hybridMultilevel"/>
    <w:tmpl w:val="BA9EF3AC"/>
    <w:lvl w:ilvl="0" w:tplc="E9EA610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AAC2035"/>
    <w:multiLevelType w:val="hybridMultilevel"/>
    <w:tmpl w:val="5134C842"/>
    <w:lvl w:ilvl="0" w:tplc="A3D47726">
      <w:start w:val="85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1786D85"/>
    <w:multiLevelType w:val="hybridMultilevel"/>
    <w:tmpl w:val="A5C03B3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47096148"/>
    <w:multiLevelType w:val="hybridMultilevel"/>
    <w:tmpl w:val="8286C21A"/>
    <w:lvl w:ilvl="0" w:tplc="EAEE5BB4">
      <w:start w:val="1"/>
      <w:numFmt w:val="decimal"/>
      <w:lvlText w:val="%1)"/>
      <w:lvlJc w:val="left"/>
      <w:pPr>
        <w:ind w:left="497" w:hanging="435"/>
      </w:pPr>
      <w:rPr>
        <w:rFonts w:hint="default"/>
      </w:rPr>
    </w:lvl>
    <w:lvl w:ilvl="1" w:tplc="04260019" w:tentative="1">
      <w:start w:val="1"/>
      <w:numFmt w:val="lowerLetter"/>
      <w:lvlText w:val="%2."/>
      <w:lvlJc w:val="left"/>
      <w:pPr>
        <w:ind w:left="1142" w:hanging="360"/>
      </w:pPr>
    </w:lvl>
    <w:lvl w:ilvl="2" w:tplc="0426001B" w:tentative="1">
      <w:start w:val="1"/>
      <w:numFmt w:val="lowerRoman"/>
      <w:lvlText w:val="%3."/>
      <w:lvlJc w:val="right"/>
      <w:pPr>
        <w:ind w:left="1862" w:hanging="180"/>
      </w:pPr>
    </w:lvl>
    <w:lvl w:ilvl="3" w:tplc="0426000F" w:tentative="1">
      <w:start w:val="1"/>
      <w:numFmt w:val="decimal"/>
      <w:lvlText w:val="%4."/>
      <w:lvlJc w:val="left"/>
      <w:pPr>
        <w:ind w:left="2582" w:hanging="360"/>
      </w:pPr>
    </w:lvl>
    <w:lvl w:ilvl="4" w:tplc="04260019" w:tentative="1">
      <w:start w:val="1"/>
      <w:numFmt w:val="lowerLetter"/>
      <w:lvlText w:val="%5."/>
      <w:lvlJc w:val="left"/>
      <w:pPr>
        <w:ind w:left="3302" w:hanging="360"/>
      </w:pPr>
    </w:lvl>
    <w:lvl w:ilvl="5" w:tplc="0426001B" w:tentative="1">
      <w:start w:val="1"/>
      <w:numFmt w:val="lowerRoman"/>
      <w:lvlText w:val="%6."/>
      <w:lvlJc w:val="right"/>
      <w:pPr>
        <w:ind w:left="4022" w:hanging="180"/>
      </w:pPr>
    </w:lvl>
    <w:lvl w:ilvl="6" w:tplc="0426000F" w:tentative="1">
      <w:start w:val="1"/>
      <w:numFmt w:val="decimal"/>
      <w:lvlText w:val="%7."/>
      <w:lvlJc w:val="left"/>
      <w:pPr>
        <w:ind w:left="4742" w:hanging="360"/>
      </w:pPr>
    </w:lvl>
    <w:lvl w:ilvl="7" w:tplc="04260019" w:tentative="1">
      <w:start w:val="1"/>
      <w:numFmt w:val="lowerLetter"/>
      <w:lvlText w:val="%8."/>
      <w:lvlJc w:val="left"/>
      <w:pPr>
        <w:ind w:left="5462" w:hanging="360"/>
      </w:pPr>
    </w:lvl>
    <w:lvl w:ilvl="8" w:tplc="0426001B" w:tentative="1">
      <w:start w:val="1"/>
      <w:numFmt w:val="lowerRoman"/>
      <w:lvlText w:val="%9."/>
      <w:lvlJc w:val="right"/>
      <w:pPr>
        <w:ind w:left="6182" w:hanging="180"/>
      </w:pPr>
    </w:lvl>
  </w:abstractNum>
  <w:abstractNum w:abstractNumId="14" w15:restartNumberingAfterBreak="0">
    <w:nsid w:val="48924FFE"/>
    <w:multiLevelType w:val="multilevel"/>
    <w:tmpl w:val="31A25EA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FE6702F"/>
    <w:multiLevelType w:val="hybridMultilevel"/>
    <w:tmpl w:val="221E5128"/>
    <w:lvl w:ilvl="0" w:tplc="04260001">
      <w:start w:val="1"/>
      <w:numFmt w:val="bullet"/>
      <w:lvlText w:val=""/>
      <w:lvlJc w:val="left"/>
      <w:pPr>
        <w:ind w:left="1003" w:hanging="360"/>
      </w:pPr>
      <w:rPr>
        <w:rFonts w:ascii="Symbol" w:hAnsi="Symbol" w:hint="default"/>
      </w:rPr>
    </w:lvl>
    <w:lvl w:ilvl="1" w:tplc="04260003" w:tentative="1">
      <w:start w:val="1"/>
      <w:numFmt w:val="bullet"/>
      <w:lvlText w:val="o"/>
      <w:lvlJc w:val="left"/>
      <w:pPr>
        <w:ind w:left="1723" w:hanging="360"/>
      </w:pPr>
      <w:rPr>
        <w:rFonts w:ascii="Courier New" w:hAnsi="Courier New" w:cs="Courier New" w:hint="default"/>
      </w:rPr>
    </w:lvl>
    <w:lvl w:ilvl="2" w:tplc="04260005" w:tentative="1">
      <w:start w:val="1"/>
      <w:numFmt w:val="bullet"/>
      <w:lvlText w:val=""/>
      <w:lvlJc w:val="left"/>
      <w:pPr>
        <w:ind w:left="2443" w:hanging="360"/>
      </w:pPr>
      <w:rPr>
        <w:rFonts w:ascii="Wingdings" w:hAnsi="Wingdings" w:hint="default"/>
      </w:rPr>
    </w:lvl>
    <w:lvl w:ilvl="3" w:tplc="04260001" w:tentative="1">
      <w:start w:val="1"/>
      <w:numFmt w:val="bullet"/>
      <w:lvlText w:val=""/>
      <w:lvlJc w:val="left"/>
      <w:pPr>
        <w:ind w:left="3163" w:hanging="360"/>
      </w:pPr>
      <w:rPr>
        <w:rFonts w:ascii="Symbol" w:hAnsi="Symbol" w:hint="default"/>
      </w:rPr>
    </w:lvl>
    <w:lvl w:ilvl="4" w:tplc="04260003" w:tentative="1">
      <w:start w:val="1"/>
      <w:numFmt w:val="bullet"/>
      <w:lvlText w:val="o"/>
      <w:lvlJc w:val="left"/>
      <w:pPr>
        <w:ind w:left="3883" w:hanging="360"/>
      </w:pPr>
      <w:rPr>
        <w:rFonts w:ascii="Courier New" w:hAnsi="Courier New" w:cs="Courier New" w:hint="default"/>
      </w:rPr>
    </w:lvl>
    <w:lvl w:ilvl="5" w:tplc="04260005" w:tentative="1">
      <w:start w:val="1"/>
      <w:numFmt w:val="bullet"/>
      <w:lvlText w:val=""/>
      <w:lvlJc w:val="left"/>
      <w:pPr>
        <w:ind w:left="4603" w:hanging="360"/>
      </w:pPr>
      <w:rPr>
        <w:rFonts w:ascii="Wingdings" w:hAnsi="Wingdings" w:hint="default"/>
      </w:rPr>
    </w:lvl>
    <w:lvl w:ilvl="6" w:tplc="04260001" w:tentative="1">
      <w:start w:val="1"/>
      <w:numFmt w:val="bullet"/>
      <w:lvlText w:val=""/>
      <w:lvlJc w:val="left"/>
      <w:pPr>
        <w:ind w:left="5323" w:hanging="360"/>
      </w:pPr>
      <w:rPr>
        <w:rFonts w:ascii="Symbol" w:hAnsi="Symbol" w:hint="default"/>
      </w:rPr>
    </w:lvl>
    <w:lvl w:ilvl="7" w:tplc="04260003" w:tentative="1">
      <w:start w:val="1"/>
      <w:numFmt w:val="bullet"/>
      <w:lvlText w:val="o"/>
      <w:lvlJc w:val="left"/>
      <w:pPr>
        <w:ind w:left="6043" w:hanging="360"/>
      </w:pPr>
      <w:rPr>
        <w:rFonts w:ascii="Courier New" w:hAnsi="Courier New" w:cs="Courier New" w:hint="default"/>
      </w:rPr>
    </w:lvl>
    <w:lvl w:ilvl="8" w:tplc="04260005" w:tentative="1">
      <w:start w:val="1"/>
      <w:numFmt w:val="bullet"/>
      <w:lvlText w:val=""/>
      <w:lvlJc w:val="left"/>
      <w:pPr>
        <w:ind w:left="6763" w:hanging="360"/>
      </w:pPr>
      <w:rPr>
        <w:rFonts w:ascii="Wingdings" w:hAnsi="Wingdings" w:hint="default"/>
      </w:rPr>
    </w:lvl>
  </w:abstractNum>
  <w:abstractNum w:abstractNumId="16" w15:restartNumberingAfterBreak="0">
    <w:nsid w:val="50017C37"/>
    <w:multiLevelType w:val="hybridMultilevel"/>
    <w:tmpl w:val="51B628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03541A1"/>
    <w:multiLevelType w:val="multilevel"/>
    <w:tmpl w:val="FB4422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77A2ACF"/>
    <w:multiLevelType w:val="hybridMultilevel"/>
    <w:tmpl w:val="ADFE75F8"/>
    <w:lvl w:ilvl="0" w:tplc="F59AAFFA">
      <w:start w:val="1"/>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19" w15:restartNumberingAfterBreak="0">
    <w:nsid w:val="639B6E5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583252E"/>
    <w:multiLevelType w:val="multilevel"/>
    <w:tmpl w:val="FB4422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AE22F1C"/>
    <w:multiLevelType w:val="hybridMultilevel"/>
    <w:tmpl w:val="C6DCA2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07B7A3B"/>
    <w:multiLevelType w:val="hybridMultilevel"/>
    <w:tmpl w:val="0728EFF6"/>
    <w:lvl w:ilvl="0" w:tplc="FFF86982">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23" w15:restartNumberingAfterBreak="0">
    <w:nsid w:val="731250F1"/>
    <w:multiLevelType w:val="hybridMultilevel"/>
    <w:tmpl w:val="7A46467A"/>
    <w:lvl w:ilvl="0" w:tplc="6576F4E0">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24" w15:restartNumberingAfterBreak="0">
    <w:nsid w:val="73A66C35"/>
    <w:multiLevelType w:val="hybridMultilevel"/>
    <w:tmpl w:val="5A04A5D8"/>
    <w:lvl w:ilvl="0" w:tplc="0426000F">
      <w:start w:val="1"/>
      <w:numFmt w:val="decimal"/>
      <w:lvlText w:val="%1."/>
      <w:lvlJc w:val="left"/>
      <w:pPr>
        <w:ind w:left="720" w:hanging="360"/>
      </w:pPr>
      <w:rPr>
        <w:rFonts w:hint="default"/>
      </w:rPr>
    </w:lvl>
    <w:lvl w:ilvl="1" w:tplc="04260001">
      <w:start w:val="1"/>
      <w:numFmt w:val="bullet"/>
      <w:lvlText w:val=""/>
      <w:lvlJc w:val="left"/>
      <w:pPr>
        <w:ind w:left="786" w:hanging="360"/>
      </w:pPr>
      <w:rPr>
        <w:rFonts w:ascii="Symbol" w:hAnsi="Symbol"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45D7238"/>
    <w:multiLevelType w:val="hybridMultilevel"/>
    <w:tmpl w:val="2C4CA74E"/>
    <w:lvl w:ilvl="0" w:tplc="3D6CC828">
      <w:start w:val="1"/>
      <w:numFmt w:val="decimal"/>
      <w:lvlText w:val="%1)"/>
      <w:lvlJc w:val="left"/>
      <w:pPr>
        <w:ind w:left="462" w:hanging="405"/>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6" w15:restartNumberingAfterBreak="0">
    <w:nsid w:val="76AD2ACB"/>
    <w:multiLevelType w:val="hybridMultilevel"/>
    <w:tmpl w:val="097C202C"/>
    <w:lvl w:ilvl="0" w:tplc="BBA8C668">
      <w:start w:val="1"/>
      <w:numFmt w:val="decimal"/>
      <w:lvlText w:val="%1)"/>
      <w:lvlJc w:val="left"/>
      <w:pPr>
        <w:ind w:left="425" w:hanging="360"/>
      </w:pPr>
      <w:rPr>
        <w:rFonts w:hint="default"/>
      </w:rPr>
    </w:lvl>
    <w:lvl w:ilvl="1" w:tplc="04260019" w:tentative="1">
      <w:start w:val="1"/>
      <w:numFmt w:val="lowerLetter"/>
      <w:lvlText w:val="%2."/>
      <w:lvlJc w:val="left"/>
      <w:pPr>
        <w:ind w:left="1145" w:hanging="360"/>
      </w:pPr>
    </w:lvl>
    <w:lvl w:ilvl="2" w:tplc="0426001B" w:tentative="1">
      <w:start w:val="1"/>
      <w:numFmt w:val="lowerRoman"/>
      <w:lvlText w:val="%3."/>
      <w:lvlJc w:val="right"/>
      <w:pPr>
        <w:ind w:left="1865" w:hanging="180"/>
      </w:pPr>
    </w:lvl>
    <w:lvl w:ilvl="3" w:tplc="0426000F" w:tentative="1">
      <w:start w:val="1"/>
      <w:numFmt w:val="decimal"/>
      <w:lvlText w:val="%4."/>
      <w:lvlJc w:val="left"/>
      <w:pPr>
        <w:ind w:left="2585" w:hanging="360"/>
      </w:pPr>
    </w:lvl>
    <w:lvl w:ilvl="4" w:tplc="04260019" w:tentative="1">
      <w:start w:val="1"/>
      <w:numFmt w:val="lowerLetter"/>
      <w:lvlText w:val="%5."/>
      <w:lvlJc w:val="left"/>
      <w:pPr>
        <w:ind w:left="3305" w:hanging="360"/>
      </w:pPr>
    </w:lvl>
    <w:lvl w:ilvl="5" w:tplc="0426001B" w:tentative="1">
      <w:start w:val="1"/>
      <w:numFmt w:val="lowerRoman"/>
      <w:lvlText w:val="%6."/>
      <w:lvlJc w:val="right"/>
      <w:pPr>
        <w:ind w:left="4025" w:hanging="180"/>
      </w:pPr>
    </w:lvl>
    <w:lvl w:ilvl="6" w:tplc="0426000F" w:tentative="1">
      <w:start w:val="1"/>
      <w:numFmt w:val="decimal"/>
      <w:lvlText w:val="%7."/>
      <w:lvlJc w:val="left"/>
      <w:pPr>
        <w:ind w:left="4745" w:hanging="360"/>
      </w:pPr>
    </w:lvl>
    <w:lvl w:ilvl="7" w:tplc="04260019" w:tentative="1">
      <w:start w:val="1"/>
      <w:numFmt w:val="lowerLetter"/>
      <w:lvlText w:val="%8."/>
      <w:lvlJc w:val="left"/>
      <w:pPr>
        <w:ind w:left="5465" w:hanging="360"/>
      </w:pPr>
    </w:lvl>
    <w:lvl w:ilvl="8" w:tplc="0426001B" w:tentative="1">
      <w:start w:val="1"/>
      <w:numFmt w:val="lowerRoman"/>
      <w:lvlText w:val="%9."/>
      <w:lvlJc w:val="right"/>
      <w:pPr>
        <w:ind w:left="6185" w:hanging="180"/>
      </w:pPr>
    </w:lvl>
  </w:abstractNum>
  <w:num w:numId="1">
    <w:abstractNumId w:val="13"/>
  </w:num>
  <w:num w:numId="2">
    <w:abstractNumId w:val="8"/>
  </w:num>
  <w:num w:numId="3">
    <w:abstractNumId w:val="21"/>
  </w:num>
  <w:num w:numId="4">
    <w:abstractNumId w:val="24"/>
  </w:num>
  <w:num w:numId="5">
    <w:abstractNumId w:val="7"/>
  </w:num>
  <w:num w:numId="6">
    <w:abstractNumId w:val="9"/>
  </w:num>
  <w:num w:numId="7">
    <w:abstractNumId w:val="16"/>
  </w:num>
  <w:num w:numId="8">
    <w:abstractNumId w:val="18"/>
  </w:num>
  <w:num w:numId="9">
    <w:abstractNumId w:val="14"/>
  </w:num>
  <w:num w:numId="10">
    <w:abstractNumId w:val="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num>
  <w:num w:numId="14">
    <w:abstractNumId w:val="6"/>
  </w:num>
  <w:num w:numId="15">
    <w:abstractNumId w:val="23"/>
  </w:num>
  <w:num w:numId="16">
    <w:abstractNumId w:val="19"/>
  </w:num>
  <w:num w:numId="17">
    <w:abstractNumId w:val="20"/>
  </w:num>
  <w:num w:numId="18">
    <w:abstractNumId w:val="17"/>
  </w:num>
  <w:num w:numId="19">
    <w:abstractNumId w:val="26"/>
  </w:num>
  <w:num w:numId="20">
    <w:abstractNumId w:val="5"/>
  </w:num>
  <w:num w:numId="21">
    <w:abstractNumId w:val="25"/>
  </w:num>
  <w:num w:numId="22">
    <w:abstractNumId w:val="11"/>
  </w:num>
  <w:num w:numId="23">
    <w:abstractNumId w:val="6"/>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5"/>
  </w:num>
  <w:num w:numId="27">
    <w:abstractNumId w:val="4"/>
  </w:num>
  <w:num w:numId="28">
    <w:abstractNumId w:val="10"/>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957"/>
    <w:rsid w:val="000004F6"/>
    <w:rsid w:val="00004A0E"/>
    <w:rsid w:val="0000611F"/>
    <w:rsid w:val="0001096A"/>
    <w:rsid w:val="0001183E"/>
    <w:rsid w:val="00012B0B"/>
    <w:rsid w:val="000151B9"/>
    <w:rsid w:val="0001541C"/>
    <w:rsid w:val="000172D3"/>
    <w:rsid w:val="0002370F"/>
    <w:rsid w:val="000261AD"/>
    <w:rsid w:val="00026555"/>
    <w:rsid w:val="00027828"/>
    <w:rsid w:val="00027EED"/>
    <w:rsid w:val="00033D30"/>
    <w:rsid w:val="000348F5"/>
    <w:rsid w:val="0003593C"/>
    <w:rsid w:val="00035AD3"/>
    <w:rsid w:val="00043A8C"/>
    <w:rsid w:val="00043B12"/>
    <w:rsid w:val="00044807"/>
    <w:rsid w:val="00044AC4"/>
    <w:rsid w:val="00046902"/>
    <w:rsid w:val="000472B3"/>
    <w:rsid w:val="0005271E"/>
    <w:rsid w:val="00053192"/>
    <w:rsid w:val="00053BA8"/>
    <w:rsid w:val="0005413D"/>
    <w:rsid w:val="00057640"/>
    <w:rsid w:val="00064387"/>
    <w:rsid w:val="000644E3"/>
    <w:rsid w:val="00065E5A"/>
    <w:rsid w:val="00067412"/>
    <w:rsid w:val="00072A69"/>
    <w:rsid w:val="00072E3C"/>
    <w:rsid w:val="000743A4"/>
    <w:rsid w:val="00077C7A"/>
    <w:rsid w:val="00081872"/>
    <w:rsid w:val="00082034"/>
    <w:rsid w:val="00082449"/>
    <w:rsid w:val="00082F22"/>
    <w:rsid w:val="00083F2E"/>
    <w:rsid w:val="00083FAE"/>
    <w:rsid w:val="000907AC"/>
    <w:rsid w:val="00091A63"/>
    <w:rsid w:val="000A2504"/>
    <w:rsid w:val="000A5A03"/>
    <w:rsid w:val="000A7C2F"/>
    <w:rsid w:val="000A7D83"/>
    <w:rsid w:val="000B0177"/>
    <w:rsid w:val="000B1FDA"/>
    <w:rsid w:val="000B2C35"/>
    <w:rsid w:val="000B36A5"/>
    <w:rsid w:val="000B4980"/>
    <w:rsid w:val="000B54BE"/>
    <w:rsid w:val="000B706A"/>
    <w:rsid w:val="000B7CD3"/>
    <w:rsid w:val="000B7DFC"/>
    <w:rsid w:val="000C090C"/>
    <w:rsid w:val="000C2B47"/>
    <w:rsid w:val="000C2B6A"/>
    <w:rsid w:val="000C376F"/>
    <w:rsid w:val="000C5619"/>
    <w:rsid w:val="000C6F39"/>
    <w:rsid w:val="000D035C"/>
    <w:rsid w:val="000D10DB"/>
    <w:rsid w:val="000D2564"/>
    <w:rsid w:val="000D3785"/>
    <w:rsid w:val="000D398E"/>
    <w:rsid w:val="000D4FCA"/>
    <w:rsid w:val="000D6348"/>
    <w:rsid w:val="000D68A9"/>
    <w:rsid w:val="000E3C41"/>
    <w:rsid w:val="000E4F2F"/>
    <w:rsid w:val="000E5384"/>
    <w:rsid w:val="000F2298"/>
    <w:rsid w:val="000F5F82"/>
    <w:rsid w:val="00102885"/>
    <w:rsid w:val="00103F0E"/>
    <w:rsid w:val="0010762D"/>
    <w:rsid w:val="00107DA8"/>
    <w:rsid w:val="0011091B"/>
    <w:rsid w:val="00110A85"/>
    <w:rsid w:val="0011217D"/>
    <w:rsid w:val="00112F5D"/>
    <w:rsid w:val="00116C9D"/>
    <w:rsid w:val="00116E10"/>
    <w:rsid w:val="00122AA6"/>
    <w:rsid w:val="00123448"/>
    <w:rsid w:val="00123B59"/>
    <w:rsid w:val="00126760"/>
    <w:rsid w:val="00126773"/>
    <w:rsid w:val="00130369"/>
    <w:rsid w:val="00132D3D"/>
    <w:rsid w:val="00133143"/>
    <w:rsid w:val="00133E75"/>
    <w:rsid w:val="001356E1"/>
    <w:rsid w:val="00142B54"/>
    <w:rsid w:val="00144685"/>
    <w:rsid w:val="001446B3"/>
    <w:rsid w:val="001447B7"/>
    <w:rsid w:val="001519DF"/>
    <w:rsid w:val="00153D95"/>
    <w:rsid w:val="00153FD6"/>
    <w:rsid w:val="00157855"/>
    <w:rsid w:val="0016359A"/>
    <w:rsid w:val="00164497"/>
    <w:rsid w:val="001655CB"/>
    <w:rsid w:val="00165A19"/>
    <w:rsid w:val="00165C1E"/>
    <w:rsid w:val="001673EE"/>
    <w:rsid w:val="0017058A"/>
    <w:rsid w:val="001717D5"/>
    <w:rsid w:val="00172607"/>
    <w:rsid w:val="001733A5"/>
    <w:rsid w:val="00173D89"/>
    <w:rsid w:val="00174577"/>
    <w:rsid w:val="001753CD"/>
    <w:rsid w:val="00176B43"/>
    <w:rsid w:val="00176C5A"/>
    <w:rsid w:val="0018156E"/>
    <w:rsid w:val="00181719"/>
    <w:rsid w:val="00182E92"/>
    <w:rsid w:val="00186315"/>
    <w:rsid w:val="001863C6"/>
    <w:rsid w:val="0018706D"/>
    <w:rsid w:val="001913C5"/>
    <w:rsid w:val="00191458"/>
    <w:rsid w:val="00192115"/>
    <w:rsid w:val="0019221C"/>
    <w:rsid w:val="001978FB"/>
    <w:rsid w:val="001A0013"/>
    <w:rsid w:val="001A0AFE"/>
    <w:rsid w:val="001A2B66"/>
    <w:rsid w:val="001A2C70"/>
    <w:rsid w:val="001A2C7E"/>
    <w:rsid w:val="001A3652"/>
    <w:rsid w:val="001A42CD"/>
    <w:rsid w:val="001A51E2"/>
    <w:rsid w:val="001A6A23"/>
    <w:rsid w:val="001B2E1C"/>
    <w:rsid w:val="001B3098"/>
    <w:rsid w:val="001B698D"/>
    <w:rsid w:val="001C1210"/>
    <w:rsid w:val="001C1485"/>
    <w:rsid w:val="001C164C"/>
    <w:rsid w:val="001C5549"/>
    <w:rsid w:val="001C5578"/>
    <w:rsid w:val="001C569A"/>
    <w:rsid w:val="001D2B74"/>
    <w:rsid w:val="001D5B74"/>
    <w:rsid w:val="001E0B2F"/>
    <w:rsid w:val="001E47A5"/>
    <w:rsid w:val="001E54A3"/>
    <w:rsid w:val="001E6D6B"/>
    <w:rsid w:val="001E6F31"/>
    <w:rsid w:val="001F04F1"/>
    <w:rsid w:val="001F40E1"/>
    <w:rsid w:val="001F5411"/>
    <w:rsid w:val="00201E3C"/>
    <w:rsid w:val="00202A18"/>
    <w:rsid w:val="002031D8"/>
    <w:rsid w:val="00204617"/>
    <w:rsid w:val="002052A1"/>
    <w:rsid w:val="00205B39"/>
    <w:rsid w:val="0020608E"/>
    <w:rsid w:val="00206DA3"/>
    <w:rsid w:val="00211F2C"/>
    <w:rsid w:val="002150B9"/>
    <w:rsid w:val="00215CFD"/>
    <w:rsid w:val="00215D92"/>
    <w:rsid w:val="00220698"/>
    <w:rsid w:val="00220A43"/>
    <w:rsid w:val="002213BC"/>
    <w:rsid w:val="00222D76"/>
    <w:rsid w:val="00222F71"/>
    <w:rsid w:val="002271E9"/>
    <w:rsid w:val="00230658"/>
    <w:rsid w:val="0023098B"/>
    <w:rsid w:val="002324D9"/>
    <w:rsid w:val="002324F8"/>
    <w:rsid w:val="00234F66"/>
    <w:rsid w:val="00235E93"/>
    <w:rsid w:val="002367A9"/>
    <w:rsid w:val="0023687F"/>
    <w:rsid w:val="00237992"/>
    <w:rsid w:val="00237D7D"/>
    <w:rsid w:val="00241AFD"/>
    <w:rsid w:val="00241DB5"/>
    <w:rsid w:val="0024474E"/>
    <w:rsid w:val="00251DE1"/>
    <w:rsid w:val="0025282F"/>
    <w:rsid w:val="00253EF0"/>
    <w:rsid w:val="00255086"/>
    <w:rsid w:val="00255D4D"/>
    <w:rsid w:val="00257CD4"/>
    <w:rsid w:val="0026058E"/>
    <w:rsid w:val="00261395"/>
    <w:rsid w:val="00263AB8"/>
    <w:rsid w:val="00263E5A"/>
    <w:rsid w:val="00264EB6"/>
    <w:rsid w:val="00265A10"/>
    <w:rsid w:val="00266257"/>
    <w:rsid w:val="00271E78"/>
    <w:rsid w:val="0027415E"/>
    <w:rsid w:val="002760F3"/>
    <w:rsid w:val="00277D2F"/>
    <w:rsid w:val="00280BA3"/>
    <w:rsid w:val="00281EC0"/>
    <w:rsid w:val="00282DF9"/>
    <w:rsid w:val="00287313"/>
    <w:rsid w:val="00290D53"/>
    <w:rsid w:val="00291D72"/>
    <w:rsid w:val="0029432A"/>
    <w:rsid w:val="002943D2"/>
    <w:rsid w:val="00294E85"/>
    <w:rsid w:val="00297AFB"/>
    <w:rsid w:val="002A2247"/>
    <w:rsid w:val="002A3CDD"/>
    <w:rsid w:val="002A45C4"/>
    <w:rsid w:val="002A4DB7"/>
    <w:rsid w:val="002A511C"/>
    <w:rsid w:val="002A5ACA"/>
    <w:rsid w:val="002A6FEC"/>
    <w:rsid w:val="002A70E4"/>
    <w:rsid w:val="002A78A4"/>
    <w:rsid w:val="002B35B0"/>
    <w:rsid w:val="002B36AA"/>
    <w:rsid w:val="002B44A6"/>
    <w:rsid w:val="002B5F95"/>
    <w:rsid w:val="002B6E3A"/>
    <w:rsid w:val="002C1771"/>
    <w:rsid w:val="002C310E"/>
    <w:rsid w:val="002C7224"/>
    <w:rsid w:val="002D0E0B"/>
    <w:rsid w:val="002D15A1"/>
    <w:rsid w:val="002D16ED"/>
    <w:rsid w:val="002D5E9E"/>
    <w:rsid w:val="002D6A62"/>
    <w:rsid w:val="002D718D"/>
    <w:rsid w:val="002D75FE"/>
    <w:rsid w:val="002E2616"/>
    <w:rsid w:val="002E4D67"/>
    <w:rsid w:val="002F0B4F"/>
    <w:rsid w:val="002F33E9"/>
    <w:rsid w:val="002F5491"/>
    <w:rsid w:val="002F5C68"/>
    <w:rsid w:val="002F5FDD"/>
    <w:rsid w:val="002F7023"/>
    <w:rsid w:val="002F7140"/>
    <w:rsid w:val="002F785E"/>
    <w:rsid w:val="00300BBE"/>
    <w:rsid w:val="0030252C"/>
    <w:rsid w:val="00302753"/>
    <w:rsid w:val="0030286C"/>
    <w:rsid w:val="003065EC"/>
    <w:rsid w:val="00307FE8"/>
    <w:rsid w:val="003101D6"/>
    <w:rsid w:val="00311363"/>
    <w:rsid w:val="00317465"/>
    <w:rsid w:val="0032130B"/>
    <w:rsid w:val="00322274"/>
    <w:rsid w:val="0032592A"/>
    <w:rsid w:val="00330CCD"/>
    <w:rsid w:val="00332E3A"/>
    <w:rsid w:val="00333094"/>
    <w:rsid w:val="00333939"/>
    <w:rsid w:val="00333E4C"/>
    <w:rsid w:val="00335863"/>
    <w:rsid w:val="0033693C"/>
    <w:rsid w:val="00336D2A"/>
    <w:rsid w:val="00345703"/>
    <w:rsid w:val="00346040"/>
    <w:rsid w:val="0034679B"/>
    <w:rsid w:val="00347AEC"/>
    <w:rsid w:val="00347B3D"/>
    <w:rsid w:val="003502E8"/>
    <w:rsid w:val="003508B0"/>
    <w:rsid w:val="003509B0"/>
    <w:rsid w:val="003519F9"/>
    <w:rsid w:val="0035256B"/>
    <w:rsid w:val="00352BEE"/>
    <w:rsid w:val="0035413A"/>
    <w:rsid w:val="0035522B"/>
    <w:rsid w:val="0035573F"/>
    <w:rsid w:val="00355AFC"/>
    <w:rsid w:val="00355EF4"/>
    <w:rsid w:val="00357105"/>
    <w:rsid w:val="00360922"/>
    <w:rsid w:val="0036259C"/>
    <w:rsid w:val="00366E43"/>
    <w:rsid w:val="00367159"/>
    <w:rsid w:val="00370F57"/>
    <w:rsid w:val="003715EA"/>
    <w:rsid w:val="003724E7"/>
    <w:rsid w:val="003729B7"/>
    <w:rsid w:val="00373F5D"/>
    <w:rsid w:val="00374EE7"/>
    <w:rsid w:val="00376D63"/>
    <w:rsid w:val="00377CDB"/>
    <w:rsid w:val="00377F39"/>
    <w:rsid w:val="00380B37"/>
    <w:rsid w:val="00381AFB"/>
    <w:rsid w:val="00384BF5"/>
    <w:rsid w:val="00387A7C"/>
    <w:rsid w:val="00387BE9"/>
    <w:rsid w:val="00387F4A"/>
    <w:rsid w:val="00392931"/>
    <w:rsid w:val="00392CA7"/>
    <w:rsid w:val="003938D7"/>
    <w:rsid w:val="00396D39"/>
    <w:rsid w:val="003A4448"/>
    <w:rsid w:val="003A53B3"/>
    <w:rsid w:val="003A635F"/>
    <w:rsid w:val="003A75AA"/>
    <w:rsid w:val="003B08AD"/>
    <w:rsid w:val="003B2CD7"/>
    <w:rsid w:val="003B3700"/>
    <w:rsid w:val="003B63F4"/>
    <w:rsid w:val="003C1FA5"/>
    <w:rsid w:val="003C32FE"/>
    <w:rsid w:val="003C4BD3"/>
    <w:rsid w:val="003C4D34"/>
    <w:rsid w:val="003C6255"/>
    <w:rsid w:val="003C7A40"/>
    <w:rsid w:val="003D040F"/>
    <w:rsid w:val="003D0492"/>
    <w:rsid w:val="003D0682"/>
    <w:rsid w:val="003D14E8"/>
    <w:rsid w:val="003D1FB1"/>
    <w:rsid w:val="003D7008"/>
    <w:rsid w:val="003D7374"/>
    <w:rsid w:val="003E0326"/>
    <w:rsid w:val="003E14B0"/>
    <w:rsid w:val="003E2717"/>
    <w:rsid w:val="003E47C5"/>
    <w:rsid w:val="003F0062"/>
    <w:rsid w:val="003F02C6"/>
    <w:rsid w:val="003F1728"/>
    <w:rsid w:val="003F2231"/>
    <w:rsid w:val="003F356E"/>
    <w:rsid w:val="003F404D"/>
    <w:rsid w:val="003F6AB7"/>
    <w:rsid w:val="00402890"/>
    <w:rsid w:val="00403080"/>
    <w:rsid w:val="00404114"/>
    <w:rsid w:val="00404177"/>
    <w:rsid w:val="00406F9F"/>
    <w:rsid w:val="00411A01"/>
    <w:rsid w:val="00411A88"/>
    <w:rsid w:val="004129E7"/>
    <w:rsid w:val="004134F0"/>
    <w:rsid w:val="0041625C"/>
    <w:rsid w:val="004225A4"/>
    <w:rsid w:val="004227F2"/>
    <w:rsid w:val="00423F24"/>
    <w:rsid w:val="00424745"/>
    <w:rsid w:val="00426371"/>
    <w:rsid w:val="00430E31"/>
    <w:rsid w:val="00431613"/>
    <w:rsid w:val="00431C58"/>
    <w:rsid w:val="00432B29"/>
    <w:rsid w:val="004350F7"/>
    <w:rsid w:val="004405F0"/>
    <w:rsid w:val="004420C1"/>
    <w:rsid w:val="0044304F"/>
    <w:rsid w:val="00444ED6"/>
    <w:rsid w:val="00446FBF"/>
    <w:rsid w:val="00447E74"/>
    <w:rsid w:val="00450192"/>
    <w:rsid w:val="00452672"/>
    <w:rsid w:val="004549E6"/>
    <w:rsid w:val="00455302"/>
    <w:rsid w:val="004555C1"/>
    <w:rsid w:val="004559B8"/>
    <w:rsid w:val="00456C58"/>
    <w:rsid w:val="00460C2E"/>
    <w:rsid w:val="00463A92"/>
    <w:rsid w:val="00464238"/>
    <w:rsid w:val="00464AFB"/>
    <w:rsid w:val="004651E8"/>
    <w:rsid w:val="00470506"/>
    <w:rsid w:val="0047300D"/>
    <w:rsid w:val="0047334C"/>
    <w:rsid w:val="004736DB"/>
    <w:rsid w:val="00474217"/>
    <w:rsid w:val="00474647"/>
    <w:rsid w:val="004807CE"/>
    <w:rsid w:val="004811E7"/>
    <w:rsid w:val="00482621"/>
    <w:rsid w:val="004845E7"/>
    <w:rsid w:val="004845FB"/>
    <w:rsid w:val="00486D9F"/>
    <w:rsid w:val="00487117"/>
    <w:rsid w:val="00487A74"/>
    <w:rsid w:val="00490B81"/>
    <w:rsid w:val="004919FA"/>
    <w:rsid w:val="00492073"/>
    <w:rsid w:val="00492D45"/>
    <w:rsid w:val="00493356"/>
    <w:rsid w:val="00494307"/>
    <w:rsid w:val="004949A2"/>
    <w:rsid w:val="00495396"/>
    <w:rsid w:val="00497CCB"/>
    <w:rsid w:val="004A13B4"/>
    <w:rsid w:val="004A261F"/>
    <w:rsid w:val="004A479A"/>
    <w:rsid w:val="004A5228"/>
    <w:rsid w:val="004A6F7E"/>
    <w:rsid w:val="004A70F5"/>
    <w:rsid w:val="004B07A5"/>
    <w:rsid w:val="004B4B1C"/>
    <w:rsid w:val="004B4F7B"/>
    <w:rsid w:val="004B5698"/>
    <w:rsid w:val="004B6BE3"/>
    <w:rsid w:val="004B7BE4"/>
    <w:rsid w:val="004C02AA"/>
    <w:rsid w:val="004C1936"/>
    <w:rsid w:val="004C232A"/>
    <w:rsid w:val="004C23F1"/>
    <w:rsid w:val="004D2156"/>
    <w:rsid w:val="004D230E"/>
    <w:rsid w:val="004D25AC"/>
    <w:rsid w:val="004D32BF"/>
    <w:rsid w:val="004D3D2B"/>
    <w:rsid w:val="004D5C94"/>
    <w:rsid w:val="004D753C"/>
    <w:rsid w:val="004D7AA9"/>
    <w:rsid w:val="004E01E0"/>
    <w:rsid w:val="004E339A"/>
    <w:rsid w:val="004E6701"/>
    <w:rsid w:val="004E7BB0"/>
    <w:rsid w:val="004E7D3E"/>
    <w:rsid w:val="004F19B9"/>
    <w:rsid w:val="004F6597"/>
    <w:rsid w:val="004F7863"/>
    <w:rsid w:val="004F7A9C"/>
    <w:rsid w:val="004F7AFA"/>
    <w:rsid w:val="005004DF"/>
    <w:rsid w:val="00500F36"/>
    <w:rsid w:val="00503A18"/>
    <w:rsid w:val="0050722B"/>
    <w:rsid w:val="00507254"/>
    <w:rsid w:val="00514A39"/>
    <w:rsid w:val="00515482"/>
    <w:rsid w:val="0051568B"/>
    <w:rsid w:val="00516A78"/>
    <w:rsid w:val="00516D80"/>
    <w:rsid w:val="00516E98"/>
    <w:rsid w:val="00516E9C"/>
    <w:rsid w:val="0052074C"/>
    <w:rsid w:val="00521F0A"/>
    <w:rsid w:val="00522309"/>
    <w:rsid w:val="0052511B"/>
    <w:rsid w:val="00525501"/>
    <w:rsid w:val="00525A44"/>
    <w:rsid w:val="005279F9"/>
    <w:rsid w:val="00531A3D"/>
    <w:rsid w:val="00542BFA"/>
    <w:rsid w:val="00551EB7"/>
    <w:rsid w:val="00551F72"/>
    <w:rsid w:val="00555BDB"/>
    <w:rsid w:val="00556F80"/>
    <w:rsid w:val="00557039"/>
    <w:rsid w:val="00557131"/>
    <w:rsid w:val="005625D3"/>
    <w:rsid w:val="00562AF8"/>
    <w:rsid w:val="00562CD5"/>
    <w:rsid w:val="00564DF9"/>
    <w:rsid w:val="00565355"/>
    <w:rsid w:val="0056552A"/>
    <w:rsid w:val="00567B56"/>
    <w:rsid w:val="00571608"/>
    <w:rsid w:val="005718A3"/>
    <w:rsid w:val="00571F68"/>
    <w:rsid w:val="0058211E"/>
    <w:rsid w:val="00582BD5"/>
    <w:rsid w:val="0058311A"/>
    <w:rsid w:val="0058311F"/>
    <w:rsid w:val="00586BE5"/>
    <w:rsid w:val="00586C4C"/>
    <w:rsid w:val="005872D1"/>
    <w:rsid w:val="00591EBB"/>
    <w:rsid w:val="00592F70"/>
    <w:rsid w:val="005946C9"/>
    <w:rsid w:val="00594B39"/>
    <w:rsid w:val="0059500F"/>
    <w:rsid w:val="005A1E05"/>
    <w:rsid w:val="005A6866"/>
    <w:rsid w:val="005A786E"/>
    <w:rsid w:val="005B37DB"/>
    <w:rsid w:val="005B489D"/>
    <w:rsid w:val="005B4B9E"/>
    <w:rsid w:val="005C1D30"/>
    <w:rsid w:val="005C30B1"/>
    <w:rsid w:val="005C4B6F"/>
    <w:rsid w:val="005C6AB4"/>
    <w:rsid w:val="005D025B"/>
    <w:rsid w:val="005D0EE0"/>
    <w:rsid w:val="005D3838"/>
    <w:rsid w:val="005D76F8"/>
    <w:rsid w:val="005E3C20"/>
    <w:rsid w:val="005E4BBB"/>
    <w:rsid w:val="005E5FE6"/>
    <w:rsid w:val="005E7C7B"/>
    <w:rsid w:val="005F03A4"/>
    <w:rsid w:val="005F2E40"/>
    <w:rsid w:val="005F64A8"/>
    <w:rsid w:val="005F7092"/>
    <w:rsid w:val="00601879"/>
    <w:rsid w:val="00601FFF"/>
    <w:rsid w:val="006024D5"/>
    <w:rsid w:val="006027A5"/>
    <w:rsid w:val="00603D73"/>
    <w:rsid w:val="00604189"/>
    <w:rsid w:val="00605BED"/>
    <w:rsid w:val="00606578"/>
    <w:rsid w:val="00607958"/>
    <w:rsid w:val="00607BCB"/>
    <w:rsid w:val="006117BC"/>
    <w:rsid w:val="0061235D"/>
    <w:rsid w:val="00613000"/>
    <w:rsid w:val="006130EF"/>
    <w:rsid w:val="00614877"/>
    <w:rsid w:val="00616564"/>
    <w:rsid w:val="00621792"/>
    <w:rsid w:val="006227DB"/>
    <w:rsid w:val="00625828"/>
    <w:rsid w:val="006268DA"/>
    <w:rsid w:val="00630E60"/>
    <w:rsid w:val="0063101B"/>
    <w:rsid w:val="006324A8"/>
    <w:rsid w:val="00632658"/>
    <w:rsid w:val="006349EF"/>
    <w:rsid w:val="00635502"/>
    <w:rsid w:val="00635AB7"/>
    <w:rsid w:val="0063645F"/>
    <w:rsid w:val="00644FC9"/>
    <w:rsid w:val="00645AE9"/>
    <w:rsid w:val="00645C74"/>
    <w:rsid w:val="006460B1"/>
    <w:rsid w:val="0065427D"/>
    <w:rsid w:val="006605F5"/>
    <w:rsid w:val="006607F7"/>
    <w:rsid w:val="00660B0E"/>
    <w:rsid w:val="006628E0"/>
    <w:rsid w:val="00662934"/>
    <w:rsid w:val="00662D2F"/>
    <w:rsid w:val="00665A16"/>
    <w:rsid w:val="006664E2"/>
    <w:rsid w:val="00667F12"/>
    <w:rsid w:val="00670175"/>
    <w:rsid w:val="006711C2"/>
    <w:rsid w:val="0067267D"/>
    <w:rsid w:val="00674C23"/>
    <w:rsid w:val="006809F8"/>
    <w:rsid w:val="00681E02"/>
    <w:rsid w:val="0068200A"/>
    <w:rsid w:val="00684628"/>
    <w:rsid w:val="00686794"/>
    <w:rsid w:val="00690353"/>
    <w:rsid w:val="0069226B"/>
    <w:rsid w:val="006A0424"/>
    <w:rsid w:val="006A1966"/>
    <w:rsid w:val="006A268B"/>
    <w:rsid w:val="006A3953"/>
    <w:rsid w:val="006A5EC5"/>
    <w:rsid w:val="006A6592"/>
    <w:rsid w:val="006A7928"/>
    <w:rsid w:val="006B259E"/>
    <w:rsid w:val="006B2F58"/>
    <w:rsid w:val="006B336F"/>
    <w:rsid w:val="006B4CA0"/>
    <w:rsid w:val="006B5F63"/>
    <w:rsid w:val="006B6636"/>
    <w:rsid w:val="006B6FD3"/>
    <w:rsid w:val="006C233B"/>
    <w:rsid w:val="006C33E3"/>
    <w:rsid w:val="006C4386"/>
    <w:rsid w:val="006D03FD"/>
    <w:rsid w:val="006D21A4"/>
    <w:rsid w:val="006D3809"/>
    <w:rsid w:val="006D42EE"/>
    <w:rsid w:val="006D50BA"/>
    <w:rsid w:val="006D6677"/>
    <w:rsid w:val="006E2963"/>
    <w:rsid w:val="006E2DFB"/>
    <w:rsid w:val="006E3EAF"/>
    <w:rsid w:val="006E5094"/>
    <w:rsid w:val="006E6884"/>
    <w:rsid w:val="006F059F"/>
    <w:rsid w:val="006F163F"/>
    <w:rsid w:val="006F634F"/>
    <w:rsid w:val="006F66CB"/>
    <w:rsid w:val="00700651"/>
    <w:rsid w:val="00702E0A"/>
    <w:rsid w:val="00703629"/>
    <w:rsid w:val="00703930"/>
    <w:rsid w:val="007043A4"/>
    <w:rsid w:val="00704497"/>
    <w:rsid w:val="00704C59"/>
    <w:rsid w:val="00710A1A"/>
    <w:rsid w:val="0071169D"/>
    <w:rsid w:val="007116EA"/>
    <w:rsid w:val="00713A48"/>
    <w:rsid w:val="00716223"/>
    <w:rsid w:val="00717641"/>
    <w:rsid w:val="00717E50"/>
    <w:rsid w:val="00722077"/>
    <w:rsid w:val="00723D11"/>
    <w:rsid w:val="00725B69"/>
    <w:rsid w:val="0072730A"/>
    <w:rsid w:val="00733EE7"/>
    <w:rsid w:val="00736A68"/>
    <w:rsid w:val="007401B2"/>
    <w:rsid w:val="0074138A"/>
    <w:rsid w:val="00741506"/>
    <w:rsid w:val="007437A3"/>
    <w:rsid w:val="00744957"/>
    <w:rsid w:val="00745387"/>
    <w:rsid w:val="007460E0"/>
    <w:rsid w:val="00746434"/>
    <w:rsid w:val="007468C2"/>
    <w:rsid w:val="00755F0A"/>
    <w:rsid w:val="00755F60"/>
    <w:rsid w:val="0076096E"/>
    <w:rsid w:val="00762C4E"/>
    <w:rsid w:val="0076598A"/>
    <w:rsid w:val="0076633D"/>
    <w:rsid w:val="00774C6E"/>
    <w:rsid w:val="007762C3"/>
    <w:rsid w:val="00777B60"/>
    <w:rsid w:val="007815B0"/>
    <w:rsid w:val="00782533"/>
    <w:rsid w:val="00785C41"/>
    <w:rsid w:val="007860CC"/>
    <w:rsid w:val="00792C5D"/>
    <w:rsid w:val="007969ED"/>
    <w:rsid w:val="007A18BF"/>
    <w:rsid w:val="007A4262"/>
    <w:rsid w:val="007A65DC"/>
    <w:rsid w:val="007A69DD"/>
    <w:rsid w:val="007B00FC"/>
    <w:rsid w:val="007B1217"/>
    <w:rsid w:val="007B1E4C"/>
    <w:rsid w:val="007B25A8"/>
    <w:rsid w:val="007B2A2C"/>
    <w:rsid w:val="007B3C8B"/>
    <w:rsid w:val="007B6B3B"/>
    <w:rsid w:val="007B7106"/>
    <w:rsid w:val="007C20AB"/>
    <w:rsid w:val="007C24BE"/>
    <w:rsid w:val="007C2A29"/>
    <w:rsid w:val="007C354B"/>
    <w:rsid w:val="007C354F"/>
    <w:rsid w:val="007C5078"/>
    <w:rsid w:val="007C7F8D"/>
    <w:rsid w:val="007D21E8"/>
    <w:rsid w:val="007D408F"/>
    <w:rsid w:val="007D5691"/>
    <w:rsid w:val="007D656E"/>
    <w:rsid w:val="007D741B"/>
    <w:rsid w:val="007E2BD7"/>
    <w:rsid w:val="007E6D61"/>
    <w:rsid w:val="007E7039"/>
    <w:rsid w:val="007F2401"/>
    <w:rsid w:val="007F286B"/>
    <w:rsid w:val="007F426A"/>
    <w:rsid w:val="007F4273"/>
    <w:rsid w:val="007F44E6"/>
    <w:rsid w:val="007F45FB"/>
    <w:rsid w:val="007F485E"/>
    <w:rsid w:val="007F5E6E"/>
    <w:rsid w:val="007F603F"/>
    <w:rsid w:val="0080120A"/>
    <w:rsid w:val="00801765"/>
    <w:rsid w:val="00801CB2"/>
    <w:rsid w:val="00803E09"/>
    <w:rsid w:val="00804DAB"/>
    <w:rsid w:val="008109FF"/>
    <w:rsid w:val="008121C7"/>
    <w:rsid w:val="00813A51"/>
    <w:rsid w:val="00814341"/>
    <w:rsid w:val="00814F36"/>
    <w:rsid w:val="00822840"/>
    <w:rsid w:val="008256B6"/>
    <w:rsid w:val="008265B9"/>
    <w:rsid w:val="00826E46"/>
    <w:rsid w:val="00833870"/>
    <w:rsid w:val="00836745"/>
    <w:rsid w:val="00836CA6"/>
    <w:rsid w:val="00842ABA"/>
    <w:rsid w:val="008438D0"/>
    <w:rsid w:val="00843D16"/>
    <w:rsid w:val="008451B3"/>
    <w:rsid w:val="0084568C"/>
    <w:rsid w:val="00846185"/>
    <w:rsid w:val="0084657E"/>
    <w:rsid w:val="00846B40"/>
    <w:rsid w:val="0085009D"/>
    <w:rsid w:val="008510DC"/>
    <w:rsid w:val="008518DE"/>
    <w:rsid w:val="00851F5E"/>
    <w:rsid w:val="0085358E"/>
    <w:rsid w:val="00856CE1"/>
    <w:rsid w:val="00860071"/>
    <w:rsid w:val="00860B29"/>
    <w:rsid w:val="008617F5"/>
    <w:rsid w:val="00861F90"/>
    <w:rsid w:val="008625BD"/>
    <w:rsid w:val="008626EC"/>
    <w:rsid w:val="00862C83"/>
    <w:rsid w:val="00863D1F"/>
    <w:rsid w:val="008673BF"/>
    <w:rsid w:val="0087060D"/>
    <w:rsid w:val="00870FE0"/>
    <w:rsid w:val="00871520"/>
    <w:rsid w:val="00874848"/>
    <w:rsid w:val="0088278A"/>
    <w:rsid w:val="008827CE"/>
    <w:rsid w:val="00885532"/>
    <w:rsid w:val="00891617"/>
    <w:rsid w:val="00891842"/>
    <w:rsid w:val="00893826"/>
    <w:rsid w:val="008949AB"/>
    <w:rsid w:val="00894E8F"/>
    <w:rsid w:val="008952F4"/>
    <w:rsid w:val="00896995"/>
    <w:rsid w:val="008A01C2"/>
    <w:rsid w:val="008A0249"/>
    <w:rsid w:val="008A0601"/>
    <w:rsid w:val="008A3648"/>
    <w:rsid w:val="008A3971"/>
    <w:rsid w:val="008A4C45"/>
    <w:rsid w:val="008B0EC5"/>
    <w:rsid w:val="008B24F6"/>
    <w:rsid w:val="008B541D"/>
    <w:rsid w:val="008B6732"/>
    <w:rsid w:val="008B6A28"/>
    <w:rsid w:val="008B7079"/>
    <w:rsid w:val="008B7CF9"/>
    <w:rsid w:val="008C0C88"/>
    <w:rsid w:val="008C2049"/>
    <w:rsid w:val="008C38CD"/>
    <w:rsid w:val="008C4FE2"/>
    <w:rsid w:val="008C5A28"/>
    <w:rsid w:val="008C6433"/>
    <w:rsid w:val="008C713F"/>
    <w:rsid w:val="008D0668"/>
    <w:rsid w:val="008D439A"/>
    <w:rsid w:val="008D6266"/>
    <w:rsid w:val="008D772F"/>
    <w:rsid w:val="008D7760"/>
    <w:rsid w:val="008E3C5A"/>
    <w:rsid w:val="008E6656"/>
    <w:rsid w:val="008F07EA"/>
    <w:rsid w:val="008F0894"/>
    <w:rsid w:val="008F09C0"/>
    <w:rsid w:val="008F10CE"/>
    <w:rsid w:val="008F2BFC"/>
    <w:rsid w:val="008F782F"/>
    <w:rsid w:val="0090173F"/>
    <w:rsid w:val="00903AF3"/>
    <w:rsid w:val="009043BC"/>
    <w:rsid w:val="009074FA"/>
    <w:rsid w:val="00907F97"/>
    <w:rsid w:val="00912B78"/>
    <w:rsid w:val="00913047"/>
    <w:rsid w:val="0091797B"/>
    <w:rsid w:val="00921AE1"/>
    <w:rsid w:val="00925654"/>
    <w:rsid w:val="00927188"/>
    <w:rsid w:val="009272E8"/>
    <w:rsid w:val="00927D2D"/>
    <w:rsid w:val="009303CB"/>
    <w:rsid w:val="00930F38"/>
    <w:rsid w:val="00935F72"/>
    <w:rsid w:val="00936DC8"/>
    <w:rsid w:val="009377FA"/>
    <w:rsid w:val="009418B8"/>
    <w:rsid w:val="00941CCE"/>
    <w:rsid w:val="00942AAC"/>
    <w:rsid w:val="00942F39"/>
    <w:rsid w:val="0094397D"/>
    <w:rsid w:val="00944BE8"/>
    <w:rsid w:val="00945015"/>
    <w:rsid w:val="009474DC"/>
    <w:rsid w:val="00947C0C"/>
    <w:rsid w:val="00950A6C"/>
    <w:rsid w:val="00953006"/>
    <w:rsid w:val="0095368C"/>
    <w:rsid w:val="00953FA8"/>
    <w:rsid w:val="0095419B"/>
    <w:rsid w:val="00961D0C"/>
    <w:rsid w:val="00962EED"/>
    <w:rsid w:val="00965311"/>
    <w:rsid w:val="00966273"/>
    <w:rsid w:val="009664B1"/>
    <w:rsid w:val="00966672"/>
    <w:rsid w:val="00972223"/>
    <w:rsid w:val="00972B7A"/>
    <w:rsid w:val="00973F73"/>
    <w:rsid w:val="00975802"/>
    <w:rsid w:val="0098080E"/>
    <w:rsid w:val="009852F7"/>
    <w:rsid w:val="00985CA9"/>
    <w:rsid w:val="009870F6"/>
    <w:rsid w:val="00987723"/>
    <w:rsid w:val="009908E2"/>
    <w:rsid w:val="0099129E"/>
    <w:rsid w:val="00991350"/>
    <w:rsid w:val="00993972"/>
    <w:rsid w:val="00994006"/>
    <w:rsid w:val="009A1A7B"/>
    <w:rsid w:val="009A1F16"/>
    <w:rsid w:val="009A2BAA"/>
    <w:rsid w:val="009A3314"/>
    <w:rsid w:val="009A4B84"/>
    <w:rsid w:val="009A6B33"/>
    <w:rsid w:val="009B06DE"/>
    <w:rsid w:val="009B390D"/>
    <w:rsid w:val="009B4377"/>
    <w:rsid w:val="009B6BA7"/>
    <w:rsid w:val="009B6C2D"/>
    <w:rsid w:val="009B76D6"/>
    <w:rsid w:val="009B76F7"/>
    <w:rsid w:val="009B7D7D"/>
    <w:rsid w:val="009C4656"/>
    <w:rsid w:val="009C4D03"/>
    <w:rsid w:val="009C5B01"/>
    <w:rsid w:val="009C5F11"/>
    <w:rsid w:val="009D2733"/>
    <w:rsid w:val="009D62EC"/>
    <w:rsid w:val="009E034E"/>
    <w:rsid w:val="009E19EC"/>
    <w:rsid w:val="009E1F37"/>
    <w:rsid w:val="009E32AE"/>
    <w:rsid w:val="009E3574"/>
    <w:rsid w:val="009E4010"/>
    <w:rsid w:val="009E40C7"/>
    <w:rsid w:val="009E4C6E"/>
    <w:rsid w:val="009E578A"/>
    <w:rsid w:val="009E6F5F"/>
    <w:rsid w:val="009E73B0"/>
    <w:rsid w:val="009E76D2"/>
    <w:rsid w:val="009F149F"/>
    <w:rsid w:val="009F2938"/>
    <w:rsid w:val="009F781A"/>
    <w:rsid w:val="009F78D4"/>
    <w:rsid w:val="00A007E7"/>
    <w:rsid w:val="00A00FEB"/>
    <w:rsid w:val="00A04C71"/>
    <w:rsid w:val="00A04FD8"/>
    <w:rsid w:val="00A05E01"/>
    <w:rsid w:val="00A07EA7"/>
    <w:rsid w:val="00A10777"/>
    <w:rsid w:val="00A12665"/>
    <w:rsid w:val="00A13C99"/>
    <w:rsid w:val="00A14D60"/>
    <w:rsid w:val="00A1640E"/>
    <w:rsid w:val="00A20A8F"/>
    <w:rsid w:val="00A22B6A"/>
    <w:rsid w:val="00A24337"/>
    <w:rsid w:val="00A2449D"/>
    <w:rsid w:val="00A2455B"/>
    <w:rsid w:val="00A25E00"/>
    <w:rsid w:val="00A25FEB"/>
    <w:rsid w:val="00A27197"/>
    <w:rsid w:val="00A30796"/>
    <w:rsid w:val="00A32F7B"/>
    <w:rsid w:val="00A34B64"/>
    <w:rsid w:val="00A35125"/>
    <w:rsid w:val="00A36E52"/>
    <w:rsid w:val="00A371B4"/>
    <w:rsid w:val="00A41CD2"/>
    <w:rsid w:val="00A430E3"/>
    <w:rsid w:val="00A4513F"/>
    <w:rsid w:val="00A47546"/>
    <w:rsid w:val="00A47CED"/>
    <w:rsid w:val="00A50F90"/>
    <w:rsid w:val="00A519CA"/>
    <w:rsid w:val="00A54C94"/>
    <w:rsid w:val="00A5509C"/>
    <w:rsid w:val="00A55B36"/>
    <w:rsid w:val="00A619C6"/>
    <w:rsid w:val="00A61F8F"/>
    <w:rsid w:val="00A6329D"/>
    <w:rsid w:val="00A632D4"/>
    <w:rsid w:val="00A65B65"/>
    <w:rsid w:val="00A733B7"/>
    <w:rsid w:val="00A742CE"/>
    <w:rsid w:val="00A747B3"/>
    <w:rsid w:val="00A75B37"/>
    <w:rsid w:val="00A776BD"/>
    <w:rsid w:val="00A7792A"/>
    <w:rsid w:val="00A80A07"/>
    <w:rsid w:val="00A81839"/>
    <w:rsid w:val="00A82FAC"/>
    <w:rsid w:val="00A831C2"/>
    <w:rsid w:val="00A84491"/>
    <w:rsid w:val="00A85015"/>
    <w:rsid w:val="00A92BF0"/>
    <w:rsid w:val="00AA083D"/>
    <w:rsid w:val="00AA2934"/>
    <w:rsid w:val="00AA7647"/>
    <w:rsid w:val="00AB0375"/>
    <w:rsid w:val="00AB14E9"/>
    <w:rsid w:val="00AB33CA"/>
    <w:rsid w:val="00AB3DF5"/>
    <w:rsid w:val="00AB4B3B"/>
    <w:rsid w:val="00AB641D"/>
    <w:rsid w:val="00AB6B2B"/>
    <w:rsid w:val="00AB6F5D"/>
    <w:rsid w:val="00AB72F9"/>
    <w:rsid w:val="00AB773F"/>
    <w:rsid w:val="00AC0661"/>
    <w:rsid w:val="00AC0EC6"/>
    <w:rsid w:val="00AC1046"/>
    <w:rsid w:val="00AC19B2"/>
    <w:rsid w:val="00AC5B11"/>
    <w:rsid w:val="00AC5DA6"/>
    <w:rsid w:val="00AC644E"/>
    <w:rsid w:val="00AD0DC8"/>
    <w:rsid w:val="00AD15EA"/>
    <w:rsid w:val="00AD1DDC"/>
    <w:rsid w:val="00AD268F"/>
    <w:rsid w:val="00AD495D"/>
    <w:rsid w:val="00AD4FAA"/>
    <w:rsid w:val="00AD5F38"/>
    <w:rsid w:val="00AD75EB"/>
    <w:rsid w:val="00AE0D94"/>
    <w:rsid w:val="00AE112C"/>
    <w:rsid w:val="00AE198F"/>
    <w:rsid w:val="00AE4FEF"/>
    <w:rsid w:val="00AF0A4E"/>
    <w:rsid w:val="00AF20DA"/>
    <w:rsid w:val="00AF2451"/>
    <w:rsid w:val="00AF4BF3"/>
    <w:rsid w:val="00AF70DB"/>
    <w:rsid w:val="00B01323"/>
    <w:rsid w:val="00B0231F"/>
    <w:rsid w:val="00B0555B"/>
    <w:rsid w:val="00B06B16"/>
    <w:rsid w:val="00B12C71"/>
    <w:rsid w:val="00B16161"/>
    <w:rsid w:val="00B2558B"/>
    <w:rsid w:val="00B25969"/>
    <w:rsid w:val="00B276CC"/>
    <w:rsid w:val="00B311B8"/>
    <w:rsid w:val="00B31CB5"/>
    <w:rsid w:val="00B323A0"/>
    <w:rsid w:val="00B326D8"/>
    <w:rsid w:val="00B33847"/>
    <w:rsid w:val="00B36FCE"/>
    <w:rsid w:val="00B401DB"/>
    <w:rsid w:val="00B42B25"/>
    <w:rsid w:val="00B42F78"/>
    <w:rsid w:val="00B53803"/>
    <w:rsid w:val="00B541F5"/>
    <w:rsid w:val="00B5462D"/>
    <w:rsid w:val="00B56767"/>
    <w:rsid w:val="00B579B4"/>
    <w:rsid w:val="00B6221B"/>
    <w:rsid w:val="00B6434B"/>
    <w:rsid w:val="00B650D4"/>
    <w:rsid w:val="00B65A57"/>
    <w:rsid w:val="00B66320"/>
    <w:rsid w:val="00B67FC7"/>
    <w:rsid w:val="00B711FE"/>
    <w:rsid w:val="00B739D5"/>
    <w:rsid w:val="00B74D71"/>
    <w:rsid w:val="00B77AB0"/>
    <w:rsid w:val="00B811DD"/>
    <w:rsid w:val="00B81385"/>
    <w:rsid w:val="00B81643"/>
    <w:rsid w:val="00B84C97"/>
    <w:rsid w:val="00B85782"/>
    <w:rsid w:val="00B85DB7"/>
    <w:rsid w:val="00B862F6"/>
    <w:rsid w:val="00B8664C"/>
    <w:rsid w:val="00B871EF"/>
    <w:rsid w:val="00B87B94"/>
    <w:rsid w:val="00B91FE3"/>
    <w:rsid w:val="00B9366D"/>
    <w:rsid w:val="00B93C26"/>
    <w:rsid w:val="00B93FE1"/>
    <w:rsid w:val="00B9419D"/>
    <w:rsid w:val="00B94737"/>
    <w:rsid w:val="00B94A1E"/>
    <w:rsid w:val="00B95AD1"/>
    <w:rsid w:val="00B96503"/>
    <w:rsid w:val="00B96CBE"/>
    <w:rsid w:val="00BA06FE"/>
    <w:rsid w:val="00BA1834"/>
    <w:rsid w:val="00BA39BA"/>
    <w:rsid w:val="00BA548B"/>
    <w:rsid w:val="00BA686B"/>
    <w:rsid w:val="00BB0349"/>
    <w:rsid w:val="00BB16E7"/>
    <w:rsid w:val="00BB6E2A"/>
    <w:rsid w:val="00BB73D3"/>
    <w:rsid w:val="00BB7CF9"/>
    <w:rsid w:val="00BC2133"/>
    <w:rsid w:val="00BC797D"/>
    <w:rsid w:val="00BD0796"/>
    <w:rsid w:val="00BD2242"/>
    <w:rsid w:val="00BD36C4"/>
    <w:rsid w:val="00BD4393"/>
    <w:rsid w:val="00BD44CA"/>
    <w:rsid w:val="00BD4D66"/>
    <w:rsid w:val="00BD6F3B"/>
    <w:rsid w:val="00BD6FA8"/>
    <w:rsid w:val="00BE2F3B"/>
    <w:rsid w:val="00BE3AAC"/>
    <w:rsid w:val="00BE4C03"/>
    <w:rsid w:val="00BE5128"/>
    <w:rsid w:val="00BE60CA"/>
    <w:rsid w:val="00BF1865"/>
    <w:rsid w:val="00BF507D"/>
    <w:rsid w:val="00BF6013"/>
    <w:rsid w:val="00BF6CB5"/>
    <w:rsid w:val="00C005C9"/>
    <w:rsid w:val="00C0275B"/>
    <w:rsid w:val="00C0700C"/>
    <w:rsid w:val="00C0703F"/>
    <w:rsid w:val="00C07C36"/>
    <w:rsid w:val="00C10833"/>
    <w:rsid w:val="00C11CB3"/>
    <w:rsid w:val="00C12085"/>
    <w:rsid w:val="00C1672C"/>
    <w:rsid w:val="00C16B67"/>
    <w:rsid w:val="00C16DFC"/>
    <w:rsid w:val="00C1713A"/>
    <w:rsid w:val="00C17382"/>
    <w:rsid w:val="00C2270F"/>
    <w:rsid w:val="00C22861"/>
    <w:rsid w:val="00C2366E"/>
    <w:rsid w:val="00C24794"/>
    <w:rsid w:val="00C2581D"/>
    <w:rsid w:val="00C26AC1"/>
    <w:rsid w:val="00C27360"/>
    <w:rsid w:val="00C27DAE"/>
    <w:rsid w:val="00C27FEC"/>
    <w:rsid w:val="00C30B00"/>
    <w:rsid w:val="00C3419E"/>
    <w:rsid w:val="00C36C6E"/>
    <w:rsid w:val="00C375CB"/>
    <w:rsid w:val="00C42BFD"/>
    <w:rsid w:val="00C44468"/>
    <w:rsid w:val="00C449AC"/>
    <w:rsid w:val="00C44D0B"/>
    <w:rsid w:val="00C4531B"/>
    <w:rsid w:val="00C465A5"/>
    <w:rsid w:val="00C5051E"/>
    <w:rsid w:val="00C543E8"/>
    <w:rsid w:val="00C575EE"/>
    <w:rsid w:val="00C6115A"/>
    <w:rsid w:val="00C62E6A"/>
    <w:rsid w:val="00C6555E"/>
    <w:rsid w:val="00C7071B"/>
    <w:rsid w:val="00C72EDC"/>
    <w:rsid w:val="00C76A3C"/>
    <w:rsid w:val="00C779DB"/>
    <w:rsid w:val="00C82555"/>
    <w:rsid w:val="00C85020"/>
    <w:rsid w:val="00C86496"/>
    <w:rsid w:val="00C865E2"/>
    <w:rsid w:val="00C87808"/>
    <w:rsid w:val="00C928C8"/>
    <w:rsid w:val="00C92BF3"/>
    <w:rsid w:val="00C93184"/>
    <w:rsid w:val="00C94741"/>
    <w:rsid w:val="00C94ABF"/>
    <w:rsid w:val="00C94B51"/>
    <w:rsid w:val="00C958EA"/>
    <w:rsid w:val="00C961A7"/>
    <w:rsid w:val="00C96744"/>
    <w:rsid w:val="00C972A2"/>
    <w:rsid w:val="00C97E37"/>
    <w:rsid w:val="00CA0152"/>
    <w:rsid w:val="00CA1C32"/>
    <w:rsid w:val="00CA22A0"/>
    <w:rsid w:val="00CA2546"/>
    <w:rsid w:val="00CA2CA8"/>
    <w:rsid w:val="00CA3E57"/>
    <w:rsid w:val="00CA429A"/>
    <w:rsid w:val="00CB1734"/>
    <w:rsid w:val="00CB389E"/>
    <w:rsid w:val="00CB6B29"/>
    <w:rsid w:val="00CB6FE4"/>
    <w:rsid w:val="00CC066A"/>
    <w:rsid w:val="00CC2D33"/>
    <w:rsid w:val="00CC2DBF"/>
    <w:rsid w:val="00CC34CE"/>
    <w:rsid w:val="00CC395A"/>
    <w:rsid w:val="00CC4588"/>
    <w:rsid w:val="00CC4706"/>
    <w:rsid w:val="00CC4831"/>
    <w:rsid w:val="00CC5DCC"/>
    <w:rsid w:val="00CC5F74"/>
    <w:rsid w:val="00CC605D"/>
    <w:rsid w:val="00CC70AB"/>
    <w:rsid w:val="00CC7357"/>
    <w:rsid w:val="00CD4DA9"/>
    <w:rsid w:val="00CE1824"/>
    <w:rsid w:val="00CE1A45"/>
    <w:rsid w:val="00CE1C0A"/>
    <w:rsid w:val="00CE21B0"/>
    <w:rsid w:val="00CE30FC"/>
    <w:rsid w:val="00CE3374"/>
    <w:rsid w:val="00CE4F3F"/>
    <w:rsid w:val="00CE5752"/>
    <w:rsid w:val="00CE7449"/>
    <w:rsid w:val="00CF01D3"/>
    <w:rsid w:val="00CF129C"/>
    <w:rsid w:val="00CF4AC4"/>
    <w:rsid w:val="00D0010C"/>
    <w:rsid w:val="00D009E8"/>
    <w:rsid w:val="00D076EE"/>
    <w:rsid w:val="00D11526"/>
    <w:rsid w:val="00D13427"/>
    <w:rsid w:val="00D13AD8"/>
    <w:rsid w:val="00D15557"/>
    <w:rsid w:val="00D16F87"/>
    <w:rsid w:val="00D1791F"/>
    <w:rsid w:val="00D21A5B"/>
    <w:rsid w:val="00D22708"/>
    <w:rsid w:val="00D2709E"/>
    <w:rsid w:val="00D300EF"/>
    <w:rsid w:val="00D30F65"/>
    <w:rsid w:val="00D31601"/>
    <w:rsid w:val="00D31C8A"/>
    <w:rsid w:val="00D34451"/>
    <w:rsid w:val="00D37D5A"/>
    <w:rsid w:val="00D42FE7"/>
    <w:rsid w:val="00D43FB2"/>
    <w:rsid w:val="00D4402B"/>
    <w:rsid w:val="00D444A9"/>
    <w:rsid w:val="00D4626D"/>
    <w:rsid w:val="00D47078"/>
    <w:rsid w:val="00D47E05"/>
    <w:rsid w:val="00D47ED7"/>
    <w:rsid w:val="00D51A87"/>
    <w:rsid w:val="00D53A85"/>
    <w:rsid w:val="00D54F8E"/>
    <w:rsid w:val="00D55037"/>
    <w:rsid w:val="00D55645"/>
    <w:rsid w:val="00D55DDF"/>
    <w:rsid w:val="00D5610D"/>
    <w:rsid w:val="00D57DB4"/>
    <w:rsid w:val="00D6467C"/>
    <w:rsid w:val="00D70DA9"/>
    <w:rsid w:val="00D746B1"/>
    <w:rsid w:val="00D759FF"/>
    <w:rsid w:val="00D77A1D"/>
    <w:rsid w:val="00D77C05"/>
    <w:rsid w:val="00D81508"/>
    <w:rsid w:val="00D8244E"/>
    <w:rsid w:val="00D830C0"/>
    <w:rsid w:val="00D83109"/>
    <w:rsid w:val="00D831FC"/>
    <w:rsid w:val="00D904E4"/>
    <w:rsid w:val="00D93FA3"/>
    <w:rsid w:val="00DA35EB"/>
    <w:rsid w:val="00DA6544"/>
    <w:rsid w:val="00DA76A8"/>
    <w:rsid w:val="00DA7813"/>
    <w:rsid w:val="00DA7CA4"/>
    <w:rsid w:val="00DB007D"/>
    <w:rsid w:val="00DB0711"/>
    <w:rsid w:val="00DB2813"/>
    <w:rsid w:val="00DB32A9"/>
    <w:rsid w:val="00DB39AD"/>
    <w:rsid w:val="00DB46B0"/>
    <w:rsid w:val="00DB61E2"/>
    <w:rsid w:val="00DB75CF"/>
    <w:rsid w:val="00DC24C7"/>
    <w:rsid w:val="00DC2BD1"/>
    <w:rsid w:val="00DC2D33"/>
    <w:rsid w:val="00DC37B0"/>
    <w:rsid w:val="00DC54C3"/>
    <w:rsid w:val="00DC7798"/>
    <w:rsid w:val="00DC7F47"/>
    <w:rsid w:val="00DD2AC2"/>
    <w:rsid w:val="00DD679F"/>
    <w:rsid w:val="00DE00CC"/>
    <w:rsid w:val="00DE0FAA"/>
    <w:rsid w:val="00DE1875"/>
    <w:rsid w:val="00DE19C3"/>
    <w:rsid w:val="00DE285A"/>
    <w:rsid w:val="00DE286C"/>
    <w:rsid w:val="00DE2D2C"/>
    <w:rsid w:val="00DE3870"/>
    <w:rsid w:val="00DE3C77"/>
    <w:rsid w:val="00DE75E1"/>
    <w:rsid w:val="00DE7945"/>
    <w:rsid w:val="00DF0134"/>
    <w:rsid w:val="00DF1A7B"/>
    <w:rsid w:val="00DF1D25"/>
    <w:rsid w:val="00DF32FD"/>
    <w:rsid w:val="00DF3EF0"/>
    <w:rsid w:val="00E0173F"/>
    <w:rsid w:val="00E036A6"/>
    <w:rsid w:val="00E073C7"/>
    <w:rsid w:val="00E07B96"/>
    <w:rsid w:val="00E10314"/>
    <w:rsid w:val="00E129C4"/>
    <w:rsid w:val="00E13C8B"/>
    <w:rsid w:val="00E140AE"/>
    <w:rsid w:val="00E2183A"/>
    <w:rsid w:val="00E225D9"/>
    <w:rsid w:val="00E26991"/>
    <w:rsid w:val="00E27B6A"/>
    <w:rsid w:val="00E30E0B"/>
    <w:rsid w:val="00E319B7"/>
    <w:rsid w:val="00E3287B"/>
    <w:rsid w:val="00E32CBC"/>
    <w:rsid w:val="00E4163B"/>
    <w:rsid w:val="00E41DFF"/>
    <w:rsid w:val="00E43802"/>
    <w:rsid w:val="00E44048"/>
    <w:rsid w:val="00E4406B"/>
    <w:rsid w:val="00E44FDF"/>
    <w:rsid w:val="00E45335"/>
    <w:rsid w:val="00E468B1"/>
    <w:rsid w:val="00E5058F"/>
    <w:rsid w:val="00E51A6D"/>
    <w:rsid w:val="00E51D7E"/>
    <w:rsid w:val="00E521F9"/>
    <w:rsid w:val="00E52646"/>
    <w:rsid w:val="00E55459"/>
    <w:rsid w:val="00E5562A"/>
    <w:rsid w:val="00E56857"/>
    <w:rsid w:val="00E56B5D"/>
    <w:rsid w:val="00E65730"/>
    <w:rsid w:val="00E65C67"/>
    <w:rsid w:val="00E66211"/>
    <w:rsid w:val="00E66E9A"/>
    <w:rsid w:val="00E736C9"/>
    <w:rsid w:val="00E73B86"/>
    <w:rsid w:val="00E743AA"/>
    <w:rsid w:val="00E77BA8"/>
    <w:rsid w:val="00E81DC8"/>
    <w:rsid w:val="00E8447B"/>
    <w:rsid w:val="00E851A6"/>
    <w:rsid w:val="00E9499A"/>
    <w:rsid w:val="00EA0724"/>
    <w:rsid w:val="00EA0C55"/>
    <w:rsid w:val="00EA3BC1"/>
    <w:rsid w:val="00EA4624"/>
    <w:rsid w:val="00EB08AE"/>
    <w:rsid w:val="00EB0A78"/>
    <w:rsid w:val="00EB278C"/>
    <w:rsid w:val="00EB4676"/>
    <w:rsid w:val="00EB4FD7"/>
    <w:rsid w:val="00EB7A93"/>
    <w:rsid w:val="00EC002A"/>
    <w:rsid w:val="00EC1BF8"/>
    <w:rsid w:val="00EC2E2B"/>
    <w:rsid w:val="00EC4E76"/>
    <w:rsid w:val="00ED0A9A"/>
    <w:rsid w:val="00ED5F5A"/>
    <w:rsid w:val="00ED6BC9"/>
    <w:rsid w:val="00EE0FB9"/>
    <w:rsid w:val="00EE108C"/>
    <w:rsid w:val="00EE14CA"/>
    <w:rsid w:val="00EE2191"/>
    <w:rsid w:val="00EE584E"/>
    <w:rsid w:val="00EE7693"/>
    <w:rsid w:val="00EE7891"/>
    <w:rsid w:val="00EE7B5D"/>
    <w:rsid w:val="00EE7CE1"/>
    <w:rsid w:val="00EF0543"/>
    <w:rsid w:val="00EF345B"/>
    <w:rsid w:val="00EF4E16"/>
    <w:rsid w:val="00EF5E7C"/>
    <w:rsid w:val="00EF706F"/>
    <w:rsid w:val="00EF74E3"/>
    <w:rsid w:val="00EF7B12"/>
    <w:rsid w:val="00EF7CCA"/>
    <w:rsid w:val="00F0245F"/>
    <w:rsid w:val="00F053B9"/>
    <w:rsid w:val="00F06535"/>
    <w:rsid w:val="00F0759F"/>
    <w:rsid w:val="00F126C9"/>
    <w:rsid w:val="00F14007"/>
    <w:rsid w:val="00F14F5E"/>
    <w:rsid w:val="00F16C79"/>
    <w:rsid w:val="00F20E3A"/>
    <w:rsid w:val="00F233BE"/>
    <w:rsid w:val="00F23B6F"/>
    <w:rsid w:val="00F251D8"/>
    <w:rsid w:val="00F25F22"/>
    <w:rsid w:val="00F26036"/>
    <w:rsid w:val="00F271C5"/>
    <w:rsid w:val="00F275A5"/>
    <w:rsid w:val="00F302BC"/>
    <w:rsid w:val="00F33783"/>
    <w:rsid w:val="00F33996"/>
    <w:rsid w:val="00F351E7"/>
    <w:rsid w:val="00F35E3F"/>
    <w:rsid w:val="00F36DD2"/>
    <w:rsid w:val="00F37255"/>
    <w:rsid w:val="00F419E6"/>
    <w:rsid w:val="00F41E38"/>
    <w:rsid w:val="00F42425"/>
    <w:rsid w:val="00F42BE5"/>
    <w:rsid w:val="00F44038"/>
    <w:rsid w:val="00F45493"/>
    <w:rsid w:val="00F45685"/>
    <w:rsid w:val="00F46BDC"/>
    <w:rsid w:val="00F47423"/>
    <w:rsid w:val="00F55305"/>
    <w:rsid w:val="00F5562B"/>
    <w:rsid w:val="00F57C78"/>
    <w:rsid w:val="00F62014"/>
    <w:rsid w:val="00F62220"/>
    <w:rsid w:val="00F63E3E"/>
    <w:rsid w:val="00F707C1"/>
    <w:rsid w:val="00F72C0D"/>
    <w:rsid w:val="00F740A5"/>
    <w:rsid w:val="00F76484"/>
    <w:rsid w:val="00F77824"/>
    <w:rsid w:val="00F80CA4"/>
    <w:rsid w:val="00F81113"/>
    <w:rsid w:val="00F81921"/>
    <w:rsid w:val="00F829B7"/>
    <w:rsid w:val="00F84598"/>
    <w:rsid w:val="00F8635A"/>
    <w:rsid w:val="00F86F67"/>
    <w:rsid w:val="00F871D9"/>
    <w:rsid w:val="00F8744D"/>
    <w:rsid w:val="00F87999"/>
    <w:rsid w:val="00F93B9E"/>
    <w:rsid w:val="00F95925"/>
    <w:rsid w:val="00FA7341"/>
    <w:rsid w:val="00FA746D"/>
    <w:rsid w:val="00FA766D"/>
    <w:rsid w:val="00FB03A4"/>
    <w:rsid w:val="00FB11F0"/>
    <w:rsid w:val="00FB1E40"/>
    <w:rsid w:val="00FB4E30"/>
    <w:rsid w:val="00FB6D84"/>
    <w:rsid w:val="00FC0200"/>
    <w:rsid w:val="00FC15F9"/>
    <w:rsid w:val="00FC1F78"/>
    <w:rsid w:val="00FC38B0"/>
    <w:rsid w:val="00FC4A2F"/>
    <w:rsid w:val="00FC674B"/>
    <w:rsid w:val="00FC7005"/>
    <w:rsid w:val="00FD0AB2"/>
    <w:rsid w:val="00FD2086"/>
    <w:rsid w:val="00FD3FC6"/>
    <w:rsid w:val="00FD4E01"/>
    <w:rsid w:val="00FD505E"/>
    <w:rsid w:val="00FD69D3"/>
    <w:rsid w:val="00FD77B5"/>
    <w:rsid w:val="00FE1D27"/>
    <w:rsid w:val="00FE31C2"/>
    <w:rsid w:val="00FE354C"/>
    <w:rsid w:val="00FE4A3D"/>
    <w:rsid w:val="00FF1D7F"/>
    <w:rsid w:val="00FF2A40"/>
    <w:rsid w:val="00FF53DF"/>
    <w:rsid w:val="00FF55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4577"/>
    <o:shapelayout v:ext="edit">
      <o:idmap v:ext="edit" data="1"/>
    </o:shapelayout>
  </w:shapeDefaults>
  <w:decimalSymbol w:val=","/>
  <w:listSeparator w:val=";"/>
  <w14:docId w14:val="1633696C"/>
  <w15:docId w15:val="{68BB0111-C3A0-43A0-834F-2D7366BEF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pPr>
        <w:spacing w:before="150" w:after="75" w:line="270" w:lineRule="atLeast"/>
        <w:jc w:val="both"/>
      </w:pPr>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1B9"/>
    <w:rPr>
      <w:sz w:val="24"/>
      <w:szCs w:val="24"/>
    </w:rPr>
  </w:style>
  <w:style w:type="paragraph" w:styleId="Heading1">
    <w:name w:val="heading 1"/>
    <w:basedOn w:val="Normal"/>
    <w:link w:val="Heading1Char"/>
    <w:uiPriority w:val="9"/>
    <w:qFormat/>
    <w:rsid w:val="00A34B64"/>
    <w:pPr>
      <w:spacing w:before="100" w:beforeAutospacing="1" w:after="100" w:afterAutospacing="1"/>
      <w:jc w:val="center"/>
      <w:outlineLvl w:val="0"/>
    </w:pPr>
    <w:rPr>
      <w:b/>
      <w:bCs/>
      <w:kern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0151B9"/>
    <w:pPr>
      <w:spacing w:before="100" w:beforeAutospacing="1" w:after="100" w:afterAutospacing="1"/>
    </w:pPr>
  </w:style>
  <w:style w:type="paragraph" w:customStyle="1" w:styleId="CharCharRakstzRakstzCharChar">
    <w:name w:val="Char Char Rakstz. Rakstz. Char Char"/>
    <w:basedOn w:val="Normal"/>
    <w:autoRedefine/>
    <w:rsid w:val="000151B9"/>
    <w:pPr>
      <w:spacing w:before="40"/>
    </w:pPr>
    <w:rPr>
      <w:lang w:val="pl-PL" w:eastAsia="pl-PL"/>
    </w:rPr>
  </w:style>
  <w:style w:type="paragraph" w:customStyle="1" w:styleId="naisnod">
    <w:name w:val="naisnod"/>
    <w:basedOn w:val="Normal"/>
    <w:rsid w:val="000151B9"/>
    <w:pPr>
      <w:spacing w:after="150"/>
      <w:jc w:val="center"/>
    </w:pPr>
    <w:rPr>
      <w:b/>
      <w:bCs/>
    </w:rPr>
  </w:style>
  <w:style w:type="paragraph" w:customStyle="1" w:styleId="naiskr">
    <w:name w:val="naiskr"/>
    <w:basedOn w:val="Normal"/>
    <w:rsid w:val="000151B9"/>
    <w:pPr>
      <w:spacing w:before="75"/>
    </w:pPr>
  </w:style>
  <w:style w:type="paragraph" w:styleId="FootnoteText">
    <w:name w:val="footnote text"/>
    <w:aliases w:val="Footnote,Fußnote,-E Fußnotentext,footnote text,Fußnotentext Ursprung,Fußnote Char Char Char,Char,(Diplomarbeit),(Diplomarbeit)1,(Diplomarbeit)2,(Diplomarbeit)3,(Diplomarbeit)4,(Diplomarbeit)5,(Diplomarbeit)6,(Diplomarbeit)7,Cha,Ch,1"/>
    <w:basedOn w:val="Normal"/>
    <w:link w:val="FootnoteTextChar"/>
    <w:uiPriority w:val="99"/>
    <w:semiHidden/>
    <w:qFormat/>
    <w:rsid w:val="000151B9"/>
    <w:rPr>
      <w:sz w:val="20"/>
      <w:szCs w:val="20"/>
    </w:rPr>
  </w:style>
  <w:style w:type="paragraph" w:styleId="BodyText">
    <w:name w:val="Body Text"/>
    <w:basedOn w:val="Normal"/>
    <w:rsid w:val="000151B9"/>
    <w:pPr>
      <w:jc w:val="right"/>
    </w:pPr>
    <w:rPr>
      <w:b/>
      <w:sz w:val="28"/>
      <w:szCs w:val="20"/>
      <w:lang w:eastAsia="en-US"/>
    </w:rPr>
  </w:style>
  <w:style w:type="character" w:styleId="Emphasis">
    <w:name w:val="Emphasis"/>
    <w:uiPriority w:val="20"/>
    <w:qFormat/>
    <w:rsid w:val="000151B9"/>
    <w:rPr>
      <w:i/>
      <w:iCs/>
    </w:rPr>
  </w:style>
  <w:style w:type="paragraph" w:customStyle="1" w:styleId="naisf">
    <w:name w:val="naisf"/>
    <w:basedOn w:val="Normal"/>
    <w:rsid w:val="000151B9"/>
    <w:pPr>
      <w:spacing w:before="75"/>
      <w:ind w:firstLine="375"/>
    </w:pPr>
  </w:style>
  <w:style w:type="table" w:styleId="TableGrid">
    <w:name w:val="Table Grid"/>
    <w:basedOn w:val="TableNormal"/>
    <w:rsid w:val="00015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0151B9"/>
    <w:rPr>
      <w:b/>
      <w:bCs/>
    </w:rPr>
  </w:style>
  <w:style w:type="paragraph" w:styleId="BodyTextIndent">
    <w:name w:val="Body Text Indent"/>
    <w:basedOn w:val="Normal"/>
    <w:rsid w:val="000151B9"/>
    <w:pPr>
      <w:spacing w:after="120"/>
      <w:ind w:left="283"/>
    </w:pPr>
  </w:style>
  <w:style w:type="paragraph" w:styleId="Header">
    <w:name w:val="header"/>
    <w:basedOn w:val="Normal"/>
    <w:rsid w:val="000151B9"/>
    <w:pPr>
      <w:tabs>
        <w:tab w:val="center" w:pos="4153"/>
        <w:tab w:val="right" w:pos="8306"/>
      </w:tabs>
    </w:pPr>
  </w:style>
  <w:style w:type="paragraph" w:styleId="Footer">
    <w:name w:val="footer"/>
    <w:basedOn w:val="Normal"/>
    <w:rsid w:val="000151B9"/>
    <w:pPr>
      <w:tabs>
        <w:tab w:val="center" w:pos="4153"/>
        <w:tab w:val="right" w:pos="8306"/>
      </w:tabs>
    </w:pPr>
  </w:style>
  <w:style w:type="character" w:styleId="PageNumber">
    <w:name w:val="page number"/>
    <w:basedOn w:val="DefaultParagraphFont"/>
    <w:rsid w:val="000151B9"/>
  </w:style>
  <w:style w:type="paragraph" w:styleId="CommentText">
    <w:name w:val="annotation text"/>
    <w:basedOn w:val="Normal"/>
    <w:link w:val="CommentTextChar"/>
    <w:uiPriority w:val="99"/>
    <w:rsid w:val="000151B9"/>
    <w:rPr>
      <w:sz w:val="20"/>
      <w:szCs w:val="20"/>
    </w:rPr>
  </w:style>
  <w:style w:type="character" w:styleId="CommentReference">
    <w:name w:val="annotation reference"/>
    <w:uiPriority w:val="99"/>
    <w:semiHidden/>
    <w:rsid w:val="000151B9"/>
    <w:rPr>
      <w:sz w:val="16"/>
      <w:szCs w:val="16"/>
    </w:rPr>
  </w:style>
  <w:style w:type="paragraph" w:styleId="BalloonText">
    <w:name w:val="Balloon Text"/>
    <w:basedOn w:val="Normal"/>
    <w:semiHidden/>
    <w:rsid w:val="000151B9"/>
    <w:rPr>
      <w:rFonts w:ascii="Tahoma" w:hAnsi="Tahoma" w:cs="Tahoma"/>
      <w:sz w:val="16"/>
      <w:szCs w:val="16"/>
    </w:rPr>
  </w:style>
  <w:style w:type="paragraph" w:styleId="CommentSubject">
    <w:name w:val="annotation subject"/>
    <w:basedOn w:val="CommentText"/>
    <w:next w:val="CommentText"/>
    <w:semiHidden/>
    <w:rsid w:val="000151B9"/>
    <w:rPr>
      <w:b/>
      <w:bCs/>
    </w:rPr>
  </w:style>
  <w:style w:type="paragraph" w:styleId="NormalWeb">
    <w:name w:val="Normal (Web)"/>
    <w:basedOn w:val="Normal"/>
    <w:link w:val="NormalWebChar"/>
    <w:uiPriority w:val="99"/>
    <w:rsid w:val="00456C58"/>
    <w:pPr>
      <w:spacing w:before="100" w:beforeAutospacing="1" w:after="100" w:afterAutospacing="1"/>
    </w:pPr>
  </w:style>
  <w:style w:type="character" w:styleId="Hyperlink">
    <w:name w:val="Hyperlink"/>
    <w:uiPriority w:val="99"/>
    <w:unhideWhenUsed/>
    <w:rsid w:val="00D30F65"/>
    <w:rPr>
      <w:color w:val="0000FF"/>
      <w:u w:val="single"/>
    </w:rPr>
  </w:style>
  <w:style w:type="paragraph" w:customStyle="1" w:styleId="MKH">
    <w:name w:val="MKH"/>
    <w:basedOn w:val="Normal"/>
    <w:rsid w:val="00317465"/>
    <w:pPr>
      <w:ind w:firstLine="720"/>
      <w:jc w:val="center"/>
    </w:pPr>
    <w:rPr>
      <w:b/>
      <w:sz w:val="28"/>
      <w:szCs w:val="28"/>
    </w:rPr>
  </w:style>
  <w:style w:type="character" w:customStyle="1" w:styleId="CommentTextChar">
    <w:name w:val="Comment Text Char"/>
    <w:link w:val="CommentText"/>
    <w:uiPriority w:val="99"/>
    <w:locked/>
    <w:rsid w:val="007D21E8"/>
  </w:style>
  <w:style w:type="character" w:customStyle="1" w:styleId="Heading1Char">
    <w:name w:val="Heading 1 Char"/>
    <w:link w:val="Heading1"/>
    <w:uiPriority w:val="9"/>
    <w:rsid w:val="00A34B64"/>
    <w:rPr>
      <w:b/>
      <w:bCs/>
      <w:kern w:val="36"/>
      <w:sz w:val="24"/>
      <w:szCs w:val="48"/>
    </w:rPr>
  </w:style>
  <w:style w:type="paragraph" w:styleId="NoSpacing">
    <w:name w:val="No Spacing"/>
    <w:uiPriority w:val="1"/>
    <w:qFormat/>
    <w:rsid w:val="00043A8C"/>
    <w:rPr>
      <w:rFonts w:ascii="Calibri" w:eastAsia="Calibri" w:hAnsi="Calibri"/>
      <w:sz w:val="22"/>
      <w:szCs w:val="22"/>
      <w:lang w:eastAsia="en-US"/>
    </w:rPr>
  </w:style>
  <w:style w:type="paragraph" w:customStyle="1" w:styleId="Paraststmeklis1">
    <w:name w:val="Parasts (tīmeklis)1"/>
    <w:basedOn w:val="Normal"/>
    <w:uiPriority w:val="99"/>
    <w:rsid w:val="00F740A5"/>
    <w:pPr>
      <w:spacing w:before="100" w:beforeAutospacing="1" w:after="100" w:afterAutospacing="1"/>
    </w:pPr>
  </w:style>
  <w:style w:type="paragraph" w:styleId="ListParagraph">
    <w:name w:val="List Paragraph"/>
    <w:aliases w:val="2,Strip,H&amp;P List Paragraph,Numbered Para 1,Dot pt,No Spacing1,List Paragraph Char Char Char,Indicator Text,List Paragraph1,Bullet Points,MAIN CONTENT,IFCL - List Paragraph,List Paragraph12,OBC Bullet,F5 List Paragraph,Bullet Styl,Bullet 1"/>
    <w:basedOn w:val="Normal"/>
    <w:link w:val="ListParagraphChar"/>
    <w:uiPriority w:val="34"/>
    <w:qFormat/>
    <w:rsid w:val="000D68A9"/>
    <w:pPr>
      <w:ind w:left="720"/>
      <w:contextualSpacing/>
    </w:pPr>
  </w:style>
  <w:style w:type="character" w:customStyle="1" w:styleId="NormalWebChar">
    <w:name w:val="Normal (Web) Char"/>
    <w:basedOn w:val="DefaultParagraphFont"/>
    <w:link w:val="NormalWeb"/>
    <w:uiPriority w:val="99"/>
    <w:locked/>
    <w:rsid w:val="000C2B6A"/>
    <w:rPr>
      <w:sz w:val="24"/>
      <w:szCs w:val="24"/>
    </w:rPr>
  </w:style>
  <w:style w:type="character" w:customStyle="1" w:styleId="apple-converted-space">
    <w:name w:val="apple-converted-space"/>
    <w:basedOn w:val="DefaultParagraphFont"/>
    <w:rsid w:val="0026058E"/>
  </w:style>
  <w:style w:type="paragraph" w:customStyle="1" w:styleId="labojumupamats">
    <w:name w:val="labojumu_pamats"/>
    <w:basedOn w:val="Normal"/>
    <w:rsid w:val="0026058E"/>
    <w:pPr>
      <w:spacing w:before="100" w:beforeAutospacing="1" w:after="100" w:afterAutospacing="1"/>
    </w:pPr>
  </w:style>
  <w:style w:type="character" w:customStyle="1" w:styleId="labojumupamats1">
    <w:name w:val="labojumu_pamats1"/>
    <w:basedOn w:val="DefaultParagraphFont"/>
    <w:rsid w:val="0026058E"/>
  </w:style>
  <w:style w:type="paragraph" w:customStyle="1" w:styleId="tv213">
    <w:name w:val="tv213"/>
    <w:basedOn w:val="Normal"/>
    <w:rsid w:val="0026058E"/>
    <w:pPr>
      <w:spacing w:before="100" w:beforeAutospacing="1" w:after="100" w:afterAutospacing="1"/>
    </w:pPr>
  </w:style>
  <w:style w:type="paragraph" w:customStyle="1" w:styleId="Nodaa">
    <w:name w:val="Nodaļa"/>
    <w:basedOn w:val="Normal"/>
    <w:rsid w:val="00234F66"/>
    <w:pPr>
      <w:keepNext/>
      <w:spacing w:before="0" w:after="0" w:line="240" w:lineRule="auto"/>
      <w:jc w:val="center"/>
    </w:pPr>
    <w:rPr>
      <w:b/>
      <w:sz w:val="28"/>
      <w:szCs w:val="28"/>
    </w:rPr>
  </w:style>
  <w:style w:type="paragraph" w:customStyle="1" w:styleId="tv2131">
    <w:name w:val="tv2131"/>
    <w:basedOn w:val="Normal"/>
    <w:rsid w:val="00234F66"/>
    <w:pPr>
      <w:spacing w:before="0" w:after="0" w:line="360" w:lineRule="auto"/>
      <w:ind w:firstLine="300"/>
      <w:jc w:val="left"/>
    </w:pPr>
    <w:rPr>
      <w:color w:val="414142"/>
      <w:sz w:val="20"/>
      <w:szCs w:val="20"/>
    </w:rPr>
  </w:style>
  <w:style w:type="character" w:customStyle="1" w:styleId="ListParagraphChar">
    <w:name w:val="List Paragraph Char"/>
    <w:aliases w:val="2 Char,Strip Char,H&amp;P List Paragraph Char,Numbered Para 1 Char,Dot pt Char,No Spacing1 Char,List Paragraph Char Char Char Char,Indicator Text Char,List Paragraph1 Char,Bullet Points Char,MAIN CONTENT Char,IFCL - List Paragraph Char"/>
    <w:link w:val="ListParagraph"/>
    <w:uiPriority w:val="34"/>
    <w:qFormat/>
    <w:rsid w:val="00813A51"/>
    <w:rPr>
      <w:sz w:val="24"/>
      <w:szCs w:val="24"/>
    </w:rPr>
  </w:style>
  <w:style w:type="character" w:styleId="PlaceholderText">
    <w:name w:val="Placeholder Text"/>
    <w:basedOn w:val="DefaultParagraphFont"/>
    <w:uiPriority w:val="99"/>
    <w:semiHidden/>
    <w:rsid w:val="00C30B00"/>
    <w:rPr>
      <w:color w:val="808080"/>
    </w:rPr>
  </w:style>
  <w:style w:type="paragraph" w:styleId="Title">
    <w:name w:val="Title"/>
    <w:basedOn w:val="naisc"/>
    <w:next w:val="Normal"/>
    <w:link w:val="TitleChar"/>
    <w:qFormat/>
    <w:rsid w:val="00947C0C"/>
    <w:pPr>
      <w:spacing w:before="0" w:beforeAutospacing="0" w:after="0" w:afterAutospacing="0"/>
      <w:jc w:val="center"/>
    </w:pPr>
    <w:rPr>
      <w:b/>
      <w:bCs/>
    </w:rPr>
  </w:style>
  <w:style w:type="character" w:customStyle="1" w:styleId="TitleChar">
    <w:name w:val="Title Char"/>
    <w:basedOn w:val="DefaultParagraphFont"/>
    <w:link w:val="Title"/>
    <w:rsid w:val="00947C0C"/>
    <w:rPr>
      <w:b/>
      <w:bCs/>
      <w:sz w:val="24"/>
      <w:szCs w:val="24"/>
    </w:rPr>
  </w:style>
  <w:style w:type="paragraph" w:styleId="Revision">
    <w:name w:val="Revision"/>
    <w:hidden/>
    <w:uiPriority w:val="99"/>
    <w:semiHidden/>
    <w:rsid w:val="001E6F31"/>
    <w:pPr>
      <w:spacing w:before="0" w:after="0" w:line="240" w:lineRule="auto"/>
      <w:jc w:val="left"/>
    </w:pPr>
    <w:rPr>
      <w:sz w:val="24"/>
      <w:szCs w:val="24"/>
    </w:rPr>
  </w:style>
  <w:style w:type="paragraph" w:customStyle="1" w:styleId="Default">
    <w:name w:val="Default"/>
    <w:rsid w:val="00AB641D"/>
    <w:pPr>
      <w:autoSpaceDE w:val="0"/>
      <w:autoSpaceDN w:val="0"/>
      <w:adjustRightInd w:val="0"/>
      <w:spacing w:before="0" w:after="0" w:line="240" w:lineRule="auto"/>
      <w:jc w:val="left"/>
    </w:pPr>
    <w:rPr>
      <w:rFonts w:eastAsiaTheme="minorHAnsi"/>
      <w:color w:val="000000"/>
      <w:sz w:val="24"/>
      <w:szCs w:val="24"/>
      <w:lang w:eastAsia="en-US"/>
    </w:rPr>
  </w:style>
  <w:style w:type="character" w:customStyle="1" w:styleId="FootnoteTextChar">
    <w:name w:val="Footnote Text Char"/>
    <w:aliases w:val="Footnote Char,Fußnote Char,-E Fußnotentext Char,footnote text Char,Fußnotentext Ursprung Char,Fußnote Char Char Char Char,Char Char,(Diplomarbeit) Char,(Diplomarbeit)1 Char,(Diplomarbeit)2 Char,(Diplomarbeit)3 Char,Cha Char,Ch Char"/>
    <w:basedOn w:val="DefaultParagraphFont"/>
    <w:link w:val="FootnoteText"/>
    <w:uiPriority w:val="99"/>
    <w:semiHidden/>
    <w:locked/>
    <w:rsid w:val="00660B0E"/>
  </w:style>
  <w:style w:type="character" w:styleId="FootnoteReference">
    <w:name w:val="footnote reference"/>
    <w:aliases w:val="Footnote Reference Number,Footnote Reference Superscript,BVI fnr,Footnote symbol,Footnote call,SUPERS,(Footnote Reference),Voetnootverwijzing,Times 10 Point,Exposant 3 Point,Footnote reference number,note TESI,EN Footnote Reference"/>
    <w:basedOn w:val="DefaultParagraphFont"/>
    <w:link w:val="FootnoteRefernece"/>
    <w:uiPriority w:val="99"/>
    <w:unhideWhenUsed/>
    <w:qFormat/>
    <w:rsid w:val="00660B0E"/>
    <w:rPr>
      <w:vertAlign w:val="superscript"/>
    </w:rPr>
  </w:style>
  <w:style w:type="paragraph" w:customStyle="1" w:styleId="FootnoteRefernece">
    <w:name w:val="Footnote Refernece"/>
    <w:aliases w:val="ftref,Odwołanie przypisu,Footnotes refss,Ref,de nota al pie,E,E FNZ"/>
    <w:basedOn w:val="Normal"/>
    <w:next w:val="Normal"/>
    <w:link w:val="FootnoteReference"/>
    <w:uiPriority w:val="99"/>
    <w:rsid w:val="00660B0E"/>
    <w:pPr>
      <w:spacing w:before="0" w:after="160" w:line="240" w:lineRule="exact"/>
    </w:pPr>
    <w:rPr>
      <w:sz w:val="20"/>
      <w:szCs w:val="20"/>
      <w:vertAlign w:val="superscript"/>
    </w:rPr>
  </w:style>
  <w:style w:type="character" w:customStyle="1" w:styleId="st">
    <w:name w:val="st"/>
    <w:basedOn w:val="DefaultParagraphFont"/>
    <w:rsid w:val="00220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795595">
      <w:bodyDiv w:val="1"/>
      <w:marLeft w:val="0"/>
      <w:marRight w:val="0"/>
      <w:marTop w:val="0"/>
      <w:marBottom w:val="0"/>
      <w:divBdr>
        <w:top w:val="none" w:sz="0" w:space="0" w:color="auto"/>
        <w:left w:val="none" w:sz="0" w:space="0" w:color="auto"/>
        <w:bottom w:val="none" w:sz="0" w:space="0" w:color="auto"/>
        <w:right w:val="none" w:sz="0" w:space="0" w:color="auto"/>
      </w:divBdr>
    </w:div>
    <w:div w:id="343671126">
      <w:bodyDiv w:val="1"/>
      <w:marLeft w:val="0"/>
      <w:marRight w:val="0"/>
      <w:marTop w:val="0"/>
      <w:marBottom w:val="0"/>
      <w:divBdr>
        <w:top w:val="none" w:sz="0" w:space="0" w:color="auto"/>
        <w:left w:val="none" w:sz="0" w:space="0" w:color="auto"/>
        <w:bottom w:val="none" w:sz="0" w:space="0" w:color="auto"/>
        <w:right w:val="none" w:sz="0" w:space="0" w:color="auto"/>
      </w:divBdr>
    </w:div>
    <w:div w:id="425270414">
      <w:bodyDiv w:val="1"/>
      <w:marLeft w:val="0"/>
      <w:marRight w:val="0"/>
      <w:marTop w:val="0"/>
      <w:marBottom w:val="0"/>
      <w:divBdr>
        <w:top w:val="none" w:sz="0" w:space="0" w:color="auto"/>
        <w:left w:val="none" w:sz="0" w:space="0" w:color="auto"/>
        <w:bottom w:val="none" w:sz="0" w:space="0" w:color="auto"/>
        <w:right w:val="none" w:sz="0" w:space="0" w:color="auto"/>
      </w:divBdr>
    </w:div>
    <w:div w:id="729764565">
      <w:bodyDiv w:val="1"/>
      <w:marLeft w:val="0"/>
      <w:marRight w:val="0"/>
      <w:marTop w:val="0"/>
      <w:marBottom w:val="0"/>
      <w:divBdr>
        <w:top w:val="none" w:sz="0" w:space="0" w:color="auto"/>
        <w:left w:val="none" w:sz="0" w:space="0" w:color="auto"/>
        <w:bottom w:val="none" w:sz="0" w:space="0" w:color="auto"/>
        <w:right w:val="none" w:sz="0" w:space="0" w:color="auto"/>
      </w:divBdr>
    </w:div>
    <w:div w:id="757335085">
      <w:bodyDiv w:val="1"/>
      <w:marLeft w:val="0"/>
      <w:marRight w:val="0"/>
      <w:marTop w:val="0"/>
      <w:marBottom w:val="0"/>
      <w:divBdr>
        <w:top w:val="none" w:sz="0" w:space="0" w:color="auto"/>
        <w:left w:val="none" w:sz="0" w:space="0" w:color="auto"/>
        <w:bottom w:val="none" w:sz="0" w:space="0" w:color="auto"/>
        <w:right w:val="none" w:sz="0" w:space="0" w:color="auto"/>
      </w:divBdr>
      <w:divsChild>
        <w:div w:id="373776341">
          <w:marLeft w:val="0"/>
          <w:marRight w:val="0"/>
          <w:marTop w:val="0"/>
          <w:marBottom w:val="0"/>
          <w:divBdr>
            <w:top w:val="none" w:sz="0" w:space="0" w:color="auto"/>
            <w:left w:val="none" w:sz="0" w:space="0" w:color="auto"/>
            <w:bottom w:val="none" w:sz="0" w:space="0" w:color="auto"/>
            <w:right w:val="none" w:sz="0" w:space="0" w:color="auto"/>
          </w:divBdr>
        </w:div>
        <w:div w:id="617109585">
          <w:marLeft w:val="0"/>
          <w:marRight w:val="0"/>
          <w:marTop w:val="0"/>
          <w:marBottom w:val="0"/>
          <w:divBdr>
            <w:top w:val="none" w:sz="0" w:space="0" w:color="auto"/>
            <w:left w:val="none" w:sz="0" w:space="0" w:color="auto"/>
            <w:bottom w:val="none" w:sz="0" w:space="0" w:color="auto"/>
            <w:right w:val="none" w:sz="0" w:space="0" w:color="auto"/>
          </w:divBdr>
        </w:div>
      </w:divsChild>
    </w:div>
    <w:div w:id="798571741">
      <w:bodyDiv w:val="1"/>
      <w:marLeft w:val="0"/>
      <w:marRight w:val="0"/>
      <w:marTop w:val="0"/>
      <w:marBottom w:val="0"/>
      <w:divBdr>
        <w:top w:val="none" w:sz="0" w:space="0" w:color="auto"/>
        <w:left w:val="none" w:sz="0" w:space="0" w:color="auto"/>
        <w:bottom w:val="none" w:sz="0" w:space="0" w:color="auto"/>
        <w:right w:val="none" w:sz="0" w:space="0" w:color="auto"/>
      </w:divBdr>
    </w:div>
    <w:div w:id="810751307">
      <w:bodyDiv w:val="1"/>
      <w:marLeft w:val="0"/>
      <w:marRight w:val="0"/>
      <w:marTop w:val="0"/>
      <w:marBottom w:val="0"/>
      <w:divBdr>
        <w:top w:val="none" w:sz="0" w:space="0" w:color="auto"/>
        <w:left w:val="none" w:sz="0" w:space="0" w:color="auto"/>
        <w:bottom w:val="none" w:sz="0" w:space="0" w:color="auto"/>
        <w:right w:val="none" w:sz="0" w:space="0" w:color="auto"/>
      </w:divBdr>
    </w:div>
    <w:div w:id="870999416">
      <w:bodyDiv w:val="1"/>
      <w:marLeft w:val="0"/>
      <w:marRight w:val="0"/>
      <w:marTop w:val="0"/>
      <w:marBottom w:val="0"/>
      <w:divBdr>
        <w:top w:val="none" w:sz="0" w:space="0" w:color="auto"/>
        <w:left w:val="none" w:sz="0" w:space="0" w:color="auto"/>
        <w:bottom w:val="none" w:sz="0" w:space="0" w:color="auto"/>
        <w:right w:val="none" w:sz="0" w:space="0" w:color="auto"/>
      </w:divBdr>
    </w:div>
    <w:div w:id="888414171">
      <w:bodyDiv w:val="1"/>
      <w:marLeft w:val="0"/>
      <w:marRight w:val="0"/>
      <w:marTop w:val="0"/>
      <w:marBottom w:val="0"/>
      <w:divBdr>
        <w:top w:val="none" w:sz="0" w:space="0" w:color="auto"/>
        <w:left w:val="none" w:sz="0" w:space="0" w:color="auto"/>
        <w:bottom w:val="none" w:sz="0" w:space="0" w:color="auto"/>
        <w:right w:val="none" w:sz="0" w:space="0" w:color="auto"/>
      </w:divBdr>
    </w:div>
    <w:div w:id="911352865">
      <w:bodyDiv w:val="1"/>
      <w:marLeft w:val="0"/>
      <w:marRight w:val="0"/>
      <w:marTop w:val="0"/>
      <w:marBottom w:val="0"/>
      <w:divBdr>
        <w:top w:val="none" w:sz="0" w:space="0" w:color="auto"/>
        <w:left w:val="none" w:sz="0" w:space="0" w:color="auto"/>
        <w:bottom w:val="none" w:sz="0" w:space="0" w:color="auto"/>
        <w:right w:val="none" w:sz="0" w:space="0" w:color="auto"/>
      </w:divBdr>
    </w:div>
    <w:div w:id="935594297">
      <w:bodyDiv w:val="1"/>
      <w:marLeft w:val="0"/>
      <w:marRight w:val="0"/>
      <w:marTop w:val="0"/>
      <w:marBottom w:val="0"/>
      <w:divBdr>
        <w:top w:val="none" w:sz="0" w:space="0" w:color="auto"/>
        <w:left w:val="none" w:sz="0" w:space="0" w:color="auto"/>
        <w:bottom w:val="none" w:sz="0" w:space="0" w:color="auto"/>
        <w:right w:val="none" w:sz="0" w:space="0" w:color="auto"/>
      </w:divBdr>
    </w:div>
    <w:div w:id="996542778">
      <w:bodyDiv w:val="1"/>
      <w:marLeft w:val="0"/>
      <w:marRight w:val="0"/>
      <w:marTop w:val="0"/>
      <w:marBottom w:val="0"/>
      <w:divBdr>
        <w:top w:val="none" w:sz="0" w:space="0" w:color="auto"/>
        <w:left w:val="none" w:sz="0" w:space="0" w:color="auto"/>
        <w:bottom w:val="none" w:sz="0" w:space="0" w:color="auto"/>
        <w:right w:val="none" w:sz="0" w:space="0" w:color="auto"/>
      </w:divBdr>
    </w:div>
    <w:div w:id="1048649152">
      <w:bodyDiv w:val="1"/>
      <w:marLeft w:val="0"/>
      <w:marRight w:val="0"/>
      <w:marTop w:val="0"/>
      <w:marBottom w:val="0"/>
      <w:divBdr>
        <w:top w:val="none" w:sz="0" w:space="0" w:color="auto"/>
        <w:left w:val="none" w:sz="0" w:space="0" w:color="auto"/>
        <w:bottom w:val="none" w:sz="0" w:space="0" w:color="auto"/>
        <w:right w:val="none" w:sz="0" w:space="0" w:color="auto"/>
      </w:divBdr>
    </w:div>
    <w:div w:id="1106848289">
      <w:bodyDiv w:val="1"/>
      <w:marLeft w:val="0"/>
      <w:marRight w:val="0"/>
      <w:marTop w:val="0"/>
      <w:marBottom w:val="0"/>
      <w:divBdr>
        <w:top w:val="none" w:sz="0" w:space="0" w:color="auto"/>
        <w:left w:val="none" w:sz="0" w:space="0" w:color="auto"/>
        <w:bottom w:val="none" w:sz="0" w:space="0" w:color="auto"/>
        <w:right w:val="none" w:sz="0" w:space="0" w:color="auto"/>
      </w:divBdr>
    </w:div>
    <w:div w:id="1147625223">
      <w:bodyDiv w:val="1"/>
      <w:marLeft w:val="0"/>
      <w:marRight w:val="0"/>
      <w:marTop w:val="0"/>
      <w:marBottom w:val="0"/>
      <w:divBdr>
        <w:top w:val="none" w:sz="0" w:space="0" w:color="auto"/>
        <w:left w:val="none" w:sz="0" w:space="0" w:color="auto"/>
        <w:bottom w:val="none" w:sz="0" w:space="0" w:color="auto"/>
        <w:right w:val="none" w:sz="0" w:space="0" w:color="auto"/>
      </w:divBdr>
    </w:div>
    <w:div w:id="1176075658">
      <w:bodyDiv w:val="1"/>
      <w:marLeft w:val="0"/>
      <w:marRight w:val="0"/>
      <w:marTop w:val="0"/>
      <w:marBottom w:val="0"/>
      <w:divBdr>
        <w:top w:val="none" w:sz="0" w:space="0" w:color="auto"/>
        <w:left w:val="none" w:sz="0" w:space="0" w:color="auto"/>
        <w:bottom w:val="none" w:sz="0" w:space="0" w:color="auto"/>
        <w:right w:val="none" w:sz="0" w:space="0" w:color="auto"/>
      </w:divBdr>
    </w:div>
    <w:div w:id="1362170379">
      <w:bodyDiv w:val="1"/>
      <w:marLeft w:val="0"/>
      <w:marRight w:val="0"/>
      <w:marTop w:val="0"/>
      <w:marBottom w:val="0"/>
      <w:divBdr>
        <w:top w:val="none" w:sz="0" w:space="0" w:color="auto"/>
        <w:left w:val="none" w:sz="0" w:space="0" w:color="auto"/>
        <w:bottom w:val="none" w:sz="0" w:space="0" w:color="auto"/>
        <w:right w:val="none" w:sz="0" w:space="0" w:color="auto"/>
      </w:divBdr>
      <w:divsChild>
        <w:div w:id="1645813858">
          <w:marLeft w:val="0"/>
          <w:marRight w:val="0"/>
          <w:marTop w:val="0"/>
          <w:marBottom w:val="0"/>
          <w:divBdr>
            <w:top w:val="none" w:sz="0" w:space="0" w:color="auto"/>
            <w:left w:val="none" w:sz="0" w:space="0" w:color="auto"/>
            <w:bottom w:val="none" w:sz="0" w:space="0" w:color="auto"/>
            <w:right w:val="none" w:sz="0" w:space="0" w:color="auto"/>
          </w:divBdr>
          <w:divsChild>
            <w:div w:id="1940330623">
              <w:marLeft w:val="0"/>
              <w:marRight w:val="0"/>
              <w:marTop w:val="0"/>
              <w:marBottom w:val="0"/>
              <w:divBdr>
                <w:top w:val="none" w:sz="0" w:space="0" w:color="auto"/>
                <w:left w:val="none" w:sz="0" w:space="0" w:color="auto"/>
                <w:bottom w:val="none" w:sz="0" w:space="0" w:color="auto"/>
                <w:right w:val="none" w:sz="0" w:space="0" w:color="auto"/>
              </w:divBdr>
              <w:divsChild>
                <w:div w:id="14891358">
                  <w:marLeft w:val="0"/>
                  <w:marRight w:val="0"/>
                  <w:marTop w:val="0"/>
                  <w:marBottom w:val="0"/>
                  <w:divBdr>
                    <w:top w:val="none" w:sz="0" w:space="0" w:color="auto"/>
                    <w:left w:val="none" w:sz="0" w:space="0" w:color="auto"/>
                    <w:bottom w:val="none" w:sz="0" w:space="0" w:color="auto"/>
                    <w:right w:val="none" w:sz="0" w:space="0" w:color="auto"/>
                  </w:divBdr>
                  <w:divsChild>
                    <w:div w:id="1855072923">
                      <w:marLeft w:val="0"/>
                      <w:marRight w:val="0"/>
                      <w:marTop w:val="0"/>
                      <w:marBottom w:val="0"/>
                      <w:divBdr>
                        <w:top w:val="none" w:sz="0" w:space="0" w:color="auto"/>
                        <w:left w:val="none" w:sz="0" w:space="0" w:color="auto"/>
                        <w:bottom w:val="none" w:sz="0" w:space="0" w:color="auto"/>
                        <w:right w:val="none" w:sz="0" w:space="0" w:color="auto"/>
                      </w:divBdr>
                      <w:divsChild>
                        <w:div w:id="1274555289">
                          <w:marLeft w:val="0"/>
                          <w:marRight w:val="0"/>
                          <w:marTop w:val="0"/>
                          <w:marBottom w:val="0"/>
                          <w:divBdr>
                            <w:top w:val="none" w:sz="0" w:space="0" w:color="auto"/>
                            <w:left w:val="none" w:sz="0" w:space="0" w:color="auto"/>
                            <w:bottom w:val="none" w:sz="0" w:space="0" w:color="auto"/>
                            <w:right w:val="none" w:sz="0" w:space="0" w:color="auto"/>
                          </w:divBdr>
                          <w:divsChild>
                            <w:div w:id="365906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985508">
      <w:bodyDiv w:val="1"/>
      <w:marLeft w:val="0"/>
      <w:marRight w:val="0"/>
      <w:marTop w:val="0"/>
      <w:marBottom w:val="0"/>
      <w:divBdr>
        <w:top w:val="none" w:sz="0" w:space="0" w:color="auto"/>
        <w:left w:val="none" w:sz="0" w:space="0" w:color="auto"/>
        <w:bottom w:val="none" w:sz="0" w:space="0" w:color="auto"/>
        <w:right w:val="none" w:sz="0" w:space="0" w:color="auto"/>
      </w:divBdr>
    </w:div>
    <w:div w:id="1530878299">
      <w:bodyDiv w:val="1"/>
      <w:marLeft w:val="0"/>
      <w:marRight w:val="0"/>
      <w:marTop w:val="0"/>
      <w:marBottom w:val="0"/>
      <w:divBdr>
        <w:top w:val="none" w:sz="0" w:space="0" w:color="auto"/>
        <w:left w:val="none" w:sz="0" w:space="0" w:color="auto"/>
        <w:bottom w:val="none" w:sz="0" w:space="0" w:color="auto"/>
        <w:right w:val="none" w:sz="0" w:space="0" w:color="auto"/>
      </w:divBdr>
      <w:divsChild>
        <w:div w:id="1076050040">
          <w:marLeft w:val="0"/>
          <w:marRight w:val="0"/>
          <w:marTop w:val="0"/>
          <w:marBottom w:val="0"/>
          <w:divBdr>
            <w:top w:val="none" w:sz="0" w:space="0" w:color="auto"/>
            <w:left w:val="none" w:sz="0" w:space="0" w:color="auto"/>
            <w:bottom w:val="none" w:sz="0" w:space="0" w:color="auto"/>
            <w:right w:val="none" w:sz="0" w:space="0" w:color="auto"/>
          </w:divBdr>
          <w:divsChild>
            <w:div w:id="503513523">
              <w:marLeft w:val="0"/>
              <w:marRight w:val="0"/>
              <w:marTop w:val="0"/>
              <w:marBottom w:val="0"/>
              <w:divBdr>
                <w:top w:val="none" w:sz="0" w:space="0" w:color="auto"/>
                <w:left w:val="none" w:sz="0" w:space="0" w:color="auto"/>
                <w:bottom w:val="none" w:sz="0" w:space="0" w:color="auto"/>
                <w:right w:val="none" w:sz="0" w:space="0" w:color="auto"/>
              </w:divBdr>
              <w:divsChild>
                <w:div w:id="1831015770">
                  <w:marLeft w:val="0"/>
                  <w:marRight w:val="0"/>
                  <w:marTop w:val="0"/>
                  <w:marBottom w:val="0"/>
                  <w:divBdr>
                    <w:top w:val="none" w:sz="0" w:space="0" w:color="auto"/>
                    <w:left w:val="none" w:sz="0" w:space="0" w:color="auto"/>
                    <w:bottom w:val="none" w:sz="0" w:space="0" w:color="auto"/>
                    <w:right w:val="none" w:sz="0" w:space="0" w:color="auto"/>
                  </w:divBdr>
                  <w:divsChild>
                    <w:div w:id="1005474975">
                      <w:marLeft w:val="0"/>
                      <w:marRight w:val="0"/>
                      <w:marTop w:val="0"/>
                      <w:marBottom w:val="0"/>
                      <w:divBdr>
                        <w:top w:val="none" w:sz="0" w:space="0" w:color="auto"/>
                        <w:left w:val="none" w:sz="0" w:space="0" w:color="auto"/>
                        <w:bottom w:val="none" w:sz="0" w:space="0" w:color="auto"/>
                        <w:right w:val="none" w:sz="0" w:space="0" w:color="auto"/>
                      </w:divBdr>
                      <w:divsChild>
                        <w:div w:id="672486886">
                          <w:marLeft w:val="0"/>
                          <w:marRight w:val="0"/>
                          <w:marTop w:val="0"/>
                          <w:marBottom w:val="0"/>
                          <w:divBdr>
                            <w:top w:val="none" w:sz="0" w:space="0" w:color="auto"/>
                            <w:left w:val="none" w:sz="0" w:space="0" w:color="auto"/>
                            <w:bottom w:val="none" w:sz="0" w:space="0" w:color="auto"/>
                            <w:right w:val="none" w:sz="0" w:space="0" w:color="auto"/>
                          </w:divBdr>
                          <w:divsChild>
                            <w:div w:id="6162575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13777">
      <w:bodyDiv w:val="1"/>
      <w:marLeft w:val="0"/>
      <w:marRight w:val="0"/>
      <w:marTop w:val="0"/>
      <w:marBottom w:val="0"/>
      <w:divBdr>
        <w:top w:val="none" w:sz="0" w:space="0" w:color="auto"/>
        <w:left w:val="none" w:sz="0" w:space="0" w:color="auto"/>
        <w:bottom w:val="none" w:sz="0" w:space="0" w:color="auto"/>
        <w:right w:val="none" w:sz="0" w:space="0" w:color="auto"/>
      </w:divBdr>
    </w:div>
    <w:div w:id="1764034212">
      <w:bodyDiv w:val="1"/>
      <w:marLeft w:val="0"/>
      <w:marRight w:val="0"/>
      <w:marTop w:val="0"/>
      <w:marBottom w:val="0"/>
      <w:divBdr>
        <w:top w:val="none" w:sz="0" w:space="0" w:color="auto"/>
        <w:left w:val="none" w:sz="0" w:space="0" w:color="auto"/>
        <w:bottom w:val="none" w:sz="0" w:space="0" w:color="auto"/>
        <w:right w:val="none" w:sz="0" w:space="0" w:color="auto"/>
      </w:divBdr>
    </w:div>
    <w:div w:id="1839685544">
      <w:bodyDiv w:val="1"/>
      <w:marLeft w:val="0"/>
      <w:marRight w:val="0"/>
      <w:marTop w:val="0"/>
      <w:marBottom w:val="0"/>
      <w:divBdr>
        <w:top w:val="none" w:sz="0" w:space="0" w:color="auto"/>
        <w:left w:val="none" w:sz="0" w:space="0" w:color="auto"/>
        <w:bottom w:val="none" w:sz="0" w:space="0" w:color="auto"/>
        <w:right w:val="none" w:sz="0" w:space="0" w:color="auto"/>
      </w:divBdr>
      <w:divsChild>
        <w:div w:id="1625427710">
          <w:marLeft w:val="0"/>
          <w:marRight w:val="0"/>
          <w:marTop w:val="0"/>
          <w:marBottom w:val="0"/>
          <w:divBdr>
            <w:top w:val="none" w:sz="0" w:space="0" w:color="auto"/>
            <w:left w:val="none" w:sz="0" w:space="0" w:color="auto"/>
            <w:bottom w:val="none" w:sz="0" w:space="0" w:color="auto"/>
            <w:right w:val="none" w:sz="0" w:space="0" w:color="auto"/>
          </w:divBdr>
        </w:div>
        <w:div w:id="1140925532">
          <w:marLeft w:val="0"/>
          <w:marRight w:val="0"/>
          <w:marTop w:val="0"/>
          <w:marBottom w:val="0"/>
          <w:divBdr>
            <w:top w:val="none" w:sz="0" w:space="0" w:color="auto"/>
            <w:left w:val="none" w:sz="0" w:space="0" w:color="auto"/>
            <w:bottom w:val="none" w:sz="0" w:space="0" w:color="auto"/>
            <w:right w:val="none" w:sz="0" w:space="0" w:color="auto"/>
          </w:divBdr>
        </w:div>
      </w:divsChild>
    </w:div>
    <w:div w:id="1881162074">
      <w:bodyDiv w:val="1"/>
      <w:marLeft w:val="0"/>
      <w:marRight w:val="0"/>
      <w:marTop w:val="0"/>
      <w:marBottom w:val="0"/>
      <w:divBdr>
        <w:top w:val="none" w:sz="0" w:space="0" w:color="auto"/>
        <w:left w:val="none" w:sz="0" w:space="0" w:color="auto"/>
        <w:bottom w:val="none" w:sz="0" w:space="0" w:color="auto"/>
        <w:right w:val="none" w:sz="0" w:space="0" w:color="auto"/>
      </w:divBdr>
    </w:div>
    <w:div w:id="1905722343">
      <w:bodyDiv w:val="1"/>
      <w:marLeft w:val="0"/>
      <w:marRight w:val="0"/>
      <w:marTop w:val="0"/>
      <w:marBottom w:val="0"/>
      <w:divBdr>
        <w:top w:val="none" w:sz="0" w:space="0" w:color="auto"/>
        <w:left w:val="none" w:sz="0" w:space="0" w:color="auto"/>
        <w:bottom w:val="none" w:sz="0" w:space="0" w:color="auto"/>
        <w:right w:val="none" w:sz="0" w:space="0" w:color="auto"/>
      </w:divBdr>
    </w:div>
    <w:div w:id="1928343004">
      <w:bodyDiv w:val="1"/>
      <w:marLeft w:val="0"/>
      <w:marRight w:val="0"/>
      <w:marTop w:val="0"/>
      <w:marBottom w:val="0"/>
      <w:divBdr>
        <w:top w:val="none" w:sz="0" w:space="0" w:color="auto"/>
        <w:left w:val="none" w:sz="0" w:space="0" w:color="auto"/>
        <w:bottom w:val="none" w:sz="0" w:space="0" w:color="auto"/>
        <w:right w:val="none" w:sz="0" w:space="0" w:color="auto"/>
      </w:divBdr>
    </w:div>
    <w:div w:id="2004313236">
      <w:bodyDiv w:val="1"/>
      <w:marLeft w:val="0"/>
      <w:marRight w:val="0"/>
      <w:marTop w:val="0"/>
      <w:marBottom w:val="0"/>
      <w:divBdr>
        <w:top w:val="none" w:sz="0" w:space="0" w:color="auto"/>
        <w:left w:val="none" w:sz="0" w:space="0" w:color="auto"/>
        <w:bottom w:val="none" w:sz="0" w:space="0" w:color="auto"/>
        <w:right w:val="none" w:sz="0" w:space="0" w:color="auto"/>
      </w:divBdr>
    </w:div>
    <w:div w:id="2047681819">
      <w:bodyDiv w:val="1"/>
      <w:marLeft w:val="0"/>
      <w:marRight w:val="0"/>
      <w:marTop w:val="0"/>
      <w:marBottom w:val="0"/>
      <w:divBdr>
        <w:top w:val="none" w:sz="0" w:space="0" w:color="auto"/>
        <w:left w:val="none" w:sz="0" w:space="0" w:color="auto"/>
        <w:bottom w:val="none" w:sz="0" w:space="0" w:color="auto"/>
        <w:right w:val="none" w:sz="0" w:space="0" w:color="auto"/>
      </w:divBdr>
    </w:div>
    <w:div w:id="206035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cdr.eionet.europa.eu/lv/eu/mmr/art04-13-14_lcds_pams_projections/envvyqbag/"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46900-712A-4753-B1BA-D7F7A3F23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12</Pages>
  <Words>3012</Words>
  <Characters>23315</Characters>
  <Application>Microsoft Office Word</Application>
  <DocSecurity>0</DocSecurity>
  <Lines>647</Lines>
  <Paragraphs>346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„Emisijas kvotu izsolīšanas instrumenta finansēto projektu atklāta konkursa „Siltumnīcefekta gāzu emisiju samazināšana ar viedajām pilsētvides tehnoloģijām” nolikums”</vt:lpstr>
      <vt:lpstr>Koplietošanas meliorācijas sistēmas, pašvaldības nozīmes koplietošanas meliorācijas sistēmas, kā pašvaldības meliorācijas sistēmas un pašvaldības nozīmes koplietošanas meliorācijas sistēmas būvniecības, ekspluatācijas un uzturēšanas izmaksu aprēķināšanas,</vt:lpstr>
    </vt:vector>
  </TitlesOfParts>
  <Company>zm</Company>
  <LinksUpToDate>false</LinksUpToDate>
  <CharactersWithSpaces>25981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„Emisijas kvotu izsolīšanas instrumenta finansēto projektu atklāta konkursa „Siltumnīcefekta gāzu emisiju samazināšana ar viedajām pilsētvides tehnoloģijām” nolikums”</dc:title>
  <dc:subject>anotācija</dc:subject>
  <dc:creator>Sofija Grīnvalde</dc:creator>
  <cp:keywords>anotācija</cp:keywords>
  <cp:lastModifiedBy>Sofija Grīnvalde</cp:lastModifiedBy>
  <cp:revision>55</cp:revision>
  <dcterms:created xsi:type="dcterms:W3CDTF">2017-11-09T11:27:00Z</dcterms:created>
  <dcterms:modified xsi:type="dcterms:W3CDTF">2018-05-22T13:37:00Z</dcterms:modified>
</cp:coreProperties>
</file>