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94C55" w:rsidRPr="00044840" w:rsidP="002E4CCD" w14:paraId="42D91DDA" w14:textId="0AD21528">
      <w:pPr>
        <w:shd w:val="clear" w:color="auto" w:fill="FFFFFF"/>
        <w:spacing w:after="0" w:line="240" w:lineRule="auto"/>
        <w:jc w:val="center"/>
        <w:rPr>
          <w:rFonts w:ascii="Times New Roman" w:hAnsi="Times New Roman" w:cs="Times New Roman"/>
          <w:b/>
          <w:sz w:val="24"/>
          <w:szCs w:val="24"/>
        </w:rPr>
      </w:pPr>
      <w:r w:rsidRPr="00044840">
        <w:rPr>
          <w:rFonts w:ascii="Times New Roman" w:hAnsi="Times New Roman" w:cs="Times New Roman"/>
          <w:b/>
          <w:sz w:val="24"/>
          <w:szCs w:val="24"/>
        </w:rPr>
        <w:t>Ministru kabineta noteikumu projekta „Grozījumi Ministru kabineta 2015.</w:t>
      </w:r>
      <w:r w:rsidR="002E2616">
        <w:rPr>
          <w:rFonts w:ascii="Times New Roman" w:hAnsi="Times New Roman" w:cs="Times New Roman"/>
          <w:b/>
          <w:sz w:val="24"/>
          <w:szCs w:val="24"/>
        </w:rPr>
        <w:t> </w:t>
      </w:r>
      <w:r w:rsidRPr="00044840">
        <w:rPr>
          <w:rFonts w:ascii="Times New Roman" w:hAnsi="Times New Roman" w:cs="Times New Roman"/>
          <w:b/>
          <w:sz w:val="24"/>
          <w:szCs w:val="24"/>
        </w:rPr>
        <w:t>gada</w:t>
      </w:r>
      <w:r w:rsidRPr="00044840" w:rsidR="002E4CCD">
        <w:rPr>
          <w:rFonts w:ascii="Times New Roman" w:hAnsi="Times New Roman" w:cs="Times New Roman"/>
          <w:b/>
          <w:sz w:val="24"/>
          <w:szCs w:val="24"/>
        </w:rPr>
        <w:t xml:space="preserve"> 13.</w:t>
      </w:r>
      <w:r w:rsidR="002E2616">
        <w:rPr>
          <w:rFonts w:ascii="Times New Roman" w:hAnsi="Times New Roman" w:cs="Times New Roman"/>
          <w:b/>
          <w:sz w:val="24"/>
          <w:szCs w:val="24"/>
        </w:rPr>
        <w:t> </w:t>
      </w:r>
      <w:r w:rsidRPr="00044840" w:rsidR="002E4CCD">
        <w:rPr>
          <w:rFonts w:ascii="Times New Roman" w:hAnsi="Times New Roman" w:cs="Times New Roman"/>
          <w:b/>
          <w:sz w:val="24"/>
          <w:szCs w:val="24"/>
        </w:rPr>
        <w:t>janvāra noteikumos Nr.</w:t>
      </w:r>
      <w:r w:rsidR="002E2616">
        <w:rPr>
          <w:rFonts w:ascii="Times New Roman" w:hAnsi="Times New Roman" w:cs="Times New Roman"/>
          <w:b/>
          <w:sz w:val="24"/>
          <w:szCs w:val="24"/>
        </w:rPr>
        <w:t> </w:t>
      </w:r>
      <w:r w:rsidRPr="00044840" w:rsidR="002E4CCD">
        <w:rPr>
          <w:rFonts w:ascii="Times New Roman" w:hAnsi="Times New Roman" w:cs="Times New Roman"/>
          <w:b/>
          <w:sz w:val="24"/>
          <w:szCs w:val="24"/>
        </w:rPr>
        <w:t>18</w:t>
      </w:r>
      <w:r w:rsidRPr="00044840">
        <w:rPr>
          <w:rFonts w:ascii="Times New Roman" w:hAnsi="Times New Roman" w:cs="Times New Roman"/>
          <w:b/>
          <w:sz w:val="24"/>
          <w:szCs w:val="24"/>
        </w:rPr>
        <w:t xml:space="preserve"> </w:t>
      </w:r>
      <w:r w:rsidRPr="00044840" w:rsidR="002E4CCD">
        <w:rPr>
          <w:rFonts w:ascii="Times New Roman" w:hAnsi="Times New Roman" w:cs="Times New Roman"/>
          <w:b/>
          <w:sz w:val="24"/>
          <w:szCs w:val="24"/>
        </w:rPr>
        <w:t>“</w:t>
      </w:r>
      <w:r w:rsidRPr="00044840">
        <w:rPr>
          <w:rFonts w:ascii="Times New Roman" w:hAnsi="Times New Roman" w:cs="Times New Roman"/>
          <w:b/>
          <w:bCs/>
          <w:sz w:val="24"/>
          <w:szCs w:val="24"/>
        </w:rPr>
        <w:t>Kārtība, kādā novērtē paredzētās darbības ietekmi uz vidi un akceptē paredzēto darbību”</w:t>
      </w:r>
      <w:r w:rsidRPr="00044840" w:rsidR="002E4CCD">
        <w:rPr>
          <w:rFonts w:ascii="Times New Roman" w:hAnsi="Times New Roman" w:cs="Times New Roman"/>
          <w:b/>
          <w:bCs/>
          <w:sz w:val="24"/>
          <w:szCs w:val="24"/>
        </w:rPr>
        <w:t>”</w:t>
      </w:r>
      <w:r w:rsidRPr="00044840">
        <w:rPr>
          <w:rFonts w:ascii="Times New Roman" w:hAnsi="Times New Roman" w:cs="Times New Roman"/>
          <w:b/>
          <w:bCs/>
          <w:sz w:val="24"/>
          <w:szCs w:val="24"/>
        </w:rPr>
        <w:t xml:space="preserve"> </w:t>
      </w:r>
      <w:r w:rsidRPr="00044840" w:rsidR="003B0BF9">
        <w:rPr>
          <w:rFonts w:ascii="Times New Roman" w:eastAsia="Times New Roman" w:hAnsi="Times New Roman" w:cs="Times New Roman"/>
          <w:b/>
          <w:bCs/>
          <w:sz w:val="24"/>
          <w:szCs w:val="24"/>
          <w:lang w:eastAsia="lv-LV"/>
        </w:rPr>
        <w:br/>
      </w:r>
      <w:r w:rsidRPr="00044840">
        <w:rPr>
          <w:rFonts w:ascii="Times New Roman" w:eastAsia="Times New Roman" w:hAnsi="Times New Roman" w:cs="Times New Roman"/>
          <w:b/>
          <w:bCs/>
          <w:sz w:val="24"/>
          <w:szCs w:val="24"/>
          <w:lang w:eastAsia="lv-LV"/>
        </w:rPr>
        <w:t>sākotnējās ietekmes novērtējuma ziņojums (anotācija)</w:t>
      </w:r>
    </w:p>
    <w:p w:rsidR="00E5323B" w:rsidRPr="00044840" w:rsidP="00894C55" w14:paraId="1E5B12C2"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p w:rsidR="00871723" w:rsidRPr="00044840" w:rsidP="00E5323B" w14:paraId="364F36A8"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tblPr>
      <w:tblGrid>
        <w:gridCol w:w="3685"/>
        <w:gridCol w:w="5370"/>
      </w:tblGrid>
      <w:tr w14:paraId="0456C32E" w14:textId="77777777" w:rsidTr="00871723">
        <w:tblPrEx>
          <w:tblW w:w="5000"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FF"/>
          <w:tblCellMar>
            <w:top w:w="28" w:type="dxa"/>
            <w:left w:w="28" w:type="dxa"/>
            <w:bottom w:w="28" w:type="dxa"/>
            <w:right w:w="28" w:type="dxa"/>
          </w:tblCellMar>
          <w:tblLook w:val="04A0"/>
        </w:tblPrEx>
        <w:trPr>
          <w:cantSplit/>
          <w:tblCellSpacing w:w="20" w:type="dxa"/>
        </w:trPr>
        <w:tc>
          <w:tcPr>
            <w:tcW w:w="9061" w:type="dxa"/>
            <w:gridSpan w:val="2"/>
            <w:shd w:val="clear" w:color="auto" w:fill="FFFFFF"/>
            <w:vAlign w:val="center"/>
            <w:hideMark/>
          </w:tcPr>
          <w:p w:rsidR="00871723" w:rsidRPr="00871723" w:rsidP="00687540" w14:paraId="17F09A29" w14:textId="77777777">
            <w:pPr>
              <w:spacing w:after="0" w:line="240" w:lineRule="auto"/>
              <w:rPr>
                <w:rFonts w:ascii="Times New Roman" w:hAnsi="Times New Roman" w:cs="Times New Roman"/>
                <w:b/>
                <w:iCs/>
                <w:sz w:val="24"/>
                <w:szCs w:val="24"/>
              </w:rPr>
            </w:pPr>
            <w:r w:rsidRPr="00871723">
              <w:rPr>
                <w:rFonts w:ascii="Times New Roman" w:hAnsi="Times New Roman" w:cs="Times New Roman"/>
                <w:b/>
                <w:iCs/>
                <w:sz w:val="24"/>
                <w:szCs w:val="24"/>
              </w:rPr>
              <w:t>Tiesību akta projekta anotācijas kopsavilkums</w:t>
            </w:r>
          </w:p>
        </w:tc>
      </w:tr>
      <w:tr w14:paraId="3DA853FE" w14:textId="77777777" w:rsidTr="00871723">
        <w:tblPrEx>
          <w:tblW w:w="5000" w:type="pct"/>
          <w:tblCellSpacing w:w="20" w:type="dxa"/>
          <w:shd w:val="clear" w:color="auto" w:fill="FFFFFF"/>
          <w:tblCellMar>
            <w:top w:w="28" w:type="dxa"/>
            <w:left w:w="28" w:type="dxa"/>
            <w:bottom w:w="28" w:type="dxa"/>
            <w:right w:w="28" w:type="dxa"/>
          </w:tblCellMar>
          <w:tblLook w:val="04A0"/>
        </w:tblPrEx>
        <w:trPr>
          <w:cantSplit/>
          <w:tblCellSpacing w:w="20" w:type="dxa"/>
        </w:trPr>
        <w:tc>
          <w:tcPr>
            <w:tcW w:w="3681" w:type="dxa"/>
            <w:shd w:val="clear" w:color="auto" w:fill="FFFFFF"/>
            <w:hideMark/>
          </w:tcPr>
          <w:p w:rsidR="00871723" w:rsidRPr="00871723" w:rsidP="00871723" w14:paraId="0F8A7C9A" w14:textId="77777777">
            <w:pPr>
              <w:jc w:val="both"/>
              <w:rPr>
                <w:rFonts w:ascii="Times New Roman" w:hAnsi="Times New Roman" w:cs="Times New Roman"/>
                <w:iCs/>
                <w:sz w:val="24"/>
                <w:szCs w:val="24"/>
              </w:rPr>
            </w:pPr>
            <w:r w:rsidRPr="00871723">
              <w:rPr>
                <w:rFonts w:ascii="Times New Roman" w:hAnsi="Times New Roman" w:cs="Times New Roman"/>
                <w:iCs/>
                <w:sz w:val="24"/>
                <w:szCs w:val="24"/>
              </w:rPr>
              <w:t>Mērķis, risinājums un projekta spēkā stāšanās laiks (500 zīmes bez atstarpēm)</w:t>
            </w:r>
          </w:p>
        </w:tc>
        <w:tc>
          <w:tcPr>
            <w:tcW w:w="5380" w:type="dxa"/>
            <w:shd w:val="clear" w:color="auto" w:fill="FFFFFF"/>
            <w:hideMark/>
          </w:tcPr>
          <w:p w:rsidR="00871723" w:rsidP="00AF7D1C" w14:paraId="5BE17FF3" w14:textId="77777777">
            <w:pPr>
              <w:jc w:val="both"/>
              <w:rPr>
                <w:rFonts w:ascii="Times New Roman" w:hAnsi="Times New Roman" w:cs="Times New Roman"/>
                <w:bCs/>
                <w:sz w:val="24"/>
                <w:szCs w:val="24"/>
              </w:rPr>
            </w:pPr>
            <w:r w:rsidRPr="00422B82">
              <w:rPr>
                <w:rFonts w:ascii="Times New Roman" w:hAnsi="Times New Roman" w:cs="Times New Roman"/>
                <w:sz w:val="24"/>
                <w:szCs w:val="24"/>
              </w:rPr>
              <w:t>Ministru kabineta noteikumu projekta „Grozījumi Ministru kabineta 2015. gada 13. janvāra noteikumos Nr. 18 “</w:t>
            </w:r>
            <w:r w:rsidRPr="00422B82">
              <w:rPr>
                <w:rFonts w:ascii="Times New Roman" w:hAnsi="Times New Roman" w:cs="Times New Roman"/>
                <w:bCs/>
                <w:sz w:val="24"/>
                <w:szCs w:val="24"/>
              </w:rPr>
              <w:t>Kārtība, kādā novērtē paredzētās darbības ietekmi uz vidi un akceptē paredzēto darbību””</w:t>
            </w:r>
            <w:r w:rsidRPr="00422B82">
              <w:rPr>
                <w:rFonts w:ascii="Times New Roman" w:hAnsi="Times New Roman" w:cs="Times New Roman"/>
                <w:bCs/>
                <w:sz w:val="24"/>
                <w:szCs w:val="24"/>
              </w:rPr>
              <w:br/>
              <w:t xml:space="preserve"> (turpmāk – Noteikumu projekts)</w:t>
            </w:r>
            <w:r>
              <w:rPr>
                <w:rFonts w:ascii="Times New Roman" w:hAnsi="Times New Roman" w:cs="Times New Roman"/>
                <w:bCs/>
                <w:sz w:val="24"/>
                <w:szCs w:val="24"/>
              </w:rPr>
              <w:t xml:space="preserve"> un tā anotācijā </w:t>
            </w:r>
            <w:r w:rsidRPr="00422B82">
              <w:rPr>
                <w:rFonts w:ascii="Times New Roman" w:hAnsi="Times New Roman" w:cs="Times New Roman"/>
                <w:bCs/>
                <w:sz w:val="24"/>
                <w:szCs w:val="24"/>
              </w:rPr>
              <w:t xml:space="preserve">anotācija izstrādāti, lai pārņemtu </w:t>
            </w:r>
            <w:r w:rsidRPr="00422B82">
              <w:rPr>
                <w:rFonts w:ascii="Times New Roman" w:hAnsi="Times New Roman" w:cs="Times New Roman"/>
                <w:sz w:val="24"/>
                <w:szCs w:val="24"/>
              </w:rPr>
              <w:t>Eiropas Parlamenta un Padomes 2014. gada 16. aprīļa direktīvas 2014/52/ES, ar ko groza direktīvu 2011/92/ES par dažu sabiedrisko un privātu projektu ietekmes uz vidi novērtējumu (turpmāk – Direktīva) prasības</w:t>
            </w:r>
            <w:r w:rsidRPr="00422B82">
              <w:rPr>
                <w:rFonts w:ascii="Times New Roman" w:hAnsi="Times New Roman" w:cs="Times New Roman"/>
                <w:bCs/>
                <w:sz w:val="24"/>
                <w:szCs w:val="24"/>
              </w:rPr>
              <w:t>.</w:t>
            </w:r>
          </w:p>
          <w:p w:rsidR="00AF7D1C" w:rsidP="00AF7D1C" w14:paraId="5313BBC9" w14:textId="002CD09B">
            <w:pPr>
              <w:jc w:val="both"/>
              <w:rPr>
                <w:rFonts w:ascii="Times New Roman" w:hAnsi="Times New Roman" w:cs="Times New Roman"/>
                <w:bCs/>
                <w:sz w:val="24"/>
                <w:szCs w:val="24"/>
              </w:rPr>
            </w:pPr>
            <w:r>
              <w:rPr>
                <w:rFonts w:ascii="Times New Roman" w:hAnsi="Times New Roman" w:cs="Times New Roman"/>
                <w:bCs/>
                <w:sz w:val="24"/>
                <w:szCs w:val="24"/>
              </w:rPr>
              <w:t>Noteikumu projektā noteikta nepieciešamā informācija, kāda ir jāiekļauj ietekmes uz vidi novērtējuma ziņojumā, lai sabiedrībai tiktu sniegta pilnvērtīga informācija par paredzēto darbību</w:t>
            </w:r>
          </w:p>
          <w:p w:rsidR="00AF7D1C" w:rsidRPr="00871723" w:rsidP="00AF7D1C" w14:paraId="4EDADEF6" w14:textId="24B533C9">
            <w:pPr>
              <w:jc w:val="both"/>
              <w:rPr>
                <w:rFonts w:ascii="Times New Roman" w:hAnsi="Times New Roman" w:cs="Times New Roman"/>
                <w:i/>
                <w:iCs/>
                <w:sz w:val="24"/>
                <w:szCs w:val="24"/>
              </w:rPr>
            </w:pPr>
            <w:r>
              <w:rPr>
                <w:rFonts w:ascii="Times New Roman" w:hAnsi="Times New Roman" w:cs="Times New Roman"/>
                <w:bCs/>
                <w:sz w:val="24"/>
                <w:szCs w:val="24"/>
              </w:rPr>
              <w:t>Noteikumu projekts stāsies spēkā pēc tā pieņemšanas Ministru kabineta sēdē.</w:t>
            </w:r>
          </w:p>
        </w:tc>
      </w:tr>
    </w:tbl>
    <w:p w:rsidR="00E5323B" w:rsidRPr="00422B82" w:rsidP="00E5323B" w14:paraId="26EB58CC" w14:textId="3717F845">
      <w:pPr>
        <w:spacing w:after="0" w:line="240" w:lineRule="auto"/>
        <w:rPr>
          <w:rFonts w:ascii="Times New Roman" w:eastAsia="Times New Roman" w:hAnsi="Times New Roman" w:cs="Times New Roman"/>
          <w:iCs/>
          <w:sz w:val="24"/>
          <w:szCs w:val="24"/>
          <w:lang w:eastAsia="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E1E468C" w14:textId="77777777" w:rsidTr="00BC7CB7">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422B82" w:rsidP="00BC7CB7" w14:paraId="2DBA460E" w14:textId="61FA0B0B">
            <w:pPr>
              <w:spacing w:after="0" w:line="240" w:lineRule="auto"/>
              <w:rPr>
                <w:rFonts w:ascii="Times New Roman" w:eastAsia="Times New Roman" w:hAnsi="Times New Roman" w:cs="Times New Roman"/>
                <w:b/>
                <w:bCs/>
                <w:iCs/>
                <w:sz w:val="24"/>
                <w:szCs w:val="24"/>
                <w:lang w:eastAsia="lv-LV"/>
              </w:rPr>
            </w:pPr>
            <w:r w:rsidRPr="00422B82">
              <w:rPr>
                <w:rFonts w:ascii="Times New Roman" w:eastAsia="Times New Roman" w:hAnsi="Times New Roman" w:cs="Times New Roman"/>
                <w:b/>
                <w:bCs/>
                <w:iCs/>
                <w:sz w:val="24"/>
                <w:szCs w:val="24"/>
                <w:lang w:eastAsia="lv-LV"/>
              </w:rPr>
              <w:t>I.</w:t>
            </w:r>
            <w:r w:rsidRPr="00422B82" w:rsidR="00661162">
              <w:rPr>
                <w:rFonts w:ascii="Times New Roman" w:eastAsia="Times New Roman" w:hAnsi="Times New Roman" w:cs="Times New Roman"/>
                <w:b/>
                <w:bCs/>
                <w:iCs/>
                <w:sz w:val="24"/>
                <w:szCs w:val="24"/>
                <w:lang w:eastAsia="lv-LV"/>
              </w:rPr>
              <w:t> </w:t>
            </w:r>
            <w:r w:rsidRPr="00422B82">
              <w:rPr>
                <w:rFonts w:ascii="Times New Roman" w:eastAsia="Times New Roman" w:hAnsi="Times New Roman" w:cs="Times New Roman"/>
                <w:b/>
                <w:bCs/>
                <w:iCs/>
                <w:sz w:val="24"/>
                <w:szCs w:val="24"/>
                <w:lang w:eastAsia="lv-LV"/>
              </w:rPr>
              <w:t>Tiesību akta projekta izstrādes nepieciešamība</w:t>
            </w:r>
          </w:p>
        </w:tc>
      </w:tr>
      <w:tr w14:paraId="7F36390D"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22B82" w:rsidP="00BC7CB7" w14:paraId="4A85634B" w14:textId="77777777">
            <w:pPr>
              <w:spacing w:after="0" w:line="240" w:lineRule="auto"/>
              <w:rPr>
                <w:rFonts w:ascii="Times New Roman" w:eastAsia="Times New Roman" w:hAnsi="Times New Roman" w:cs="Times New Roman"/>
                <w:iCs/>
                <w:sz w:val="24"/>
                <w:szCs w:val="24"/>
                <w:lang w:eastAsia="lv-LV"/>
              </w:rPr>
            </w:pPr>
            <w:r w:rsidRPr="00422B82">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970C96" w:rsidRPr="00422B82" w:rsidP="00BC7CB7" w14:paraId="7A3F0670" w14:textId="77777777">
            <w:pPr>
              <w:spacing w:after="0" w:line="240" w:lineRule="auto"/>
              <w:rPr>
                <w:rFonts w:ascii="Times New Roman" w:eastAsia="Times New Roman" w:hAnsi="Times New Roman" w:cs="Times New Roman"/>
                <w:iCs/>
                <w:sz w:val="24"/>
                <w:szCs w:val="24"/>
                <w:lang w:eastAsia="lv-LV"/>
              </w:rPr>
            </w:pPr>
            <w:r w:rsidRPr="00422B82">
              <w:rPr>
                <w:rFonts w:ascii="Times New Roman" w:eastAsia="Times New Roman" w:hAnsi="Times New Roman" w:cs="Times New Roman"/>
                <w:iCs/>
                <w:sz w:val="24"/>
                <w:szCs w:val="24"/>
                <w:lang w:eastAsia="lv-LV"/>
              </w:rPr>
              <w:t>Pamatojums</w:t>
            </w:r>
          </w:p>
          <w:p w:rsidR="00E5323B" w:rsidRPr="00422B82" w:rsidP="00AF7D1C" w14:paraId="28497EEB" w14:textId="77777777">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E5323B" w:rsidRPr="00422B82" w:rsidP="00AF7D1C" w14:paraId="2696B8A4" w14:textId="1A22920D">
            <w:pPr>
              <w:pStyle w:val="naiskr"/>
              <w:spacing w:before="0" w:after="0"/>
              <w:ind w:left="124" w:right="145"/>
              <w:jc w:val="both"/>
              <w:rPr>
                <w:bCs/>
              </w:rPr>
            </w:pPr>
            <w:r>
              <w:rPr>
                <w:bCs/>
              </w:rPr>
              <w:t>Noteikumu projekts</w:t>
            </w:r>
            <w:r w:rsidRPr="00422B82" w:rsidR="00F85EDC">
              <w:rPr>
                <w:bCs/>
              </w:rPr>
              <w:t xml:space="preserve"> un tā anotācija izstrādāti, lai pārņemtu </w:t>
            </w:r>
            <w:r>
              <w:t>Direktīvas</w:t>
            </w:r>
            <w:r w:rsidRPr="00422B82" w:rsidR="00F85EDC">
              <w:t xml:space="preserve"> prasības</w:t>
            </w:r>
            <w:r w:rsidR="0049742C">
              <w:rPr>
                <w:bCs/>
              </w:rPr>
              <w:t xml:space="preserve"> un pēc Vides aizsardzības un reģionālās attīstības ministrijas</w:t>
            </w:r>
            <w:r w:rsidR="0006584E">
              <w:rPr>
                <w:bCs/>
              </w:rPr>
              <w:t xml:space="preserve"> (turpmāk – VARAM)</w:t>
            </w:r>
            <w:r w:rsidR="0049742C">
              <w:rPr>
                <w:bCs/>
              </w:rPr>
              <w:t xml:space="preserve"> iniciatīvas.</w:t>
            </w:r>
          </w:p>
        </w:tc>
      </w:tr>
      <w:tr w14:paraId="32FB4A7E"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22B82" w:rsidP="00BC7CB7" w14:paraId="5E37A0E1" w14:textId="77777777">
            <w:pPr>
              <w:spacing w:after="0" w:line="240" w:lineRule="auto"/>
              <w:rPr>
                <w:rFonts w:ascii="Times New Roman" w:eastAsia="Times New Roman" w:hAnsi="Times New Roman" w:cs="Times New Roman"/>
                <w:iCs/>
                <w:sz w:val="24"/>
                <w:szCs w:val="24"/>
                <w:lang w:eastAsia="lv-LV"/>
              </w:rPr>
            </w:pPr>
            <w:r w:rsidRPr="00422B82">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B83316" w:rsidRPr="00422B82" w:rsidP="00BC7CB7" w14:paraId="1723CD01" w14:textId="77777777">
            <w:pPr>
              <w:spacing w:after="0" w:line="240" w:lineRule="auto"/>
              <w:rPr>
                <w:rFonts w:ascii="Times New Roman" w:eastAsia="Times New Roman" w:hAnsi="Times New Roman" w:cs="Times New Roman"/>
                <w:iCs/>
                <w:sz w:val="24"/>
                <w:szCs w:val="24"/>
                <w:lang w:eastAsia="lv-LV"/>
              </w:rPr>
            </w:pPr>
            <w:r w:rsidRPr="00422B8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B83316" w:rsidRPr="00422B82" w:rsidP="00B83316" w14:paraId="537C5D1A" w14:textId="77777777">
            <w:pPr>
              <w:rPr>
                <w:rFonts w:ascii="Times New Roman" w:eastAsia="Times New Roman" w:hAnsi="Times New Roman" w:cs="Times New Roman"/>
                <w:sz w:val="24"/>
                <w:szCs w:val="24"/>
                <w:lang w:eastAsia="lv-LV"/>
              </w:rPr>
            </w:pPr>
          </w:p>
          <w:p w:rsidR="00B83316" w:rsidRPr="00422B82" w:rsidP="00970C96" w14:paraId="650CA20F" w14:textId="77777777">
            <w:pPr>
              <w:jc w:val="center"/>
              <w:rPr>
                <w:rFonts w:ascii="Times New Roman" w:eastAsia="Times New Roman" w:hAnsi="Times New Roman" w:cs="Times New Roman"/>
                <w:sz w:val="24"/>
                <w:szCs w:val="24"/>
                <w:lang w:eastAsia="lv-LV"/>
              </w:rPr>
            </w:pPr>
          </w:p>
          <w:p w:rsidR="00E5323B" w:rsidRPr="00422B82" w:rsidP="00B83316" w14:paraId="30B1FDB4" w14:textId="77777777">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F85EDC" w:rsidRPr="00422B82" w:rsidP="00BC7CB7" w14:paraId="375EBD94" w14:textId="77777777">
            <w:pPr>
              <w:spacing w:after="0" w:line="240" w:lineRule="auto"/>
              <w:jc w:val="both"/>
              <w:rPr>
                <w:rFonts w:ascii="Times New Roman" w:hAnsi="Times New Roman" w:cs="Times New Roman"/>
                <w:sz w:val="24"/>
                <w:szCs w:val="24"/>
              </w:rPr>
            </w:pPr>
            <w:r w:rsidRPr="00422B82">
              <w:rPr>
                <w:rFonts w:ascii="Times New Roman" w:hAnsi="Times New Roman" w:cs="Times New Roman"/>
                <w:i/>
                <w:sz w:val="24"/>
                <w:szCs w:val="24"/>
              </w:rPr>
              <w:t>Pašreizējā situācija un problēmas</w:t>
            </w:r>
          </w:p>
          <w:p w:rsidR="00F85EDC" w:rsidRPr="00422B82" w:rsidP="00BC7CB7" w14:paraId="489BB2C7" w14:textId="45B52EA8">
            <w:pPr>
              <w:spacing w:after="0" w:line="240" w:lineRule="auto"/>
              <w:jc w:val="both"/>
              <w:rPr>
                <w:rFonts w:ascii="Times New Roman" w:hAnsi="Times New Roman" w:cs="Times New Roman"/>
                <w:sz w:val="24"/>
                <w:szCs w:val="24"/>
              </w:rPr>
            </w:pPr>
            <w:r w:rsidRPr="00422B82">
              <w:rPr>
                <w:rFonts w:ascii="Times New Roman" w:hAnsi="Times New Roman" w:cs="Times New Roman"/>
                <w:sz w:val="24"/>
                <w:szCs w:val="24"/>
              </w:rPr>
              <w:t xml:space="preserve">Kārtība, kādā piemērojams </w:t>
            </w:r>
            <w:r w:rsidRPr="00422B82" w:rsidR="00AA4BC6">
              <w:rPr>
                <w:rFonts w:ascii="Times New Roman" w:hAnsi="Times New Roman" w:cs="Times New Roman"/>
                <w:sz w:val="24"/>
                <w:szCs w:val="24"/>
              </w:rPr>
              <w:t xml:space="preserve">paredzētās darbības </w:t>
            </w:r>
            <w:r w:rsidRPr="00422B82">
              <w:rPr>
                <w:rFonts w:ascii="Times New Roman" w:hAnsi="Times New Roman" w:cs="Times New Roman"/>
                <w:sz w:val="24"/>
                <w:szCs w:val="24"/>
              </w:rPr>
              <w:t>ietekmes uz vidi novērtējums (turpmāk – IVN) vai ietekmes sākotnējais izvērtējums (turpmāk – ISI) un kārtība, kādā tiek pieņemts paredzētās darbības akcepts noteikts Ministru kabineta 2015.</w:t>
            </w:r>
            <w:r w:rsidRPr="00422B82" w:rsidR="00661162">
              <w:rPr>
                <w:rFonts w:ascii="Times New Roman" w:hAnsi="Times New Roman" w:cs="Times New Roman"/>
                <w:sz w:val="24"/>
                <w:szCs w:val="24"/>
              </w:rPr>
              <w:t> </w:t>
            </w:r>
            <w:r w:rsidRPr="00422B82">
              <w:rPr>
                <w:rFonts w:ascii="Times New Roman" w:hAnsi="Times New Roman" w:cs="Times New Roman"/>
                <w:sz w:val="24"/>
                <w:szCs w:val="24"/>
              </w:rPr>
              <w:t>gada</w:t>
            </w:r>
            <w:r w:rsidRPr="00422B82" w:rsidR="00811F55">
              <w:rPr>
                <w:rFonts w:ascii="Times New Roman" w:hAnsi="Times New Roman" w:cs="Times New Roman"/>
                <w:sz w:val="24"/>
                <w:szCs w:val="24"/>
              </w:rPr>
              <w:t xml:space="preserve"> 13.</w:t>
            </w:r>
            <w:r w:rsidRPr="00422B82" w:rsidR="00661162">
              <w:rPr>
                <w:rFonts w:ascii="Times New Roman" w:hAnsi="Times New Roman" w:cs="Times New Roman"/>
                <w:sz w:val="24"/>
                <w:szCs w:val="24"/>
              </w:rPr>
              <w:t> </w:t>
            </w:r>
            <w:r w:rsidRPr="00422B82" w:rsidR="00811F55">
              <w:rPr>
                <w:rFonts w:ascii="Times New Roman" w:hAnsi="Times New Roman" w:cs="Times New Roman"/>
                <w:sz w:val="24"/>
                <w:szCs w:val="24"/>
              </w:rPr>
              <w:t>janvāra noteikumi Nr.</w:t>
            </w:r>
            <w:r w:rsidRPr="00422B82" w:rsidR="00661162">
              <w:rPr>
                <w:rFonts w:ascii="Times New Roman" w:hAnsi="Times New Roman" w:cs="Times New Roman"/>
                <w:sz w:val="24"/>
                <w:szCs w:val="24"/>
              </w:rPr>
              <w:t> </w:t>
            </w:r>
            <w:r w:rsidRPr="00422B82" w:rsidR="00811F55">
              <w:rPr>
                <w:rFonts w:ascii="Times New Roman" w:hAnsi="Times New Roman" w:cs="Times New Roman"/>
                <w:sz w:val="24"/>
                <w:szCs w:val="24"/>
              </w:rPr>
              <w:t>18 “ </w:t>
            </w:r>
            <w:r w:rsidRPr="00422B82">
              <w:rPr>
                <w:rFonts w:ascii="Times New Roman" w:hAnsi="Times New Roman" w:cs="Times New Roman"/>
                <w:bCs/>
                <w:sz w:val="24"/>
                <w:szCs w:val="24"/>
              </w:rPr>
              <w:t>Kārtība, kādā novērtē paredzētās darbības ietekmi uz vidi un akceptē paredzēto darbību</w:t>
            </w:r>
            <w:r w:rsidRPr="00422B82" w:rsidR="00811F55">
              <w:rPr>
                <w:rFonts w:ascii="Times New Roman" w:hAnsi="Times New Roman" w:cs="Times New Roman"/>
                <w:bCs/>
                <w:sz w:val="24"/>
                <w:szCs w:val="24"/>
              </w:rPr>
              <w:t> </w:t>
            </w:r>
            <w:r w:rsidRPr="00422B82">
              <w:rPr>
                <w:rFonts w:ascii="Times New Roman" w:hAnsi="Times New Roman" w:cs="Times New Roman"/>
                <w:bCs/>
                <w:sz w:val="24"/>
                <w:szCs w:val="24"/>
              </w:rPr>
              <w:t>”</w:t>
            </w:r>
            <w:r w:rsidRPr="00422B82" w:rsidR="00F674E2">
              <w:rPr>
                <w:rFonts w:ascii="Times New Roman" w:hAnsi="Times New Roman" w:cs="Times New Roman"/>
                <w:bCs/>
                <w:sz w:val="24"/>
                <w:szCs w:val="24"/>
              </w:rPr>
              <w:t xml:space="preserve"> (turpmāk – Noteikumi Nr.</w:t>
            </w:r>
            <w:r w:rsidRPr="00422B82" w:rsidR="00661162">
              <w:rPr>
                <w:rFonts w:ascii="Times New Roman" w:hAnsi="Times New Roman" w:cs="Times New Roman"/>
                <w:bCs/>
                <w:sz w:val="24"/>
                <w:szCs w:val="24"/>
              </w:rPr>
              <w:t> </w:t>
            </w:r>
            <w:r w:rsidRPr="00422B82" w:rsidR="00F674E2">
              <w:rPr>
                <w:rFonts w:ascii="Times New Roman" w:hAnsi="Times New Roman" w:cs="Times New Roman"/>
                <w:bCs/>
                <w:sz w:val="24"/>
                <w:szCs w:val="24"/>
              </w:rPr>
              <w:t>18).</w:t>
            </w:r>
            <w:r w:rsidRPr="00422B82">
              <w:rPr>
                <w:rFonts w:ascii="Times New Roman" w:hAnsi="Times New Roman" w:cs="Times New Roman"/>
                <w:bCs/>
                <w:sz w:val="24"/>
                <w:szCs w:val="24"/>
              </w:rPr>
              <w:t xml:space="preserve"> </w:t>
            </w:r>
          </w:p>
          <w:p w:rsidR="00E5323B" w:rsidRPr="00422B82" w:rsidP="00422B82" w14:paraId="1826583C" w14:textId="77777777">
            <w:pPr>
              <w:pStyle w:val="BodyText"/>
              <w:jc w:val="both"/>
              <w:outlineLvl w:val="0"/>
              <w:rPr>
                <w:iCs/>
                <w:lang w:val="lv-LV" w:eastAsia="lv-LV"/>
              </w:rPr>
            </w:pPr>
          </w:p>
          <w:p w:rsidR="00A06DA4" w:rsidRPr="00422B82" w:rsidP="00BC7CB7" w14:paraId="1696DC83" w14:textId="6F67FD6B">
            <w:pPr>
              <w:pStyle w:val="naiskr"/>
              <w:spacing w:before="0" w:after="0"/>
              <w:jc w:val="both"/>
              <w:rPr>
                <w:i/>
              </w:rPr>
            </w:pPr>
            <w:r w:rsidRPr="00422B82">
              <w:rPr>
                <w:i/>
              </w:rPr>
              <w:t>Noteikumu projekta mērķis un būtība</w:t>
            </w:r>
          </w:p>
          <w:p w:rsidR="00A06DA4" w:rsidRPr="00422B82" w:rsidP="00BC7CB7" w14:paraId="34963FF1" w14:textId="77777777">
            <w:pPr>
              <w:pStyle w:val="naiskr"/>
              <w:spacing w:before="0" w:after="0"/>
              <w:jc w:val="both"/>
            </w:pPr>
            <w:r w:rsidRPr="00422B82">
              <w:t xml:space="preserve">Ar noteikumu projektu tiek izdarīti </w:t>
            </w:r>
            <w:r w:rsidRPr="00422B82" w:rsidR="00956F7F">
              <w:t>šādi</w:t>
            </w:r>
            <w:r w:rsidRPr="00422B82">
              <w:t xml:space="preserve"> grozījumi:</w:t>
            </w:r>
          </w:p>
          <w:p w:rsidR="00A00FA7" w:rsidRPr="00422B82" w:rsidP="00A00FA7" w14:paraId="68D8FEA6" w14:textId="67AE09A8">
            <w:pPr>
              <w:pStyle w:val="naiskr"/>
              <w:spacing w:before="0" w:after="0"/>
              <w:ind w:left="60"/>
              <w:jc w:val="both"/>
            </w:pPr>
            <w:r w:rsidRPr="00422B82">
              <w:rPr>
                <w:u w:val="single"/>
              </w:rPr>
              <w:t>Noteikts</w:t>
            </w:r>
            <w:r w:rsidRPr="00422B82" w:rsidR="00661162">
              <w:rPr>
                <w:u w:val="single"/>
              </w:rPr>
              <w:t>,</w:t>
            </w:r>
            <w:r w:rsidRPr="00422B82">
              <w:rPr>
                <w:u w:val="single"/>
              </w:rPr>
              <w:t xml:space="preserve"> kāda informācija jāsniedz ietekmes uz vidi novērtējuma ziņojumā</w:t>
            </w:r>
            <w:r w:rsidR="00422B82">
              <w:rPr>
                <w:u w:val="single"/>
              </w:rPr>
              <w:t xml:space="preserve"> (turpmāk – ziņojums)</w:t>
            </w:r>
            <w:r w:rsidRPr="00422B82">
              <w:rPr>
                <w:u w:val="single"/>
              </w:rPr>
              <w:t>,</w:t>
            </w:r>
            <w:r w:rsidRPr="00422B82">
              <w:t xml:space="preserve"> lai paredzētā darbība tiktu pilnvērtīgi aprakstīta un </w:t>
            </w:r>
            <w:r w:rsidRPr="00422B82" w:rsidR="00970C96">
              <w:t>tiktu s</w:t>
            </w:r>
            <w:r w:rsidRPr="00422B82">
              <w:t xml:space="preserve">niegts </w:t>
            </w:r>
            <w:r w:rsidRPr="00422B82" w:rsidR="00811F55">
              <w:t>apraksts</w:t>
            </w:r>
            <w:r w:rsidRPr="00422B82">
              <w:t xml:space="preserve"> par </w:t>
            </w:r>
            <w:r w:rsidRPr="00422B82" w:rsidR="00970C96">
              <w:t xml:space="preserve">tās </w:t>
            </w:r>
            <w:r w:rsidRPr="00422B82">
              <w:t>ietekmi uz vidi</w:t>
            </w:r>
            <w:r w:rsidRPr="00422B82" w:rsidR="00811F55">
              <w:t>.</w:t>
            </w:r>
            <w:r>
              <w:t xml:space="preserve"> </w:t>
            </w:r>
            <w:r w:rsidRPr="00422B82">
              <w:t xml:space="preserve"> Noteikumu </w:t>
            </w:r>
            <w:r w:rsidRPr="00422B82">
              <w:t>projektā noteiktas konkrētas prasības ziņojumā paredzētās informācijas iekļaušanai, kas attiecās uz paredzētās darbības atrašanā vietu, jāraksturo ražošanas process, jānorāda prognozējamo atkritumu, smaku, trokšņu, jonizējoš</w:t>
            </w:r>
            <w:bookmarkStart w:id="0" w:name="_GoBack"/>
            <w:bookmarkEnd w:id="0"/>
            <w:r w:rsidRPr="00422B82">
              <w:t xml:space="preserve">ā un elektromagnētiskā starojuma, un citu paredzētās darbības izraisīto ietekmju veidu. </w:t>
            </w:r>
          </w:p>
          <w:p w:rsidR="00A82810" w:rsidRPr="00AF7D1C" w:rsidP="00AF7D1C" w14:paraId="2BE441D9" w14:textId="2F29CF39">
            <w:pPr>
              <w:pStyle w:val="naiskr"/>
              <w:spacing w:before="0" w:after="0"/>
              <w:ind w:left="60"/>
              <w:jc w:val="both"/>
              <w:rPr>
                <w:color w:val="FF0000"/>
              </w:rPr>
            </w:pPr>
            <w:r>
              <w:t>Lai minētās prasības būtu skaidras un saprotamas ierosinātājam, kurš gatavo ziņojumu par paredzēto darbību,</w:t>
            </w:r>
            <w:r w:rsidRPr="00422B82" w:rsidR="00811F55">
              <w:t xml:space="preserve"> Vides pārraudzības valsts biroj</w:t>
            </w:r>
            <w:r>
              <w:t>s</w:t>
            </w:r>
            <w:r w:rsidRPr="00422B82" w:rsidR="003E63B3">
              <w:t xml:space="preserve"> (turpmāk – Birojs)</w:t>
            </w:r>
            <w:r w:rsidRPr="00422B82" w:rsidR="00F67DE7">
              <w:t xml:space="preserve"> </w:t>
            </w:r>
            <w:r w:rsidRPr="00422B82" w:rsidR="004F0D17">
              <w:t>izdo</w:t>
            </w:r>
            <w:r>
              <w:t xml:space="preserve">d </w:t>
            </w:r>
            <w:r w:rsidRPr="00422B82" w:rsidR="00811F55">
              <w:t>programm</w:t>
            </w:r>
            <w:r>
              <w:t>u</w:t>
            </w:r>
            <w:r w:rsidR="00B57978">
              <w:t xml:space="preserve">. </w:t>
            </w:r>
            <w:r w:rsidRPr="00422B82" w:rsidR="004F0D17">
              <w:t xml:space="preserve">Biroja izsniegtajā programmā, </w:t>
            </w:r>
            <w:r w:rsidR="00422B82">
              <w:t xml:space="preserve">ņemot vērā </w:t>
            </w:r>
            <w:r w:rsidRPr="00422B82" w:rsidR="004F0D17">
              <w:t>paredzēt</w:t>
            </w:r>
            <w:r w:rsidRPr="00422B82" w:rsidR="00540733">
              <w:t xml:space="preserve">ās darbības veidu </w:t>
            </w:r>
            <w:r w:rsidRPr="00422B82" w:rsidR="004F0D17">
              <w:t>(</w:t>
            </w:r>
            <w:r w:rsidRPr="00422B82" w:rsidR="002B7CC8">
              <w:t>piem.</w:t>
            </w:r>
            <w:r w:rsidRPr="00422B82" w:rsidR="00540733">
              <w:t>,</w:t>
            </w:r>
            <w:r w:rsidRPr="00422B82" w:rsidR="002B7CC8">
              <w:t xml:space="preserve"> </w:t>
            </w:r>
            <w:r w:rsidR="0006584E">
              <w:t>derīgo izrakteņu ieguve virs 25 </w:t>
            </w:r>
            <w:r w:rsidRPr="00422B82" w:rsidR="004F0D17">
              <w:t xml:space="preserve">ha, vai </w:t>
            </w:r>
            <w:r w:rsidRPr="00422B82" w:rsidR="002B7CC8">
              <w:t>jaunbūvēja</w:t>
            </w:r>
            <w:r w:rsidR="0006584E">
              <w:t>mi autoceļi, ja to garums ir 10 </w:t>
            </w:r>
            <w:r w:rsidRPr="00422B82" w:rsidR="002B7CC8">
              <w:t xml:space="preserve">km un vairāk) </w:t>
            </w:r>
            <w:r w:rsidRPr="00422B82" w:rsidR="001F2206">
              <w:t>un paredzētās darbības vietu</w:t>
            </w:r>
            <w:r w:rsidRPr="00422B82" w:rsidR="002B7CC8">
              <w:t xml:space="preserve"> </w:t>
            </w:r>
            <w:r w:rsidRPr="00422B82" w:rsidR="001F2206">
              <w:t xml:space="preserve">noteic prasības ziņojumā sniedzamās informācijas apjomam un detalizācijas pakāpei. </w:t>
            </w:r>
            <w:r w:rsidRPr="00422B82" w:rsidR="00A00FA7">
              <w:t xml:space="preserve">Birojs </w:t>
            </w:r>
            <w:r w:rsidR="00A00FA7">
              <w:t xml:space="preserve">programmā </w:t>
            </w:r>
            <w:r w:rsidRPr="00422B82" w:rsidR="00A00FA7">
              <w:t>norāda informāciju, kas ir sniedzama atbilstoši normatīvajiem aktiem, kā arī vides in</w:t>
            </w:r>
            <w:r w:rsidRPr="00AF7D1C" w:rsidR="00A00FA7">
              <w:t>formāciju un zinātnes atziņas, kuras izmantojot</w:t>
            </w:r>
            <w:r w:rsidR="00AF7D1C">
              <w:t>,</w:t>
            </w:r>
            <w:r w:rsidRPr="00AF7D1C" w:rsidR="00A00FA7">
              <w:t xml:space="preserve"> paredzētā darbība ir jāvērtē, </w:t>
            </w:r>
            <w:r w:rsidRPr="00AF7D1C" w:rsidR="00AF7D1C">
              <w:t xml:space="preserve">kā arī norāda nacionālajā, Eiropas Savienības </w:t>
            </w:r>
            <w:r w:rsidR="006E0E9D">
              <w:t xml:space="preserve">(turpmāk – ES) </w:t>
            </w:r>
            <w:r w:rsidRPr="00AF7D1C" w:rsidR="00AF7D1C">
              <w:t>un starptautiskajā līmenī izvirzītos vides aizsardzības un klimata pārmaiņu mazināšanas un pielāgošanās klimata pārmaiņām mērķus un nosacījumus</w:t>
            </w:r>
            <w:r w:rsidRPr="00AF7D1C" w:rsidR="00AF7D1C">
              <w:rPr>
                <w:color w:val="FF0000"/>
              </w:rPr>
              <w:t>.</w:t>
            </w:r>
            <w:r w:rsidR="00AF7D1C">
              <w:rPr>
                <w:color w:val="FF0000"/>
              </w:rPr>
              <w:t xml:space="preserve"> </w:t>
            </w:r>
            <w:r w:rsidRPr="00422B82">
              <w:t>Lai novērtētu paredzētās darbības ietekmi uz klimata pārmaiņām</w:t>
            </w:r>
            <w:r w:rsidR="008A505D">
              <w:t>,</w:t>
            </w:r>
            <w:r w:rsidRPr="00422B82">
              <w:t xml:space="preserve"> nepieciešams izmantot Ministru kabineta 2018.</w:t>
            </w:r>
            <w:r w:rsidR="0006584E">
              <w:t> </w:t>
            </w:r>
            <w:r w:rsidRPr="00422B82">
              <w:t>gada 23.</w:t>
            </w:r>
            <w:r w:rsidR="0006584E">
              <w:t> </w:t>
            </w:r>
            <w:r w:rsidRPr="00422B82">
              <w:t>janvāra noteikumos Nr.</w:t>
            </w:r>
            <w:r w:rsidR="0006584E">
              <w:t> </w:t>
            </w:r>
            <w:r w:rsidRPr="00422B82">
              <w:t>42 “Siltumnīcefekta gāzu emisiju aprēķina metodika” (turpmāk – noteikumi Nr.</w:t>
            </w:r>
            <w:r w:rsidR="0006584E">
              <w:t> </w:t>
            </w:r>
            <w:r w:rsidRPr="00422B82">
              <w:t>42) ietverto siltumnīcefekta gāzu emisiju aprēķina metodiku, kurā iekļautas vienkāršotas aprēķina metodes enerģētikas, transporta un atkritumu apsaimniekošanas nozares projektiem, lai novērtētu to ietekmi uz klimata pārmaiņām. Taču, ja paredzētā darbība nav iekļauta noteikumos Nr.</w:t>
            </w:r>
            <w:r w:rsidR="0006584E">
              <w:t> </w:t>
            </w:r>
            <w:r w:rsidRPr="00422B82">
              <w:t>42, piemēram, rūpniecības, lauksaimniecības un zemes izmantošanas, zemes izmantošanas maiņas un mežsaimniecības nozaru projekti, tad izmanto  šādu metodoloģiju:</w:t>
            </w:r>
          </w:p>
          <w:p w:rsidR="00A82810" w:rsidRPr="00422B82" w:rsidP="00A82810" w14:paraId="2FFD84D4" w14:textId="6BC13C00">
            <w:pPr>
              <w:numPr>
                <w:ilvl w:val="0"/>
                <w:numId w:val="6"/>
              </w:numPr>
              <w:spacing w:after="0" w:line="240" w:lineRule="auto"/>
              <w:jc w:val="both"/>
              <w:rPr>
                <w:rFonts w:ascii="Times New Roman" w:eastAsia="Times New Roman" w:hAnsi="Times New Roman" w:cs="Times New Roman"/>
                <w:sz w:val="24"/>
                <w:szCs w:val="24"/>
              </w:rPr>
            </w:pPr>
            <w:r w:rsidRPr="00422B82">
              <w:rPr>
                <w:rFonts w:ascii="Times New Roman" w:eastAsia="Times New Roman" w:hAnsi="Times New Roman" w:cs="Times New Roman"/>
                <w:bCs/>
                <w:i/>
                <w:iCs/>
                <w:sz w:val="24"/>
                <w:szCs w:val="24"/>
              </w:rPr>
              <w:t>Eiropas Komisijas 2012.</w:t>
            </w:r>
            <w:r w:rsidR="0006584E">
              <w:rPr>
                <w:rFonts w:ascii="Times New Roman" w:eastAsia="Times New Roman" w:hAnsi="Times New Roman" w:cs="Times New Roman"/>
                <w:bCs/>
                <w:i/>
                <w:iCs/>
                <w:sz w:val="24"/>
                <w:szCs w:val="24"/>
              </w:rPr>
              <w:t> </w:t>
            </w:r>
            <w:r w:rsidRPr="00422B82">
              <w:rPr>
                <w:rFonts w:ascii="Times New Roman" w:eastAsia="Times New Roman" w:hAnsi="Times New Roman" w:cs="Times New Roman"/>
                <w:bCs/>
                <w:i/>
                <w:iCs/>
                <w:sz w:val="24"/>
                <w:szCs w:val="24"/>
              </w:rPr>
              <w:t>gada 21.</w:t>
            </w:r>
            <w:r w:rsidR="0006584E">
              <w:rPr>
                <w:rFonts w:ascii="Times New Roman" w:eastAsia="Times New Roman" w:hAnsi="Times New Roman" w:cs="Times New Roman"/>
                <w:bCs/>
                <w:i/>
                <w:iCs/>
                <w:sz w:val="24"/>
                <w:szCs w:val="24"/>
              </w:rPr>
              <w:t> jūnija Regulā Nr. </w:t>
            </w:r>
            <w:r w:rsidRPr="00422B82">
              <w:rPr>
                <w:rFonts w:ascii="Times New Roman" w:eastAsia="Times New Roman" w:hAnsi="Times New Roman" w:cs="Times New Roman"/>
                <w:bCs/>
                <w:i/>
                <w:iCs/>
                <w:sz w:val="24"/>
                <w:szCs w:val="24"/>
              </w:rPr>
              <w:t xml:space="preserve">601/2012 par siltumnīcefekta gāzu emisiju monitoringu un ziņošanu saskaņā ar Eiropas Parlamenta un Padomes Direktīvu 2003/87/EK </w:t>
            </w:r>
            <w:r w:rsidRPr="00422B82">
              <w:rPr>
                <w:rFonts w:ascii="Times New Roman" w:eastAsia="Times New Roman" w:hAnsi="Times New Roman" w:cs="Times New Roman"/>
                <w:sz w:val="24"/>
                <w:szCs w:val="24"/>
              </w:rPr>
              <w:t>noteikto siltumnīcefekta gāzu emisiju aprēķina metodoloģiju, ja paredzētā darbība ir iekļaujama E</w:t>
            </w:r>
            <w:r w:rsidR="006E0E9D">
              <w:rPr>
                <w:rFonts w:ascii="Times New Roman" w:eastAsia="Times New Roman" w:hAnsi="Times New Roman" w:cs="Times New Roman"/>
                <w:sz w:val="24"/>
                <w:szCs w:val="24"/>
              </w:rPr>
              <w:t>S</w:t>
            </w:r>
            <w:r w:rsidRPr="00422B82">
              <w:rPr>
                <w:rFonts w:ascii="Times New Roman" w:eastAsia="Times New Roman" w:hAnsi="Times New Roman" w:cs="Times New Roman"/>
                <w:sz w:val="24"/>
                <w:szCs w:val="24"/>
              </w:rPr>
              <w:t xml:space="preserve"> Emisijas kvotu tirdzniecības sistēmā (ir paredzēts veikt likuma “Par piesārņojumu” 2.</w:t>
            </w:r>
            <w:r w:rsidR="0006584E">
              <w:rPr>
                <w:rFonts w:ascii="Times New Roman" w:eastAsia="Times New Roman" w:hAnsi="Times New Roman" w:cs="Times New Roman"/>
                <w:sz w:val="24"/>
                <w:szCs w:val="24"/>
              </w:rPr>
              <w:t> </w:t>
            </w:r>
            <w:r w:rsidRPr="00422B82">
              <w:rPr>
                <w:rFonts w:ascii="Times New Roman" w:eastAsia="Times New Roman" w:hAnsi="Times New Roman" w:cs="Times New Roman"/>
                <w:sz w:val="24"/>
                <w:szCs w:val="24"/>
              </w:rPr>
              <w:t>pielikuma I sadaļā minēto darbību);</w:t>
            </w:r>
          </w:p>
          <w:p w:rsidR="00A82810" w:rsidRPr="00422B82" w:rsidP="00A82810" w14:paraId="2BDD94F4" w14:textId="2D19332B">
            <w:pPr>
              <w:numPr>
                <w:ilvl w:val="0"/>
                <w:numId w:val="6"/>
              </w:numPr>
              <w:spacing w:after="0" w:line="240" w:lineRule="auto"/>
              <w:jc w:val="both"/>
              <w:rPr>
                <w:rFonts w:ascii="Times New Roman" w:eastAsia="Times New Roman" w:hAnsi="Times New Roman" w:cs="Times New Roman"/>
                <w:sz w:val="24"/>
                <w:szCs w:val="24"/>
              </w:rPr>
            </w:pPr>
            <w:r w:rsidRPr="00422B82">
              <w:rPr>
                <w:rFonts w:ascii="Times New Roman" w:eastAsia="Times New Roman" w:hAnsi="Times New Roman" w:cs="Times New Roman"/>
                <w:bCs/>
                <w:i/>
                <w:iCs/>
                <w:sz w:val="24"/>
                <w:szCs w:val="24"/>
              </w:rPr>
              <w:t>Eiro</w:t>
            </w:r>
            <w:r w:rsidR="0006584E">
              <w:rPr>
                <w:rFonts w:ascii="Times New Roman" w:eastAsia="Times New Roman" w:hAnsi="Times New Roman" w:cs="Times New Roman"/>
                <w:bCs/>
                <w:i/>
                <w:iCs/>
                <w:sz w:val="24"/>
                <w:szCs w:val="24"/>
              </w:rPr>
              <w:t>pas Parlamenta un Padomes 2013. gada 21. maija Regulā Nr. </w:t>
            </w:r>
            <w:r w:rsidRPr="00422B82">
              <w:rPr>
                <w:rFonts w:ascii="Times New Roman" w:eastAsia="Times New Roman" w:hAnsi="Times New Roman" w:cs="Times New Roman"/>
                <w:bCs/>
                <w:i/>
                <w:iCs/>
                <w:sz w:val="24"/>
                <w:szCs w:val="24"/>
              </w:rPr>
              <w:t xml:space="preserve">525/2013 par mehānismu siltumnīcefekta gāzu emisiju pārraudzībai un </w:t>
            </w:r>
            <w:r w:rsidRPr="00422B82">
              <w:rPr>
                <w:rFonts w:ascii="Times New Roman" w:eastAsia="Times New Roman" w:hAnsi="Times New Roman" w:cs="Times New Roman"/>
                <w:bCs/>
                <w:i/>
                <w:iCs/>
                <w:sz w:val="24"/>
                <w:szCs w:val="24"/>
              </w:rPr>
              <w:t>ziņošanai un citas informācijas ziņošanai valstu un Savienības līmenī saistībā ar klimata pārmaiņām un par Lēmuma Nr. 280/2004/EK atcelšanu</w:t>
            </w:r>
            <w:r w:rsidRPr="00422B82">
              <w:rPr>
                <w:rFonts w:ascii="Times New Roman" w:eastAsia="Times New Roman" w:hAnsi="Times New Roman" w:cs="Times New Roman"/>
                <w:sz w:val="24"/>
                <w:szCs w:val="24"/>
              </w:rPr>
              <w:t xml:space="preserve"> noteikto siltumnīcefekta gāzu emisiju un oglekļa dioksīda piesaistes aprēķina metodoloģiju, proti, ietekmi uz klimata pārmaiņām novērtēt atbilstoši:</w:t>
            </w:r>
          </w:p>
          <w:p w:rsidR="00A82810" w:rsidRPr="00422B82" w:rsidP="00A82810" w14:paraId="6EA8299B" w14:textId="5DCCD4E2">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2006. </w:t>
            </w:r>
            <w:r w:rsidRPr="00422B82">
              <w:rPr>
                <w:rFonts w:ascii="Times New Roman" w:eastAsia="Times New Roman" w:hAnsi="Times New Roman" w:cs="Times New Roman"/>
                <w:sz w:val="24"/>
                <w:szCs w:val="24"/>
              </w:rPr>
              <w:t>gada Klimata pārmaiņu starpvaldību padomes vadlīnijas nacionālo SEG inventarizāciju sagatavošanai;</w:t>
            </w:r>
          </w:p>
          <w:p w:rsidR="00A82810" w:rsidRPr="00422B82" w:rsidP="00A82810" w14:paraId="44511EC3" w14:textId="780277AE">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2013. </w:t>
            </w:r>
            <w:r w:rsidRPr="00422B82">
              <w:rPr>
                <w:rFonts w:ascii="Times New Roman" w:eastAsia="Times New Roman" w:hAnsi="Times New Roman" w:cs="Times New Roman"/>
                <w:sz w:val="24"/>
                <w:szCs w:val="24"/>
              </w:rPr>
              <w:t>gada papildinājums 2006. gada Klimata pārmaiņu starpvaldību padomes vadlīnijām: Mitrzemes (attiecībā uz mitrzemju izmantošanu);</w:t>
            </w:r>
          </w:p>
          <w:p w:rsidR="00A82810" w:rsidRPr="00422B82" w:rsidP="00A82810" w14:paraId="7715F7A0" w14:textId="3DA84949">
            <w:pPr>
              <w:numPr>
                <w:ilvl w:val="0"/>
                <w:numId w:val="7"/>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2013.</w:t>
            </w:r>
            <w:r>
              <w:t> </w:t>
            </w:r>
            <w:r w:rsidRPr="00422B82">
              <w:rPr>
                <w:rFonts w:ascii="Times New Roman" w:eastAsia="Times New Roman" w:hAnsi="Times New Roman" w:cs="Times New Roman"/>
                <w:sz w:val="24"/>
                <w:szCs w:val="24"/>
              </w:rPr>
              <w:t>gada pārstrādātās papildinātās metodes un labās ziņošanas prakses vadlīnijas Kioto Protokola ietvaros (attiecībā uz zemes izmantošanas, zemes izmantošanas maiņas un mežsaimniecības darbībām – apmežošana, atmežošana, ilggadīgie zālāji, aramzemes, zemes izmantojuma maiņa).</w:t>
            </w:r>
          </w:p>
          <w:p w:rsidR="006278FA" w:rsidRPr="00422B82" w:rsidP="00A82810" w14:paraId="606D4C38" w14:textId="20C9BEB2">
            <w:pPr>
              <w:pStyle w:val="naiskr"/>
              <w:spacing w:before="0" w:after="0"/>
              <w:ind w:left="60"/>
              <w:jc w:val="both"/>
            </w:pPr>
            <w:r w:rsidRPr="00422B82">
              <w:t xml:space="preserve">Minētajās vadlīnijās ir ietverti detalizēti aprēķini par dažādu tautsaimniecības nozaru radītajām siltumnīcefekta gāzu emisijām un oglekļa dioksīda piesaistes aprēķinu, un tās ir pieejamas </w:t>
            </w:r>
            <w:r>
              <w:fldChar w:fldCharType="begin"/>
            </w:r>
            <w:r>
              <w:instrText xml:space="preserve"> HYPERLINK "https://www.ipcc-nggip.iges.or.jp/public/index.html" </w:instrText>
            </w:r>
            <w:r>
              <w:fldChar w:fldCharType="separate"/>
            </w:r>
            <w:r w:rsidRPr="00422B82">
              <w:rPr>
                <w:rStyle w:val="Hyperlink"/>
                <w:color w:val="auto"/>
              </w:rPr>
              <w:t>https://www.ipcc-nggip.iges.or.jp/public/index.html</w:t>
            </w:r>
            <w:r>
              <w:fldChar w:fldCharType="end"/>
            </w:r>
            <w:r w:rsidRPr="00422B82">
              <w:t>.</w:t>
            </w:r>
          </w:p>
          <w:p w:rsidR="006278FA" w:rsidRPr="00422B82" w:rsidP="0092311E" w14:paraId="554B0472" w14:textId="485CBDD7">
            <w:pPr>
              <w:pStyle w:val="naiskr"/>
              <w:spacing w:before="0" w:after="0"/>
              <w:ind w:left="60"/>
              <w:jc w:val="both"/>
            </w:pPr>
            <w:r w:rsidRPr="00422B82">
              <w:t>Tāpat jāņem vērā paredzētās darbības vietas vides jutīgums un šīs vietas ģeogrāfiskās īpatnības raksturojošie faktori, tajā skaitā, bioloģiskā daudzveidība (īpaši aizsargājamās sugas, to dzīvotnes un īpaši aizsargājamie un E</w:t>
            </w:r>
            <w:r w:rsidR="006E0E9D">
              <w:t>S</w:t>
            </w:r>
            <w:r w:rsidR="00694A47">
              <w:t xml:space="preserve"> </w:t>
            </w:r>
            <w:r w:rsidRPr="00422B82">
              <w:t xml:space="preserve">nozīmes biotopi </w:t>
            </w:r>
            <w:r w:rsidRPr="00422B82" w:rsidR="00661162">
              <w:t xml:space="preserve">atbilstoši </w:t>
            </w:r>
            <w:r w:rsidRPr="00422B82">
              <w:t xml:space="preserve">Padomes </w:t>
            </w:r>
            <w:r w:rsidRPr="00422B82" w:rsidR="00661162">
              <w:t xml:space="preserve">1992. gada 21. maija </w:t>
            </w:r>
            <w:r w:rsidRPr="00422B82">
              <w:t>direktīvas 92/43/EEK</w:t>
            </w:r>
            <w:r w:rsidRPr="00422B82" w:rsidR="00661162">
              <w:t xml:space="preserve"> </w:t>
            </w:r>
            <w:r w:rsidRPr="00422B82">
              <w:t>par dabisko dzīvotņu, savvaļas faunas un floras aizsardzību I pielikumā minēt</w:t>
            </w:r>
            <w:r w:rsidRPr="00422B82" w:rsidR="00661162">
              <w:t>ajiem</w:t>
            </w:r>
            <w:r w:rsidRPr="00422B82">
              <w:t xml:space="preserve"> biotopi</w:t>
            </w:r>
            <w:r w:rsidRPr="00422B82" w:rsidR="00661162">
              <w:t>em</w:t>
            </w:r>
            <w:r w:rsidRPr="00422B82">
              <w:t xml:space="preserve">. </w:t>
            </w:r>
          </w:p>
          <w:p w:rsidR="00C12580" w:rsidRPr="00422B82" w:rsidP="0092311E" w14:paraId="238F6B0A" w14:textId="7C9A19A0">
            <w:pPr>
              <w:pStyle w:val="naiskr"/>
              <w:spacing w:before="0" w:after="0"/>
              <w:ind w:left="60"/>
              <w:jc w:val="both"/>
            </w:pPr>
            <w:r w:rsidRPr="00422B82">
              <w:t xml:space="preserve">Jāraksturo paredzētās darbības izvēlētās alternatīvas, kā arī </w:t>
            </w:r>
            <w:r w:rsidRPr="00422B82" w:rsidR="00F67DE7">
              <w:t>mijiedarbība</w:t>
            </w:r>
            <w:r w:rsidRPr="00422B82">
              <w:t xml:space="preserve"> ar citām tuvumā esošajām paredzētajām darbībām</w:t>
            </w:r>
            <w:r w:rsidRPr="00422B82" w:rsidR="00173E3A">
              <w:t>. Ziņojumā jānorāda risinājuma veidus</w:t>
            </w:r>
            <w:r w:rsidRPr="00422B82" w:rsidR="00661162">
              <w:t xml:space="preserve"> </w:t>
            </w:r>
            <w:r w:rsidRPr="00422B82" w:rsidR="00173E3A">
              <w:t xml:space="preserve">un pasākumus, </w:t>
            </w:r>
            <w:r w:rsidRPr="00422B82" w:rsidR="00661162">
              <w:t xml:space="preserve">lai </w:t>
            </w:r>
            <w:r w:rsidRPr="00422B82" w:rsidR="0077660E">
              <w:t>novērstu, nepieļautu vai mazinātu un, ja iespējams, atlīdzinātu paredzētās darbības būtisko nelabvēlīgu ietekmi uz vidi.</w:t>
            </w:r>
            <w:r w:rsidRPr="00422B82" w:rsidR="0092311E">
              <w:t xml:space="preserve"> </w:t>
            </w:r>
            <w:r w:rsidRPr="00422B82" w:rsidR="00422B82">
              <w:t>Saskaņā ar likuma “Par īpaši aizsa</w:t>
            </w:r>
            <w:r w:rsidR="0006584E">
              <w:t>rgājamām dabas teritorijām” 43. </w:t>
            </w:r>
            <w:r w:rsidRPr="00422B82" w:rsidR="00422B82">
              <w:t>panta piekto daļu jebkuru paredzēto darbību atļauj veikt, ja tas negatīvi neietekmē Eiropas nozīmes aizsargājamās dabas teritorijas (</w:t>
            </w:r>
            <w:r w:rsidRPr="0006584E" w:rsidR="00422B82">
              <w:rPr>
                <w:i/>
              </w:rPr>
              <w:t>Natura 2000</w:t>
            </w:r>
            <w:r w:rsidRPr="00422B82" w:rsidR="00422B82">
              <w:t xml:space="preserve">) ekoloģiskās funkcijas, integritāti un nav pretrunā ar tās izveidošanas un aizsardzības mērķiem. Minētā panta sestā un septītā daļa paredz izņēmumu, kad šādu darbību var veikt, ja tā ir vienīgais risinājums un nepieciešams sabiedrībai nozīmīgu interešu, arī sociālo vai ekonomisko interešu, apmierināšanai vai nepieciešams sabiedrības veselības aizsardzības, </w:t>
            </w:r>
            <w:r w:rsidRPr="00422B82" w:rsidR="00422B82">
              <w:t xml:space="preserve">drošības vai vides aizsardzības interesēs. Normatīvajos aktos nav noteikts aizliegums veikt darbības, kas negatīvi ietekmē citas īpaši aizsargājamās dabas teritorijas, kas nav iekļautas </w:t>
            </w:r>
            <w:r w:rsidRPr="0006584E" w:rsidR="00422B82">
              <w:rPr>
                <w:i/>
              </w:rPr>
              <w:t>Natura 2000</w:t>
            </w:r>
            <w:r w:rsidRPr="00422B82" w:rsidR="00422B82">
              <w:t xml:space="preserve"> teritoriju tīklā, mikroliegumus vai īpaši aizsargājamos un E</w:t>
            </w:r>
            <w:r w:rsidR="006E0E9D">
              <w:t>S</w:t>
            </w:r>
            <w:r w:rsidR="00694A47">
              <w:t xml:space="preserve"> </w:t>
            </w:r>
            <w:r w:rsidRPr="00422B82" w:rsidR="00422B82">
              <w:t>nozīmes biotopus. Šādos gadījumos, ņemot vērā normatīvajos aktos noteiktos nosacījumus, ietekmes uz vidi novērtējuma procesā tiek izvērtēta iespējamā ietekme un rasti risinājumi, kā potenciālo negatīvo ietekmi mazināt vai novērst, ja tas ir iespējams</w:t>
            </w:r>
            <w:r w:rsidR="0006584E">
              <w:t>.</w:t>
            </w:r>
          </w:p>
          <w:p w:rsidR="00C12580" w:rsidP="00A830FF" w14:paraId="79E3DD2C" w14:textId="5F7836A0">
            <w:pPr>
              <w:pStyle w:val="naiskr"/>
              <w:spacing w:before="0" w:after="0"/>
              <w:ind w:left="60"/>
              <w:jc w:val="both"/>
            </w:pPr>
            <w:r w:rsidRPr="00422B82">
              <w:t>Būtiski, ka šī informācija, kas ir uzskait</w:t>
            </w:r>
            <w:r w:rsidRPr="00422B82" w:rsidR="00350691">
              <w:t xml:space="preserve">īta noteikumu projektā </w:t>
            </w:r>
            <w:r w:rsidRPr="00422B82">
              <w:t xml:space="preserve">ir pamatinformācija, kas ir attiecināma uz visām iespējamām paredzētajām darbībām, bet tieši Biroja izsniegtajā programmā tiek norādīts konkrētas prasības, kas attiecināmas uz </w:t>
            </w:r>
            <w:r w:rsidRPr="00422B82" w:rsidR="006A0CD4">
              <w:t>pieteikto paredzēto darbību</w:t>
            </w:r>
            <w:r w:rsidRPr="00422B82">
              <w:t xml:space="preserve">. Ietekmes uz vidi novērtējuma procedūras laikā ierosinātājs var konsultēties ar Biroju, kā arī, ja secina, ka sākotnēji pieteiktajā darbībā vēlas izmaiņas, tad tās norādīt un lūgt, lai Birojs izsniedz jaunu programmu par aktualizēto paredzēto darbību. Biroja programma ir publiski pieejama Biroja tīmekļvietnē </w:t>
            </w:r>
            <w:r>
              <w:fldChar w:fldCharType="begin"/>
            </w:r>
            <w:r>
              <w:instrText xml:space="preserve"> HYPERLINK "http://www.vpvb.gov.lv" </w:instrText>
            </w:r>
            <w:r>
              <w:fldChar w:fldCharType="separate"/>
            </w:r>
            <w:r w:rsidRPr="00422B82">
              <w:rPr>
                <w:rStyle w:val="Hyperlink"/>
                <w:color w:val="auto"/>
              </w:rPr>
              <w:t>www.vpvb.gov.lv</w:t>
            </w:r>
            <w:r>
              <w:fldChar w:fldCharType="end"/>
            </w:r>
            <w:r w:rsidRPr="00422B82">
              <w:t xml:space="preserve"> </w:t>
            </w:r>
          </w:p>
          <w:p w:rsidR="008A505D" w:rsidRPr="00422B82" w:rsidP="00A830FF" w14:paraId="51A5943C" w14:textId="77777777">
            <w:pPr>
              <w:pStyle w:val="naiskr"/>
              <w:spacing w:before="0" w:after="0"/>
              <w:ind w:left="60"/>
              <w:jc w:val="both"/>
            </w:pPr>
          </w:p>
          <w:p w:rsidR="00A830FF" w:rsidRPr="00422B82" w:rsidP="00A830FF" w14:paraId="7865FBDC" w14:textId="77777777">
            <w:pPr>
              <w:pStyle w:val="naiskr"/>
              <w:spacing w:before="0" w:after="0"/>
              <w:ind w:left="60"/>
              <w:jc w:val="both"/>
              <w:rPr>
                <w:i/>
              </w:rPr>
            </w:pPr>
            <w:r w:rsidRPr="00422B82">
              <w:rPr>
                <w:i/>
              </w:rPr>
              <w:t>Par noteikumu projekta ietekmi uz vidi</w:t>
            </w:r>
          </w:p>
          <w:p w:rsidR="00A830FF" w:rsidP="00970C96" w14:paraId="7B7C15E4" w14:textId="71FF7CDE">
            <w:pPr>
              <w:pStyle w:val="naiskr"/>
              <w:spacing w:before="0" w:after="0"/>
              <w:ind w:left="60"/>
              <w:jc w:val="both"/>
            </w:pPr>
            <w:r w:rsidRPr="00422B82">
              <w:t>Noteikumu projekts pozitīvi ietekmēs vidi, jo sabiedr</w:t>
            </w:r>
            <w:r w:rsidRPr="00422B82" w:rsidR="00970C96">
              <w:t>ībai tiks sniegt</w:t>
            </w:r>
            <w:r w:rsidRPr="00422B82" w:rsidR="00B867EB">
              <w:t>a</w:t>
            </w:r>
            <w:r w:rsidRPr="00422B82" w:rsidR="00970C96">
              <w:t xml:space="preserve"> pamatot</w:t>
            </w:r>
            <w:r w:rsidRPr="00422B82" w:rsidR="00B867EB">
              <w:t>a</w:t>
            </w:r>
            <w:r w:rsidRPr="00422B82" w:rsidR="00970C96">
              <w:t xml:space="preserve"> un arī det</w:t>
            </w:r>
            <w:r w:rsidRPr="00422B82" w:rsidR="00661162">
              <w:t>alizēti</w:t>
            </w:r>
            <w:r w:rsidRPr="00422B82" w:rsidR="00B867EB">
              <w:t xml:space="preserve"> aprakstīta informācija</w:t>
            </w:r>
            <w:r w:rsidRPr="00422B82" w:rsidR="00970C96">
              <w:t xml:space="preserve"> par paredzētās darbības iespējamo ietekmi uz vidi. </w:t>
            </w:r>
            <w:r w:rsidRPr="00422B82">
              <w:t>Sabiedrības, uzņēmēja un arī iesaistīto institūciju interesēs ir iepazīties ar pilnvērtīgu novērtējumu par paredzētās darbības ietekmi uz vidi, lai nerastos situācijas, ka tiek apšaubīta paredzētās darbības ietekme</w:t>
            </w:r>
            <w:r w:rsidRPr="00422B82">
              <w:t xml:space="preserve">. </w:t>
            </w:r>
          </w:p>
          <w:p w:rsidR="008A505D" w:rsidRPr="00422B82" w:rsidP="00970C96" w14:paraId="5834A886" w14:textId="77777777">
            <w:pPr>
              <w:pStyle w:val="naiskr"/>
              <w:spacing w:before="0" w:after="0"/>
              <w:ind w:left="60"/>
              <w:jc w:val="both"/>
            </w:pPr>
          </w:p>
          <w:p w:rsidR="00A830FF" w:rsidRPr="00422B82" w:rsidP="00970C96" w14:paraId="6260BD0B" w14:textId="77777777">
            <w:pPr>
              <w:pStyle w:val="naiskr"/>
              <w:spacing w:before="0" w:after="0"/>
              <w:ind w:left="60"/>
              <w:jc w:val="both"/>
              <w:rPr>
                <w:i/>
              </w:rPr>
            </w:pPr>
            <w:r w:rsidRPr="00422B82">
              <w:rPr>
                <w:i/>
              </w:rPr>
              <w:t>Par noteikumu projekta ietekmi uz veselību</w:t>
            </w:r>
          </w:p>
          <w:p w:rsidR="00A830FF" w:rsidP="00970C96" w14:paraId="34413A85" w14:textId="71665592">
            <w:pPr>
              <w:pStyle w:val="naiskr"/>
              <w:spacing w:before="0" w:after="0"/>
              <w:ind w:left="60"/>
              <w:jc w:val="both"/>
            </w:pPr>
            <w:r w:rsidRPr="00422B82">
              <w:t>Noteikumu projekt</w:t>
            </w:r>
            <w:r w:rsidRPr="00422B82">
              <w:t>s</w:t>
            </w:r>
            <w:r w:rsidRPr="00422B82">
              <w:t xml:space="preserve"> </w:t>
            </w:r>
            <w:r w:rsidRPr="00422B82">
              <w:t>paredz, ka ziņojumā par paredzētās darbības ietekmi uz vidi</w:t>
            </w:r>
            <w:r w:rsidRPr="00422B82">
              <w:t xml:space="preserve"> iekļau</w:t>
            </w:r>
            <w:r w:rsidRPr="00422B82">
              <w:t>j</w:t>
            </w:r>
            <w:r w:rsidRPr="00422B82">
              <w:t xml:space="preserve"> informācij</w:t>
            </w:r>
            <w:r w:rsidRPr="00422B82">
              <w:t>u</w:t>
            </w:r>
            <w:r w:rsidR="0006584E">
              <w:t xml:space="preserve"> atbilstoši prasībai</w:t>
            </w:r>
            <w:r w:rsidRPr="00422B82">
              <w:t xml:space="preserve">, ka paredzētās darbības iespējama ietekme uz vidi jāapraksta kontekstā ar cilvēku veselību. </w:t>
            </w:r>
          </w:p>
          <w:p w:rsidR="008A505D" w:rsidRPr="00422B82" w:rsidP="00970C96" w14:paraId="7731F7A4" w14:textId="77777777">
            <w:pPr>
              <w:pStyle w:val="naiskr"/>
              <w:spacing w:before="0" w:after="0"/>
              <w:ind w:left="60"/>
              <w:jc w:val="both"/>
            </w:pPr>
          </w:p>
          <w:p w:rsidR="00A830FF" w:rsidRPr="00422B82" w:rsidP="00970C96" w14:paraId="456ECCE5" w14:textId="77777777">
            <w:pPr>
              <w:pStyle w:val="naiskr"/>
              <w:spacing w:before="0" w:after="0"/>
              <w:ind w:left="60"/>
              <w:jc w:val="both"/>
              <w:rPr>
                <w:i/>
              </w:rPr>
            </w:pPr>
            <w:r w:rsidRPr="00422B82">
              <w:rPr>
                <w:i/>
              </w:rPr>
              <w:t>Par noteikumu projekta ietekmi uz uzņēmējdarbības vidi</w:t>
            </w:r>
          </w:p>
          <w:p w:rsidR="00A06DA4" w:rsidRPr="00422B82" w:rsidP="00EA238B" w14:paraId="7E1627A1" w14:textId="20DAC8F8">
            <w:pPr>
              <w:pStyle w:val="naiskr"/>
              <w:spacing w:before="0" w:after="0"/>
              <w:ind w:left="60"/>
              <w:jc w:val="both"/>
              <w:rPr>
                <w:i/>
              </w:rPr>
            </w:pPr>
            <w:r w:rsidRPr="00422B82">
              <w:t>Noteikumu projekt</w:t>
            </w:r>
            <w:r w:rsidRPr="00422B82" w:rsidR="00A830FF">
              <w:t>s</w:t>
            </w:r>
            <w:r w:rsidRPr="00422B82">
              <w:t xml:space="preserve"> ietekm</w:t>
            </w:r>
            <w:r w:rsidRPr="00422B82" w:rsidR="00A830FF">
              <w:t>ē</w:t>
            </w:r>
            <w:r w:rsidRPr="00422B82">
              <w:t xml:space="preserve"> uzņēmējdarbības vidi</w:t>
            </w:r>
            <w:r w:rsidRPr="00422B82" w:rsidR="00A830FF">
              <w:t>.</w:t>
            </w:r>
            <w:r w:rsidRPr="00422B82">
              <w:t xml:space="preserve"> </w:t>
            </w:r>
            <w:r w:rsidRPr="00422B82" w:rsidR="00A830FF">
              <w:t>Norādām, ka</w:t>
            </w:r>
            <w:r w:rsidRPr="00422B82">
              <w:t xml:space="preserve"> galvenokārt ietekmes uz vidi novērtējumu ziņojumus sagatavo komersanti paredzētās darbības ierosinātājam</w:t>
            </w:r>
            <w:r w:rsidRPr="00422B82" w:rsidR="00A830FF">
              <w:t>. Noteikumu projektā</w:t>
            </w:r>
            <w:r w:rsidRPr="00422B82">
              <w:t xml:space="preserve"> ir novērtēts, ka ar noteikumu projektu tiek paplašināts informācijas apjoms, kas jāiekļauj ziņojumā, tomēr jāņem vērā, ka informācijas detalizācijas pakāpe ir noteikta ar Direktīvas prasībām.</w:t>
            </w:r>
          </w:p>
        </w:tc>
      </w:tr>
      <w:tr w14:paraId="5AD5EB51"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22B82" w:rsidP="00BC7CB7" w14:paraId="6D65991D" w14:textId="77777777">
            <w:pPr>
              <w:spacing w:after="0" w:line="240" w:lineRule="auto"/>
              <w:rPr>
                <w:rFonts w:ascii="Times New Roman" w:eastAsia="Times New Roman" w:hAnsi="Times New Roman" w:cs="Times New Roman"/>
                <w:iCs/>
                <w:sz w:val="24"/>
                <w:szCs w:val="24"/>
                <w:lang w:eastAsia="lv-LV"/>
              </w:rPr>
            </w:pPr>
            <w:r w:rsidRPr="00422B82">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422B82" w:rsidP="00BC7CB7" w14:paraId="6DAFE977" w14:textId="77777777">
            <w:pPr>
              <w:spacing w:after="0" w:line="240" w:lineRule="auto"/>
              <w:rPr>
                <w:rFonts w:ascii="Times New Roman" w:eastAsia="Times New Roman" w:hAnsi="Times New Roman" w:cs="Times New Roman"/>
                <w:iCs/>
                <w:sz w:val="24"/>
                <w:szCs w:val="24"/>
                <w:lang w:eastAsia="lv-LV"/>
              </w:rPr>
            </w:pPr>
            <w:r w:rsidRPr="00422B82">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422B82" w:rsidP="00F12D56" w14:paraId="109C64DB" w14:textId="1A9FC6C4">
            <w:pPr>
              <w:spacing w:after="0" w:line="240" w:lineRule="auto"/>
              <w:rPr>
                <w:rFonts w:ascii="Times New Roman" w:eastAsia="Times New Roman" w:hAnsi="Times New Roman" w:cs="Times New Roman"/>
                <w:iCs/>
                <w:sz w:val="24"/>
                <w:szCs w:val="24"/>
                <w:lang w:eastAsia="lv-LV"/>
              </w:rPr>
            </w:pPr>
            <w:r w:rsidRPr="00422B82">
              <w:rPr>
                <w:rFonts w:ascii="Times New Roman" w:hAnsi="Times New Roman" w:cs="Times New Roman"/>
                <w:iCs/>
                <w:sz w:val="24"/>
                <w:szCs w:val="24"/>
              </w:rPr>
              <w:t>Vides aizsardzības un reģionālās attīstības ministrija VARAM, Valsts vides dienests un Birojs.</w:t>
            </w:r>
          </w:p>
        </w:tc>
      </w:tr>
      <w:tr w14:paraId="222A6415"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422B82" w:rsidP="00BC7CB7" w14:paraId="5BB16062" w14:textId="77777777">
            <w:pPr>
              <w:spacing w:after="0" w:line="240" w:lineRule="auto"/>
              <w:rPr>
                <w:rFonts w:ascii="Times New Roman" w:eastAsia="Times New Roman" w:hAnsi="Times New Roman" w:cs="Times New Roman"/>
                <w:iCs/>
                <w:sz w:val="24"/>
                <w:szCs w:val="24"/>
                <w:lang w:eastAsia="lv-LV"/>
              </w:rPr>
            </w:pPr>
            <w:r w:rsidRPr="00422B82">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422B82" w:rsidP="00BC7CB7" w14:paraId="3ECB8743" w14:textId="77777777">
            <w:pPr>
              <w:spacing w:after="0" w:line="240" w:lineRule="auto"/>
              <w:rPr>
                <w:rFonts w:ascii="Times New Roman" w:eastAsia="Times New Roman" w:hAnsi="Times New Roman" w:cs="Times New Roman"/>
                <w:iCs/>
                <w:sz w:val="24"/>
                <w:szCs w:val="24"/>
                <w:lang w:eastAsia="lv-LV"/>
              </w:rPr>
            </w:pPr>
            <w:r w:rsidRPr="00422B82">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422B82" w:rsidP="00BC7CB7" w14:paraId="2110F241" w14:textId="27841D15">
            <w:pPr>
              <w:spacing w:after="0" w:line="240" w:lineRule="auto"/>
              <w:rPr>
                <w:rFonts w:ascii="Times New Roman" w:eastAsia="Times New Roman" w:hAnsi="Times New Roman" w:cs="Times New Roman"/>
                <w:iCs/>
                <w:sz w:val="24"/>
                <w:szCs w:val="24"/>
                <w:lang w:eastAsia="lv-LV"/>
              </w:rPr>
            </w:pPr>
            <w:r w:rsidRPr="00422B82">
              <w:rPr>
                <w:rFonts w:ascii="Times New Roman" w:eastAsia="Times New Roman" w:hAnsi="Times New Roman" w:cs="Times New Roman"/>
                <w:iCs/>
                <w:sz w:val="24"/>
                <w:szCs w:val="24"/>
                <w:lang w:eastAsia="lv-LV"/>
              </w:rPr>
              <w:t>Nav</w:t>
            </w:r>
          </w:p>
        </w:tc>
      </w:tr>
    </w:tbl>
    <w:p w:rsidR="00687540" w14:paraId="3AD4BFDF" w14:textId="77777777"/>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4BE5936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4840" w:rsidP="00E5323B" w14:paraId="0880AFD1" w14:textId="125C6B66">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II.</w:t>
            </w:r>
            <w:r w:rsidR="00661162">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14:paraId="2C274FF5"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4840" w:rsidP="00E5323B" w14:paraId="4153E1C1"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044840" w:rsidP="00E5323B" w14:paraId="4A088A12"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Sabiedrības mērķgrupas,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rsidR="00F12D56" w:rsidRPr="00044840" w:rsidP="007B1171" w14:paraId="44A5B007" w14:textId="23EEF03D">
            <w:pPr>
              <w:ind w:left="45"/>
              <w:jc w:val="both"/>
              <w:rPr>
                <w:rFonts w:ascii="Times New Roman" w:hAnsi="Times New Roman" w:cs="Times New Roman"/>
                <w:sz w:val="24"/>
                <w:szCs w:val="24"/>
              </w:rPr>
            </w:pPr>
            <w:r w:rsidRPr="00044840">
              <w:rPr>
                <w:rFonts w:ascii="Times New Roman" w:hAnsi="Times New Roman" w:cs="Times New Roman"/>
                <w:sz w:val="24"/>
                <w:szCs w:val="24"/>
              </w:rPr>
              <w:t xml:space="preserve">Juridiskās, fiziskās un publiskās personas, kā arī iestādes, piemēram, Dabas aizsardzības pārvalde, kā arī kapitālsabiedrības </w:t>
            </w:r>
            <w:r w:rsidR="00661162">
              <w:rPr>
                <w:rFonts w:ascii="Times New Roman" w:hAnsi="Times New Roman" w:cs="Times New Roman"/>
                <w:sz w:val="24"/>
                <w:szCs w:val="24"/>
              </w:rPr>
              <w:t>–</w:t>
            </w:r>
            <w:r w:rsidRPr="00044840">
              <w:rPr>
                <w:rFonts w:ascii="Times New Roman" w:hAnsi="Times New Roman" w:cs="Times New Roman"/>
                <w:sz w:val="24"/>
                <w:szCs w:val="24"/>
              </w:rPr>
              <w:t xml:space="preserve"> </w:t>
            </w:r>
            <w:r w:rsidR="00661162">
              <w:rPr>
                <w:rFonts w:ascii="Times New Roman" w:hAnsi="Times New Roman" w:cs="Times New Roman"/>
                <w:sz w:val="24"/>
                <w:szCs w:val="24"/>
              </w:rPr>
              <w:t xml:space="preserve">valsts akciju sabiedrība </w:t>
            </w:r>
            <w:r w:rsidRPr="00044840">
              <w:rPr>
                <w:rFonts w:ascii="Times New Roman" w:hAnsi="Times New Roman" w:cs="Times New Roman"/>
                <w:sz w:val="24"/>
                <w:szCs w:val="24"/>
              </w:rPr>
              <w:t xml:space="preserve"> “Latvijas Valsts ceļi”:</w:t>
            </w:r>
          </w:p>
          <w:p w:rsidR="00F12D56" w:rsidRPr="00044840" w:rsidP="007B1171" w14:paraId="235ECE11" w14:textId="3E176E4A">
            <w:pPr>
              <w:ind w:left="45"/>
              <w:jc w:val="both"/>
              <w:rPr>
                <w:rFonts w:ascii="Times New Roman" w:hAnsi="Times New Roman" w:cs="Times New Roman"/>
                <w:sz w:val="24"/>
                <w:szCs w:val="24"/>
              </w:rPr>
            </w:pPr>
            <w:r w:rsidRPr="00044840">
              <w:rPr>
                <w:rFonts w:ascii="Times New Roman" w:hAnsi="Times New Roman" w:cs="Times New Roman"/>
                <w:sz w:val="24"/>
                <w:szCs w:val="24"/>
              </w:rPr>
              <w:t>1) kurām piemērota ietekmes uz vidi novērtējuma procedūra;</w:t>
            </w:r>
          </w:p>
          <w:p w:rsidR="00E5323B" w:rsidRPr="00044840" w:rsidP="007B1171" w14:paraId="07142DA2" w14:textId="5804755E">
            <w:pPr>
              <w:spacing w:after="0" w:line="240" w:lineRule="auto"/>
              <w:jc w:val="both"/>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 xml:space="preserve"> 2)</w:t>
            </w:r>
            <w:r w:rsidR="00661162">
              <w:rPr>
                <w:rFonts w:ascii="Times New Roman" w:hAnsi="Times New Roman" w:cs="Times New Roman"/>
                <w:sz w:val="24"/>
                <w:szCs w:val="24"/>
              </w:rPr>
              <w:t> </w:t>
            </w:r>
            <w:r w:rsidRPr="00044840">
              <w:rPr>
                <w:rFonts w:ascii="Times New Roman" w:hAnsi="Times New Roman" w:cs="Times New Roman"/>
                <w:sz w:val="24"/>
                <w:szCs w:val="24"/>
              </w:rPr>
              <w:t>kuras plāno paredzēto darbību, kurai būs nepieciešama ietekmes uz vidi novērtējuma procedūra.</w:t>
            </w:r>
          </w:p>
        </w:tc>
      </w:tr>
      <w:tr w14:paraId="5C16E6ED"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4840" w:rsidP="00E5323B" w14:paraId="7B333501"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044840" w:rsidP="00E5323B" w14:paraId="768560BE"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Tiesiskā regulējuma ietekme uz tautsaimniecību un administratīvo slogu</w:t>
            </w:r>
          </w:p>
          <w:p w:rsidR="00A830FF" w:rsidRPr="00044840" w:rsidP="006D7121" w14:paraId="75DD631D" w14:textId="77777777">
            <w:pPr>
              <w:pStyle w:val="tv213"/>
              <w:spacing w:before="0" w:beforeAutospacing="0" w:after="0" w:afterAutospacing="0" w:line="293" w:lineRule="atLeast"/>
              <w:ind w:firstLine="300"/>
              <w:jc w:val="both"/>
              <w:rPr>
                <w:rFonts w:eastAsia="Times New Roman"/>
                <w:iCs/>
              </w:rPr>
            </w:pPr>
          </w:p>
        </w:tc>
        <w:tc>
          <w:tcPr>
            <w:tcW w:w="2960" w:type="pct"/>
            <w:tcBorders>
              <w:top w:val="outset" w:sz="6" w:space="0" w:color="auto"/>
              <w:left w:val="outset" w:sz="6" w:space="0" w:color="auto"/>
              <w:bottom w:val="outset" w:sz="6" w:space="0" w:color="auto"/>
              <w:right w:val="outset" w:sz="6" w:space="0" w:color="auto"/>
            </w:tcBorders>
            <w:hideMark/>
          </w:tcPr>
          <w:p w:rsidR="008B1EE8" w:rsidRPr="008B1EE8" w:rsidP="00047CDC" w14:paraId="352A1E9F" w14:textId="05A7C260">
            <w:pPr>
              <w:spacing w:after="0" w:line="240" w:lineRule="auto"/>
              <w:jc w:val="both"/>
              <w:rPr>
                <w:rFonts w:ascii="Times New Roman" w:hAnsi="Times New Roman" w:cs="Times New Roman"/>
                <w:sz w:val="24"/>
                <w:szCs w:val="24"/>
              </w:rPr>
            </w:pPr>
            <w:r w:rsidRPr="00044840">
              <w:rPr>
                <w:rFonts w:ascii="Times New Roman" w:hAnsi="Times New Roman" w:cs="Times New Roman"/>
                <w:sz w:val="24"/>
                <w:szCs w:val="24"/>
              </w:rPr>
              <w:t>Informācija</w:t>
            </w:r>
            <w:r w:rsidR="00795570">
              <w:rPr>
                <w:rFonts w:ascii="Times New Roman" w:hAnsi="Times New Roman" w:cs="Times New Roman"/>
                <w:sz w:val="24"/>
                <w:szCs w:val="24"/>
              </w:rPr>
              <w:t>s apjoms</w:t>
            </w:r>
            <w:r w:rsidRPr="00044840">
              <w:rPr>
                <w:rFonts w:ascii="Times New Roman" w:hAnsi="Times New Roman" w:cs="Times New Roman"/>
                <w:sz w:val="24"/>
                <w:szCs w:val="24"/>
              </w:rPr>
              <w:t>, k</w:t>
            </w:r>
            <w:r w:rsidR="00795570">
              <w:rPr>
                <w:rFonts w:ascii="Times New Roman" w:hAnsi="Times New Roman" w:cs="Times New Roman"/>
                <w:sz w:val="24"/>
                <w:szCs w:val="24"/>
              </w:rPr>
              <w:t>as</w:t>
            </w:r>
            <w:r w:rsidRPr="00044840">
              <w:rPr>
                <w:rFonts w:ascii="Times New Roman" w:hAnsi="Times New Roman" w:cs="Times New Roman"/>
                <w:sz w:val="24"/>
                <w:szCs w:val="24"/>
              </w:rPr>
              <w:t xml:space="preserve"> jāiekļauj</w:t>
            </w:r>
            <w:r w:rsidRPr="00044840" w:rsidR="00F12D56">
              <w:rPr>
                <w:rFonts w:ascii="Times New Roman" w:hAnsi="Times New Roman" w:cs="Times New Roman"/>
                <w:sz w:val="24"/>
                <w:szCs w:val="24"/>
              </w:rPr>
              <w:t xml:space="preserve"> paredzētās darbības ietekmes uz vidi novērtējuma ziņojumā</w:t>
            </w:r>
            <w:r w:rsidRPr="00044840" w:rsidR="006D7121">
              <w:rPr>
                <w:rFonts w:ascii="Times New Roman" w:hAnsi="Times New Roman" w:cs="Times New Roman"/>
                <w:sz w:val="24"/>
                <w:szCs w:val="24"/>
              </w:rPr>
              <w:t>,</w:t>
            </w:r>
            <w:r w:rsidRPr="00044840" w:rsidR="00F12D56">
              <w:rPr>
                <w:rFonts w:ascii="Times New Roman" w:hAnsi="Times New Roman" w:cs="Times New Roman"/>
                <w:sz w:val="24"/>
                <w:szCs w:val="24"/>
              </w:rPr>
              <w:t xml:space="preserve"> </w:t>
            </w:r>
            <w:r w:rsidRPr="00044840">
              <w:rPr>
                <w:rFonts w:ascii="Times New Roman" w:hAnsi="Times New Roman" w:cs="Times New Roman"/>
                <w:sz w:val="24"/>
                <w:szCs w:val="24"/>
              </w:rPr>
              <w:t>tiek palielināt</w:t>
            </w:r>
            <w:r w:rsidR="00795570">
              <w:rPr>
                <w:rFonts w:ascii="Times New Roman" w:hAnsi="Times New Roman" w:cs="Times New Roman"/>
                <w:sz w:val="24"/>
                <w:szCs w:val="24"/>
              </w:rPr>
              <w:t>s</w:t>
            </w:r>
            <w:r w:rsidRPr="00044840" w:rsidR="006D7121">
              <w:rPr>
                <w:rFonts w:ascii="Times New Roman" w:hAnsi="Times New Roman" w:cs="Times New Roman"/>
                <w:sz w:val="24"/>
                <w:szCs w:val="24"/>
              </w:rPr>
              <w:t xml:space="preserve">. </w:t>
            </w:r>
            <w:r w:rsidR="00795570">
              <w:rPr>
                <w:rFonts w:ascii="Times New Roman" w:hAnsi="Times New Roman" w:cs="Times New Roman"/>
                <w:sz w:val="24"/>
                <w:szCs w:val="24"/>
              </w:rPr>
              <w:t>Jāatzīst</w:t>
            </w:r>
            <w:r w:rsidRPr="00044840" w:rsidR="006D7121">
              <w:rPr>
                <w:rFonts w:ascii="Times New Roman" w:hAnsi="Times New Roman" w:cs="Times New Roman"/>
                <w:sz w:val="24"/>
                <w:szCs w:val="24"/>
              </w:rPr>
              <w:t xml:space="preserve">, ka </w:t>
            </w:r>
            <w:r w:rsidRPr="00044840" w:rsidR="00795570">
              <w:rPr>
                <w:rFonts w:ascii="Times New Roman" w:hAnsi="Times New Roman" w:cs="Times New Roman"/>
                <w:sz w:val="24"/>
                <w:szCs w:val="24"/>
              </w:rPr>
              <w:t>administratīvais slogs kā komersantiem</w:t>
            </w:r>
            <w:r w:rsidR="00795570">
              <w:rPr>
                <w:rFonts w:ascii="Times New Roman" w:hAnsi="Times New Roman" w:cs="Times New Roman"/>
                <w:sz w:val="24"/>
                <w:szCs w:val="24"/>
              </w:rPr>
              <w:t>,</w:t>
            </w:r>
            <w:r w:rsidRPr="00044840" w:rsidR="00795570">
              <w:rPr>
                <w:rFonts w:ascii="Times New Roman" w:hAnsi="Times New Roman" w:cs="Times New Roman"/>
                <w:sz w:val="24"/>
                <w:szCs w:val="24"/>
              </w:rPr>
              <w:t xml:space="preserve"> tā arī </w:t>
            </w:r>
            <w:r w:rsidR="00795570">
              <w:rPr>
                <w:rFonts w:ascii="Times New Roman" w:hAnsi="Times New Roman" w:cs="Times New Roman"/>
                <w:sz w:val="24"/>
                <w:szCs w:val="24"/>
              </w:rPr>
              <w:t>uzraugošajām i</w:t>
            </w:r>
            <w:r w:rsidRPr="00044840" w:rsidR="00795570">
              <w:rPr>
                <w:rFonts w:ascii="Times New Roman" w:hAnsi="Times New Roman" w:cs="Times New Roman"/>
                <w:sz w:val="24"/>
                <w:szCs w:val="24"/>
              </w:rPr>
              <w:t>nstitūcijām</w:t>
            </w:r>
            <w:r w:rsidRPr="00044840" w:rsidR="00795570">
              <w:rPr>
                <w:rFonts w:ascii="Times New Roman" w:hAnsi="Times New Roman" w:cs="Times New Roman"/>
                <w:sz w:val="24"/>
                <w:szCs w:val="24"/>
              </w:rPr>
              <w:t xml:space="preserve"> </w:t>
            </w:r>
            <w:r w:rsidRPr="00044840" w:rsidR="006D7121">
              <w:rPr>
                <w:rFonts w:ascii="Times New Roman" w:hAnsi="Times New Roman" w:cs="Times New Roman"/>
                <w:sz w:val="24"/>
                <w:szCs w:val="24"/>
              </w:rPr>
              <w:t>tiek palielināts</w:t>
            </w:r>
            <w:r w:rsidR="00044840">
              <w:rPr>
                <w:rFonts w:ascii="Times New Roman" w:hAnsi="Times New Roman" w:cs="Times New Roman"/>
                <w:sz w:val="24"/>
                <w:szCs w:val="24"/>
              </w:rPr>
              <w:t>,</w:t>
            </w:r>
            <w:r w:rsidRPr="00044840">
              <w:rPr>
                <w:rFonts w:ascii="Times New Roman" w:hAnsi="Times New Roman" w:cs="Times New Roman"/>
                <w:sz w:val="24"/>
                <w:szCs w:val="24"/>
              </w:rPr>
              <w:t xml:space="preserve"> </w:t>
            </w:r>
            <w:r w:rsidR="00795570">
              <w:rPr>
                <w:rFonts w:ascii="Times New Roman" w:hAnsi="Times New Roman" w:cs="Times New Roman"/>
                <w:sz w:val="24"/>
                <w:szCs w:val="24"/>
              </w:rPr>
              <w:t xml:space="preserve">taču </w:t>
            </w:r>
            <w:r w:rsidRPr="00044840">
              <w:rPr>
                <w:rFonts w:ascii="Times New Roman" w:hAnsi="Times New Roman" w:cs="Times New Roman"/>
                <w:sz w:val="24"/>
                <w:szCs w:val="24"/>
              </w:rPr>
              <w:t xml:space="preserve">šī </w:t>
            </w:r>
            <w:r w:rsidR="00795570">
              <w:rPr>
                <w:rFonts w:ascii="Times New Roman" w:hAnsi="Times New Roman" w:cs="Times New Roman"/>
                <w:sz w:val="24"/>
                <w:szCs w:val="24"/>
              </w:rPr>
              <w:t>prasība</w:t>
            </w:r>
            <w:r w:rsidRPr="00044840">
              <w:rPr>
                <w:rFonts w:ascii="Times New Roman" w:hAnsi="Times New Roman" w:cs="Times New Roman"/>
                <w:sz w:val="24"/>
                <w:szCs w:val="24"/>
              </w:rPr>
              <w:t xml:space="preserve"> ir noteikta Direktīvā, un katra</w:t>
            </w:r>
            <w:r w:rsidRPr="00044840" w:rsidR="00A830FF">
              <w:rPr>
                <w:rFonts w:ascii="Times New Roman" w:hAnsi="Times New Roman" w:cs="Times New Roman"/>
                <w:sz w:val="24"/>
                <w:szCs w:val="24"/>
              </w:rPr>
              <w:t>i</w:t>
            </w:r>
            <w:r w:rsidRPr="00044840">
              <w:rPr>
                <w:rFonts w:ascii="Times New Roman" w:hAnsi="Times New Roman" w:cs="Times New Roman"/>
                <w:sz w:val="24"/>
                <w:szCs w:val="24"/>
              </w:rPr>
              <w:t xml:space="preserve"> </w:t>
            </w:r>
            <w:r w:rsidR="006E0E9D">
              <w:rPr>
                <w:rFonts w:ascii="Times New Roman" w:hAnsi="Times New Roman" w:cs="Times New Roman"/>
                <w:sz w:val="24"/>
                <w:szCs w:val="24"/>
              </w:rPr>
              <w:t xml:space="preserve">ES </w:t>
            </w:r>
            <w:r w:rsidRPr="00044840">
              <w:rPr>
                <w:rFonts w:ascii="Times New Roman" w:hAnsi="Times New Roman" w:cs="Times New Roman"/>
                <w:sz w:val="24"/>
                <w:szCs w:val="24"/>
              </w:rPr>
              <w:t>dalībvalst</w:t>
            </w:r>
            <w:r w:rsidRPr="00044840" w:rsidR="00A830FF">
              <w:rPr>
                <w:rFonts w:ascii="Times New Roman" w:hAnsi="Times New Roman" w:cs="Times New Roman"/>
                <w:sz w:val="24"/>
                <w:szCs w:val="24"/>
              </w:rPr>
              <w:t>ij</w:t>
            </w:r>
            <w:r w:rsidRPr="00044840">
              <w:rPr>
                <w:rFonts w:ascii="Times New Roman" w:hAnsi="Times New Roman" w:cs="Times New Roman"/>
                <w:sz w:val="24"/>
                <w:szCs w:val="24"/>
              </w:rPr>
              <w:t xml:space="preserve"> t</w:t>
            </w:r>
            <w:r w:rsidR="00795570">
              <w:rPr>
                <w:rFonts w:ascii="Times New Roman" w:hAnsi="Times New Roman" w:cs="Times New Roman"/>
                <w:sz w:val="24"/>
                <w:szCs w:val="24"/>
              </w:rPr>
              <w:t>as jā</w:t>
            </w:r>
            <w:r w:rsidRPr="00044840">
              <w:rPr>
                <w:rFonts w:ascii="Times New Roman" w:hAnsi="Times New Roman" w:cs="Times New Roman"/>
                <w:sz w:val="24"/>
                <w:szCs w:val="24"/>
              </w:rPr>
              <w:t xml:space="preserve">ņem vērā. Jāatzīmē, ka </w:t>
            </w:r>
            <w:r w:rsidR="00795570">
              <w:rPr>
                <w:rFonts w:ascii="Times New Roman" w:hAnsi="Times New Roman" w:cs="Times New Roman"/>
                <w:sz w:val="24"/>
                <w:szCs w:val="24"/>
              </w:rPr>
              <w:t xml:space="preserve">gadījumā, ja kāda </w:t>
            </w:r>
            <w:r w:rsidRPr="00044840">
              <w:rPr>
                <w:rFonts w:ascii="Times New Roman" w:hAnsi="Times New Roman" w:cs="Times New Roman"/>
                <w:sz w:val="24"/>
                <w:szCs w:val="24"/>
              </w:rPr>
              <w:t>transporta vai enerģētikas nozar</w:t>
            </w:r>
            <w:r w:rsidR="00795570">
              <w:rPr>
                <w:rFonts w:ascii="Times New Roman" w:hAnsi="Times New Roman" w:cs="Times New Roman"/>
                <w:sz w:val="24"/>
                <w:szCs w:val="24"/>
              </w:rPr>
              <w:t>es projekta īstenotāji vēlēsies saņemt</w:t>
            </w:r>
            <w:r w:rsidRPr="00044840">
              <w:rPr>
                <w:rFonts w:ascii="Times New Roman" w:hAnsi="Times New Roman" w:cs="Times New Roman"/>
                <w:sz w:val="24"/>
                <w:szCs w:val="24"/>
              </w:rPr>
              <w:t xml:space="preserve"> E</w:t>
            </w:r>
            <w:r w:rsidR="006E0E9D">
              <w:rPr>
                <w:rFonts w:ascii="Times New Roman" w:hAnsi="Times New Roman" w:cs="Times New Roman"/>
                <w:sz w:val="24"/>
                <w:szCs w:val="24"/>
              </w:rPr>
              <w:t xml:space="preserve">S </w:t>
            </w:r>
            <w:r w:rsidRPr="00044840">
              <w:rPr>
                <w:rFonts w:ascii="Times New Roman" w:hAnsi="Times New Roman" w:cs="Times New Roman"/>
                <w:sz w:val="24"/>
                <w:szCs w:val="24"/>
              </w:rPr>
              <w:t xml:space="preserve">fondu </w:t>
            </w:r>
            <w:r w:rsidR="00661162">
              <w:rPr>
                <w:rFonts w:ascii="Times New Roman" w:hAnsi="Times New Roman" w:cs="Times New Roman"/>
                <w:sz w:val="24"/>
                <w:szCs w:val="24"/>
              </w:rPr>
              <w:t>atbalstu</w:t>
            </w:r>
            <w:r w:rsidRPr="00044840">
              <w:rPr>
                <w:rFonts w:ascii="Times New Roman" w:hAnsi="Times New Roman" w:cs="Times New Roman"/>
                <w:sz w:val="24"/>
                <w:szCs w:val="24"/>
              </w:rPr>
              <w:t xml:space="preserve">,  </w:t>
            </w:r>
            <w:r w:rsidRPr="00044840" w:rsidR="006E0E9D">
              <w:rPr>
                <w:rFonts w:ascii="Times New Roman" w:hAnsi="Times New Roman" w:cs="Times New Roman"/>
                <w:sz w:val="24"/>
                <w:szCs w:val="24"/>
              </w:rPr>
              <w:t>E</w:t>
            </w:r>
            <w:r w:rsidR="006E0E9D">
              <w:rPr>
                <w:rFonts w:ascii="Times New Roman" w:hAnsi="Times New Roman" w:cs="Times New Roman"/>
                <w:sz w:val="24"/>
                <w:szCs w:val="24"/>
              </w:rPr>
              <w:t>S</w:t>
            </w:r>
            <w:r w:rsidRPr="00044840" w:rsidR="006E0E9D">
              <w:rPr>
                <w:rFonts w:ascii="Times New Roman" w:hAnsi="Times New Roman" w:cs="Times New Roman"/>
                <w:sz w:val="24"/>
                <w:szCs w:val="24"/>
              </w:rPr>
              <w:t xml:space="preserve"> </w:t>
            </w:r>
            <w:r w:rsidR="006E0E9D">
              <w:rPr>
                <w:rFonts w:ascii="Times New Roman" w:hAnsi="Times New Roman" w:cs="Times New Roman"/>
                <w:sz w:val="24"/>
                <w:szCs w:val="24"/>
              </w:rPr>
              <w:t xml:space="preserve">ekspertu </w:t>
            </w:r>
            <w:r w:rsidRPr="00044840" w:rsidR="006E0E9D">
              <w:rPr>
                <w:rFonts w:ascii="Times New Roman" w:hAnsi="Times New Roman" w:cs="Times New Roman"/>
                <w:sz w:val="24"/>
                <w:szCs w:val="24"/>
              </w:rPr>
              <w:t>atbildīgo pārstāvj</w:t>
            </w:r>
            <w:r w:rsidR="006E0E9D">
              <w:rPr>
                <w:rFonts w:ascii="Times New Roman" w:hAnsi="Times New Roman" w:cs="Times New Roman"/>
                <w:sz w:val="24"/>
                <w:szCs w:val="24"/>
              </w:rPr>
              <w:t>i</w:t>
            </w:r>
            <w:r w:rsidRPr="00044840" w:rsidR="006E0E9D">
              <w:rPr>
                <w:rFonts w:ascii="Times New Roman" w:hAnsi="Times New Roman" w:cs="Times New Roman"/>
                <w:sz w:val="24"/>
                <w:szCs w:val="24"/>
              </w:rPr>
              <w:t xml:space="preserve"> </w:t>
            </w:r>
            <w:r w:rsidR="006E0E9D">
              <w:rPr>
                <w:rFonts w:ascii="Times New Roman" w:hAnsi="Times New Roman" w:cs="Times New Roman"/>
                <w:sz w:val="24"/>
                <w:szCs w:val="24"/>
              </w:rPr>
              <w:t xml:space="preserve">vērtēs </w:t>
            </w:r>
            <w:r w:rsidRPr="00044840" w:rsidR="000F6FB2">
              <w:rPr>
                <w:rFonts w:ascii="Times New Roman" w:hAnsi="Times New Roman" w:cs="Times New Roman"/>
                <w:sz w:val="24"/>
                <w:szCs w:val="24"/>
              </w:rPr>
              <w:t>ietekmes uz vidi novērtējuma ziņojum</w:t>
            </w:r>
            <w:r w:rsidR="006E0E9D">
              <w:rPr>
                <w:rFonts w:ascii="Times New Roman" w:hAnsi="Times New Roman" w:cs="Times New Roman"/>
                <w:sz w:val="24"/>
                <w:szCs w:val="24"/>
              </w:rPr>
              <w:t>a</w:t>
            </w:r>
            <w:r w:rsidRPr="00044840" w:rsidR="000F6FB2">
              <w:rPr>
                <w:rFonts w:ascii="Times New Roman" w:hAnsi="Times New Roman" w:cs="Times New Roman"/>
                <w:sz w:val="24"/>
                <w:szCs w:val="24"/>
              </w:rPr>
              <w:t xml:space="preserve"> un tajā iekļautā</w:t>
            </w:r>
            <w:r w:rsidR="006E0E9D">
              <w:rPr>
                <w:rFonts w:ascii="Times New Roman" w:hAnsi="Times New Roman" w:cs="Times New Roman"/>
                <w:sz w:val="24"/>
                <w:szCs w:val="24"/>
              </w:rPr>
              <w:t>s</w:t>
            </w:r>
            <w:r w:rsidRPr="00044840" w:rsidR="000F6FB2">
              <w:rPr>
                <w:rFonts w:ascii="Times New Roman" w:hAnsi="Times New Roman" w:cs="Times New Roman"/>
                <w:sz w:val="24"/>
                <w:szCs w:val="24"/>
              </w:rPr>
              <w:t xml:space="preserve"> informācija</w:t>
            </w:r>
            <w:r w:rsidR="006E0E9D">
              <w:rPr>
                <w:rFonts w:ascii="Times New Roman" w:hAnsi="Times New Roman" w:cs="Times New Roman"/>
                <w:sz w:val="24"/>
                <w:szCs w:val="24"/>
              </w:rPr>
              <w:t>s</w:t>
            </w:r>
            <w:r w:rsidRPr="00044840" w:rsidR="000F6FB2">
              <w:rPr>
                <w:rFonts w:ascii="Times New Roman" w:hAnsi="Times New Roman" w:cs="Times New Roman"/>
                <w:sz w:val="24"/>
                <w:szCs w:val="24"/>
              </w:rPr>
              <w:t xml:space="preserve"> atbilst</w:t>
            </w:r>
            <w:r w:rsidR="006E0E9D">
              <w:rPr>
                <w:rFonts w:ascii="Times New Roman" w:hAnsi="Times New Roman" w:cs="Times New Roman"/>
                <w:sz w:val="24"/>
                <w:szCs w:val="24"/>
              </w:rPr>
              <w:t>ību</w:t>
            </w:r>
            <w:r w:rsidRPr="00044840" w:rsidR="000F6FB2">
              <w:rPr>
                <w:rFonts w:ascii="Times New Roman" w:hAnsi="Times New Roman" w:cs="Times New Roman"/>
                <w:sz w:val="24"/>
                <w:szCs w:val="24"/>
              </w:rPr>
              <w:t xml:space="preserve"> Direktīvai. </w:t>
            </w:r>
          </w:p>
          <w:p w:rsidR="00047CDC" w:rsidP="00047CDC" w14:paraId="3A4B6712" w14:textId="4AC8B9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Papildus norādām, ka sākot no 2017.</w:t>
            </w:r>
            <w:r w:rsidR="00542DC8">
              <w:rPr>
                <w:rFonts w:ascii="Times New Roman" w:hAnsi="Times New Roman" w:cs="Times New Roman"/>
                <w:sz w:val="24"/>
                <w:szCs w:val="24"/>
              </w:rPr>
              <w:t> </w:t>
            </w:r>
            <w:r>
              <w:rPr>
                <w:rFonts w:ascii="Times New Roman" w:hAnsi="Times New Roman" w:cs="Times New Roman"/>
                <w:sz w:val="24"/>
                <w:szCs w:val="24"/>
              </w:rPr>
              <w:t>gada 1.</w:t>
            </w:r>
            <w:r w:rsidR="00542DC8">
              <w:rPr>
                <w:rFonts w:ascii="Times New Roman" w:hAnsi="Times New Roman" w:cs="Times New Roman"/>
                <w:sz w:val="24"/>
                <w:szCs w:val="24"/>
              </w:rPr>
              <w:t> </w:t>
            </w:r>
            <w:r>
              <w:rPr>
                <w:rFonts w:ascii="Times New Roman" w:hAnsi="Times New Roman" w:cs="Times New Roman"/>
                <w:sz w:val="24"/>
                <w:szCs w:val="24"/>
              </w:rPr>
              <w:t xml:space="preserve">janvāra tika </w:t>
            </w:r>
            <w:r w:rsidR="00542DC8">
              <w:rPr>
                <w:rFonts w:ascii="Times New Roman" w:hAnsi="Times New Roman" w:cs="Times New Roman"/>
                <w:sz w:val="24"/>
                <w:szCs w:val="24"/>
              </w:rPr>
              <w:t xml:space="preserve">optimizēta </w:t>
            </w:r>
            <w:r>
              <w:rPr>
                <w:rFonts w:ascii="Times New Roman" w:hAnsi="Times New Roman" w:cs="Times New Roman"/>
                <w:sz w:val="24"/>
                <w:szCs w:val="24"/>
              </w:rPr>
              <w:t>ietekmes uz vidi novērtējuma procedūra</w:t>
            </w:r>
            <w:r w:rsidR="00542DC8">
              <w:rPr>
                <w:rFonts w:ascii="Times New Roman" w:hAnsi="Times New Roman" w:cs="Times New Roman"/>
                <w:sz w:val="24"/>
                <w:szCs w:val="24"/>
              </w:rPr>
              <w:t>:</w:t>
            </w:r>
            <w:r>
              <w:rPr>
                <w:rFonts w:ascii="Times New Roman" w:hAnsi="Times New Roman" w:cs="Times New Roman"/>
                <w:sz w:val="24"/>
                <w:szCs w:val="24"/>
              </w:rPr>
              <w:t xml:space="preserve"> ja iepriekš </w:t>
            </w:r>
            <w:r w:rsidR="00542DC8">
              <w:rPr>
                <w:rFonts w:ascii="Times New Roman" w:hAnsi="Times New Roman" w:cs="Times New Roman"/>
                <w:sz w:val="24"/>
                <w:szCs w:val="24"/>
              </w:rPr>
              <w:t xml:space="preserve">Valsts vides dienests veica </w:t>
            </w:r>
            <w:r>
              <w:rPr>
                <w:rFonts w:ascii="Times New Roman" w:hAnsi="Times New Roman" w:cs="Times New Roman"/>
                <w:sz w:val="24"/>
                <w:szCs w:val="24"/>
              </w:rPr>
              <w:t>sākotnējo izvērtējum</w:t>
            </w:r>
            <w:r>
              <w:rPr>
                <w:rFonts w:ascii="Times New Roman" w:hAnsi="Times New Roman" w:cs="Times New Roman"/>
                <w:sz w:val="24"/>
                <w:szCs w:val="24"/>
              </w:rPr>
              <w:t>u</w:t>
            </w:r>
            <w:r>
              <w:rPr>
                <w:rFonts w:ascii="Times New Roman" w:hAnsi="Times New Roman" w:cs="Times New Roman"/>
                <w:sz w:val="24"/>
                <w:szCs w:val="24"/>
              </w:rPr>
              <w:t xml:space="preserve"> (pirms ietekmes uz vidi novērtējuma tiek veikts </w:t>
            </w:r>
            <w:r>
              <w:rPr>
                <w:rFonts w:ascii="Times New Roman" w:hAnsi="Times New Roman" w:cs="Times New Roman"/>
                <w:sz w:val="24"/>
                <w:szCs w:val="24"/>
              </w:rPr>
              <w:t>sākotnējai</w:t>
            </w:r>
            <w:r w:rsidR="00542DC8">
              <w:rPr>
                <w:rFonts w:ascii="Times New Roman" w:hAnsi="Times New Roman" w:cs="Times New Roman"/>
                <w:sz w:val="24"/>
                <w:szCs w:val="24"/>
              </w:rPr>
              <w:t>s</w:t>
            </w:r>
            <w:r>
              <w:rPr>
                <w:rFonts w:ascii="Times New Roman" w:hAnsi="Times New Roman" w:cs="Times New Roman"/>
                <w:sz w:val="24"/>
                <w:szCs w:val="24"/>
              </w:rPr>
              <w:t xml:space="preserve"> izvērtējums</w:t>
            </w:r>
            <w:r>
              <w:rPr>
                <w:rFonts w:ascii="Times New Roman" w:hAnsi="Times New Roman" w:cs="Times New Roman"/>
                <w:sz w:val="24"/>
                <w:szCs w:val="24"/>
              </w:rPr>
              <w:t xml:space="preserve"> likuma</w:t>
            </w:r>
            <w:r>
              <w:rPr>
                <w:rFonts w:ascii="Times New Roman" w:hAnsi="Times New Roman" w:cs="Times New Roman"/>
                <w:sz w:val="24"/>
                <w:szCs w:val="24"/>
              </w:rPr>
              <w:t xml:space="preserve"> “Par ietekmes uz vidi novērtējumu”</w:t>
            </w:r>
            <w:r>
              <w:rPr>
                <w:rFonts w:ascii="Times New Roman" w:hAnsi="Times New Roman" w:cs="Times New Roman"/>
                <w:sz w:val="24"/>
                <w:szCs w:val="24"/>
              </w:rPr>
              <w:t xml:space="preserve"> 2.pielikumā</w:t>
            </w:r>
            <w:r>
              <w:rPr>
                <w:rFonts w:ascii="Times New Roman" w:hAnsi="Times New Roman" w:cs="Times New Roman"/>
                <w:sz w:val="24"/>
                <w:szCs w:val="24"/>
              </w:rPr>
              <w:t xml:space="preserve"> minētajām darbībām</w:t>
            </w:r>
            <w:r>
              <w:rPr>
                <w:rFonts w:ascii="Times New Roman" w:hAnsi="Times New Roman" w:cs="Times New Roman"/>
                <w:sz w:val="24"/>
                <w:szCs w:val="24"/>
              </w:rPr>
              <w:t xml:space="preserve"> vai citām darbīb</w:t>
            </w:r>
            <w:r w:rsidR="00542DC8">
              <w:rPr>
                <w:rFonts w:ascii="Times New Roman" w:hAnsi="Times New Roman" w:cs="Times New Roman"/>
                <w:sz w:val="24"/>
                <w:szCs w:val="24"/>
              </w:rPr>
              <w:t>ām</w:t>
            </w:r>
            <w:r>
              <w:rPr>
                <w:rFonts w:ascii="Times New Roman" w:hAnsi="Times New Roman" w:cs="Times New Roman"/>
                <w:sz w:val="24"/>
                <w:szCs w:val="24"/>
              </w:rPr>
              <w:t xml:space="preserve">, kuras būtiski ietekmē vidi) un visu informāciju sūtīja </w:t>
            </w:r>
            <w:r w:rsidR="00542DC8">
              <w:rPr>
                <w:rFonts w:ascii="Times New Roman" w:hAnsi="Times New Roman" w:cs="Times New Roman"/>
                <w:sz w:val="24"/>
                <w:szCs w:val="24"/>
              </w:rPr>
              <w:t xml:space="preserve">turpmākais izvērtēšanai </w:t>
            </w:r>
            <w:r>
              <w:rPr>
                <w:rFonts w:ascii="Times New Roman" w:hAnsi="Times New Roman" w:cs="Times New Roman"/>
                <w:sz w:val="24"/>
                <w:szCs w:val="24"/>
              </w:rPr>
              <w:t xml:space="preserve">kompetentajai ietekmes uz vidi novērtējuma institūcijai – </w:t>
            </w:r>
            <w:r w:rsidR="00857EA4">
              <w:rPr>
                <w:rFonts w:ascii="Times New Roman" w:hAnsi="Times New Roman" w:cs="Times New Roman"/>
                <w:sz w:val="24"/>
                <w:szCs w:val="24"/>
              </w:rPr>
              <w:t>Birojam</w:t>
            </w:r>
            <w:r w:rsidR="00542DC8">
              <w:rPr>
                <w:rFonts w:ascii="Times New Roman" w:hAnsi="Times New Roman" w:cs="Times New Roman"/>
                <w:sz w:val="24"/>
                <w:szCs w:val="24"/>
              </w:rPr>
              <w:t xml:space="preserve">, kas </w:t>
            </w:r>
            <w:r>
              <w:rPr>
                <w:rFonts w:ascii="Times New Roman" w:hAnsi="Times New Roman" w:cs="Times New Roman"/>
                <w:sz w:val="24"/>
                <w:szCs w:val="24"/>
              </w:rPr>
              <w:t>izvērtēja saņemto informāciju, veica papildpārbaudi un pieņēma lēmumu pēc sākotnējā izvērtējuma par ietekmes uz vidi novērtējuma piemērošanu vai nepiemērošanu</w:t>
            </w:r>
            <w:r w:rsidR="00542DC8">
              <w:rPr>
                <w:rFonts w:ascii="Times New Roman" w:hAnsi="Times New Roman" w:cs="Times New Roman"/>
                <w:sz w:val="24"/>
                <w:szCs w:val="24"/>
              </w:rPr>
              <w:t xml:space="preserve">, tad </w:t>
            </w:r>
            <w:r>
              <w:rPr>
                <w:rFonts w:ascii="Times New Roman" w:hAnsi="Times New Roman" w:cs="Times New Roman"/>
                <w:sz w:val="24"/>
                <w:szCs w:val="24"/>
              </w:rPr>
              <w:t xml:space="preserve"> </w:t>
            </w:r>
            <w:r w:rsidR="00542DC8">
              <w:rPr>
                <w:rFonts w:ascii="Times New Roman" w:hAnsi="Times New Roman" w:cs="Times New Roman"/>
                <w:sz w:val="24"/>
                <w:szCs w:val="24"/>
              </w:rPr>
              <w:t>sākot ar 20</w:t>
            </w:r>
            <w:r>
              <w:rPr>
                <w:rFonts w:ascii="Times New Roman" w:hAnsi="Times New Roman" w:cs="Times New Roman"/>
                <w:sz w:val="24"/>
                <w:szCs w:val="24"/>
              </w:rPr>
              <w:t>17.gad</w:t>
            </w:r>
            <w:r w:rsidR="00542DC8">
              <w:rPr>
                <w:rFonts w:ascii="Times New Roman" w:hAnsi="Times New Roman" w:cs="Times New Roman"/>
                <w:sz w:val="24"/>
                <w:szCs w:val="24"/>
              </w:rPr>
              <w:t>u</w:t>
            </w:r>
            <w:r>
              <w:rPr>
                <w:rFonts w:ascii="Times New Roman" w:hAnsi="Times New Roman" w:cs="Times New Roman"/>
                <w:sz w:val="24"/>
                <w:szCs w:val="24"/>
              </w:rPr>
              <w:t xml:space="preserve"> tika </w:t>
            </w:r>
            <w:r w:rsidR="00542DC8">
              <w:rPr>
                <w:rFonts w:ascii="Times New Roman" w:hAnsi="Times New Roman" w:cs="Times New Roman"/>
                <w:sz w:val="24"/>
                <w:szCs w:val="24"/>
              </w:rPr>
              <w:t>ieviesti</w:t>
            </w:r>
            <w:r>
              <w:rPr>
                <w:rFonts w:ascii="Times New Roman" w:hAnsi="Times New Roman" w:cs="Times New Roman"/>
                <w:sz w:val="24"/>
                <w:szCs w:val="24"/>
              </w:rPr>
              <w:t xml:space="preserve"> grozījumu normatīvajos aktos</w:t>
            </w:r>
            <w:r w:rsidR="00542DC8">
              <w:rPr>
                <w:rFonts w:ascii="Times New Roman" w:hAnsi="Times New Roman" w:cs="Times New Roman"/>
                <w:sz w:val="24"/>
                <w:szCs w:val="24"/>
              </w:rPr>
              <w:t>, saskaņā ar kuriem</w:t>
            </w:r>
            <w:r>
              <w:rPr>
                <w:rFonts w:ascii="Times New Roman" w:hAnsi="Times New Roman" w:cs="Times New Roman"/>
                <w:sz w:val="24"/>
                <w:szCs w:val="24"/>
              </w:rPr>
              <w:t xml:space="preserve"> lēmumu pēc sākotnējā izvērtējuma pieņem</w:t>
            </w:r>
            <w:r w:rsidRPr="00044840" w:rsidR="004A6864">
              <w:rPr>
                <w:rFonts w:ascii="Times New Roman" w:hAnsi="Times New Roman" w:cs="Times New Roman"/>
                <w:sz w:val="24"/>
                <w:szCs w:val="24"/>
              </w:rPr>
              <w:t xml:space="preserve"> </w:t>
            </w:r>
            <w:r>
              <w:rPr>
                <w:rFonts w:ascii="Times New Roman" w:hAnsi="Times New Roman" w:cs="Times New Roman"/>
                <w:sz w:val="24"/>
                <w:szCs w:val="24"/>
              </w:rPr>
              <w:t xml:space="preserve">Valsts vides dienests, neiesaistot </w:t>
            </w:r>
            <w:r w:rsidR="00542DC8">
              <w:rPr>
                <w:rFonts w:ascii="Times New Roman" w:hAnsi="Times New Roman" w:cs="Times New Roman"/>
                <w:sz w:val="24"/>
                <w:szCs w:val="24"/>
              </w:rPr>
              <w:t>B</w:t>
            </w:r>
            <w:r>
              <w:rPr>
                <w:rFonts w:ascii="Times New Roman" w:hAnsi="Times New Roman" w:cs="Times New Roman"/>
                <w:sz w:val="24"/>
                <w:szCs w:val="24"/>
              </w:rPr>
              <w:t>iroju. Šie grozījumi ti</w:t>
            </w:r>
            <w:r w:rsidR="00542DC8">
              <w:rPr>
                <w:rFonts w:ascii="Times New Roman" w:hAnsi="Times New Roman" w:cs="Times New Roman"/>
                <w:sz w:val="24"/>
                <w:szCs w:val="24"/>
              </w:rPr>
              <w:t>e</w:t>
            </w:r>
            <w:r>
              <w:rPr>
                <w:rFonts w:ascii="Times New Roman" w:hAnsi="Times New Roman" w:cs="Times New Roman"/>
                <w:sz w:val="24"/>
                <w:szCs w:val="24"/>
              </w:rPr>
              <w:t xml:space="preserve">k </w:t>
            </w:r>
            <w:r w:rsidR="00542DC8">
              <w:rPr>
                <w:rFonts w:ascii="Times New Roman" w:hAnsi="Times New Roman" w:cs="Times New Roman"/>
                <w:sz w:val="24"/>
                <w:szCs w:val="24"/>
              </w:rPr>
              <w:t>v</w:t>
            </w:r>
            <w:r>
              <w:rPr>
                <w:rFonts w:ascii="Times New Roman" w:hAnsi="Times New Roman" w:cs="Times New Roman"/>
                <w:sz w:val="24"/>
                <w:szCs w:val="24"/>
              </w:rPr>
              <w:t xml:space="preserve">ērtēti </w:t>
            </w:r>
            <w:r>
              <w:rPr>
                <w:rFonts w:ascii="Times New Roman" w:hAnsi="Times New Roman" w:cs="Times New Roman"/>
                <w:sz w:val="24"/>
                <w:szCs w:val="24"/>
              </w:rPr>
              <w:t>kā administratīvā sloga mazināšana</w:t>
            </w:r>
            <w:r>
              <w:rPr>
                <w:rFonts w:ascii="Times New Roman" w:hAnsi="Times New Roman" w:cs="Times New Roman"/>
                <w:sz w:val="24"/>
                <w:szCs w:val="24"/>
              </w:rPr>
              <w:t xml:space="preserve"> ierosināt</w:t>
            </w:r>
            <w:r>
              <w:rPr>
                <w:rFonts w:ascii="Times New Roman" w:hAnsi="Times New Roman" w:cs="Times New Roman"/>
                <w:sz w:val="24"/>
                <w:szCs w:val="24"/>
              </w:rPr>
              <w:t>ājam</w:t>
            </w:r>
            <w:r w:rsidR="00542DC8">
              <w:rPr>
                <w:rFonts w:ascii="Times New Roman" w:hAnsi="Times New Roman" w:cs="Times New Roman"/>
                <w:sz w:val="24"/>
                <w:szCs w:val="24"/>
              </w:rPr>
              <w:t xml:space="preserve"> – </w:t>
            </w:r>
            <w:r w:rsidR="00857EA4">
              <w:rPr>
                <w:rFonts w:ascii="Times New Roman" w:hAnsi="Times New Roman" w:cs="Times New Roman"/>
                <w:sz w:val="24"/>
                <w:szCs w:val="24"/>
              </w:rPr>
              <w:t xml:space="preserve"> kopēj</w:t>
            </w:r>
            <w:r w:rsidR="00542DC8">
              <w:rPr>
                <w:rFonts w:ascii="Times New Roman" w:hAnsi="Times New Roman" w:cs="Times New Roman"/>
                <w:sz w:val="24"/>
                <w:szCs w:val="24"/>
              </w:rPr>
              <w:t>ais</w:t>
            </w:r>
            <w:r w:rsidR="00857EA4">
              <w:rPr>
                <w:rFonts w:ascii="Times New Roman" w:hAnsi="Times New Roman" w:cs="Times New Roman"/>
                <w:sz w:val="24"/>
                <w:szCs w:val="24"/>
              </w:rPr>
              <w:t xml:space="preserve"> sākotnējā izvērtējuma pieņemšanas laik</w:t>
            </w:r>
            <w:r w:rsidR="00542DC8">
              <w:rPr>
                <w:rFonts w:ascii="Times New Roman" w:hAnsi="Times New Roman" w:cs="Times New Roman"/>
                <w:sz w:val="24"/>
                <w:szCs w:val="24"/>
              </w:rPr>
              <w:t>s tika samazināts par 10 dienām (</w:t>
            </w:r>
            <w:r w:rsidR="00857EA4">
              <w:rPr>
                <w:rFonts w:ascii="Times New Roman" w:hAnsi="Times New Roman" w:cs="Times New Roman"/>
                <w:sz w:val="24"/>
                <w:szCs w:val="24"/>
              </w:rPr>
              <w:t xml:space="preserve">ja iepriekš sākotnējais izvērtējums </w:t>
            </w:r>
            <w:r w:rsidR="00C26C92">
              <w:rPr>
                <w:rFonts w:ascii="Times New Roman" w:hAnsi="Times New Roman" w:cs="Times New Roman"/>
                <w:sz w:val="24"/>
                <w:szCs w:val="24"/>
              </w:rPr>
              <w:t xml:space="preserve">tika </w:t>
            </w:r>
            <w:r w:rsidR="00857EA4">
              <w:rPr>
                <w:rFonts w:ascii="Times New Roman" w:hAnsi="Times New Roman" w:cs="Times New Roman"/>
                <w:sz w:val="24"/>
                <w:szCs w:val="24"/>
              </w:rPr>
              <w:t>veikts 40 dienas, pēc veiktajiem grozījumiem tas ir 30 dienas</w:t>
            </w:r>
            <w:r w:rsidR="00542DC8">
              <w:rPr>
                <w:rFonts w:ascii="Times New Roman" w:hAnsi="Times New Roman" w:cs="Times New Roman"/>
                <w:sz w:val="24"/>
                <w:szCs w:val="24"/>
              </w:rPr>
              <w:t>).</w:t>
            </w:r>
            <w:r w:rsidRPr="00044840">
              <w:rPr>
                <w:rFonts w:ascii="Times New Roman" w:hAnsi="Times New Roman" w:cs="Times New Roman"/>
                <w:sz w:val="24"/>
                <w:szCs w:val="24"/>
              </w:rPr>
              <w:t xml:space="preserve"> </w:t>
            </w:r>
          </w:p>
          <w:p w:rsidR="00072A75" w:rsidRPr="008B1EE8" w:rsidP="00EF5E94" w14:paraId="493046BF" w14:textId="01072B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Atbilstoši noteikumu projektā noteiktajai informācijai ietekmes uz vidi novērtējuma ziņojumi kļūs kvalitatīvāki un plašāki. </w:t>
            </w:r>
            <w:r w:rsidRPr="00EC1395" w:rsidR="008B1EE8">
              <w:rPr>
                <w:rFonts w:ascii="Times New Roman" w:hAnsi="Times New Roman" w:cs="Times New Roman"/>
                <w:sz w:val="24"/>
                <w:szCs w:val="24"/>
              </w:rPr>
              <w:t xml:space="preserve">Ietekmes uz vidi novērtējuma ziņojumu paredzētajai darbībai ierosinātājs var veikt pats, bet var arī viņa nolīgtais komersants, kas darbojas vides jomā un piedāvā ietekmes uz vidi novērtējuma pakalpojumus. </w:t>
            </w:r>
            <w:r w:rsidRPr="00EC1395">
              <w:rPr>
                <w:rFonts w:ascii="Times New Roman" w:hAnsi="Times New Roman" w:cs="Times New Roman"/>
                <w:sz w:val="24"/>
                <w:szCs w:val="24"/>
              </w:rPr>
              <w:t>Ziņojumi kā līdz šim būs pieejami sabiedrībai, kuri varēs tos</w:t>
            </w:r>
            <w:r>
              <w:rPr>
                <w:rFonts w:ascii="Times New Roman" w:hAnsi="Times New Roman" w:cs="Times New Roman"/>
                <w:sz w:val="24"/>
                <w:szCs w:val="24"/>
              </w:rPr>
              <w:t xml:space="preserve"> vērtēt un sniegt savus priekšlikumus, ja uzskatīs, ka ietekmes nav pietiekami. Birojs vērtēs ziņojuma kvalitāti, un vai paredzētās darbības ietekmes ir pietiekami novērtētas, lai varētu izdarīt secinājumus par paredzētās darbībai iespējamo ietekmi uz vidi. Noteikumu projekts radīs pozitīvu ietekmi uz vidi, jo noteikumu projekts ir tieši specializēts uz šo jomu, kā arī caur ietekmes uz vidi novērtējumu paredzētajai darbībai tiek vērtēta cilvēku veselība, kas ir definēta ietekme</w:t>
            </w:r>
            <w:r w:rsidR="00EF5E94">
              <w:rPr>
                <w:rFonts w:ascii="Times New Roman" w:hAnsi="Times New Roman" w:cs="Times New Roman"/>
                <w:sz w:val="24"/>
                <w:szCs w:val="24"/>
              </w:rPr>
              <w:t>s</w:t>
            </w:r>
            <w:r>
              <w:rPr>
                <w:rFonts w:ascii="Times New Roman" w:hAnsi="Times New Roman" w:cs="Times New Roman"/>
                <w:sz w:val="24"/>
                <w:szCs w:val="24"/>
              </w:rPr>
              <w:t xml:space="preserve"> uz vidi definīcijā, kas noteikta likumā “Par ietekmes uz vidi novērtējumu””.</w:t>
            </w:r>
          </w:p>
        </w:tc>
      </w:tr>
      <w:tr w14:paraId="30DFC4F6"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4840" w:rsidP="00E5323B" w14:paraId="75A5EE42"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B83316" w:rsidRPr="00044840" w:rsidP="00E5323B" w14:paraId="79B243D9"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Administratīvo izmaksu monetārs novērtējums</w:t>
            </w:r>
          </w:p>
          <w:p w:rsidR="00B83316" w:rsidRPr="00044840" w:rsidP="00B83316" w14:paraId="46E1CEFF" w14:textId="77777777">
            <w:pPr>
              <w:rPr>
                <w:rFonts w:ascii="Times New Roman" w:eastAsia="Times New Roman" w:hAnsi="Times New Roman" w:cs="Times New Roman"/>
                <w:sz w:val="24"/>
                <w:szCs w:val="24"/>
                <w:lang w:eastAsia="lv-LV"/>
              </w:rPr>
            </w:pPr>
          </w:p>
          <w:p w:rsidR="00B83316" w:rsidRPr="00044840" w:rsidP="00B83316" w14:paraId="5FCEED84" w14:textId="77777777">
            <w:pPr>
              <w:rPr>
                <w:rFonts w:ascii="Times New Roman" w:eastAsia="Times New Roman" w:hAnsi="Times New Roman" w:cs="Times New Roman"/>
                <w:sz w:val="24"/>
                <w:szCs w:val="24"/>
                <w:lang w:eastAsia="lv-LV"/>
              </w:rPr>
            </w:pPr>
          </w:p>
          <w:p w:rsidR="00B83316" w:rsidRPr="00044840" w:rsidP="00B83316" w14:paraId="207ADBD6" w14:textId="77777777">
            <w:pPr>
              <w:rPr>
                <w:rFonts w:ascii="Times New Roman" w:eastAsia="Times New Roman" w:hAnsi="Times New Roman" w:cs="Times New Roman"/>
                <w:sz w:val="24"/>
                <w:szCs w:val="24"/>
                <w:lang w:eastAsia="lv-LV"/>
              </w:rPr>
            </w:pPr>
          </w:p>
          <w:p w:rsidR="00B83316" w:rsidRPr="00044840" w:rsidP="00B83316" w14:paraId="24507663" w14:textId="77777777">
            <w:pPr>
              <w:jc w:val="center"/>
              <w:rPr>
                <w:rFonts w:ascii="Times New Roman" w:eastAsia="Times New Roman" w:hAnsi="Times New Roman" w:cs="Times New Roman"/>
                <w:sz w:val="24"/>
                <w:szCs w:val="24"/>
                <w:lang w:eastAsia="lv-LV"/>
              </w:rPr>
            </w:pPr>
          </w:p>
          <w:p w:rsidR="00E5323B" w:rsidRPr="00044840" w:rsidP="00B83316" w14:paraId="3DDA7F0B" w14:textId="77777777">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0F6FB2" w:rsidRPr="00044840" w:rsidP="007B1171" w14:paraId="0248A2FD" w14:textId="7DB045BF">
            <w:pPr>
              <w:jc w:val="both"/>
              <w:rPr>
                <w:rFonts w:ascii="Times New Roman" w:hAnsi="Times New Roman" w:cs="Times New Roman"/>
                <w:sz w:val="24"/>
                <w:szCs w:val="24"/>
              </w:rPr>
            </w:pPr>
            <w:r w:rsidRPr="00044840">
              <w:rPr>
                <w:rFonts w:ascii="Times New Roman" w:hAnsi="Times New Roman" w:cs="Times New Roman"/>
                <w:sz w:val="24"/>
                <w:szCs w:val="24"/>
              </w:rPr>
              <w:t>Administratīvās izmaksas ierosinātājam (ja ierosinātāja paredzētās darbības ietekmes uz vidi novērtējumu veic</w:t>
            </w:r>
            <w:r w:rsidR="00B00F11">
              <w:rPr>
                <w:rFonts w:ascii="Times New Roman" w:hAnsi="Times New Roman" w:cs="Times New Roman"/>
                <w:sz w:val="24"/>
                <w:szCs w:val="24"/>
              </w:rPr>
              <w:t xml:space="preserve"> tā nolīgtais</w:t>
            </w:r>
            <w:r w:rsidRPr="00044840">
              <w:rPr>
                <w:rFonts w:ascii="Times New Roman" w:hAnsi="Times New Roman" w:cs="Times New Roman"/>
                <w:sz w:val="24"/>
                <w:szCs w:val="24"/>
              </w:rPr>
              <w:t xml:space="preserve"> komersants), ja ietekmes uz vidi novērtējuma ziņojuma sagatavošanā </w:t>
            </w:r>
            <w:r w:rsidRPr="00044840" w:rsidR="00934431">
              <w:rPr>
                <w:rFonts w:ascii="Times New Roman" w:hAnsi="Times New Roman" w:cs="Times New Roman"/>
                <w:sz w:val="24"/>
                <w:szCs w:val="24"/>
              </w:rPr>
              <w:t>iekļauj ziņojumā nepieciešamo informācij</w:t>
            </w:r>
            <w:r w:rsidR="00735871">
              <w:rPr>
                <w:rFonts w:ascii="Times New Roman" w:hAnsi="Times New Roman" w:cs="Times New Roman"/>
                <w:sz w:val="24"/>
                <w:szCs w:val="24"/>
              </w:rPr>
              <w:t>u</w:t>
            </w:r>
            <w:r w:rsidR="00E7544E">
              <w:rPr>
                <w:rFonts w:ascii="Times New Roman" w:hAnsi="Times New Roman" w:cs="Times New Roman"/>
                <w:sz w:val="24"/>
                <w:szCs w:val="24"/>
              </w:rPr>
              <w:t xml:space="preserve"> saskaņā ar šo noteikumu projektu</w:t>
            </w:r>
            <w:r w:rsidRPr="00044840">
              <w:rPr>
                <w:rFonts w:ascii="Times New Roman" w:hAnsi="Times New Roman" w:cs="Times New Roman"/>
                <w:sz w:val="24"/>
                <w:szCs w:val="24"/>
              </w:rPr>
              <w:t>:</w:t>
            </w:r>
          </w:p>
          <w:p w:rsidR="000F6FB2" w:rsidRPr="00044840" w:rsidP="007B1171" w14:paraId="37A17D28" w14:textId="77777777">
            <w:pPr>
              <w:jc w:val="both"/>
              <w:rPr>
                <w:rFonts w:ascii="Times New Roman" w:hAnsi="Times New Roman" w:cs="Times New Roman"/>
                <w:sz w:val="24"/>
                <w:szCs w:val="24"/>
              </w:rPr>
            </w:pPr>
          </w:p>
          <w:p w:rsidR="000F6FB2" w:rsidRPr="00044840" w:rsidP="007B1171" w14:paraId="494B38AE" w14:textId="77777777">
            <w:pPr>
              <w:jc w:val="both"/>
              <w:rPr>
                <w:rFonts w:ascii="Times New Roman" w:hAnsi="Times New Roman" w:cs="Times New Roman"/>
                <w:sz w:val="24"/>
                <w:szCs w:val="24"/>
              </w:rPr>
            </w:pPr>
            <w:r w:rsidRPr="00044840">
              <w:rPr>
                <w:rFonts w:ascii="Times New Roman" w:hAnsi="Times New Roman" w:cs="Times New Roman"/>
                <w:sz w:val="24"/>
                <w:szCs w:val="24"/>
              </w:rPr>
              <w:t>F - vidējā alga vispārējā vadības sektorā, stundas likme 4,21</w:t>
            </w:r>
            <w:r w:rsidRPr="00044840">
              <w:rPr>
                <w:rFonts w:ascii="Times New Roman" w:hAnsi="Times New Roman" w:cs="Times New Roman"/>
                <w:i/>
                <w:sz w:val="24"/>
                <w:szCs w:val="24"/>
              </w:rPr>
              <w:t> euro</w:t>
            </w:r>
          </w:p>
          <w:p w:rsidR="000F6FB2" w:rsidRPr="00044840" w:rsidP="007B1171" w14:paraId="65CA5130" w14:textId="77777777">
            <w:pPr>
              <w:jc w:val="both"/>
              <w:rPr>
                <w:rFonts w:ascii="Times New Roman" w:hAnsi="Times New Roman" w:cs="Times New Roman"/>
                <w:sz w:val="24"/>
                <w:szCs w:val="24"/>
              </w:rPr>
            </w:pPr>
            <w:r w:rsidRPr="00044840">
              <w:rPr>
                <w:rFonts w:ascii="Times New Roman" w:hAnsi="Times New Roman" w:cs="Times New Roman"/>
                <w:sz w:val="24"/>
                <w:szCs w:val="24"/>
              </w:rPr>
              <w:t xml:space="preserve">L – nepieciešamais laiks informācijas sagatavošanai) –  </w:t>
            </w:r>
            <w:r w:rsidRPr="00044840" w:rsidR="00934431">
              <w:rPr>
                <w:rFonts w:ascii="Times New Roman" w:hAnsi="Times New Roman" w:cs="Times New Roman"/>
                <w:sz w:val="24"/>
                <w:szCs w:val="24"/>
              </w:rPr>
              <w:t>1000</w:t>
            </w:r>
            <w:r w:rsidRPr="00044840">
              <w:rPr>
                <w:rFonts w:ascii="Times New Roman" w:hAnsi="Times New Roman" w:cs="Times New Roman"/>
                <w:sz w:val="24"/>
                <w:szCs w:val="24"/>
              </w:rPr>
              <w:t xml:space="preserve"> stunda gadā</w:t>
            </w:r>
            <w:r w:rsidRPr="00044840" w:rsidR="00934431">
              <w:rPr>
                <w:rFonts w:ascii="Times New Roman" w:hAnsi="Times New Roman" w:cs="Times New Roman"/>
                <w:sz w:val="24"/>
                <w:szCs w:val="24"/>
              </w:rPr>
              <w:t xml:space="preserve"> </w:t>
            </w:r>
          </w:p>
          <w:p w:rsidR="000F6FB2" w:rsidRPr="00044840" w:rsidP="007B1171" w14:paraId="1D998072" w14:textId="77777777">
            <w:pPr>
              <w:jc w:val="both"/>
              <w:rPr>
                <w:rFonts w:ascii="Times New Roman" w:hAnsi="Times New Roman" w:cs="Times New Roman"/>
                <w:sz w:val="24"/>
                <w:szCs w:val="24"/>
              </w:rPr>
            </w:pPr>
            <w:r w:rsidRPr="00044840">
              <w:rPr>
                <w:rFonts w:ascii="Times New Roman" w:hAnsi="Times New Roman" w:cs="Times New Roman"/>
                <w:sz w:val="24"/>
                <w:szCs w:val="24"/>
              </w:rPr>
              <w:t>N – subjektu skaits – 1 ierosinātājs</w:t>
            </w:r>
          </w:p>
          <w:p w:rsidR="000F6FB2" w:rsidRPr="00044840" w:rsidP="007B1171" w14:paraId="24E15F5F" w14:textId="1B730CC7">
            <w:pPr>
              <w:jc w:val="both"/>
              <w:rPr>
                <w:rFonts w:ascii="Times New Roman" w:hAnsi="Times New Roman" w:cs="Times New Roman"/>
                <w:sz w:val="24"/>
                <w:szCs w:val="24"/>
              </w:rPr>
            </w:pPr>
            <w:r w:rsidRPr="00044840">
              <w:rPr>
                <w:rFonts w:ascii="Times New Roman" w:hAnsi="Times New Roman" w:cs="Times New Roman"/>
                <w:sz w:val="24"/>
                <w:szCs w:val="24"/>
              </w:rPr>
              <w:t>b- informācijas sniegšanas biežums – 2017.</w:t>
            </w:r>
            <w:r w:rsidR="002E2616">
              <w:rPr>
                <w:rFonts w:ascii="Times New Roman" w:hAnsi="Times New Roman" w:cs="Times New Roman"/>
                <w:sz w:val="24"/>
                <w:szCs w:val="24"/>
              </w:rPr>
              <w:t> </w:t>
            </w:r>
            <w:r w:rsidRPr="00044840">
              <w:rPr>
                <w:rFonts w:ascii="Times New Roman" w:hAnsi="Times New Roman" w:cs="Times New Roman"/>
                <w:sz w:val="24"/>
                <w:szCs w:val="24"/>
              </w:rPr>
              <w:t xml:space="preserve">gadā pabeigti 17 ietekmes uz vidi novērtējuma ziņojumi, kuriem </w:t>
            </w:r>
            <w:r w:rsidR="002E2616">
              <w:rPr>
                <w:rFonts w:ascii="Times New Roman" w:hAnsi="Times New Roman" w:cs="Times New Roman"/>
                <w:sz w:val="24"/>
                <w:szCs w:val="24"/>
              </w:rPr>
              <w:t>Birojs</w:t>
            </w:r>
            <w:r w:rsidRPr="00044840">
              <w:rPr>
                <w:rFonts w:ascii="Times New Roman" w:hAnsi="Times New Roman" w:cs="Times New Roman"/>
                <w:sz w:val="24"/>
                <w:szCs w:val="24"/>
              </w:rPr>
              <w:t xml:space="preserve"> ir izsniedzis atzinumu</w:t>
            </w:r>
          </w:p>
          <w:p w:rsidR="000F6FB2" w:rsidRPr="00044840" w:rsidP="007B1171" w14:paraId="75147DB3" w14:textId="77777777">
            <w:pPr>
              <w:jc w:val="both"/>
              <w:rPr>
                <w:rFonts w:ascii="Times New Roman" w:hAnsi="Times New Roman" w:cs="Times New Roman"/>
                <w:sz w:val="24"/>
                <w:szCs w:val="24"/>
              </w:rPr>
            </w:pPr>
            <w:r w:rsidRPr="00044840">
              <w:rPr>
                <w:rFonts w:ascii="Times New Roman" w:hAnsi="Times New Roman" w:cs="Times New Roman"/>
                <w:sz w:val="24"/>
                <w:szCs w:val="24"/>
              </w:rPr>
              <w:t>C = (f x l) x (n x b)</w:t>
            </w:r>
          </w:p>
          <w:p w:rsidR="00E5323B" w:rsidRPr="00044840" w:rsidP="000D5B52" w14:paraId="2E273317" w14:textId="27BDF95F">
            <w:pPr>
              <w:jc w:val="both"/>
              <w:rPr>
                <w:rFonts w:ascii="Times New Roman" w:hAnsi="Times New Roman" w:cs="Times New Roman"/>
                <w:sz w:val="24"/>
                <w:szCs w:val="24"/>
              </w:rPr>
            </w:pPr>
            <w:r w:rsidRPr="00044840">
              <w:rPr>
                <w:rFonts w:ascii="Times New Roman" w:hAnsi="Times New Roman" w:cs="Times New Roman"/>
                <w:sz w:val="24"/>
                <w:szCs w:val="24"/>
              </w:rPr>
              <w:t xml:space="preserve">C= (4,21 x </w:t>
            </w:r>
            <w:r w:rsidRPr="00044840" w:rsidR="00934431">
              <w:rPr>
                <w:rFonts w:ascii="Times New Roman" w:hAnsi="Times New Roman" w:cs="Times New Roman"/>
                <w:sz w:val="24"/>
                <w:szCs w:val="24"/>
              </w:rPr>
              <w:t>1000</w:t>
            </w:r>
            <w:r w:rsidRPr="00044840" w:rsidR="00310F92">
              <w:rPr>
                <w:rFonts w:ascii="Times New Roman" w:hAnsi="Times New Roman" w:cs="Times New Roman"/>
                <w:sz w:val="24"/>
                <w:szCs w:val="24"/>
              </w:rPr>
              <w:t>) x (1x17) = 71</w:t>
            </w:r>
            <w:r w:rsidR="002E2616">
              <w:rPr>
                <w:rFonts w:ascii="Times New Roman" w:hAnsi="Times New Roman" w:cs="Times New Roman"/>
                <w:sz w:val="24"/>
                <w:szCs w:val="24"/>
              </w:rPr>
              <w:t> </w:t>
            </w:r>
            <w:r w:rsidRPr="00044840">
              <w:rPr>
                <w:rFonts w:ascii="Times New Roman" w:hAnsi="Times New Roman" w:cs="Times New Roman"/>
                <w:sz w:val="24"/>
                <w:szCs w:val="24"/>
              </w:rPr>
              <w:t>57</w:t>
            </w:r>
            <w:r w:rsidRPr="00044840" w:rsidR="00934431">
              <w:rPr>
                <w:rFonts w:ascii="Times New Roman" w:hAnsi="Times New Roman" w:cs="Times New Roman"/>
                <w:sz w:val="24"/>
                <w:szCs w:val="24"/>
              </w:rPr>
              <w:t>0</w:t>
            </w:r>
            <w:r w:rsidRPr="00044840">
              <w:rPr>
                <w:rFonts w:ascii="Times New Roman" w:hAnsi="Times New Roman" w:cs="Times New Roman"/>
                <w:sz w:val="24"/>
                <w:szCs w:val="24"/>
              </w:rPr>
              <w:t> </w:t>
            </w:r>
            <w:r w:rsidRPr="00044840">
              <w:rPr>
                <w:rFonts w:ascii="Times New Roman" w:hAnsi="Times New Roman" w:cs="Times New Roman"/>
                <w:i/>
                <w:sz w:val="24"/>
                <w:szCs w:val="24"/>
              </w:rPr>
              <w:t>euro</w:t>
            </w:r>
          </w:p>
        </w:tc>
      </w:tr>
      <w:tr w14:paraId="6CC9A161" w14:textId="77777777" w:rsidTr="00687540">
        <w:tblPrEx>
          <w:tblW w:w="5000" w:type="pct"/>
          <w:tblCellSpacing w:w="15" w:type="dxa"/>
          <w:tblCellMar>
            <w:top w:w="30" w:type="dxa"/>
            <w:left w:w="30" w:type="dxa"/>
            <w:bottom w:w="30" w:type="dxa"/>
            <w:right w:w="30" w:type="dxa"/>
          </w:tblCellMar>
          <w:tblLook w:val="04A0"/>
        </w:tblPrEx>
        <w:trPr>
          <w:trHeight w:val="526"/>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4840" w:rsidP="00E5323B" w14:paraId="1393CF69"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E5323B" w:rsidRPr="00C804BF" w:rsidP="00E5323B" w14:paraId="597AEFBA" w14:textId="77777777">
            <w:pPr>
              <w:spacing w:after="0" w:line="240" w:lineRule="auto"/>
              <w:rPr>
                <w:rFonts w:ascii="Times New Roman" w:eastAsia="Times New Roman" w:hAnsi="Times New Roman" w:cs="Times New Roman"/>
                <w:iCs/>
                <w:sz w:val="24"/>
                <w:szCs w:val="24"/>
                <w:lang w:eastAsia="lv-LV"/>
              </w:rPr>
            </w:pPr>
            <w:r w:rsidRPr="00C804BF">
              <w:rPr>
                <w:rFonts w:ascii="Times New Roman" w:eastAsia="Times New Roman" w:hAnsi="Times New Roman" w:cs="Times New Roman"/>
                <w:iCs/>
                <w:sz w:val="24"/>
                <w:szCs w:val="24"/>
                <w:lang w:eastAsia="lv-LV"/>
              </w:rPr>
              <w:t>Atbilstības izmaksu monetārs novērtējums</w:t>
            </w:r>
          </w:p>
          <w:p w:rsidR="00B00F11" w:rsidRPr="00C804BF" w:rsidP="00B00F11" w14:paraId="2888B1E8" w14:textId="77777777">
            <w:pPr>
              <w:autoSpaceDE w:val="0"/>
              <w:autoSpaceDN w:val="0"/>
              <w:adjustRightInd w:val="0"/>
              <w:jc w:val="both"/>
              <w:rPr>
                <w:rFonts w:ascii="Times New Roman" w:eastAsia="Times New Roman" w:hAnsi="Times New Roman" w:cs="Times New Roman"/>
                <w:iCs/>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rsidR="00405BBC" w:rsidRPr="008B1EE8" w:rsidP="00B5701B" w14:paraId="522DD53A" w14:textId="4F571DE6">
            <w:pPr>
              <w:jc w:val="both"/>
              <w:rPr>
                <w:rFonts w:ascii="Times New Roman" w:hAnsi="Times New Roman" w:cs="Times New Roman"/>
                <w:sz w:val="24"/>
                <w:szCs w:val="24"/>
              </w:rPr>
            </w:pPr>
            <w:r w:rsidRPr="00AF7D1C">
              <w:rPr>
                <w:rFonts w:ascii="Times New Roman" w:hAnsi="Times New Roman" w:cs="Times New Roman"/>
                <w:sz w:val="24"/>
                <w:szCs w:val="24"/>
              </w:rPr>
              <w:t>Atbilstības izmaks</w:t>
            </w:r>
            <w:r w:rsidR="00C974F4">
              <w:rPr>
                <w:rFonts w:ascii="Times New Roman" w:hAnsi="Times New Roman" w:cs="Times New Roman"/>
                <w:sz w:val="24"/>
                <w:szCs w:val="24"/>
              </w:rPr>
              <w:t>u</w:t>
            </w:r>
            <w:r w:rsidRPr="00AF7D1C">
              <w:rPr>
                <w:rFonts w:ascii="Times New Roman" w:hAnsi="Times New Roman" w:cs="Times New Roman"/>
                <w:sz w:val="24"/>
                <w:szCs w:val="24"/>
              </w:rPr>
              <w:t xml:space="preserve"> monetārs novērtējums ierosinātājam, ja ietekmes uz vidi novērtējuma ziņojuma sagatavošanā iekļauj ziņojumā nepieciešamo informāciju</w:t>
            </w:r>
            <w:r w:rsidR="00735871">
              <w:rPr>
                <w:rFonts w:ascii="Times New Roman" w:hAnsi="Times New Roman" w:cs="Times New Roman"/>
                <w:sz w:val="24"/>
                <w:szCs w:val="24"/>
              </w:rPr>
              <w:t xml:space="preserve"> saskaņā ar </w:t>
            </w:r>
            <w:r w:rsidRPr="00735871" w:rsidR="00735871">
              <w:rPr>
                <w:rFonts w:ascii="Times New Roman" w:hAnsi="Times New Roman" w:cs="Times New Roman"/>
                <w:sz w:val="24"/>
                <w:szCs w:val="24"/>
              </w:rPr>
              <w:t>šo noteikumu projektu</w:t>
            </w:r>
            <w:r w:rsidR="00AF7D1C">
              <w:rPr>
                <w:rFonts w:ascii="Times New Roman" w:hAnsi="Times New Roman" w:cs="Times New Roman"/>
                <w:sz w:val="24"/>
                <w:szCs w:val="24"/>
              </w:rPr>
              <w:t>,</w:t>
            </w:r>
            <w:r w:rsidRPr="00AF7D1C" w:rsidR="00AF7D1C">
              <w:rPr>
                <w:rFonts w:ascii="Times New Roman" w:hAnsi="Times New Roman" w:cs="Times New Roman"/>
                <w:sz w:val="24"/>
                <w:szCs w:val="24"/>
              </w:rPr>
              <w:t xml:space="preserve"> </w:t>
            </w:r>
            <w:r w:rsidRPr="00AF7D1C" w:rsidR="001F2206">
              <w:rPr>
                <w:rFonts w:ascii="Times New Roman" w:hAnsi="Times New Roman" w:cs="Times New Roman"/>
                <w:sz w:val="24"/>
                <w:szCs w:val="24"/>
              </w:rPr>
              <w:t xml:space="preserve">ir atkarīgas </w:t>
            </w:r>
            <w:r w:rsidRPr="008A505D" w:rsidR="001F2206">
              <w:rPr>
                <w:rFonts w:ascii="Times New Roman" w:hAnsi="Times New Roman" w:cs="Times New Roman"/>
                <w:sz w:val="24"/>
                <w:szCs w:val="24"/>
              </w:rPr>
              <w:t>no ierosinātāja paredzētās darbības radīt</w:t>
            </w:r>
            <w:r w:rsidRPr="008A505D" w:rsidR="006C744B">
              <w:rPr>
                <w:rFonts w:ascii="Times New Roman" w:hAnsi="Times New Roman" w:cs="Times New Roman"/>
                <w:sz w:val="24"/>
                <w:szCs w:val="24"/>
              </w:rPr>
              <w:t xml:space="preserve">ās ietekmes uz vidi, kas </w:t>
            </w:r>
            <w:r w:rsidRPr="008A505D" w:rsidR="001F2206">
              <w:rPr>
                <w:rFonts w:ascii="Times New Roman" w:hAnsi="Times New Roman" w:cs="Times New Roman"/>
                <w:sz w:val="24"/>
                <w:szCs w:val="24"/>
              </w:rPr>
              <w:t>atkar</w:t>
            </w:r>
            <w:r w:rsidRPr="008A505D" w:rsidR="006C744B">
              <w:rPr>
                <w:rFonts w:ascii="Times New Roman" w:hAnsi="Times New Roman" w:cs="Times New Roman"/>
                <w:sz w:val="24"/>
                <w:szCs w:val="24"/>
              </w:rPr>
              <w:t>īga</w:t>
            </w:r>
            <w:r w:rsidRPr="008A505D" w:rsidR="001F2206">
              <w:rPr>
                <w:rFonts w:ascii="Times New Roman" w:hAnsi="Times New Roman" w:cs="Times New Roman"/>
                <w:sz w:val="24"/>
                <w:szCs w:val="24"/>
              </w:rPr>
              <w:t xml:space="preserve"> no darbības veida</w:t>
            </w:r>
            <w:r w:rsidRPr="008A505D" w:rsidR="006C744B">
              <w:rPr>
                <w:rFonts w:ascii="Times New Roman" w:hAnsi="Times New Roman" w:cs="Times New Roman"/>
                <w:sz w:val="24"/>
                <w:szCs w:val="24"/>
              </w:rPr>
              <w:t xml:space="preserve"> un darb</w:t>
            </w:r>
            <w:r w:rsidRPr="008A505D" w:rsidR="00B9039C">
              <w:rPr>
                <w:rFonts w:ascii="Times New Roman" w:hAnsi="Times New Roman" w:cs="Times New Roman"/>
                <w:sz w:val="24"/>
                <w:szCs w:val="24"/>
              </w:rPr>
              <w:t>ības jaudas. I</w:t>
            </w:r>
            <w:r w:rsidRPr="008A505D" w:rsidR="006C744B">
              <w:rPr>
                <w:rFonts w:ascii="Times New Roman" w:hAnsi="Times New Roman" w:cs="Times New Roman"/>
                <w:sz w:val="24"/>
                <w:szCs w:val="24"/>
              </w:rPr>
              <w:t xml:space="preserve">etekmes </w:t>
            </w:r>
            <w:r w:rsidR="00735871">
              <w:rPr>
                <w:rFonts w:ascii="Times New Roman" w:hAnsi="Times New Roman" w:cs="Times New Roman"/>
                <w:sz w:val="24"/>
                <w:szCs w:val="24"/>
              </w:rPr>
              <w:t xml:space="preserve">uz vidi novērtējums </w:t>
            </w:r>
            <w:r w:rsidRPr="008A505D" w:rsidR="006C744B">
              <w:rPr>
                <w:rFonts w:ascii="Times New Roman" w:hAnsi="Times New Roman" w:cs="Times New Roman"/>
                <w:sz w:val="24"/>
                <w:szCs w:val="24"/>
              </w:rPr>
              <w:t>derīgo izrakteņu ieguves gadījumā atšķir</w:t>
            </w:r>
            <w:r w:rsidR="00735871">
              <w:rPr>
                <w:rFonts w:ascii="Times New Roman" w:hAnsi="Times New Roman" w:cs="Times New Roman"/>
                <w:sz w:val="24"/>
                <w:szCs w:val="24"/>
              </w:rPr>
              <w:t>sies</w:t>
            </w:r>
            <w:r w:rsidRPr="008A505D" w:rsidR="006C744B">
              <w:rPr>
                <w:rFonts w:ascii="Times New Roman" w:hAnsi="Times New Roman" w:cs="Times New Roman"/>
                <w:sz w:val="24"/>
                <w:szCs w:val="24"/>
              </w:rPr>
              <w:t xml:space="preserve"> no vēja </w:t>
            </w:r>
            <w:r w:rsidRPr="008A505D" w:rsidR="006C744B">
              <w:rPr>
                <w:rFonts w:ascii="Times New Roman" w:hAnsi="Times New Roman" w:cs="Times New Roman"/>
                <w:sz w:val="24"/>
                <w:szCs w:val="24"/>
              </w:rPr>
              <w:t>elektrostaciju vai tālsatiksmes dzelzceļa līnijas</w:t>
            </w:r>
            <w:r w:rsidR="00735871">
              <w:rPr>
                <w:rFonts w:ascii="Times New Roman" w:hAnsi="Times New Roman" w:cs="Times New Roman"/>
                <w:sz w:val="24"/>
                <w:szCs w:val="24"/>
              </w:rPr>
              <w:t xml:space="preserve"> novērtējuma</w:t>
            </w:r>
            <w:r w:rsidRPr="008A505D" w:rsidR="006C744B">
              <w:rPr>
                <w:rFonts w:ascii="Times New Roman" w:hAnsi="Times New Roman" w:cs="Times New Roman"/>
                <w:sz w:val="24"/>
                <w:szCs w:val="24"/>
              </w:rPr>
              <w:t xml:space="preserve">, savukārt izmaksas </w:t>
            </w:r>
            <w:r w:rsidR="00735871">
              <w:rPr>
                <w:rFonts w:ascii="Times New Roman" w:hAnsi="Times New Roman" w:cs="Times New Roman"/>
                <w:sz w:val="24"/>
                <w:szCs w:val="24"/>
              </w:rPr>
              <w:t xml:space="preserve">par novērtējuma veikšanu </w:t>
            </w:r>
            <w:r w:rsidRPr="008A505D" w:rsidR="006C744B">
              <w:rPr>
                <w:rFonts w:ascii="Times New Roman" w:hAnsi="Times New Roman" w:cs="Times New Roman"/>
                <w:sz w:val="24"/>
                <w:szCs w:val="24"/>
              </w:rPr>
              <w:t>10</w:t>
            </w:r>
            <w:r w:rsidR="0006584E">
              <w:rPr>
                <w:rFonts w:ascii="Times New Roman" w:hAnsi="Times New Roman" w:cs="Times New Roman"/>
                <w:sz w:val="24"/>
                <w:szCs w:val="24"/>
              </w:rPr>
              <w:t> </w:t>
            </w:r>
            <w:r w:rsidRPr="008A505D" w:rsidR="006C744B">
              <w:rPr>
                <w:rFonts w:ascii="Times New Roman" w:hAnsi="Times New Roman" w:cs="Times New Roman"/>
                <w:sz w:val="24"/>
                <w:szCs w:val="24"/>
              </w:rPr>
              <w:t>km garas dzelzceļa līnija</w:t>
            </w:r>
            <w:r w:rsidR="00735871">
              <w:rPr>
                <w:rFonts w:ascii="Times New Roman" w:hAnsi="Times New Roman" w:cs="Times New Roman"/>
                <w:sz w:val="24"/>
                <w:szCs w:val="24"/>
              </w:rPr>
              <w:t xml:space="preserve">i </w:t>
            </w:r>
            <w:r w:rsidRPr="008A505D" w:rsidR="006C744B">
              <w:rPr>
                <w:rFonts w:ascii="Times New Roman" w:hAnsi="Times New Roman" w:cs="Times New Roman"/>
                <w:sz w:val="24"/>
                <w:szCs w:val="24"/>
              </w:rPr>
              <w:t>būs mazāk</w:t>
            </w:r>
            <w:r w:rsidR="00735871">
              <w:rPr>
                <w:rFonts w:ascii="Times New Roman" w:hAnsi="Times New Roman" w:cs="Times New Roman"/>
                <w:sz w:val="24"/>
                <w:szCs w:val="24"/>
              </w:rPr>
              <w:t>as, nek</w:t>
            </w:r>
            <w:r w:rsidRPr="008A505D" w:rsidR="006C744B">
              <w:rPr>
                <w:rFonts w:ascii="Times New Roman" w:hAnsi="Times New Roman" w:cs="Times New Roman"/>
                <w:sz w:val="24"/>
                <w:szCs w:val="24"/>
              </w:rPr>
              <w:t>ā novērtējuma izmaksas</w:t>
            </w:r>
            <w:r w:rsidR="00735871">
              <w:rPr>
                <w:rFonts w:ascii="Times New Roman" w:hAnsi="Times New Roman" w:cs="Times New Roman"/>
                <w:sz w:val="24"/>
                <w:szCs w:val="24"/>
              </w:rPr>
              <w:t xml:space="preserve"> par </w:t>
            </w:r>
            <w:r w:rsidRPr="008A505D" w:rsidR="006C744B">
              <w:rPr>
                <w:rFonts w:ascii="Times New Roman" w:hAnsi="Times New Roman" w:cs="Times New Roman"/>
                <w:sz w:val="24"/>
                <w:szCs w:val="24"/>
              </w:rPr>
              <w:t>265</w:t>
            </w:r>
            <w:r w:rsidR="0006584E">
              <w:rPr>
                <w:rFonts w:ascii="Times New Roman" w:hAnsi="Times New Roman" w:cs="Times New Roman"/>
                <w:sz w:val="24"/>
                <w:szCs w:val="24"/>
              </w:rPr>
              <w:t> </w:t>
            </w:r>
            <w:r w:rsidRPr="008A505D" w:rsidR="006C744B">
              <w:rPr>
                <w:rFonts w:ascii="Times New Roman" w:hAnsi="Times New Roman" w:cs="Times New Roman"/>
                <w:sz w:val="24"/>
                <w:szCs w:val="24"/>
              </w:rPr>
              <w:t>km gar</w:t>
            </w:r>
            <w:r w:rsidR="00735871">
              <w:rPr>
                <w:rFonts w:ascii="Times New Roman" w:hAnsi="Times New Roman" w:cs="Times New Roman"/>
                <w:sz w:val="24"/>
                <w:szCs w:val="24"/>
              </w:rPr>
              <w:t>u</w:t>
            </w:r>
            <w:r w:rsidRPr="008A505D" w:rsidR="006C744B">
              <w:rPr>
                <w:rFonts w:ascii="Times New Roman" w:hAnsi="Times New Roman" w:cs="Times New Roman"/>
                <w:sz w:val="24"/>
                <w:szCs w:val="24"/>
              </w:rPr>
              <w:t xml:space="preserve"> dzelzceļa l</w:t>
            </w:r>
            <w:r w:rsidRPr="008A505D" w:rsidR="00B9039C">
              <w:rPr>
                <w:rFonts w:ascii="Times New Roman" w:hAnsi="Times New Roman" w:cs="Times New Roman"/>
                <w:sz w:val="24"/>
                <w:szCs w:val="24"/>
              </w:rPr>
              <w:t>īnij</w:t>
            </w:r>
            <w:r w:rsidR="00735871">
              <w:rPr>
                <w:rFonts w:ascii="Times New Roman" w:hAnsi="Times New Roman" w:cs="Times New Roman"/>
                <w:sz w:val="24"/>
                <w:szCs w:val="24"/>
              </w:rPr>
              <w:t>u</w:t>
            </w:r>
            <w:r w:rsidRPr="008A505D" w:rsidR="00B9039C">
              <w:rPr>
                <w:rFonts w:ascii="Times New Roman" w:hAnsi="Times New Roman" w:cs="Times New Roman"/>
                <w:sz w:val="24"/>
                <w:szCs w:val="24"/>
              </w:rPr>
              <w:t xml:space="preserve">. </w:t>
            </w:r>
            <w:r w:rsidRPr="008A505D" w:rsidR="006C744B">
              <w:rPr>
                <w:rFonts w:ascii="Times New Roman" w:hAnsi="Times New Roman" w:cs="Times New Roman"/>
                <w:sz w:val="24"/>
                <w:szCs w:val="24"/>
              </w:rPr>
              <w:t xml:space="preserve">Ietekmes novērtējuma izmaksas </w:t>
            </w:r>
            <w:r w:rsidR="00735871">
              <w:rPr>
                <w:rFonts w:ascii="Times New Roman" w:hAnsi="Times New Roman" w:cs="Times New Roman"/>
                <w:sz w:val="24"/>
                <w:szCs w:val="24"/>
              </w:rPr>
              <w:t xml:space="preserve">ir </w:t>
            </w:r>
            <w:r w:rsidRPr="008A505D" w:rsidR="006C744B">
              <w:rPr>
                <w:rFonts w:ascii="Times New Roman" w:hAnsi="Times New Roman" w:cs="Times New Roman"/>
                <w:sz w:val="24"/>
                <w:szCs w:val="24"/>
              </w:rPr>
              <w:t xml:space="preserve">atkarīgas arī no plānotās darbības vietas (piemēram, atrašanās īpaši aizsargājamā dabas teritorijā vai tās tuvumā). </w:t>
            </w:r>
            <w:r w:rsidRPr="008A505D" w:rsidR="001F2206">
              <w:rPr>
                <w:rFonts w:ascii="Times New Roman" w:hAnsi="Times New Roman" w:cs="Times New Roman"/>
                <w:sz w:val="24"/>
                <w:szCs w:val="24"/>
              </w:rPr>
              <w:t xml:space="preserve"> </w:t>
            </w:r>
            <w:r w:rsidRPr="008A505D" w:rsidR="006C744B">
              <w:rPr>
                <w:rFonts w:ascii="Times New Roman" w:hAnsi="Times New Roman" w:cs="Times New Roman"/>
                <w:sz w:val="24"/>
                <w:szCs w:val="24"/>
              </w:rPr>
              <w:t xml:space="preserve">Tādēļ, ņemot vērā katras paredzētās darbības specifiku, </w:t>
            </w:r>
            <w:r w:rsidR="00735871">
              <w:rPr>
                <w:rFonts w:ascii="Times New Roman" w:hAnsi="Times New Roman" w:cs="Times New Roman"/>
                <w:sz w:val="24"/>
                <w:szCs w:val="24"/>
              </w:rPr>
              <w:t xml:space="preserve">var gadīties, ka </w:t>
            </w:r>
            <w:r w:rsidRPr="008A505D" w:rsidR="006C744B">
              <w:rPr>
                <w:rFonts w:ascii="Times New Roman" w:hAnsi="Times New Roman" w:cs="Times New Roman"/>
                <w:sz w:val="24"/>
                <w:szCs w:val="24"/>
              </w:rPr>
              <w:t>ietekmes novērtējumā</w:t>
            </w:r>
            <w:r w:rsidR="008A505D">
              <w:rPr>
                <w:rFonts w:ascii="Times New Roman" w:hAnsi="Times New Roman" w:cs="Times New Roman"/>
                <w:sz w:val="24"/>
                <w:szCs w:val="24"/>
              </w:rPr>
              <w:t xml:space="preserve"> </w:t>
            </w:r>
            <w:r w:rsidR="00BD01EB">
              <w:rPr>
                <w:rFonts w:ascii="Times New Roman" w:hAnsi="Times New Roman" w:cs="Times New Roman"/>
                <w:sz w:val="24"/>
                <w:szCs w:val="24"/>
              </w:rPr>
              <w:t>jāiekļauj</w:t>
            </w:r>
            <w:r w:rsidRPr="008A505D" w:rsidR="006C744B">
              <w:rPr>
                <w:rFonts w:ascii="Times New Roman" w:hAnsi="Times New Roman" w:cs="Times New Roman"/>
                <w:sz w:val="24"/>
                <w:szCs w:val="24"/>
              </w:rPr>
              <w:t xml:space="preserve"> ietekm</w:t>
            </w:r>
            <w:r w:rsidR="00BD01EB">
              <w:rPr>
                <w:rFonts w:ascii="Times New Roman" w:hAnsi="Times New Roman" w:cs="Times New Roman"/>
                <w:sz w:val="24"/>
                <w:szCs w:val="24"/>
              </w:rPr>
              <w:t>es izvērtējums</w:t>
            </w:r>
            <w:r w:rsidRPr="008A505D" w:rsidR="006C744B">
              <w:rPr>
                <w:rFonts w:ascii="Times New Roman" w:hAnsi="Times New Roman" w:cs="Times New Roman"/>
                <w:sz w:val="24"/>
                <w:szCs w:val="24"/>
              </w:rPr>
              <w:t xml:space="preserve"> uz gaisa kvalitāti, smak</w:t>
            </w:r>
            <w:r w:rsidR="000454D1">
              <w:rPr>
                <w:rFonts w:ascii="Times New Roman" w:hAnsi="Times New Roman" w:cs="Times New Roman"/>
                <w:sz w:val="24"/>
                <w:szCs w:val="24"/>
              </w:rPr>
              <w:t>ām</w:t>
            </w:r>
            <w:r w:rsidRPr="008A505D" w:rsidR="006C744B">
              <w:rPr>
                <w:rFonts w:ascii="Times New Roman" w:hAnsi="Times New Roman" w:cs="Times New Roman"/>
                <w:sz w:val="24"/>
                <w:szCs w:val="24"/>
              </w:rPr>
              <w:t xml:space="preserve">, troksni, hidroloģiskajiem </w:t>
            </w:r>
            <w:r w:rsidRPr="008B1EE8" w:rsidR="006C744B">
              <w:rPr>
                <w:rFonts w:ascii="Times New Roman" w:hAnsi="Times New Roman" w:cs="Times New Roman"/>
                <w:sz w:val="24"/>
                <w:szCs w:val="24"/>
              </w:rPr>
              <w:t>un hidroģeoloģiskajiem apstākļiem, ainavu, īpaši aizsargājamām sugām vai biotopiem u.c.</w:t>
            </w:r>
            <w:r w:rsidRPr="008B1EE8" w:rsidR="00B9039C">
              <w:rPr>
                <w:rFonts w:ascii="Times New Roman" w:hAnsi="Times New Roman" w:cs="Times New Roman"/>
                <w:sz w:val="24"/>
                <w:szCs w:val="24"/>
              </w:rPr>
              <w:t xml:space="preserve"> </w:t>
            </w:r>
          </w:p>
          <w:p w:rsidR="006B2497" w:rsidRPr="008B1EE8" w:rsidP="00B5701B" w14:paraId="6B4A74BE" w14:textId="413519F3">
            <w:pPr>
              <w:jc w:val="both"/>
              <w:rPr>
                <w:rFonts w:ascii="Times New Roman" w:hAnsi="Times New Roman" w:cs="Times New Roman"/>
                <w:sz w:val="24"/>
                <w:szCs w:val="24"/>
              </w:rPr>
            </w:pPr>
            <w:r w:rsidRPr="008B1EE8">
              <w:rPr>
                <w:rFonts w:ascii="Times New Roman" w:hAnsi="Times New Roman" w:cs="Times New Roman"/>
                <w:sz w:val="24"/>
                <w:szCs w:val="24"/>
              </w:rPr>
              <w:t xml:space="preserve">Atbilstības </w:t>
            </w:r>
            <w:r w:rsidRPr="008B1EE8" w:rsidR="00B5701B">
              <w:rPr>
                <w:rFonts w:ascii="Times New Roman" w:hAnsi="Times New Roman" w:cs="Times New Roman"/>
                <w:sz w:val="24"/>
                <w:szCs w:val="24"/>
              </w:rPr>
              <w:t>izmaksas ierosinātāj</w:t>
            </w:r>
            <w:r w:rsidRPr="008B1EE8">
              <w:rPr>
                <w:rFonts w:ascii="Times New Roman" w:hAnsi="Times New Roman" w:cs="Times New Roman"/>
                <w:sz w:val="24"/>
                <w:szCs w:val="24"/>
              </w:rPr>
              <w:t>iem</w:t>
            </w:r>
            <w:r w:rsidRPr="008B1EE8" w:rsidR="00B5701B">
              <w:rPr>
                <w:rFonts w:ascii="Times New Roman" w:hAnsi="Times New Roman" w:cs="Times New Roman"/>
                <w:sz w:val="24"/>
                <w:szCs w:val="24"/>
              </w:rPr>
              <w:t xml:space="preserve"> </w:t>
            </w:r>
            <w:r w:rsidRPr="008B1EE8">
              <w:rPr>
                <w:rFonts w:ascii="Times New Roman" w:hAnsi="Times New Roman" w:cs="Times New Roman"/>
                <w:sz w:val="24"/>
                <w:szCs w:val="24"/>
              </w:rPr>
              <w:t>2017.</w:t>
            </w:r>
            <w:r w:rsidRPr="008B1EE8">
              <w:rPr>
                <w:rFonts w:ascii="Times New Roman" w:hAnsi="Times New Roman" w:cs="Times New Roman"/>
                <w:sz w:val="24"/>
                <w:szCs w:val="24"/>
              </w:rPr>
              <w:t> </w:t>
            </w:r>
            <w:r w:rsidRPr="008B1EE8">
              <w:rPr>
                <w:rFonts w:ascii="Times New Roman" w:hAnsi="Times New Roman" w:cs="Times New Roman"/>
                <w:sz w:val="24"/>
                <w:szCs w:val="24"/>
              </w:rPr>
              <w:t xml:space="preserve">gadā veidotu </w:t>
            </w:r>
            <w:r w:rsidRPr="008B1EE8" w:rsidR="00B5701B">
              <w:rPr>
                <w:rFonts w:ascii="Times New Roman" w:hAnsi="Times New Roman" w:cs="Times New Roman"/>
                <w:sz w:val="24"/>
                <w:szCs w:val="24"/>
              </w:rPr>
              <w:t>71</w:t>
            </w:r>
            <w:r w:rsidR="0006584E">
              <w:rPr>
                <w:rFonts w:ascii="Times New Roman" w:hAnsi="Times New Roman" w:cs="Times New Roman"/>
                <w:sz w:val="24"/>
                <w:szCs w:val="24"/>
              </w:rPr>
              <w:t> </w:t>
            </w:r>
            <w:r w:rsidRPr="008B1EE8" w:rsidR="00B5701B">
              <w:rPr>
                <w:rFonts w:ascii="Times New Roman" w:hAnsi="Times New Roman" w:cs="Times New Roman"/>
                <w:sz w:val="24"/>
                <w:szCs w:val="24"/>
              </w:rPr>
              <w:t>570</w:t>
            </w:r>
            <w:r w:rsidR="0006584E">
              <w:rPr>
                <w:rFonts w:ascii="Times New Roman" w:hAnsi="Times New Roman" w:cs="Times New Roman"/>
                <w:sz w:val="24"/>
                <w:szCs w:val="24"/>
              </w:rPr>
              <w:t> </w:t>
            </w:r>
            <w:r w:rsidRPr="006C5D5D" w:rsidR="0006584E">
              <w:rPr>
                <w:rFonts w:ascii="Times New Roman" w:hAnsi="Times New Roman" w:cs="Times New Roman"/>
                <w:i/>
                <w:sz w:val="24"/>
                <w:szCs w:val="24"/>
              </w:rPr>
              <w:t>euro</w:t>
            </w:r>
            <w:r w:rsidRPr="008B1EE8">
              <w:rPr>
                <w:rFonts w:ascii="Times New Roman" w:hAnsi="Times New Roman" w:cs="Times New Roman"/>
                <w:sz w:val="24"/>
                <w:szCs w:val="24"/>
              </w:rPr>
              <w:t xml:space="preserve"> un pakalpojumu cena, ko </w:t>
            </w:r>
            <w:r w:rsidRPr="008B1EE8">
              <w:rPr>
                <w:rFonts w:ascii="Times New Roman" w:hAnsi="Times New Roman" w:cs="Times New Roman"/>
                <w:sz w:val="24"/>
                <w:szCs w:val="24"/>
              </w:rPr>
              <w:t>pasūtītāji samaksāja konsultāciju firmām par ietekmes uz vidi novērtējumu ziņojumu sagatavošanu</w:t>
            </w:r>
            <w:r w:rsidRPr="008B1EE8" w:rsidR="00A00D1D">
              <w:rPr>
                <w:rFonts w:ascii="Times New Roman" w:hAnsi="Times New Roman" w:cs="Times New Roman"/>
                <w:sz w:val="24"/>
                <w:szCs w:val="24"/>
              </w:rPr>
              <w:t xml:space="preserve"> (ja novērtējumu neveica pats ierosinātājs)</w:t>
            </w:r>
            <w:r w:rsidRPr="008B1EE8">
              <w:rPr>
                <w:rFonts w:ascii="Times New Roman" w:hAnsi="Times New Roman" w:cs="Times New Roman"/>
                <w:sz w:val="24"/>
                <w:szCs w:val="24"/>
              </w:rPr>
              <w:t>.</w:t>
            </w:r>
            <w:r w:rsidRPr="008B1EE8" w:rsidR="00B5701B">
              <w:rPr>
                <w:rFonts w:ascii="Times New Roman" w:hAnsi="Times New Roman" w:cs="Times New Roman"/>
                <w:sz w:val="24"/>
                <w:szCs w:val="24"/>
              </w:rPr>
              <w:t xml:space="preserve"> </w:t>
            </w:r>
          </w:p>
          <w:p w:rsidR="00E5323B" w:rsidRPr="00C804BF" w:rsidP="00B5701B" w14:paraId="5C98CBA7" w14:textId="0FB9F075">
            <w:pPr>
              <w:jc w:val="both"/>
              <w:rPr>
                <w:rFonts w:ascii="Times New Roman" w:hAnsi="Times New Roman" w:cs="Times New Roman"/>
                <w:sz w:val="24"/>
                <w:szCs w:val="24"/>
              </w:rPr>
            </w:pPr>
            <w:r w:rsidRPr="008B1EE8">
              <w:rPr>
                <w:rFonts w:ascii="Times New Roman" w:hAnsi="Times New Roman" w:cs="Times New Roman"/>
                <w:sz w:val="24"/>
                <w:szCs w:val="24"/>
              </w:rPr>
              <w:t>Uzskatām, ka i</w:t>
            </w:r>
            <w:r w:rsidRPr="008B1EE8" w:rsidR="00B9039C">
              <w:rPr>
                <w:rFonts w:ascii="Times New Roman" w:hAnsi="Times New Roman" w:cs="Times New Roman"/>
                <w:sz w:val="24"/>
                <w:szCs w:val="24"/>
              </w:rPr>
              <w:t>zmaksas ir samērīgas</w:t>
            </w:r>
            <w:r w:rsidRPr="008A505D" w:rsidR="00B9039C">
              <w:rPr>
                <w:rFonts w:ascii="Times New Roman" w:hAnsi="Times New Roman" w:cs="Times New Roman"/>
                <w:sz w:val="24"/>
                <w:szCs w:val="24"/>
              </w:rPr>
              <w:t xml:space="preserve">, atbilst principam „piesārņotājs maksā” un tiešā mērā izriet no tā, kādu paredzēto darbību ierosinātājs vēlas realizēt, cik daudzveidīgu un kompleksu ietekmi </w:t>
            </w:r>
            <w:r>
              <w:rPr>
                <w:rFonts w:ascii="Times New Roman" w:hAnsi="Times New Roman" w:cs="Times New Roman"/>
                <w:sz w:val="24"/>
                <w:szCs w:val="24"/>
              </w:rPr>
              <w:t xml:space="preserve">uz vidi </w:t>
            </w:r>
            <w:r w:rsidRPr="008A505D" w:rsidR="00B9039C">
              <w:rPr>
                <w:rFonts w:ascii="Times New Roman" w:hAnsi="Times New Roman" w:cs="Times New Roman"/>
                <w:sz w:val="24"/>
                <w:szCs w:val="24"/>
              </w:rPr>
              <w:t>tā rad</w:t>
            </w:r>
            <w:r w:rsidR="00BD01EB">
              <w:rPr>
                <w:rFonts w:ascii="Times New Roman" w:hAnsi="Times New Roman" w:cs="Times New Roman"/>
                <w:sz w:val="24"/>
                <w:szCs w:val="24"/>
              </w:rPr>
              <w:t>īs</w:t>
            </w:r>
            <w:r w:rsidRPr="008A505D" w:rsidR="00B9039C">
              <w:rPr>
                <w:rFonts w:ascii="Times New Roman" w:hAnsi="Times New Roman" w:cs="Times New Roman"/>
                <w:sz w:val="24"/>
                <w:szCs w:val="24"/>
              </w:rPr>
              <w:t xml:space="preserve">.  </w:t>
            </w:r>
          </w:p>
        </w:tc>
      </w:tr>
      <w:tr w14:paraId="0558481A"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4840" w:rsidP="00E5323B" w14:paraId="0E40ECAB" w14:textId="3220C853">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rsidR="00E5323B" w:rsidRPr="00044840" w:rsidP="00E5323B" w14:paraId="6BC41B49"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044840" w:rsidP="00E5323B" w14:paraId="5D579E14" w14:textId="558A3C51">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rsidR="00E5323B" w:rsidRPr="00044840" w:rsidP="00E5323B" w14:paraId="26D2B0F7"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353A2776" w14:textId="77777777" w:rsidTr="009750C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805764" w:rsidRPr="00044840" w:rsidP="009750C8" w14:paraId="7BDBAAF3"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4840">
              <w:rPr>
                <w:rFonts w:ascii="Times New Roman" w:eastAsia="Times New Roman" w:hAnsi="Times New Roman" w:cs="Times New Roman"/>
                <w:b/>
                <w:bCs/>
                <w:sz w:val="24"/>
                <w:szCs w:val="24"/>
                <w:lang w:eastAsia="lv-LV"/>
              </w:rPr>
              <w:t>III. Tiesību akta projekta ietekme uz valsts budžetu un pašvaldību budžetiem</w:t>
            </w:r>
          </w:p>
        </w:tc>
      </w:tr>
      <w:tr w14:paraId="4DAF91C6" w14:textId="77777777" w:rsidTr="009750C8">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05764" w:rsidRPr="00044840" w:rsidP="009750C8" w14:paraId="1308A506" w14:textId="77777777">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44840">
              <w:rPr>
                <w:rFonts w:ascii="Times New Roman" w:eastAsia="Times New Roman" w:hAnsi="Times New Roman" w:cs="Times New Roman"/>
                <w:bCs/>
                <w:sz w:val="24"/>
                <w:szCs w:val="24"/>
                <w:lang w:eastAsia="lv-LV"/>
              </w:rPr>
              <w:t>Projekts šo jomu neskar.</w:t>
            </w:r>
          </w:p>
        </w:tc>
      </w:tr>
    </w:tbl>
    <w:p w:rsidR="00805764" w:rsidRPr="00044840" w:rsidP="00805764" w14:paraId="6378346A" w14:textId="77777777">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
      <w:tblGrid>
        <w:gridCol w:w="9055"/>
      </w:tblGrid>
      <w:tr w14:paraId="60B7F424" w14:textId="77777777" w:rsidTr="009750C8">
        <w:tblPrEx>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tblPrEx>
        <w:trPr>
          <w:trHeight w:val="360"/>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05764" w:rsidRPr="00044840" w:rsidP="009750C8" w14:paraId="157FBE65" w14:textId="77777777">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044840">
              <w:rPr>
                <w:rFonts w:ascii="Times New Roman" w:eastAsia="Times New Roman" w:hAnsi="Times New Roman" w:cs="Times New Roman"/>
                <w:b/>
                <w:bCs/>
                <w:sz w:val="24"/>
                <w:szCs w:val="24"/>
                <w:lang w:eastAsia="lv-LV"/>
              </w:rPr>
              <w:t>IV. Tiesību akta projekta ietekme uz spēkā esošo tiesību normu sistēmu</w:t>
            </w:r>
          </w:p>
        </w:tc>
      </w:tr>
      <w:tr w14:paraId="76D586A5" w14:textId="77777777" w:rsidTr="009750C8">
        <w:tblPrEx>
          <w:tblW w:w="5000" w:type="pct"/>
          <w:jc w:val="center"/>
          <w:tblCellMar>
            <w:top w:w="24" w:type="dxa"/>
            <w:left w:w="24" w:type="dxa"/>
            <w:bottom w:w="24" w:type="dxa"/>
            <w:right w:w="24" w:type="dxa"/>
          </w:tblCellMar>
          <w:tblLook w:val="04A0"/>
        </w:tblPrEx>
        <w:trPr>
          <w:trHeight w:val="288"/>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805764" w:rsidRPr="00044840" w:rsidP="009750C8" w14:paraId="0C1E05EA" w14:textId="77777777">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044840">
              <w:rPr>
                <w:rFonts w:ascii="Times New Roman" w:eastAsia="Times New Roman" w:hAnsi="Times New Roman" w:cs="Times New Roman"/>
                <w:bCs/>
                <w:sz w:val="24"/>
                <w:szCs w:val="24"/>
                <w:lang w:eastAsia="lv-LV"/>
              </w:rPr>
              <w:t>Projekts šo jomu neskar.</w:t>
            </w:r>
          </w:p>
        </w:tc>
      </w:tr>
    </w:tbl>
    <w:p w:rsidR="00805764" w:rsidRPr="00044840" w:rsidP="00E5323B" w14:paraId="789B6152"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0F489D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4840" w:rsidP="00E5323B" w14:paraId="7D4FFEF2" w14:textId="28ACF7EA">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w:t>
            </w:r>
            <w:r w:rsidR="002E2616">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Tiesību akta projekta atbilstība Latvijas Republikas starptautiskajām saistībām</w:t>
            </w:r>
          </w:p>
        </w:tc>
      </w:tr>
      <w:tr w14:paraId="7232167C"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4840" w:rsidP="00E5323B" w14:paraId="4057F32A"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044840" w:rsidP="00E5323B" w14:paraId="09185CBE"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Saistības pret Eiropas Savienību</w:t>
            </w:r>
          </w:p>
        </w:tc>
        <w:tc>
          <w:tcPr>
            <w:tcW w:w="2960" w:type="pct"/>
            <w:tcBorders>
              <w:top w:val="outset" w:sz="6" w:space="0" w:color="auto"/>
              <w:left w:val="outset" w:sz="6" w:space="0" w:color="auto"/>
              <w:bottom w:val="outset" w:sz="6" w:space="0" w:color="auto"/>
              <w:right w:val="outset" w:sz="6" w:space="0" w:color="auto"/>
            </w:tcBorders>
            <w:hideMark/>
          </w:tcPr>
          <w:p w:rsidR="00AF23F9" w:rsidRPr="00044840" w:rsidP="00AF23F9" w14:paraId="06AA92BC" w14:textId="7A825E5E">
            <w:pPr>
              <w:spacing w:after="120"/>
              <w:jc w:val="both"/>
              <w:rPr>
                <w:rFonts w:ascii="Times New Roman" w:hAnsi="Times New Roman" w:cs="Times New Roman"/>
                <w:sz w:val="24"/>
                <w:szCs w:val="24"/>
              </w:rPr>
            </w:pPr>
            <w:r w:rsidRPr="00044840">
              <w:rPr>
                <w:rFonts w:ascii="Times New Roman" w:hAnsi="Times New Roman" w:cs="Times New Roman"/>
                <w:sz w:val="24"/>
                <w:szCs w:val="24"/>
              </w:rPr>
              <w:t xml:space="preserve">Noteikumu projektā tiek pārņemtas </w:t>
            </w:r>
            <w:r w:rsidR="00F84A28">
              <w:rPr>
                <w:rFonts w:ascii="Times New Roman" w:hAnsi="Times New Roman" w:cs="Times New Roman"/>
                <w:sz w:val="24"/>
                <w:szCs w:val="24"/>
              </w:rPr>
              <w:t>šādas</w:t>
            </w:r>
            <w:r w:rsidRPr="00044840">
              <w:rPr>
                <w:rFonts w:ascii="Times New Roman" w:hAnsi="Times New Roman" w:cs="Times New Roman"/>
                <w:sz w:val="24"/>
                <w:szCs w:val="24"/>
              </w:rPr>
              <w:t xml:space="preserve"> </w:t>
            </w:r>
            <w:r w:rsidR="00F84A28">
              <w:rPr>
                <w:rFonts w:ascii="Times New Roman" w:hAnsi="Times New Roman" w:cs="Times New Roman"/>
                <w:sz w:val="24"/>
                <w:szCs w:val="24"/>
              </w:rPr>
              <w:t>E</w:t>
            </w:r>
            <w:r w:rsidR="006E0E9D">
              <w:rPr>
                <w:rFonts w:ascii="Times New Roman" w:hAnsi="Times New Roman" w:cs="Times New Roman"/>
                <w:sz w:val="24"/>
                <w:szCs w:val="24"/>
              </w:rPr>
              <w:t>S</w:t>
            </w:r>
            <w:r w:rsidR="00F84A28">
              <w:rPr>
                <w:rFonts w:ascii="Times New Roman" w:hAnsi="Times New Roman" w:cs="Times New Roman"/>
                <w:sz w:val="24"/>
                <w:szCs w:val="24"/>
              </w:rPr>
              <w:t xml:space="preserve"> tiesību aktu </w:t>
            </w:r>
            <w:r w:rsidR="00F84A28">
              <w:rPr>
                <w:rFonts w:ascii="Times New Roman" w:hAnsi="Times New Roman" w:cs="Times New Roman"/>
                <w:sz w:val="24"/>
                <w:szCs w:val="24"/>
              </w:rPr>
              <w:noBreakHyphen/>
              <w:t xml:space="preserve"> </w:t>
            </w:r>
            <w:r w:rsidRPr="00044840">
              <w:rPr>
                <w:rFonts w:ascii="Times New Roman" w:hAnsi="Times New Roman" w:cs="Times New Roman"/>
                <w:sz w:val="24"/>
                <w:szCs w:val="24"/>
              </w:rPr>
              <w:t>direktīvu prasības:</w:t>
            </w:r>
          </w:p>
          <w:p w:rsidR="00AF23F9" w:rsidRPr="00044840" w:rsidP="00AF23F9" w14:paraId="58CBE221" w14:textId="77777777">
            <w:pPr>
              <w:numPr>
                <w:ilvl w:val="0"/>
                <w:numId w:val="3"/>
              </w:numPr>
              <w:spacing w:after="120" w:line="240" w:lineRule="auto"/>
              <w:ind w:right="55"/>
              <w:jc w:val="both"/>
              <w:rPr>
                <w:rFonts w:ascii="Times New Roman" w:hAnsi="Times New Roman" w:cs="Times New Roman"/>
                <w:sz w:val="24"/>
                <w:szCs w:val="24"/>
              </w:rPr>
            </w:pPr>
            <w:r w:rsidRPr="00044840">
              <w:rPr>
                <w:rFonts w:ascii="Times New Roman" w:hAnsi="Times New Roman" w:cs="Times New Roman"/>
                <w:sz w:val="24"/>
                <w:szCs w:val="24"/>
              </w:rPr>
              <w:t xml:space="preserve">Eiropas Parlamenta un Padomes 2011. gada 13. decembra direktīva 2011/92/ES par dažu sabiedrisku un privātu projektu ietekmes uz vidi novērtējumu (kodificētā redakcija) (turpmāk – </w:t>
            </w:r>
            <w:r w:rsidRPr="00044840">
              <w:rPr>
                <w:rFonts w:ascii="Times New Roman" w:hAnsi="Times New Roman" w:cs="Times New Roman"/>
                <w:spacing w:val="-3"/>
                <w:sz w:val="24"/>
                <w:szCs w:val="24"/>
              </w:rPr>
              <w:t>Direktīvas 2011/92/ES).</w:t>
            </w:r>
          </w:p>
          <w:p w:rsidR="00E5323B" w:rsidRPr="00044840" w:rsidP="00AF23F9" w14:paraId="20AEEFCC" w14:textId="77777777">
            <w:pPr>
              <w:numPr>
                <w:ilvl w:val="0"/>
                <w:numId w:val="3"/>
              </w:numPr>
              <w:spacing w:after="120" w:line="240" w:lineRule="auto"/>
              <w:ind w:right="55"/>
              <w:jc w:val="both"/>
              <w:rPr>
                <w:rFonts w:ascii="Times New Roman" w:hAnsi="Times New Roman" w:cs="Times New Roman"/>
                <w:sz w:val="24"/>
                <w:szCs w:val="24"/>
              </w:rPr>
            </w:pPr>
            <w:r w:rsidRPr="00044840">
              <w:rPr>
                <w:rFonts w:ascii="Times New Roman" w:hAnsi="Times New Roman" w:cs="Times New Roman"/>
                <w:sz w:val="24"/>
                <w:szCs w:val="24"/>
              </w:rPr>
              <w:t>Eiropas Parlamenta un Padomes 2014. gada 16. aprīļa direktīva 2014/52/ES, ar ko groza Direktīvu 2011/92/ES par dažu sabiedrisku un privātu projektu ietekmes uz vidi novērtējumu (turpmāk - Direktīva 2014/52/ES).</w:t>
            </w:r>
          </w:p>
        </w:tc>
      </w:tr>
      <w:tr w14:paraId="13D4009C"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4840" w:rsidP="00E5323B" w14:paraId="069587CA"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044840" w:rsidP="00E5323B" w14:paraId="318703DC"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Citas starptautiskās saistības</w:t>
            </w:r>
          </w:p>
        </w:tc>
        <w:tc>
          <w:tcPr>
            <w:tcW w:w="2960" w:type="pct"/>
            <w:tcBorders>
              <w:top w:val="outset" w:sz="6" w:space="0" w:color="auto"/>
              <w:left w:val="outset" w:sz="6" w:space="0" w:color="auto"/>
              <w:bottom w:val="outset" w:sz="6" w:space="0" w:color="auto"/>
              <w:right w:val="outset" w:sz="6" w:space="0" w:color="auto"/>
            </w:tcBorders>
            <w:hideMark/>
          </w:tcPr>
          <w:p w:rsidR="00E5323B" w:rsidRPr="00044840" w:rsidP="00E5323B" w14:paraId="23ABE099"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Projekts šo jomu neskar.</w:t>
            </w:r>
          </w:p>
        </w:tc>
      </w:tr>
      <w:tr w14:paraId="067128E2" w14:textId="77777777" w:rsidTr="00687540">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044840" w:rsidP="00E5323B" w14:paraId="47282EE6"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044840" w:rsidP="00E5323B" w14:paraId="6B9BF94E"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E5323B" w:rsidRPr="00044840" w:rsidP="00E5323B" w14:paraId="59B817AD" w14:textId="0EAF9524">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rsidR="00E5323B" w:rsidRPr="00044840" w:rsidP="00E5323B" w14:paraId="3E3A2232"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132"/>
        <w:gridCol w:w="2116"/>
        <w:gridCol w:w="2267"/>
        <w:gridCol w:w="2540"/>
      </w:tblGrid>
      <w:tr w14:paraId="1962778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655F2C" w:rsidRPr="00044840" w:rsidP="00E5323B" w14:paraId="573EA590" w14:textId="00F94459">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1.</w:t>
            </w:r>
            <w:r w:rsidR="00F84A28">
              <w:rPr>
                <w:rFonts w:ascii="Times New Roman" w:eastAsia="Times New Roman" w:hAnsi="Times New Roman" w:cs="Times New Roman"/>
                <w:b/>
                <w:bCs/>
                <w:iCs/>
                <w:sz w:val="24"/>
                <w:szCs w:val="24"/>
                <w:lang w:eastAsia="lv-LV"/>
              </w:rPr>
              <w:t> </w:t>
            </w:r>
            <w:r w:rsidRPr="00044840">
              <w:rPr>
                <w:rFonts w:ascii="Times New Roman" w:eastAsia="Times New Roman" w:hAnsi="Times New Roman" w:cs="Times New Roman"/>
                <w:b/>
                <w:bCs/>
                <w:iCs/>
                <w:sz w:val="24"/>
                <w:szCs w:val="24"/>
                <w:lang w:eastAsia="lv-LV"/>
              </w:rPr>
              <w:t>tabula</w:t>
            </w:r>
            <w:r w:rsidRPr="00044840">
              <w:rPr>
                <w:rFonts w:ascii="Times New Roman" w:eastAsia="Times New Roman" w:hAnsi="Times New Roman" w:cs="Times New Roman"/>
                <w:b/>
                <w:bCs/>
                <w:iCs/>
                <w:sz w:val="24"/>
                <w:szCs w:val="24"/>
                <w:lang w:eastAsia="lv-LV"/>
              </w:rPr>
              <w:br/>
              <w:t>Tiesību akta projekta atbilstība ES tiesību aktiem</w:t>
            </w:r>
          </w:p>
        </w:tc>
      </w:tr>
      <w:tr w14:paraId="7530747B" w14:textId="77777777" w:rsidTr="0054588E">
        <w:tblPrEx>
          <w:tblW w:w="5000" w:type="pct"/>
          <w:tblCellSpacing w:w="15" w:type="dxa"/>
          <w:tblCellMar>
            <w:top w:w="30" w:type="dxa"/>
            <w:left w:w="30" w:type="dxa"/>
            <w:bottom w:w="30" w:type="dxa"/>
            <w:right w:w="30" w:type="dxa"/>
          </w:tblCellMar>
          <w:tblLook w:val="04A0"/>
        </w:tblPrEx>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0F0602" w:rsidRPr="00044840" w:rsidP="000F0602" w14:paraId="718F62CE" w14:textId="77777777">
            <w:pPr>
              <w:ind w:left="57"/>
              <w:rPr>
                <w:rFonts w:ascii="Times New Roman" w:hAnsi="Times New Roman" w:cs="Times New Roman"/>
                <w:sz w:val="24"/>
                <w:szCs w:val="24"/>
              </w:rPr>
            </w:pPr>
            <w:r w:rsidRPr="00044840">
              <w:rPr>
                <w:rFonts w:ascii="Times New Roman" w:hAnsi="Times New Roman" w:cs="Times New Roman"/>
                <w:sz w:val="24"/>
                <w:szCs w:val="24"/>
              </w:rPr>
              <w:t>Attiecīgā ES tiesību akta datums, numurs un nosaukums</w:t>
            </w:r>
          </w:p>
        </w:tc>
        <w:tc>
          <w:tcPr>
            <w:tcW w:w="3791" w:type="pct"/>
            <w:gridSpan w:val="3"/>
            <w:tcBorders>
              <w:top w:val="outset" w:sz="6" w:space="0" w:color="auto"/>
              <w:left w:val="outset" w:sz="6" w:space="0" w:color="auto"/>
              <w:bottom w:val="outset" w:sz="6" w:space="0" w:color="auto"/>
              <w:right w:val="outset" w:sz="6" w:space="0" w:color="auto"/>
            </w:tcBorders>
            <w:hideMark/>
          </w:tcPr>
          <w:p w:rsidR="000F0602" w:rsidRPr="00044840" w:rsidP="000F0602" w14:paraId="24CE7BF6" w14:textId="77777777">
            <w:pPr>
              <w:numPr>
                <w:ilvl w:val="0"/>
                <w:numId w:val="4"/>
              </w:numPr>
              <w:spacing w:after="120" w:line="240" w:lineRule="auto"/>
              <w:ind w:right="55"/>
              <w:jc w:val="both"/>
              <w:rPr>
                <w:rFonts w:ascii="Times New Roman" w:hAnsi="Times New Roman" w:cs="Times New Roman"/>
                <w:sz w:val="24"/>
                <w:szCs w:val="24"/>
              </w:rPr>
            </w:pPr>
            <w:r w:rsidRPr="00044840">
              <w:rPr>
                <w:rFonts w:ascii="Times New Roman" w:hAnsi="Times New Roman" w:cs="Times New Roman"/>
                <w:sz w:val="24"/>
                <w:szCs w:val="24"/>
              </w:rPr>
              <w:t>Eiropas Parlamenta un Padomes 2011. gada 13. decembra direktīva 2011/92/ES par dažu sabiedrisku un privātu projektu ietekmes uz vidi novērtējumu (kodificētā redakcija).</w:t>
            </w:r>
          </w:p>
          <w:p w:rsidR="000F0602" w:rsidRPr="00687540" w:rsidP="00687540" w14:paraId="7883D933" w14:textId="771433EF">
            <w:pPr>
              <w:numPr>
                <w:ilvl w:val="0"/>
                <w:numId w:val="4"/>
              </w:numPr>
              <w:spacing w:after="120" w:line="240" w:lineRule="auto"/>
              <w:ind w:right="55"/>
              <w:jc w:val="both"/>
              <w:rPr>
                <w:rFonts w:ascii="Times New Roman" w:hAnsi="Times New Roman" w:cs="Times New Roman"/>
                <w:sz w:val="24"/>
                <w:szCs w:val="24"/>
              </w:rPr>
            </w:pPr>
            <w:r w:rsidRPr="00FE77E1">
              <w:rPr>
                <w:rFonts w:ascii="Times New Roman" w:hAnsi="Times New Roman" w:cs="Times New Roman"/>
                <w:sz w:val="24"/>
                <w:szCs w:val="24"/>
              </w:rPr>
              <w:t>Eiropas Parlamenta un Padomes 2014. gada 16. aprīļa direktīva 2014/52/ES, ar ko groza Direktīvu 2011/92/ES par dažu sabiedrisku un privātu projektu ietekmes uz vidi novērtējumu.</w:t>
            </w:r>
            <w:r w:rsidRPr="00FE77E1" w:rsidR="00D9770F">
              <w:rPr>
                <w:rFonts w:ascii="Times New Roman" w:hAnsi="Times New Roman" w:cs="Times New Roman"/>
                <w:sz w:val="24"/>
                <w:szCs w:val="24"/>
              </w:rPr>
              <w:t xml:space="preserve"> </w:t>
            </w:r>
          </w:p>
        </w:tc>
      </w:tr>
      <w:tr w14:paraId="6AB2D73F" w14:textId="77777777" w:rsidTr="0054588E">
        <w:tblPrEx>
          <w:tblW w:w="5000" w:type="pct"/>
          <w:tblCellSpacing w:w="15" w:type="dxa"/>
          <w:tblCellMar>
            <w:top w:w="30" w:type="dxa"/>
            <w:left w:w="30" w:type="dxa"/>
            <w:bottom w:w="30" w:type="dxa"/>
            <w:right w:w="30" w:type="dxa"/>
          </w:tblCellMar>
          <w:tblLook w:val="04A0"/>
        </w:tblPrEx>
        <w:trPr>
          <w:tblCellSpacing w:w="15" w:type="dxa"/>
        </w:trPr>
        <w:tc>
          <w:tcPr>
            <w:tcW w:w="1160" w:type="pct"/>
            <w:tcBorders>
              <w:top w:val="outset" w:sz="6" w:space="0" w:color="auto"/>
              <w:left w:val="outset" w:sz="6" w:space="0" w:color="auto"/>
              <w:bottom w:val="outset" w:sz="6" w:space="0" w:color="auto"/>
              <w:right w:val="outset" w:sz="6" w:space="0" w:color="auto"/>
            </w:tcBorders>
            <w:vAlign w:val="center"/>
            <w:hideMark/>
          </w:tcPr>
          <w:p w:rsidR="00655F2C" w:rsidRPr="00044840" w:rsidP="00E5323B" w14:paraId="5EF195BB"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A</w:t>
            </w:r>
          </w:p>
        </w:tc>
        <w:tc>
          <w:tcPr>
            <w:tcW w:w="1160" w:type="pct"/>
            <w:tcBorders>
              <w:top w:val="outset" w:sz="6" w:space="0" w:color="auto"/>
              <w:left w:val="outset" w:sz="6" w:space="0" w:color="auto"/>
              <w:bottom w:val="outset" w:sz="6" w:space="0" w:color="auto"/>
              <w:right w:val="outset" w:sz="6" w:space="0" w:color="auto"/>
            </w:tcBorders>
            <w:vAlign w:val="center"/>
            <w:hideMark/>
          </w:tcPr>
          <w:p w:rsidR="00655F2C" w:rsidRPr="00044840" w:rsidP="00E5323B" w14:paraId="750A1B4B"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B</w:t>
            </w:r>
          </w:p>
        </w:tc>
        <w:tc>
          <w:tcPr>
            <w:tcW w:w="1244" w:type="pct"/>
            <w:tcBorders>
              <w:top w:val="outset" w:sz="6" w:space="0" w:color="auto"/>
              <w:left w:val="outset" w:sz="6" w:space="0" w:color="auto"/>
              <w:bottom w:val="outset" w:sz="6" w:space="0" w:color="auto"/>
              <w:right w:val="outset" w:sz="6" w:space="0" w:color="auto"/>
            </w:tcBorders>
            <w:vAlign w:val="center"/>
            <w:hideMark/>
          </w:tcPr>
          <w:p w:rsidR="00655F2C" w:rsidRPr="00044840" w:rsidP="00E5323B" w14:paraId="1FC60FD3"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w:t>
            </w:r>
          </w:p>
        </w:tc>
        <w:tc>
          <w:tcPr>
            <w:tcW w:w="1353" w:type="pct"/>
            <w:tcBorders>
              <w:top w:val="outset" w:sz="6" w:space="0" w:color="auto"/>
              <w:left w:val="outset" w:sz="6" w:space="0" w:color="auto"/>
              <w:bottom w:val="outset" w:sz="6" w:space="0" w:color="auto"/>
              <w:right w:val="outset" w:sz="6" w:space="0" w:color="auto"/>
            </w:tcBorders>
            <w:vAlign w:val="center"/>
            <w:hideMark/>
          </w:tcPr>
          <w:p w:rsidR="00655F2C" w:rsidRPr="00044840" w:rsidP="00E5323B" w14:paraId="0C59C3A2"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D</w:t>
            </w:r>
          </w:p>
        </w:tc>
      </w:tr>
      <w:tr w14:paraId="694AF53F" w14:textId="77777777" w:rsidTr="0054588E">
        <w:tblPrEx>
          <w:tblW w:w="5000" w:type="pct"/>
          <w:tblCellSpacing w:w="15" w:type="dxa"/>
          <w:tblCellMar>
            <w:top w:w="30" w:type="dxa"/>
            <w:left w:w="30" w:type="dxa"/>
            <w:bottom w:w="30" w:type="dxa"/>
            <w:right w:w="30" w:type="dxa"/>
          </w:tblCellMar>
          <w:tblLook w:val="04A0"/>
        </w:tblPrEx>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8E3C75" w:rsidRPr="00044840" w:rsidP="00CA7BE9" w14:paraId="69F86AF8" w14:textId="49FBE01E">
            <w:pPr>
              <w:ind w:left="57"/>
              <w:jc w:val="both"/>
              <w:rPr>
                <w:rFonts w:ascii="Times New Roman" w:hAnsi="Times New Roman" w:cs="Times New Roman"/>
                <w:spacing w:val="-3"/>
                <w:sz w:val="24"/>
                <w:szCs w:val="24"/>
              </w:rPr>
            </w:pPr>
            <w:r w:rsidRPr="00044840">
              <w:rPr>
                <w:rFonts w:ascii="Times New Roman" w:hAnsi="Times New Roman" w:cs="Times New Roman"/>
                <w:spacing w:val="-3"/>
                <w:sz w:val="24"/>
                <w:szCs w:val="24"/>
              </w:rPr>
              <w:t>Direktīvas 2014/52/ES pielikumā 3.</w:t>
            </w:r>
            <w:r w:rsidR="00F84A28">
              <w:rPr>
                <w:rFonts w:ascii="Times New Roman" w:hAnsi="Times New Roman" w:cs="Times New Roman"/>
                <w:spacing w:val="-3"/>
                <w:sz w:val="24"/>
                <w:szCs w:val="24"/>
              </w:rPr>
              <w:t> </w:t>
            </w:r>
            <w:r w:rsidRPr="00044840">
              <w:rPr>
                <w:rFonts w:ascii="Times New Roman" w:hAnsi="Times New Roman" w:cs="Times New Roman"/>
                <w:spacing w:val="-3"/>
                <w:sz w:val="24"/>
                <w:szCs w:val="24"/>
              </w:rPr>
              <w:t>punktā izteiktais IV pielikums (Direktīvas 2011/92/ES IV pielikums)</w:t>
            </w:r>
          </w:p>
        </w:tc>
        <w:tc>
          <w:tcPr>
            <w:tcW w:w="1160" w:type="pct"/>
            <w:tcBorders>
              <w:top w:val="outset" w:sz="6" w:space="0" w:color="auto"/>
              <w:left w:val="outset" w:sz="6" w:space="0" w:color="auto"/>
              <w:bottom w:val="outset" w:sz="6" w:space="0" w:color="auto"/>
              <w:right w:val="outset" w:sz="6" w:space="0" w:color="auto"/>
            </w:tcBorders>
            <w:vAlign w:val="center"/>
            <w:hideMark/>
          </w:tcPr>
          <w:p w:rsidR="008E3C75" w:rsidRPr="00044840" w:rsidP="00D6670D" w14:paraId="7A2C9930" w14:textId="540146DD">
            <w:pPr>
              <w:ind w:left="57"/>
              <w:jc w:val="both"/>
              <w:rPr>
                <w:rFonts w:ascii="Times New Roman" w:hAnsi="Times New Roman" w:cs="Times New Roman"/>
                <w:spacing w:val="-3"/>
                <w:sz w:val="24"/>
                <w:szCs w:val="24"/>
              </w:rPr>
            </w:pPr>
            <w:r w:rsidRPr="00044840">
              <w:rPr>
                <w:rFonts w:ascii="Times New Roman" w:hAnsi="Times New Roman" w:cs="Times New Roman"/>
                <w:spacing w:val="-3"/>
                <w:sz w:val="24"/>
                <w:szCs w:val="24"/>
              </w:rPr>
              <w:t>Noteikumu projekta</w:t>
            </w:r>
            <w:r w:rsidRPr="00044840">
              <w:rPr>
                <w:rFonts w:ascii="Times New Roman" w:hAnsi="Times New Roman" w:cs="Times New Roman"/>
                <w:spacing w:val="-3"/>
                <w:sz w:val="24"/>
                <w:szCs w:val="24"/>
              </w:rPr>
              <w:t xml:space="preserve"> </w:t>
            </w:r>
            <w:r w:rsidR="00D6670D">
              <w:rPr>
                <w:rFonts w:ascii="Times New Roman" w:hAnsi="Times New Roman" w:cs="Times New Roman"/>
                <w:spacing w:val="-3"/>
                <w:sz w:val="24"/>
                <w:szCs w:val="24"/>
              </w:rPr>
              <w:t>3.</w:t>
            </w:r>
            <w:r w:rsidR="0006584E">
              <w:rPr>
                <w:rFonts w:ascii="Times New Roman" w:hAnsi="Times New Roman" w:cs="Times New Roman"/>
                <w:spacing w:val="-3"/>
                <w:sz w:val="24"/>
                <w:szCs w:val="24"/>
              </w:rPr>
              <w:t> </w:t>
            </w:r>
            <w:r w:rsidR="00D6670D">
              <w:rPr>
                <w:rFonts w:ascii="Times New Roman" w:hAnsi="Times New Roman" w:cs="Times New Roman"/>
                <w:spacing w:val="-3"/>
                <w:sz w:val="24"/>
                <w:szCs w:val="24"/>
              </w:rPr>
              <w:t>punktā izteiktais</w:t>
            </w:r>
            <w:r w:rsidRPr="00044840" w:rsidR="00970C96">
              <w:rPr>
                <w:rFonts w:ascii="Times New Roman" w:hAnsi="Times New Roman" w:cs="Times New Roman"/>
                <w:sz w:val="24"/>
                <w:szCs w:val="24"/>
              </w:rPr>
              <w:t xml:space="preserve"> 2.</w:t>
            </w:r>
            <w:r w:rsidR="00F84A28">
              <w:rPr>
                <w:rFonts w:ascii="Times New Roman" w:hAnsi="Times New Roman" w:cs="Times New Roman"/>
                <w:sz w:val="24"/>
                <w:szCs w:val="24"/>
              </w:rPr>
              <w:t> </w:t>
            </w:r>
            <w:r w:rsidRPr="00044840" w:rsidR="00970C96">
              <w:rPr>
                <w:rFonts w:ascii="Times New Roman" w:hAnsi="Times New Roman" w:cs="Times New Roman"/>
                <w:sz w:val="24"/>
                <w:szCs w:val="24"/>
              </w:rPr>
              <w:t>pielikums</w:t>
            </w:r>
            <w:r w:rsidRPr="00044840">
              <w:rPr>
                <w:rFonts w:ascii="Times New Roman" w:hAnsi="Times New Roman" w:cs="Times New Roman"/>
                <w:sz w:val="24"/>
                <w:szCs w:val="24"/>
              </w:rPr>
              <w:t>.</w:t>
            </w:r>
          </w:p>
        </w:tc>
        <w:tc>
          <w:tcPr>
            <w:tcW w:w="1244" w:type="pct"/>
            <w:tcBorders>
              <w:top w:val="outset" w:sz="6" w:space="0" w:color="auto"/>
              <w:left w:val="outset" w:sz="6" w:space="0" w:color="auto"/>
              <w:bottom w:val="outset" w:sz="6" w:space="0" w:color="auto"/>
              <w:right w:val="outset" w:sz="6" w:space="0" w:color="auto"/>
            </w:tcBorders>
            <w:hideMark/>
          </w:tcPr>
          <w:p w:rsidR="008E3C75" w:rsidRPr="00044840" w:rsidP="008E3C75" w14:paraId="1BFDB243" w14:textId="77777777">
            <w:pPr>
              <w:ind w:left="57"/>
              <w:jc w:val="both"/>
              <w:rPr>
                <w:rFonts w:ascii="Times New Roman" w:hAnsi="Times New Roman" w:cs="Times New Roman"/>
                <w:sz w:val="24"/>
                <w:szCs w:val="24"/>
              </w:rPr>
            </w:pPr>
            <w:r w:rsidRPr="00044840">
              <w:rPr>
                <w:rFonts w:ascii="Times New Roman" w:hAnsi="Times New Roman" w:cs="Times New Roman"/>
                <w:sz w:val="24"/>
                <w:szCs w:val="24"/>
              </w:rPr>
              <w:t>Pārņemts pilnībā</w:t>
            </w:r>
          </w:p>
        </w:tc>
        <w:tc>
          <w:tcPr>
            <w:tcW w:w="1353" w:type="pct"/>
            <w:tcBorders>
              <w:top w:val="outset" w:sz="6" w:space="0" w:color="auto"/>
              <w:left w:val="outset" w:sz="6" w:space="0" w:color="auto"/>
              <w:bottom w:val="outset" w:sz="6" w:space="0" w:color="auto"/>
              <w:right w:val="outset" w:sz="6" w:space="0" w:color="auto"/>
            </w:tcBorders>
            <w:hideMark/>
          </w:tcPr>
          <w:p w:rsidR="008E3C75" w:rsidRPr="00044840" w:rsidP="008B0F26" w14:paraId="6EAC7680" w14:textId="5EE636C0">
            <w:pPr>
              <w:ind w:left="57"/>
              <w:jc w:val="both"/>
              <w:rPr>
                <w:rFonts w:ascii="Times New Roman" w:hAnsi="Times New Roman" w:cs="Times New Roman"/>
                <w:sz w:val="24"/>
                <w:szCs w:val="24"/>
              </w:rPr>
            </w:pPr>
            <w:r>
              <w:rPr>
                <w:rFonts w:ascii="Times New Roman" w:hAnsi="Times New Roman" w:cs="Times New Roman"/>
                <w:sz w:val="24"/>
                <w:szCs w:val="24"/>
              </w:rPr>
              <w:t>Noteikumu p</w:t>
            </w:r>
            <w:r w:rsidR="00D6670D">
              <w:rPr>
                <w:rFonts w:ascii="Times New Roman" w:hAnsi="Times New Roman" w:cs="Times New Roman"/>
                <w:sz w:val="24"/>
                <w:szCs w:val="24"/>
              </w:rPr>
              <w:t xml:space="preserve">rojektā pilnībā 2.pielikumā tiek pārņemts Direktīvas 2011/92/ES IV pielikums. </w:t>
            </w:r>
            <w:r w:rsidR="00912B53">
              <w:rPr>
                <w:rFonts w:ascii="Times New Roman" w:hAnsi="Times New Roman" w:cs="Times New Roman"/>
                <w:sz w:val="24"/>
                <w:szCs w:val="24"/>
              </w:rPr>
              <w:t>Papildus prasības</w:t>
            </w:r>
            <w:r w:rsidR="008B0F26">
              <w:rPr>
                <w:rFonts w:ascii="Times New Roman" w:hAnsi="Times New Roman" w:cs="Times New Roman"/>
                <w:sz w:val="24"/>
                <w:szCs w:val="24"/>
              </w:rPr>
              <w:t xml:space="preserve"> ārpus Diretkīvas 2011/92/ES prasībām</w:t>
            </w:r>
            <w:r w:rsidR="00912B53">
              <w:rPr>
                <w:rFonts w:ascii="Times New Roman" w:hAnsi="Times New Roman" w:cs="Times New Roman"/>
                <w:sz w:val="24"/>
                <w:szCs w:val="24"/>
              </w:rPr>
              <w:t xml:space="preserve"> ietekmes uz vidi novērtējuma ziņojumā izvirzītas noteikumu projekta 3.</w:t>
            </w:r>
            <w:r w:rsidR="0006584E">
              <w:rPr>
                <w:rFonts w:ascii="Times New Roman" w:hAnsi="Times New Roman" w:cs="Times New Roman"/>
                <w:sz w:val="24"/>
                <w:szCs w:val="24"/>
              </w:rPr>
              <w:t> </w:t>
            </w:r>
            <w:r w:rsidR="00912B53">
              <w:rPr>
                <w:rFonts w:ascii="Times New Roman" w:hAnsi="Times New Roman" w:cs="Times New Roman"/>
                <w:sz w:val="24"/>
                <w:szCs w:val="24"/>
              </w:rPr>
              <w:t>punktā izteiktā 2.</w:t>
            </w:r>
            <w:r w:rsidR="0006584E">
              <w:rPr>
                <w:rFonts w:ascii="Times New Roman" w:hAnsi="Times New Roman" w:cs="Times New Roman"/>
                <w:sz w:val="24"/>
                <w:szCs w:val="24"/>
              </w:rPr>
              <w:t> </w:t>
            </w:r>
            <w:r w:rsidR="00912B53">
              <w:rPr>
                <w:rFonts w:ascii="Times New Roman" w:hAnsi="Times New Roman" w:cs="Times New Roman"/>
                <w:sz w:val="24"/>
                <w:szCs w:val="24"/>
              </w:rPr>
              <w:t>pielikuma 5.5. un 5.6.</w:t>
            </w:r>
            <w:r w:rsidR="0006584E">
              <w:rPr>
                <w:rFonts w:ascii="Times New Roman" w:hAnsi="Times New Roman" w:cs="Times New Roman"/>
                <w:sz w:val="24"/>
                <w:szCs w:val="24"/>
              </w:rPr>
              <w:t> </w:t>
            </w:r>
            <w:r w:rsidR="00912B53">
              <w:rPr>
                <w:rFonts w:ascii="Times New Roman" w:hAnsi="Times New Roman" w:cs="Times New Roman"/>
                <w:sz w:val="24"/>
                <w:szCs w:val="24"/>
              </w:rPr>
              <w:t xml:space="preserve">apakšpunktā, </w:t>
            </w:r>
            <w:r w:rsidR="00456A67">
              <w:rPr>
                <w:rFonts w:ascii="Times New Roman" w:hAnsi="Times New Roman" w:cs="Times New Roman"/>
                <w:sz w:val="24"/>
                <w:szCs w:val="24"/>
              </w:rPr>
              <w:t>l</w:t>
            </w:r>
            <w:r w:rsidRPr="00456A67" w:rsidR="00456A67">
              <w:rPr>
                <w:rFonts w:ascii="Times New Roman" w:hAnsi="Times New Roman" w:cs="Times New Roman"/>
                <w:sz w:val="24"/>
                <w:szCs w:val="24"/>
              </w:rPr>
              <w:t>ai nodrošinātu nacionālā, E</w:t>
            </w:r>
            <w:r w:rsidR="006E0E9D">
              <w:rPr>
                <w:rFonts w:ascii="Times New Roman" w:hAnsi="Times New Roman" w:cs="Times New Roman"/>
                <w:sz w:val="24"/>
                <w:szCs w:val="24"/>
              </w:rPr>
              <w:t>S</w:t>
            </w:r>
            <w:r w:rsidRPr="00456A67" w:rsidR="00456A67">
              <w:rPr>
                <w:rFonts w:ascii="Times New Roman" w:hAnsi="Times New Roman" w:cs="Times New Roman"/>
                <w:sz w:val="24"/>
                <w:szCs w:val="24"/>
              </w:rPr>
              <w:t xml:space="preserve"> un starptautiskajā līmenī izvirzītos klimata pārmaiņu mazināšanas un pielāgošanās klimata </w:t>
            </w:r>
            <w:r w:rsidR="008B0F26">
              <w:rPr>
                <w:rFonts w:ascii="Times New Roman" w:hAnsi="Times New Roman" w:cs="Times New Roman"/>
                <w:sz w:val="24"/>
                <w:szCs w:val="24"/>
              </w:rPr>
              <w:t xml:space="preserve">pārmaiņām mērķus un nosacījumus, lai paredzētajām darbībām </w:t>
            </w:r>
            <w:r w:rsidRPr="00456A67" w:rsidR="00456A67">
              <w:rPr>
                <w:rFonts w:ascii="Times New Roman" w:hAnsi="Times New Roman" w:cs="Times New Roman"/>
                <w:sz w:val="24"/>
                <w:szCs w:val="24"/>
              </w:rPr>
              <w:t>izvērtēt</w:t>
            </w:r>
            <w:r w:rsidR="008B0F26">
              <w:rPr>
                <w:rFonts w:ascii="Times New Roman" w:hAnsi="Times New Roman" w:cs="Times New Roman"/>
                <w:sz w:val="24"/>
                <w:szCs w:val="24"/>
              </w:rPr>
              <w:t>u</w:t>
            </w:r>
            <w:r w:rsidRPr="00456A67" w:rsidR="00456A67">
              <w:rPr>
                <w:rFonts w:ascii="Times New Roman" w:hAnsi="Times New Roman" w:cs="Times New Roman"/>
                <w:sz w:val="24"/>
                <w:szCs w:val="24"/>
              </w:rPr>
              <w:t xml:space="preserve"> ietekmi uz klimata pārmaiņām, t.sk. SEG emisiju un oglekļa dioksīda piesaistes novērtēšan</w:t>
            </w:r>
            <w:r w:rsidR="008B0F26">
              <w:rPr>
                <w:rFonts w:ascii="Times New Roman" w:hAnsi="Times New Roman" w:cs="Times New Roman"/>
                <w:sz w:val="24"/>
                <w:szCs w:val="24"/>
              </w:rPr>
              <w:t>u.</w:t>
            </w:r>
          </w:p>
        </w:tc>
      </w:tr>
      <w:tr w14:paraId="432BDF95" w14:textId="77777777" w:rsidTr="0054588E">
        <w:tblPrEx>
          <w:tblW w:w="5000" w:type="pct"/>
          <w:tblCellSpacing w:w="15" w:type="dxa"/>
          <w:tblCellMar>
            <w:top w:w="30" w:type="dxa"/>
            <w:left w:w="30" w:type="dxa"/>
            <w:bottom w:w="30" w:type="dxa"/>
            <w:right w:w="30" w:type="dxa"/>
          </w:tblCellMar>
          <w:tblLook w:val="04A0"/>
        </w:tblPrEx>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D9770F" w:rsidRPr="00044840" w:rsidP="00D9770F" w14:paraId="7BAF6FB0"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Kā ir izmantota ES tiesību aktā paredzētā rīcības brīvība dalībvalstij pārņemt vai ieviest </w:t>
            </w:r>
            <w:r w:rsidRPr="00044840">
              <w:rPr>
                <w:rFonts w:ascii="Times New Roman" w:eastAsia="Times New Roman" w:hAnsi="Times New Roman" w:cs="Times New Roman"/>
                <w:iCs/>
                <w:sz w:val="24"/>
                <w:szCs w:val="24"/>
                <w:lang w:eastAsia="lv-LV"/>
              </w:rPr>
              <w:t>noteiktas ES tiesību akta normas? Kādēļ?</w:t>
            </w:r>
          </w:p>
        </w:tc>
        <w:tc>
          <w:tcPr>
            <w:tcW w:w="3791" w:type="pct"/>
            <w:gridSpan w:val="3"/>
            <w:tcBorders>
              <w:top w:val="outset" w:sz="6" w:space="0" w:color="auto"/>
              <w:left w:val="outset" w:sz="6" w:space="0" w:color="auto"/>
              <w:bottom w:val="outset" w:sz="6" w:space="0" w:color="auto"/>
              <w:right w:val="outset" w:sz="6" w:space="0" w:color="auto"/>
            </w:tcBorders>
            <w:hideMark/>
          </w:tcPr>
          <w:p w:rsidR="00D9770F" w:rsidRPr="00044840" w:rsidP="00D9770F" w14:paraId="145CB22B"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Projekts šo jomu neskar.</w:t>
            </w:r>
          </w:p>
        </w:tc>
      </w:tr>
      <w:tr w14:paraId="1303BBB3" w14:textId="77777777" w:rsidTr="0054588E">
        <w:tblPrEx>
          <w:tblW w:w="5000" w:type="pct"/>
          <w:tblCellSpacing w:w="15" w:type="dxa"/>
          <w:tblCellMar>
            <w:top w:w="30" w:type="dxa"/>
            <w:left w:w="30" w:type="dxa"/>
            <w:bottom w:w="30" w:type="dxa"/>
            <w:right w:w="30" w:type="dxa"/>
          </w:tblCellMar>
          <w:tblLook w:val="04A0"/>
        </w:tblPrEx>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D9770F" w:rsidRPr="00044840" w:rsidP="00D9770F" w14:paraId="052D274E"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91" w:type="pct"/>
            <w:gridSpan w:val="3"/>
            <w:tcBorders>
              <w:top w:val="outset" w:sz="6" w:space="0" w:color="auto"/>
              <w:left w:val="outset" w:sz="6" w:space="0" w:color="auto"/>
              <w:bottom w:val="outset" w:sz="6" w:space="0" w:color="auto"/>
              <w:right w:val="outset" w:sz="6" w:space="0" w:color="auto"/>
            </w:tcBorders>
            <w:hideMark/>
          </w:tcPr>
          <w:p w:rsidR="00D9770F" w:rsidRPr="00044840" w:rsidP="00D9770F" w14:paraId="30499C73"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Projekts šo jomu neskar.</w:t>
            </w:r>
          </w:p>
        </w:tc>
      </w:tr>
      <w:tr w14:paraId="1D30B3AC" w14:textId="77777777" w:rsidTr="0054588E">
        <w:tblPrEx>
          <w:tblW w:w="5000" w:type="pct"/>
          <w:tblCellSpacing w:w="15" w:type="dxa"/>
          <w:tblCellMar>
            <w:top w:w="30" w:type="dxa"/>
            <w:left w:w="30" w:type="dxa"/>
            <w:bottom w:w="30" w:type="dxa"/>
            <w:right w:w="30" w:type="dxa"/>
          </w:tblCellMar>
          <w:tblLook w:val="04A0"/>
        </w:tblPrEx>
        <w:trPr>
          <w:tblCellSpacing w:w="15" w:type="dxa"/>
        </w:trPr>
        <w:tc>
          <w:tcPr>
            <w:tcW w:w="1160" w:type="pct"/>
            <w:tcBorders>
              <w:top w:val="outset" w:sz="6" w:space="0" w:color="auto"/>
              <w:left w:val="outset" w:sz="6" w:space="0" w:color="auto"/>
              <w:bottom w:val="outset" w:sz="6" w:space="0" w:color="auto"/>
              <w:right w:val="outset" w:sz="6" w:space="0" w:color="auto"/>
            </w:tcBorders>
            <w:hideMark/>
          </w:tcPr>
          <w:p w:rsidR="00D9770F" w:rsidRPr="00044840" w:rsidP="00D9770F" w14:paraId="1144864A"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791" w:type="pct"/>
            <w:gridSpan w:val="3"/>
            <w:tcBorders>
              <w:top w:val="outset" w:sz="6" w:space="0" w:color="auto"/>
              <w:left w:val="outset" w:sz="6" w:space="0" w:color="auto"/>
              <w:bottom w:val="outset" w:sz="6" w:space="0" w:color="auto"/>
              <w:right w:val="outset" w:sz="6" w:space="0" w:color="auto"/>
            </w:tcBorders>
            <w:hideMark/>
          </w:tcPr>
          <w:p w:rsidR="00E83C49" w:rsidRPr="00044840" w:rsidP="00D9770F" w14:paraId="0CE08A92" w14:textId="77777777">
            <w:pPr>
              <w:spacing w:after="0" w:line="240" w:lineRule="auto"/>
              <w:jc w:val="both"/>
              <w:rPr>
                <w:rFonts w:ascii="Times New Roman" w:hAnsi="Times New Roman" w:cs="Times New Roman"/>
                <w:sz w:val="24"/>
                <w:szCs w:val="24"/>
              </w:rPr>
            </w:pPr>
            <w:r w:rsidRPr="00044840">
              <w:rPr>
                <w:rFonts w:ascii="Times New Roman" w:hAnsi="Times New Roman" w:cs="Times New Roman"/>
                <w:sz w:val="24"/>
                <w:szCs w:val="24"/>
              </w:rPr>
              <w:t xml:space="preserve">Pārējās Eiropas Parlamenta un Padomes 2011. gada 13. decembra direktīvas 2011/92/ES par dažu sabiedrisku un privātu projektu ietekmes uz vidi novērtējumu (kodificētā redakcija) prasības pārņemtas likumā “Par ietekmes uz vidi novērtējumu” un Ministru kabineta 2015. gada 13. janvāra noteikumos Nr. 18 </w:t>
            </w:r>
            <w:r w:rsidRPr="00044840">
              <w:rPr>
                <w:rFonts w:ascii="Times New Roman" w:eastAsia="Calibri" w:hAnsi="Times New Roman" w:cs="Times New Roman"/>
                <w:sz w:val="24"/>
                <w:szCs w:val="24"/>
              </w:rPr>
              <w:t>“</w:t>
            </w:r>
            <w:r w:rsidRPr="00044840">
              <w:rPr>
                <w:rFonts w:ascii="Times New Roman" w:hAnsi="Times New Roman" w:cs="Times New Roman"/>
                <w:sz w:val="24"/>
                <w:szCs w:val="24"/>
              </w:rPr>
              <w:t>Kārtība, kādā novērtē paredzētās darbības ietekmi uz vidi un akceptē paredzēto darbību” un Ministru kabineta 2015. gada 27. janvāra noteikumos Nr. 30 “Kārtība, kādā Valsts vides dienests izdod tehniskos noteikumus paredzētajai darbībai”.</w:t>
            </w:r>
          </w:p>
        </w:tc>
      </w:tr>
    </w:tbl>
    <w:p w:rsidR="00E5323B" w:rsidRPr="00044840" w:rsidP="00E5323B" w14:paraId="70697C89"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830048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4840" w:rsidP="00E5323B" w14:paraId="19DB96AC" w14:textId="77777777">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VI. Sabiedrības līdzdalība un komunikācijas aktivitātes</w:t>
            </w:r>
          </w:p>
        </w:tc>
      </w:tr>
      <w:tr w14:paraId="0F8F0E87" w14:textId="77777777" w:rsidTr="0045684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56846" w:rsidRPr="00044840" w:rsidP="00456846" w14:paraId="052B5451"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456846" w:rsidRPr="00044840" w:rsidP="00456846" w14:paraId="6A4E58A7"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456846" w:rsidRPr="00044840" w:rsidP="00456846" w14:paraId="5AABE578" w14:textId="77777777">
            <w:pPr>
              <w:pStyle w:val="naisf"/>
              <w:spacing w:before="0" w:after="0"/>
              <w:ind w:firstLine="0"/>
            </w:pPr>
            <w:r w:rsidRPr="00044840">
              <w:t xml:space="preserve">Sabiedrības līdzdalība nodrošināta atbilstoši Ministru kabineta 2009. gada 25. augusta noteikumiem Nr. 970 </w:t>
            </w:r>
            <w:r w:rsidRPr="00044840">
              <w:rPr>
                <w:rFonts w:eastAsia="Calibri"/>
                <w:lang w:eastAsia="en-US"/>
              </w:rPr>
              <w:t>“</w:t>
            </w:r>
            <w:r w:rsidRPr="00044840">
              <w:t>Sabiedrības līdzdalības kārtība attīstības plānošanas procesā”. Ieinteresētajām personām bija tiesības izteikt viedokli un sniegt rakstiskus priekšlikumus.</w:t>
            </w:r>
          </w:p>
        </w:tc>
      </w:tr>
      <w:tr w14:paraId="18ECF40B" w14:textId="77777777" w:rsidTr="0045684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56846" w:rsidRPr="00044840" w:rsidP="00456846" w14:paraId="7E2D1407"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456846" w:rsidRPr="00044840" w:rsidP="00456846" w14:paraId="22663938"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456846" w:rsidRPr="00044840" w:rsidP="005D64D5" w14:paraId="46ADE9BE" w14:textId="77777777">
            <w:pPr>
              <w:spacing w:after="0" w:line="240" w:lineRule="auto"/>
              <w:jc w:val="both"/>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Noteikumu projekts 2018. gada 5. februārī</w:t>
            </w:r>
            <w:r w:rsidRPr="00044840">
              <w:rPr>
                <w:rFonts w:ascii="Times New Roman" w:eastAsia="Times New Roman" w:hAnsi="Times New Roman" w:cs="Times New Roman"/>
                <w:sz w:val="24"/>
                <w:szCs w:val="24"/>
                <w:lang w:eastAsia="lv-LV"/>
              </w:rPr>
              <w:t xml:space="preserve"> ievietots VARAM tīmekļvietnē </w:t>
            </w:r>
            <w:r>
              <w:fldChar w:fldCharType="begin"/>
            </w:r>
            <w:r>
              <w:instrText xml:space="preserve"> HYPERLINK "http://www.varam.gov.lv" </w:instrText>
            </w:r>
            <w:r>
              <w:fldChar w:fldCharType="separate"/>
            </w:r>
            <w:r w:rsidRPr="00044840">
              <w:rPr>
                <w:rStyle w:val="Hyperlink"/>
                <w:rFonts w:ascii="Times New Roman" w:eastAsia="Times New Roman" w:hAnsi="Times New Roman" w:cs="Times New Roman"/>
                <w:color w:val="auto"/>
                <w:sz w:val="24"/>
                <w:szCs w:val="24"/>
                <w:lang w:eastAsia="lv-LV"/>
              </w:rPr>
              <w:t>www.varam.gov.lv</w:t>
            </w:r>
            <w:r>
              <w:fldChar w:fldCharType="end"/>
            </w:r>
            <w:r w:rsidRPr="00044840">
              <w:rPr>
                <w:rFonts w:ascii="Times New Roman" w:eastAsia="Times New Roman" w:hAnsi="Times New Roman" w:cs="Times New Roman"/>
                <w:sz w:val="24"/>
                <w:szCs w:val="24"/>
                <w:lang w:eastAsia="lv-LV"/>
              </w:rPr>
              <w:t xml:space="preserve"> , paziņojot par sabiedrības līdzdalības iespējam noteikumu projekta izstrādes procesā.</w:t>
            </w:r>
          </w:p>
        </w:tc>
      </w:tr>
      <w:tr w14:paraId="2199AD4F" w14:textId="77777777" w:rsidTr="0045684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56846" w:rsidRPr="00044840" w:rsidP="00456846" w14:paraId="555B118D"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456846" w:rsidRPr="00044840" w:rsidP="00456846" w14:paraId="21BD39F9"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456846" w:rsidRPr="00044840" w:rsidP="00AB7F0B" w14:paraId="7365C093" w14:textId="4D8EB82F">
            <w:pPr>
              <w:spacing w:after="0" w:line="240" w:lineRule="auto"/>
              <w:jc w:val="both"/>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Sabiedrības līdzdalības laikā tika sniegti redakcionāli komentāri, kas ņemti vērā. </w:t>
            </w:r>
            <w:r w:rsidRPr="00AB7F0B">
              <w:rPr>
                <w:rFonts w:ascii="Times New Roman" w:eastAsia="Times New Roman" w:hAnsi="Times New Roman" w:cs="Times New Roman"/>
                <w:iCs/>
                <w:sz w:val="24"/>
                <w:szCs w:val="24"/>
                <w:lang w:eastAsia="lv-LV"/>
              </w:rPr>
              <w:t>Papildināta</w:t>
            </w:r>
            <w:r w:rsidRPr="00AB7F0B" w:rsidR="00AB7F0B">
              <w:rPr>
                <w:rFonts w:ascii="Times New Roman" w:eastAsia="Times New Roman" w:hAnsi="Times New Roman" w:cs="Times New Roman"/>
                <w:iCs/>
                <w:sz w:val="24"/>
                <w:szCs w:val="24"/>
                <w:lang w:eastAsia="lv-LV"/>
              </w:rPr>
              <w:t xml:space="preserve"> noteikumu projekta un anotācijas</w:t>
            </w:r>
            <w:r w:rsidRPr="00AB7F0B">
              <w:rPr>
                <w:rFonts w:ascii="Times New Roman" w:eastAsia="Times New Roman" w:hAnsi="Times New Roman" w:cs="Times New Roman"/>
                <w:iCs/>
                <w:sz w:val="24"/>
                <w:szCs w:val="24"/>
                <w:lang w:eastAsia="lv-LV"/>
              </w:rPr>
              <w:t xml:space="preserve"> redakcijas attiecībā uz klimata jautājumiem, kā arī veiktas atbilstošas</w:t>
            </w:r>
            <w:r w:rsidRPr="00044840">
              <w:rPr>
                <w:rFonts w:ascii="Times New Roman" w:eastAsia="Times New Roman" w:hAnsi="Times New Roman" w:cs="Times New Roman"/>
                <w:iCs/>
                <w:sz w:val="24"/>
                <w:szCs w:val="24"/>
                <w:lang w:eastAsia="lv-LV"/>
              </w:rPr>
              <w:t xml:space="preserve"> izmaiņas rūpniecisko avāriju riska normatīvo aktu prasībām.</w:t>
            </w:r>
          </w:p>
        </w:tc>
      </w:tr>
      <w:tr w14:paraId="208856BA" w14:textId="77777777" w:rsidTr="00456846">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56846" w:rsidRPr="00044840" w:rsidP="00456846" w14:paraId="1F9A6460"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56846" w:rsidRPr="00044840" w:rsidP="00456846" w14:paraId="010984F4"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56846" w:rsidRPr="00044840" w:rsidP="00456846" w14:paraId="653E4274"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sz w:val="24"/>
                <w:szCs w:val="24"/>
                <w:lang w:eastAsia="lv-LV"/>
              </w:rPr>
              <w:t>Nav</w:t>
            </w:r>
          </w:p>
        </w:tc>
      </w:tr>
    </w:tbl>
    <w:p w:rsidR="00E5323B" w:rsidRPr="00044840" w:rsidP="00E5323B" w14:paraId="2973E2CE"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2E3D936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044840" w:rsidP="00E5323B" w14:paraId="5DD0CC61" w14:textId="77777777">
            <w:pPr>
              <w:spacing w:after="0" w:line="240" w:lineRule="auto"/>
              <w:rPr>
                <w:rFonts w:ascii="Times New Roman" w:eastAsia="Times New Roman" w:hAnsi="Times New Roman" w:cs="Times New Roman"/>
                <w:b/>
                <w:bCs/>
                <w:iCs/>
                <w:sz w:val="24"/>
                <w:szCs w:val="24"/>
                <w:lang w:eastAsia="lv-LV"/>
              </w:rPr>
            </w:pPr>
            <w:r w:rsidRPr="00044840">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6F6E171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4840" w:rsidP="00E5323B" w14:paraId="0B4BF0E5"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044840" w:rsidP="00E5323B" w14:paraId="7B652FF2"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044840" w:rsidP="00E83C49" w14:paraId="73ED3DF0"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 xml:space="preserve">VARAM, </w:t>
            </w:r>
            <w:r w:rsidRPr="00044840" w:rsidR="00E83C49">
              <w:rPr>
                <w:rFonts w:ascii="Times New Roman" w:hAnsi="Times New Roman" w:cs="Times New Roman"/>
                <w:sz w:val="24"/>
                <w:szCs w:val="24"/>
              </w:rPr>
              <w:t>Birojs</w:t>
            </w:r>
            <w:r w:rsidRPr="00044840">
              <w:rPr>
                <w:rFonts w:ascii="Times New Roman" w:hAnsi="Times New Roman" w:cs="Times New Roman"/>
                <w:sz w:val="24"/>
                <w:szCs w:val="24"/>
              </w:rPr>
              <w:t xml:space="preserve">, </w:t>
            </w:r>
            <w:r w:rsidRPr="00044840" w:rsidR="00E83C49">
              <w:rPr>
                <w:rFonts w:ascii="Times New Roman" w:hAnsi="Times New Roman" w:cs="Times New Roman"/>
                <w:sz w:val="24"/>
                <w:szCs w:val="24"/>
              </w:rPr>
              <w:t>Valsts vides dienests</w:t>
            </w:r>
            <w:r w:rsidRPr="00044840">
              <w:rPr>
                <w:rFonts w:ascii="Times New Roman" w:hAnsi="Times New Roman" w:cs="Times New Roman"/>
                <w:sz w:val="24"/>
                <w:szCs w:val="24"/>
              </w:rPr>
              <w:t>.</w:t>
            </w:r>
          </w:p>
        </w:tc>
      </w:tr>
      <w:tr w14:paraId="4272448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4840" w:rsidP="00E5323B" w14:paraId="6D78FE1C"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044840" w:rsidP="00E5323B" w14:paraId="55B964E4"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Projekta izpildes ietekme uz pārvaldes funkcijām un institucionālo struktūru.</w:t>
            </w:r>
            <w:r w:rsidRPr="0004484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044840" w:rsidP="00B83316" w14:paraId="44606E3F" w14:textId="77777777">
            <w:pPr>
              <w:spacing w:after="0" w:line="240" w:lineRule="auto"/>
              <w:jc w:val="both"/>
              <w:rPr>
                <w:rFonts w:ascii="Times New Roman" w:eastAsia="Times New Roman" w:hAnsi="Times New Roman" w:cs="Times New Roman"/>
                <w:iCs/>
                <w:sz w:val="24"/>
                <w:szCs w:val="24"/>
                <w:lang w:eastAsia="lv-LV"/>
              </w:rPr>
            </w:pPr>
            <w:r w:rsidRPr="00044840">
              <w:rPr>
                <w:rFonts w:ascii="Times New Roman" w:eastAsia="Calibri" w:hAnsi="Times New Roman" w:cs="Times New Roman"/>
                <w:iCs/>
                <w:sz w:val="24"/>
                <w:szCs w:val="24"/>
              </w:rPr>
              <w:t xml:space="preserve">Noteikumu projekta īstenošana tiks veikta esošo cilvēkresursu ietvaros. Saistībā ar </w:t>
            </w:r>
            <w:r w:rsidRPr="00044840" w:rsidR="00B83316">
              <w:rPr>
                <w:rFonts w:ascii="Times New Roman" w:eastAsia="Calibri" w:hAnsi="Times New Roman" w:cs="Times New Roman"/>
                <w:iCs/>
                <w:sz w:val="24"/>
                <w:szCs w:val="24"/>
              </w:rPr>
              <w:t>noteikumu p</w:t>
            </w:r>
            <w:r w:rsidRPr="00044840">
              <w:rPr>
                <w:rFonts w:ascii="Times New Roman" w:eastAsia="Calibri" w:hAnsi="Times New Roman" w:cs="Times New Roman"/>
                <w:iCs/>
                <w:sz w:val="24"/>
                <w:szCs w:val="24"/>
              </w:rPr>
              <w:t>rojekta izpildi nebūs nepieciešams veidot jaunas institūcijas vai likvidēt, reorganizēt esošās.</w:t>
            </w:r>
          </w:p>
        </w:tc>
      </w:tr>
      <w:tr w14:paraId="0DF0E45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044840" w:rsidP="00E5323B" w14:paraId="34BC8AA6"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044840" w:rsidP="00E5323B" w14:paraId="401FC956" w14:textId="77777777">
            <w:pPr>
              <w:spacing w:after="0" w:line="240" w:lineRule="auto"/>
              <w:rPr>
                <w:rFonts w:ascii="Times New Roman" w:eastAsia="Times New Roman" w:hAnsi="Times New Roman" w:cs="Times New Roman"/>
                <w:iCs/>
                <w:sz w:val="24"/>
                <w:szCs w:val="24"/>
                <w:lang w:eastAsia="lv-LV"/>
              </w:rPr>
            </w:pPr>
            <w:r w:rsidRPr="00044840">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044840" w:rsidP="00E5323B" w14:paraId="1E7BC994" w14:textId="36EB1EB8">
            <w:pPr>
              <w:spacing w:after="0" w:line="240" w:lineRule="auto"/>
              <w:rPr>
                <w:rFonts w:ascii="Times New Roman" w:eastAsia="Times New Roman" w:hAnsi="Times New Roman" w:cs="Times New Roman"/>
                <w:iCs/>
                <w:sz w:val="24"/>
                <w:szCs w:val="24"/>
                <w:lang w:eastAsia="lv-LV"/>
              </w:rPr>
            </w:pPr>
            <w:r w:rsidRPr="00044840">
              <w:rPr>
                <w:rFonts w:ascii="Times New Roman" w:hAnsi="Times New Roman" w:cs="Times New Roman"/>
                <w:sz w:val="24"/>
                <w:szCs w:val="24"/>
              </w:rPr>
              <w:t>Nav</w:t>
            </w:r>
          </w:p>
        </w:tc>
      </w:tr>
    </w:tbl>
    <w:p w:rsidR="00C25B49" w:rsidRPr="00044840" w:rsidP="00894C55" w14:paraId="6D75CD6D" w14:textId="77777777">
      <w:pPr>
        <w:spacing w:after="0" w:line="240" w:lineRule="auto"/>
        <w:rPr>
          <w:rFonts w:ascii="Times New Roman" w:hAnsi="Times New Roman" w:cs="Times New Roman"/>
          <w:sz w:val="28"/>
          <w:szCs w:val="28"/>
        </w:rPr>
      </w:pPr>
    </w:p>
    <w:p w:rsidR="00E5323B" w:rsidP="00894C55" w14:paraId="5B56C249" w14:textId="77777777">
      <w:pPr>
        <w:spacing w:after="0" w:line="240" w:lineRule="auto"/>
        <w:rPr>
          <w:rFonts w:ascii="Times New Roman" w:hAnsi="Times New Roman" w:cs="Times New Roman"/>
          <w:sz w:val="28"/>
          <w:szCs w:val="28"/>
        </w:rPr>
      </w:pPr>
    </w:p>
    <w:p w:rsidR="00687540" w:rsidRPr="00044840" w:rsidP="00894C55" w14:paraId="0ED193C6" w14:textId="77777777">
      <w:pPr>
        <w:spacing w:after="0" w:line="240" w:lineRule="auto"/>
        <w:rPr>
          <w:rFonts w:ascii="Times New Roman" w:hAnsi="Times New Roman" w:cs="Times New Roman"/>
          <w:sz w:val="28"/>
          <w:szCs w:val="28"/>
        </w:rPr>
      </w:pPr>
    </w:p>
    <w:p w:rsidR="00934431" w:rsidRPr="00044840" w:rsidP="00934431" w14:paraId="2A6855BE" w14:textId="77777777">
      <w:pPr>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t xml:space="preserve">Vides aizsardzības un </w:t>
      </w:r>
    </w:p>
    <w:p w:rsidR="00934431" w:rsidRPr="00044840" w:rsidP="00934431" w14:paraId="7FAE3116" w14:textId="77777777">
      <w:pPr>
        <w:spacing w:after="0" w:line="240" w:lineRule="auto"/>
        <w:ind w:firstLine="720"/>
        <w:rPr>
          <w:rFonts w:ascii="Times New Roman" w:hAnsi="Times New Roman" w:cs="Times New Roman"/>
          <w:sz w:val="24"/>
          <w:szCs w:val="24"/>
        </w:rPr>
      </w:pPr>
      <w:r w:rsidRPr="00044840">
        <w:rPr>
          <w:rFonts w:ascii="Times New Roman" w:hAnsi="Times New Roman" w:cs="Times New Roman"/>
          <w:sz w:val="24"/>
          <w:szCs w:val="24"/>
        </w:rPr>
        <w:t>reģionālās attīstības ministrs</w:t>
      </w:r>
      <w:r w:rsidRPr="00044840">
        <w:rPr>
          <w:rFonts w:ascii="Times New Roman" w:hAnsi="Times New Roman" w:cs="Times New Roman"/>
          <w:sz w:val="24"/>
          <w:szCs w:val="24"/>
        </w:rPr>
        <w:tab/>
      </w:r>
      <w:r w:rsidRPr="00044840">
        <w:rPr>
          <w:rFonts w:ascii="Times New Roman" w:hAnsi="Times New Roman" w:cs="Times New Roman"/>
          <w:sz w:val="24"/>
          <w:szCs w:val="24"/>
        </w:rPr>
        <w:tab/>
      </w:r>
      <w:r w:rsidRPr="00044840">
        <w:rPr>
          <w:rFonts w:ascii="Times New Roman" w:hAnsi="Times New Roman" w:cs="Times New Roman"/>
          <w:sz w:val="24"/>
          <w:szCs w:val="24"/>
        </w:rPr>
        <w:tab/>
      </w:r>
      <w:r w:rsidRPr="00044840">
        <w:rPr>
          <w:rFonts w:ascii="Times New Roman" w:hAnsi="Times New Roman" w:cs="Times New Roman"/>
          <w:sz w:val="24"/>
          <w:szCs w:val="24"/>
        </w:rPr>
        <w:tab/>
        <w:t>Kaspars Gerhards</w:t>
      </w:r>
    </w:p>
    <w:p w:rsidR="00894C55" w:rsidRPr="00044840" w:rsidP="00894C55" w14:paraId="589E1BBE" w14:textId="77777777">
      <w:pPr>
        <w:spacing w:after="0" w:line="240" w:lineRule="auto"/>
        <w:ind w:firstLine="720"/>
        <w:rPr>
          <w:rFonts w:ascii="Times New Roman" w:hAnsi="Times New Roman" w:cs="Times New Roman"/>
          <w:sz w:val="28"/>
          <w:szCs w:val="28"/>
        </w:rPr>
      </w:pPr>
    </w:p>
    <w:p w:rsidR="00894C55" w:rsidRPr="00044840" w:rsidP="00894C55" w14:paraId="449B2084" w14:textId="77777777">
      <w:pPr>
        <w:spacing w:after="0" w:line="240" w:lineRule="auto"/>
        <w:ind w:firstLine="720"/>
        <w:rPr>
          <w:rFonts w:ascii="Times New Roman" w:hAnsi="Times New Roman" w:cs="Times New Roman"/>
          <w:sz w:val="28"/>
          <w:szCs w:val="28"/>
        </w:rPr>
      </w:pPr>
    </w:p>
    <w:p w:rsidR="00894C55" w:rsidRPr="00044840" w:rsidP="00934431" w14:paraId="0E3B2F4A" w14:textId="77777777">
      <w:pPr>
        <w:tabs>
          <w:tab w:val="left" w:pos="6237"/>
        </w:tabs>
        <w:spacing w:after="0" w:line="240" w:lineRule="auto"/>
        <w:rPr>
          <w:rFonts w:ascii="Times New Roman" w:hAnsi="Times New Roman" w:cs="Times New Roman"/>
          <w:sz w:val="28"/>
          <w:szCs w:val="28"/>
        </w:rPr>
      </w:pPr>
    </w:p>
    <w:p w:rsidR="00894C55" w:rsidRPr="00044840" w:rsidP="00894C55" w14:paraId="0F91DA5D" w14:textId="77777777">
      <w:pPr>
        <w:tabs>
          <w:tab w:val="left" w:pos="6237"/>
        </w:tabs>
        <w:spacing w:after="0" w:line="240" w:lineRule="auto"/>
        <w:ind w:firstLine="720"/>
        <w:rPr>
          <w:rFonts w:ascii="Times New Roman" w:hAnsi="Times New Roman" w:cs="Times New Roman"/>
          <w:sz w:val="28"/>
          <w:szCs w:val="28"/>
        </w:rPr>
      </w:pPr>
    </w:p>
    <w:p w:rsidR="00934431" w:rsidRPr="00044840" w:rsidP="00934431" w14:paraId="6972E944" w14:textId="77777777">
      <w:pPr>
        <w:pStyle w:val="ListParagraph"/>
        <w:tabs>
          <w:tab w:val="left" w:pos="567"/>
        </w:tabs>
        <w:spacing w:after="0" w:line="240" w:lineRule="auto"/>
        <w:ind w:left="0"/>
        <w:jc w:val="both"/>
        <w:rPr>
          <w:rFonts w:ascii="Times New Roman" w:hAnsi="Times New Roman"/>
          <w:bCs/>
          <w:sz w:val="20"/>
          <w:szCs w:val="20"/>
        </w:rPr>
      </w:pPr>
      <w:r w:rsidRPr="00044840">
        <w:rPr>
          <w:rFonts w:ascii="Times New Roman" w:hAnsi="Times New Roman"/>
          <w:bCs/>
          <w:sz w:val="20"/>
          <w:szCs w:val="20"/>
        </w:rPr>
        <w:t>Balka 67026916</w:t>
      </w:r>
    </w:p>
    <w:p w:rsidR="00934431" w:rsidRPr="00044840" w:rsidP="00934431" w14:paraId="786BBA7B" w14:textId="77777777">
      <w:pPr>
        <w:pStyle w:val="ListParagraph"/>
        <w:tabs>
          <w:tab w:val="left" w:pos="567"/>
        </w:tabs>
        <w:spacing w:after="0" w:line="240" w:lineRule="auto"/>
        <w:ind w:left="0"/>
        <w:jc w:val="both"/>
        <w:rPr>
          <w:rFonts w:ascii="Times New Roman" w:hAnsi="Times New Roman"/>
          <w:color w:val="000000"/>
          <w:sz w:val="20"/>
          <w:szCs w:val="20"/>
        </w:rPr>
      </w:pPr>
      <w:r>
        <w:fldChar w:fldCharType="begin"/>
      </w:r>
      <w:r>
        <w:instrText xml:space="preserve"> HYPERLINK "mailto:sandija.balka@varam.gov.lv" </w:instrText>
      </w:r>
      <w:r>
        <w:fldChar w:fldCharType="separate"/>
      </w:r>
      <w:r w:rsidRPr="00044840">
        <w:rPr>
          <w:rStyle w:val="Hyperlink"/>
          <w:rFonts w:ascii="Times New Roman" w:hAnsi="Times New Roman"/>
          <w:bCs/>
          <w:sz w:val="20"/>
          <w:szCs w:val="20"/>
        </w:rPr>
        <w:t>sandija.balka@varam.gov.lv</w:t>
      </w:r>
      <w:r>
        <w:fldChar w:fldCharType="end"/>
      </w:r>
      <w:r w:rsidRPr="00044840">
        <w:rPr>
          <w:rFonts w:ascii="Times New Roman" w:hAnsi="Times New Roman"/>
          <w:bCs/>
          <w:sz w:val="20"/>
          <w:szCs w:val="20"/>
        </w:rPr>
        <w:t xml:space="preserve"> </w:t>
      </w:r>
    </w:p>
    <w:p w:rsidR="00894C55" w:rsidRPr="00044840" w:rsidP="00894C55" w14:paraId="57DDE649" w14:textId="77777777">
      <w:pPr>
        <w:tabs>
          <w:tab w:val="left" w:pos="6237"/>
        </w:tabs>
        <w:spacing w:after="0" w:line="240" w:lineRule="auto"/>
        <w:rPr>
          <w:rFonts w:ascii="Times New Roman" w:hAnsi="Times New Roman" w:cs="Times New Roman"/>
          <w:sz w:val="24"/>
          <w:szCs w:val="28"/>
        </w:rPr>
      </w:pPr>
    </w:p>
    <w:sectPr w:rsidSect="009A2654">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4C55" w:rsidRPr="00894C55" w14:paraId="45E2E520" w14:textId="759BDB07">
    <w:pPr>
      <w:pStyle w:val="Footer"/>
      <w:rPr>
        <w:rFonts w:ascii="Times New Roman" w:hAnsi="Times New Roman" w:cs="Times New Roman"/>
        <w:sz w:val="20"/>
        <w:szCs w:val="20"/>
      </w:rPr>
    </w:pPr>
    <w:r>
      <w:rPr>
        <w:rFonts w:ascii="Times New Roman" w:hAnsi="Times New Roman" w:cs="Times New Roman"/>
        <w:sz w:val="20"/>
        <w:szCs w:val="20"/>
      </w:rPr>
      <w:t>V</w:t>
    </w:r>
    <w:r w:rsidR="0054588E">
      <w:rPr>
        <w:rFonts w:ascii="Times New Roman" w:hAnsi="Times New Roman" w:cs="Times New Roman"/>
        <w:sz w:val="20"/>
        <w:szCs w:val="20"/>
      </w:rPr>
      <w:t>ARAMAnot_</w:t>
    </w:r>
    <w:r w:rsidR="00012EBB">
      <w:rPr>
        <w:rFonts w:ascii="Times New Roman" w:hAnsi="Times New Roman" w:cs="Times New Roman"/>
        <w:sz w:val="20"/>
        <w:szCs w:val="20"/>
      </w:rPr>
      <w:t>26</w:t>
    </w:r>
    <w:r w:rsidR="004A6236">
      <w:rPr>
        <w:rFonts w:ascii="Times New Roman" w:hAnsi="Times New Roman" w:cs="Times New Roman"/>
        <w:sz w:val="20"/>
        <w:szCs w:val="20"/>
      </w:rPr>
      <w:t>04</w:t>
    </w:r>
    <w:r w:rsidR="00044840">
      <w:rPr>
        <w:rFonts w:ascii="Times New Roman" w:hAnsi="Times New Roman" w:cs="Times New Roman"/>
        <w:sz w:val="20"/>
        <w:szCs w:val="20"/>
      </w:rPr>
      <w:t>0</w:t>
    </w:r>
    <w:r w:rsidR="00934431">
      <w:rPr>
        <w:rFonts w:ascii="Times New Roman" w:hAnsi="Times New Roman" w:cs="Times New Roman"/>
        <w:sz w:val="20"/>
        <w:szCs w:val="20"/>
      </w:rPr>
      <w:t>18</w:t>
    </w:r>
    <w:r w:rsidR="009A2654">
      <w:rPr>
        <w:rFonts w:ascii="Times New Roman" w:hAnsi="Times New Roman" w:cs="Times New Roman"/>
        <w:sz w:val="20"/>
        <w:szCs w:val="20"/>
      </w:rPr>
      <w:t>_</w:t>
    </w:r>
    <w:r w:rsidR="00934431">
      <w:rPr>
        <w:rFonts w:ascii="Times New Roman" w:hAnsi="Times New Roman" w:cs="Times New Roman"/>
        <w:sz w:val="20"/>
        <w:szCs w:val="20"/>
      </w:rPr>
      <w:t>IVN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A2654" w:rsidRPr="00B83316" w:rsidP="00B83316" w14:paraId="4BBB0AB9" w14:textId="53393333">
    <w:pPr>
      <w:pStyle w:val="Footer"/>
      <w:rPr>
        <w:rFonts w:ascii="Times New Roman" w:hAnsi="Times New Roman" w:cs="Times New Roman"/>
        <w:sz w:val="20"/>
        <w:szCs w:val="20"/>
      </w:rPr>
    </w:pPr>
    <w:r>
      <w:rPr>
        <w:rFonts w:ascii="Times New Roman" w:hAnsi="Times New Roman" w:cs="Times New Roman"/>
        <w:sz w:val="20"/>
        <w:szCs w:val="20"/>
      </w:rPr>
      <w:t>V</w:t>
    </w:r>
    <w:r w:rsidR="0054588E">
      <w:rPr>
        <w:rFonts w:ascii="Times New Roman" w:hAnsi="Times New Roman" w:cs="Times New Roman"/>
        <w:sz w:val="20"/>
        <w:szCs w:val="20"/>
      </w:rPr>
      <w:t>ARAMAnot_</w:t>
    </w:r>
    <w:r w:rsidR="00012EBB">
      <w:rPr>
        <w:rFonts w:ascii="Times New Roman" w:hAnsi="Times New Roman" w:cs="Times New Roman"/>
        <w:sz w:val="20"/>
        <w:szCs w:val="20"/>
      </w:rPr>
      <w:t>26</w:t>
    </w:r>
    <w:r w:rsidR="004A6236">
      <w:rPr>
        <w:rFonts w:ascii="Times New Roman" w:hAnsi="Times New Roman" w:cs="Times New Roman"/>
        <w:sz w:val="20"/>
        <w:szCs w:val="20"/>
      </w:rPr>
      <w:t>04</w:t>
    </w:r>
    <w:r w:rsidR="00044840">
      <w:rPr>
        <w:rFonts w:ascii="Times New Roman" w:hAnsi="Times New Roman" w:cs="Times New Roman"/>
        <w:sz w:val="20"/>
        <w:szCs w:val="20"/>
      </w:rPr>
      <w:t>0</w:t>
    </w:r>
    <w:r w:rsidR="00B83316">
      <w:rPr>
        <w:rFonts w:ascii="Times New Roman" w:hAnsi="Times New Roman" w:cs="Times New Roman"/>
        <w:sz w:val="20"/>
        <w:szCs w:val="20"/>
      </w:rPr>
      <w:t>18_IVN</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36901085"/>
      <w:docPartObj>
        <w:docPartGallery w:val="Page Numbers (Top of Page)"/>
        <w:docPartUnique/>
      </w:docPartObj>
    </w:sdtPr>
    <w:sdtEndPr>
      <w:rPr>
        <w:rFonts w:ascii="Times New Roman" w:hAnsi="Times New Roman" w:cs="Times New Roman"/>
        <w:noProof/>
        <w:sz w:val="24"/>
        <w:szCs w:val="20"/>
      </w:rPr>
    </w:sdtEndPr>
    <w:sdtContent>
      <w:p w:rsidR="00894C55" w:rsidRPr="00C25B49" w14:paraId="61697F0D" w14:textId="7777777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C5D5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E86EC2"/>
    <w:multiLevelType w:val="hybridMultilevel"/>
    <w:tmpl w:val="A3B862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1">
    <w:nsid w:val="0CFB297F"/>
    <w:multiLevelType w:val="multilevel"/>
    <w:tmpl w:val="33DA961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15:restartNumberingAfterBreak="1">
    <w:nsid w:val="171C4978"/>
    <w:multiLevelType w:val="hybridMultilevel"/>
    <w:tmpl w:val="9ADC5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1">
    <w:nsid w:val="26705F81"/>
    <w:multiLevelType w:val="multilevel"/>
    <w:tmpl w:val="4A1EBB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1">
    <w:nsid w:val="3EDA6DA0"/>
    <w:multiLevelType w:val="hybridMultilevel"/>
    <w:tmpl w:val="268E857C"/>
    <w:lvl w:ilvl="0">
      <w:start w:val="0"/>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5" w15:restartNumberingAfterBreak="1">
    <w:nsid w:val="44391042"/>
    <w:multiLevelType w:val="hybridMultilevel"/>
    <w:tmpl w:val="C3C4E5EC"/>
    <w:lvl w:ilvl="0">
      <w:start w:val="0"/>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6" w15:restartNumberingAfterBreak="1">
    <w:nsid w:val="5D4B5ECF"/>
    <w:multiLevelType w:val="hybridMultilevel"/>
    <w:tmpl w:val="4F721F8A"/>
    <w:lvl w:ilvl="0">
      <w:start w:val="2015"/>
      <w:numFmt w:val="bullet"/>
      <w:lvlText w:val="-"/>
      <w:lvlJc w:val="left"/>
      <w:pPr>
        <w:ind w:left="420" w:hanging="360"/>
      </w:pPr>
      <w:rPr>
        <w:rFonts w:ascii="Times New Roman" w:eastAsia="Times New Roman" w:hAnsi="Times New Roman" w:cs="Times New Roman" w:hint="default"/>
      </w:rPr>
    </w:lvl>
    <w:lvl w:ilvl="1" w:tentative="1">
      <w:start w:val="1"/>
      <w:numFmt w:val="bullet"/>
      <w:lvlText w:val="o"/>
      <w:lvlJc w:val="left"/>
      <w:pPr>
        <w:ind w:left="1140" w:hanging="360"/>
      </w:pPr>
      <w:rPr>
        <w:rFonts w:ascii="Courier New" w:hAnsi="Courier New" w:cs="Courier New" w:hint="default"/>
      </w:rPr>
    </w:lvl>
    <w:lvl w:ilvl="2" w:tentative="1">
      <w:start w:val="1"/>
      <w:numFmt w:val="bullet"/>
      <w:lvlText w:val=""/>
      <w:lvlJc w:val="left"/>
      <w:pPr>
        <w:ind w:left="1860" w:hanging="360"/>
      </w:pPr>
      <w:rPr>
        <w:rFonts w:ascii="Wingdings" w:hAnsi="Wingdings" w:hint="default"/>
      </w:rPr>
    </w:lvl>
    <w:lvl w:ilvl="3" w:tentative="1">
      <w:start w:val="1"/>
      <w:numFmt w:val="bullet"/>
      <w:lvlText w:val=""/>
      <w:lvlJc w:val="left"/>
      <w:pPr>
        <w:ind w:left="2580" w:hanging="360"/>
      </w:pPr>
      <w:rPr>
        <w:rFonts w:ascii="Symbol" w:hAnsi="Symbol" w:hint="default"/>
      </w:rPr>
    </w:lvl>
    <w:lvl w:ilvl="4" w:tentative="1">
      <w:start w:val="1"/>
      <w:numFmt w:val="bullet"/>
      <w:lvlText w:val="o"/>
      <w:lvlJc w:val="left"/>
      <w:pPr>
        <w:ind w:left="3300" w:hanging="360"/>
      </w:pPr>
      <w:rPr>
        <w:rFonts w:ascii="Courier New" w:hAnsi="Courier New" w:cs="Courier New" w:hint="default"/>
      </w:rPr>
    </w:lvl>
    <w:lvl w:ilvl="5" w:tentative="1">
      <w:start w:val="1"/>
      <w:numFmt w:val="bullet"/>
      <w:lvlText w:val=""/>
      <w:lvlJc w:val="left"/>
      <w:pPr>
        <w:ind w:left="4020" w:hanging="360"/>
      </w:pPr>
      <w:rPr>
        <w:rFonts w:ascii="Wingdings" w:hAnsi="Wingdings" w:hint="default"/>
      </w:rPr>
    </w:lvl>
    <w:lvl w:ilvl="6" w:tentative="1">
      <w:start w:val="1"/>
      <w:numFmt w:val="bullet"/>
      <w:lvlText w:val=""/>
      <w:lvlJc w:val="left"/>
      <w:pPr>
        <w:ind w:left="4740" w:hanging="360"/>
      </w:pPr>
      <w:rPr>
        <w:rFonts w:ascii="Symbol" w:hAnsi="Symbol" w:hint="default"/>
      </w:rPr>
    </w:lvl>
    <w:lvl w:ilvl="7" w:tentative="1">
      <w:start w:val="1"/>
      <w:numFmt w:val="bullet"/>
      <w:lvlText w:val="o"/>
      <w:lvlJc w:val="left"/>
      <w:pPr>
        <w:ind w:left="5460" w:hanging="360"/>
      </w:pPr>
      <w:rPr>
        <w:rFonts w:ascii="Courier New" w:hAnsi="Courier New" w:cs="Courier New" w:hint="default"/>
      </w:rPr>
    </w:lvl>
    <w:lvl w:ilvl="8" w:tentative="1">
      <w:start w:val="1"/>
      <w:numFmt w:val="bullet"/>
      <w:lvlText w:val=""/>
      <w:lvlJc w:val="left"/>
      <w:pPr>
        <w:ind w:left="6180" w:hanging="360"/>
      </w:pPr>
      <w:rPr>
        <w:rFonts w:ascii="Wingdings" w:hAnsi="Wingdings" w:hint="default"/>
      </w:rPr>
    </w:lvl>
  </w:abstractNum>
  <w:abstractNum w:abstractNumId="7" w15:restartNumberingAfterBreak="1">
    <w:nsid w:val="69936766"/>
    <w:multiLevelType w:val="hybridMultilevel"/>
    <w:tmpl w:val="B8D69BA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6869"/>
    <w:rsid w:val="00012EBB"/>
    <w:rsid w:val="00014208"/>
    <w:rsid w:val="00044840"/>
    <w:rsid w:val="000454D1"/>
    <w:rsid w:val="00047CDC"/>
    <w:rsid w:val="00063A56"/>
    <w:rsid w:val="0006584E"/>
    <w:rsid w:val="00072A75"/>
    <w:rsid w:val="000D5B52"/>
    <w:rsid w:val="000F0602"/>
    <w:rsid w:val="000F6FB2"/>
    <w:rsid w:val="00161692"/>
    <w:rsid w:val="00164E69"/>
    <w:rsid w:val="00173E3A"/>
    <w:rsid w:val="001979A0"/>
    <w:rsid w:val="001F2206"/>
    <w:rsid w:val="0020778F"/>
    <w:rsid w:val="00220B7F"/>
    <w:rsid w:val="00243426"/>
    <w:rsid w:val="00251A42"/>
    <w:rsid w:val="002A31F1"/>
    <w:rsid w:val="002B7CC8"/>
    <w:rsid w:val="002D2959"/>
    <w:rsid w:val="002E1C05"/>
    <w:rsid w:val="002E2616"/>
    <w:rsid w:val="002E4CCD"/>
    <w:rsid w:val="002F2E00"/>
    <w:rsid w:val="00310F92"/>
    <w:rsid w:val="00320875"/>
    <w:rsid w:val="0032556E"/>
    <w:rsid w:val="00340AF6"/>
    <w:rsid w:val="00350691"/>
    <w:rsid w:val="00366A77"/>
    <w:rsid w:val="003B0BF9"/>
    <w:rsid w:val="003E0791"/>
    <w:rsid w:val="003E63B3"/>
    <w:rsid w:val="003F202A"/>
    <w:rsid w:val="003F28AC"/>
    <w:rsid w:val="00405BBC"/>
    <w:rsid w:val="00422B82"/>
    <w:rsid w:val="00434B29"/>
    <w:rsid w:val="004454FE"/>
    <w:rsid w:val="00456846"/>
    <w:rsid w:val="00456A67"/>
    <w:rsid w:val="00456E40"/>
    <w:rsid w:val="004652BD"/>
    <w:rsid w:val="004713B3"/>
    <w:rsid w:val="00471F27"/>
    <w:rsid w:val="0049742C"/>
    <w:rsid w:val="004A6236"/>
    <w:rsid w:val="004A6864"/>
    <w:rsid w:val="004E5DF0"/>
    <w:rsid w:val="004F0D17"/>
    <w:rsid w:val="0050178F"/>
    <w:rsid w:val="00511CB8"/>
    <w:rsid w:val="00540733"/>
    <w:rsid w:val="00542DC8"/>
    <w:rsid w:val="0054588E"/>
    <w:rsid w:val="005A3C68"/>
    <w:rsid w:val="005A7A4C"/>
    <w:rsid w:val="005D64D5"/>
    <w:rsid w:val="005E09ED"/>
    <w:rsid w:val="005F1B45"/>
    <w:rsid w:val="006278FA"/>
    <w:rsid w:val="00640D92"/>
    <w:rsid w:val="00655F2C"/>
    <w:rsid w:val="00661162"/>
    <w:rsid w:val="00675A51"/>
    <w:rsid w:val="006775AB"/>
    <w:rsid w:val="00687540"/>
    <w:rsid w:val="006942A6"/>
    <w:rsid w:val="00694A47"/>
    <w:rsid w:val="006A0CD4"/>
    <w:rsid w:val="006B2497"/>
    <w:rsid w:val="006C4E9F"/>
    <w:rsid w:val="006C5D5D"/>
    <w:rsid w:val="006C744B"/>
    <w:rsid w:val="006D7121"/>
    <w:rsid w:val="006E0E9D"/>
    <w:rsid w:val="006E1081"/>
    <w:rsid w:val="00720585"/>
    <w:rsid w:val="00735871"/>
    <w:rsid w:val="00741EA4"/>
    <w:rsid w:val="007422DF"/>
    <w:rsid w:val="00766762"/>
    <w:rsid w:val="00770C98"/>
    <w:rsid w:val="00773AF6"/>
    <w:rsid w:val="0077660E"/>
    <w:rsid w:val="00795570"/>
    <w:rsid w:val="00795F71"/>
    <w:rsid w:val="007B1171"/>
    <w:rsid w:val="007B19D3"/>
    <w:rsid w:val="007C7F3B"/>
    <w:rsid w:val="007E5F7A"/>
    <w:rsid w:val="007E73AB"/>
    <w:rsid w:val="00805764"/>
    <w:rsid w:val="00811F55"/>
    <w:rsid w:val="00816C11"/>
    <w:rsid w:val="00857EA4"/>
    <w:rsid w:val="00871723"/>
    <w:rsid w:val="00894C55"/>
    <w:rsid w:val="0089685D"/>
    <w:rsid w:val="008A505D"/>
    <w:rsid w:val="008B0F26"/>
    <w:rsid w:val="008B1EE8"/>
    <w:rsid w:val="008E3C75"/>
    <w:rsid w:val="00903DE2"/>
    <w:rsid w:val="00912B53"/>
    <w:rsid w:val="0092311E"/>
    <w:rsid w:val="00932719"/>
    <w:rsid w:val="00934431"/>
    <w:rsid w:val="00956F7F"/>
    <w:rsid w:val="00970C96"/>
    <w:rsid w:val="009750C8"/>
    <w:rsid w:val="009A2654"/>
    <w:rsid w:val="009F7A20"/>
    <w:rsid w:val="00A00D1D"/>
    <w:rsid w:val="00A00FA7"/>
    <w:rsid w:val="00A06DA4"/>
    <w:rsid w:val="00A10FC3"/>
    <w:rsid w:val="00A40CAF"/>
    <w:rsid w:val="00A6073E"/>
    <w:rsid w:val="00A82810"/>
    <w:rsid w:val="00A83041"/>
    <w:rsid w:val="00A830FF"/>
    <w:rsid w:val="00AA279C"/>
    <w:rsid w:val="00AA4BC6"/>
    <w:rsid w:val="00AB7F0B"/>
    <w:rsid w:val="00AE5567"/>
    <w:rsid w:val="00AF1239"/>
    <w:rsid w:val="00AF23F9"/>
    <w:rsid w:val="00AF7D1C"/>
    <w:rsid w:val="00B00F11"/>
    <w:rsid w:val="00B16480"/>
    <w:rsid w:val="00B2165C"/>
    <w:rsid w:val="00B5701B"/>
    <w:rsid w:val="00B57978"/>
    <w:rsid w:val="00B83316"/>
    <w:rsid w:val="00B867EB"/>
    <w:rsid w:val="00B9039C"/>
    <w:rsid w:val="00B97F00"/>
    <w:rsid w:val="00BA20AA"/>
    <w:rsid w:val="00BC7CB7"/>
    <w:rsid w:val="00BD01EB"/>
    <w:rsid w:val="00BD4425"/>
    <w:rsid w:val="00BE2DEE"/>
    <w:rsid w:val="00C12580"/>
    <w:rsid w:val="00C14586"/>
    <w:rsid w:val="00C25B49"/>
    <w:rsid w:val="00C26C92"/>
    <w:rsid w:val="00C741E8"/>
    <w:rsid w:val="00C804BF"/>
    <w:rsid w:val="00C874FF"/>
    <w:rsid w:val="00C974F4"/>
    <w:rsid w:val="00CA7BE9"/>
    <w:rsid w:val="00CC0D2D"/>
    <w:rsid w:val="00CD05AD"/>
    <w:rsid w:val="00CD1850"/>
    <w:rsid w:val="00CD2964"/>
    <w:rsid w:val="00CE5657"/>
    <w:rsid w:val="00D133F8"/>
    <w:rsid w:val="00D14A3E"/>
    <w:rsid w:val="00D15058"/>
    <w:rsid w:val="00D60936"/>
    <w:rsid w:val="00D6670D"/>
    <w:rsid w:val="00D75DFA"/>
    <w:rsid w:val="00D9770F"/>
    <w:rsid w:val="00E3716B"/>
    <w:rsid w:val="00E5323B"/>
    <w:rsid w:val="00E6622A"/>
    <w:rsid w:val="00E7544E"/>
    <w:rsid w:val="00E83C49"/>
    <w:rsid w:val="00E8749E"/>
    <w:rsid w:val="00E90C01"/>
    <w:rsid w:val="00EA238B"/>
    <w:rsid w:val="00EA486E"/>
    <w:rsid w:val="00EC1395"/>
    <w:rsid w:val="00EC3011"/>
    <w:rsid w:val="00EE0EC6"/>
    <w:rsid w:val="00EF5E94"/>
    <w:rsid w:val="00F014E6"/>
    <w:rsid w:val="00F07505"/>
    <w:rsid w:val="00F12D56"/>
    <w:rsid w:val="00F52749"/>
    <w:rsid w:val="00F57B0C"/>
    <w:rsid w:val="00F61DF5"/>
    <w:rsid w:val="00F674E2"/>
    <w:rsid w:val="00F67DE7"/>
    <w:rsid w:val="00F73AA1"/>
    <w:rsid w:val="00F84A28"/>
    <w:rsid w:val="00F85EDC"/>
    <w:rsid w:val="00FE77E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F0D9717E-1D49-473A-AE7F-A6C4B261F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uiPriority w:val="99"/>
    <w:rsid w:val="00F85EDC"/>
    <w:pPr>
      <w:spacing w:before="75" w:after="75" w:line="240" w:lineRule="auto"/>
    </w:pPr>
    <w:rPr>
      <w:rFonts w:ascii="Times New Roman" w:eastAsia="Times New Roman" w:hAnsi="Times New Roman" w:cs="Times New Roman"/>
      <w:sz w:val="24"/>
      <w:szCs w:val="24"/>
      <w:lang w:eastAsia="lv-LV"/>
    </w:rPr>
  </w:style>
  <w:style w:type="paragraph" w:styleId="BodyText">
    <w:name w:val="Body Text"/>
    <w:basedOn w:val="Normal"/>
    <w:link w:val="BodyTextChar"/>
    <w:rsid w:val="00F85EDC"/>
    <w:pPr>
      <w:spacing w:after="120" w:line="240" w:lineRule="auto"/>
    </w:pPr>
    <w:rPr>
      <w:rFonts w:ascii="Times New Roman" w:eastAsia="Times New Roman" w:hAnsi="Times New Roman" w:cs="Times New Roman"/>
      <w:sz w:val="24"/>
      <w:szCs w:val="24"/>
      <w:lang w:val="x-none" w:eastAsia="x-none"/>
    </w:rPr>
  </w:style>
  <w:style w:type="character" w:customStyle="1" w:styleId="BodyTextChar">
    <w:name w:val="Body Text Char"/>
    <w:basedOn w:val="DefaultParagraphFont"/>
    <w:link w:val="BodyText"/>
    <w:rsid w:val="00F85EDC"/>
    <w:rPr>
      <w:rFonts w:ascii="Times New Roman" w:eastAsia="Times New Roman" w:hAnsi="Times New Roman" w:cs="Times New Roman"/>
      <w:sz w:val="24"/>
      <w:szCs w:val="24"/>
      <w:lang w:val="x-none" w:eastAsia="x-none"/>
    </w:rPr>
  </w:style>
  <w:style w:type="paragraph" w:customStyle="1" w:styleId="Default">
    <w:name w:val="Default"/>
    <w:rsid w:val="00F85ED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aisf">
    <w:name w:val="naisf"/>
    <w:basedOn w:val="Normal"/>
    <w:rsid w:val="00456846"/>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934431"/>
    <w:pPr>
      <w:spacing w:after="200" w:line="276" w:lineRule="auto"/>
      <w:ind w:left="720"/>
      <w:contextualSpacing/>
    </w:pPr>
    <w:rPr>
      <w:rFonts w:ascii="Calibri" w:eastAsia="Calibri" w:hAnsi="Calibri" w:cs="Times New Roman"/>
    </w:rPr>
  </w:style>
  <w:style w:type="paragraph" w:customStyle="1" w:styleId="tv213">
    <w:name w:val="tv213"/>
    <w:basedOn w:val="Normal"/>
    <w:rsid w:val="00A830FF"/>
    <w:pPr>
      <w:spacing w:before="100" w:beforeAutospacing="1" w:after="100" w:afterAutospacing="1" w:line="240" w:lineRule="auto"/>
    </w:pPr>
    <w:rPr>
      <w:rFonts w:ascii="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F84A28"/>
    <w:rPr>
      <w:sz w:val="16"/>
      <w:szCs w:val="16"/>
    </w:rPr>
  </w:style>
  <w:style w:type="paragraph" w:styleId="CommentText">
    <w:name w:val="annotation text"/>
    <w:basedOn w:val="Normal"/>
    <w:link w:val="CommentTextChar"/>
    <w:uiPriority w:val="99"/>
    <w:semiHidden/>
    <w:unhideWhenUsed/>
    <w:rsid w:val="00F84A28"/>
    <w:pPr>
      <w:spacing w:line="240" w:lineRule="auto"/>
    </w:pPr>
    <w:rPr>
      <w:sz w:val="20"/>
      <w:szCs w:val="20"/>
    </w:rPr>
  </w:style>
  <w:style w:type="character" w:customStyle="1" w:styleId="CommentTextChar">
    <w:name w:val="Comment Text Char"/>
    <w:basedOn w:val="DefaultParagraphFont"/>
    <w:link w:val="CommentText"/>
    <w:uiPriority w:val="99"/>
    <w:semiHidden/>
    <w:rsid w:val="00F84A28"/>
    <w:rPr>
      <w:sz w:val="20"/>
      <w:szCs w:val="20"/>
    </w:rPr>
  </w:style>
  <w:style w:type="paragraph" w:styleId="CommentSubject">
    <w:name w:val="annotation subject"/>
    <w:basedOn w:val="CommentText"/>
    <w:next w:val="CommentText"/>
    <w:link w:val="CommentSubjectChar"/>
    <w:uiPriority w:val="99"/>
    <w:semiHidden/>
    <w:unhideWhenUsed/>
    <w:rsid w:val="00F84A28"/>
    <w:rPr>
      <w:b/>
      <w:bCs/>
    </w:rPr>
  </w:style>
  <w:style w:type="character" w:customStyle="1" w:styleId="CommentSubjectChar">
    <w:name w:val="Comment Subject Char"/>
    <w:basedOn w:val="CommentTextChar"/>
    <w:link w:val="CommentSubject"/>
    <w:uiPriority w:val="99"/>
    <w:semiHidden/>
    <w:rsid w:val="00F84A28"/>
    <w:rPr>
      <w:b/>
      <w:bCs/>
      <w:sz w:val="20"/>
      <w:szCs w:val="20"/>
    </w:rPr>
  </w:style>
  <w:style w:type="paragraph" w:customStyle="1" w:styleId="xmsonormal">
    <w:name w:val="x_msonormal"/>
    <w:basedOn w:val="Normal"/>
    <w:rsid w:val="00C12580"/>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A1D9-1D68-4A73-A998-B87B7880D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12551</Words>
  <Characters>7155</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MK noteikumu projekts</vt:lpstr>
    </vt:vector>
  </TitlesOfParts>
  <Company>VARAM</Company>
  <LinksUpToDate>false</LinksUpToDate>
  <CharactersWithSpaces>19667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projekts</dc:title>
  <dc:subject>Anotācija</dc:subject>
  <dc:creator>Sandija Balka</dc:creator>
  <dc:description>67026916, sandija.balka@varam.gov.lv</dc:description>
  <cp:lastModifiedBy>Sandija Balka</cp:lastModifiedBy>
  <cp:revision>2</cp:revision>
  <dcterms:created xsi:type="dcterms:W3CDTF">2018-05-02T06:15:00Z</dcterms:created>
  <dcterms:modified xsi:type="dcterms:W3CDTF">2018-05-02T06:15:00Z</dcterms:modified>
</cp:coreProperties>
</file>