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9A" w:rsidRDefault="004D291D">
      <w:pPr>
        <w:spacing w:after="0" w:line="240" w:lineRule="auto"/>
        <w:jc w:val="right"/>
      </w:pPr>
      <w:bookmarkStart w:id="0" w:name="_GoBack"/>
      <w:bookmarkEnd w:id="0"/>
      <w:r>
        <w:rPr>
          <w:rFonts w:ascii="Times New Roman" w:hAnsi="Times New Roman"/>
          <w:sz w:val="24"/>
          <w:szCs w:val="28"/>
        </w:rPr>
        <w:t>2. pielikums informatīvajam ziņojumam</w:t>
      </w:r>
    </w:p>
    <w:p w:rsidR="00677A9A" w:rsidRDefault="004D291D">
      <w:pPr>
        <w:spacing w:after="0" w:line="240" w:lineRule="auto"/>
        <w:jc w:val="right"/>
      </w:pPr>
      <w:r>
        <w:rPr>
          <w:rFonts w:ascii="Times New Roman" w:hAnsi="Times New Roman"/>
          <w:sz w:val="24"/>
          <w:szCs w:val="28"/>
        </w:rPr>
        <w:t>“Par invazīvām svešzemju sugām un kompetenču sadalījumu”.</w:t>
      </w:r>
    </w:p>
    <w:p w:rsidR="00677A9A" w:rsidRDefault="00677A9A">
      <w:pPr>
        <w:jc w:val="center"/>
        <w:rPr>
          <w:rFonts w:ascii="Times New Roman" w:hAnsi="Times New Roman"/>
          <w:b/>
          <w:sz w:val="24"/>
        </w:rPr>
      </w:pPr>
    </w:p>
    <w:p w:rsidR="00677A9A" w:rsidRDefault="004D291D">
      <w:pPr>
        <w:jc w:val="center"/>
      </w:pPr>
      <w:r>
        <w:rPr>
          <w:rStyle w:val="DefaultParagraphFont0"/>
          <w:rFonts w:ascii="Times New Roman" w:hAnsi="Times New Roman"/>
          <w:b/>
          <w:sz w:val="24"/>
        </w:rPr>
        <w:t>VAAD nepieciešamā papildu finansējuma atšifrējums</w:t>
      </w:r>
    </w:p>
    <w:tbl>
      <w:tblPr>
        <w:tblW w:w="9214" w:type="dxa"/>
        <w:tblInd w:w="-5" w:type="dxa"/>
        <w:tblLayout w:type="fixed"/>
        <w:tblCellMar>
          <w:left w:w="10" w:type="dxa"/>
          <w:right w:w="10" w:type="dxa"/>
        </w:tblCellMar>
        <w:tblLook w:val="0000" w:firstRow="0" w:lastRow="0" w:firstColumn="0" w:lastColumn="0" w:noHBand="0" w:noVBand="0"/>
      </w:tblPr>
      <w:tblGrid>
        <w:gridCol w:w="4820"/>
        <w:gridCol w:w="3402"/>
        <w:gridCol w:w="992"/>
      </w:tblGrid>
      <w:tr w:rsidR="00677A9A">
        <w:tblPrEx>
          <w:tblCellMar>
            <w:top w:w="0" w:type="dxa"/>
            <w:bottom w:w="0" w:type="dxa"/>
          </w:tblCellMar>
        </w:tblPrEx>
        <w:trPr>
          <w:trHeight w:val="250"/>
        </w:trPr>
        <w:tc>
          <w:tcPr>
            <w:tcW w:w="92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b/>
                <w:szCs w:val="20"/>
              </w:rPr>
              <w:t>IKGADĒJIE IZDEVUMI</w:t>
            </w:r>
          </w:p>
        </w:tc>
      </w:tr>
      <w:tr w:rsidR="00677A9A">
        <w:tblPrEx>
          <w:tblCellMar>
            <w:top w:w="0" w:type="dxa"/>
            <w:bottom w:w="0" w:type="dxa"/>
          </w:tblCellMar>
        </w:tblPrEx>
        <w:trPr>
          <w:trHeight w:val="533"/>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i/>
                <w:sz w:val="20"/>
                <w:szCs w:val="20"/>
              </w:rPr>
              <w:t>Aktivitāte</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i/>
                <w:sz w:val="20"/>
                <w:szCs w:val="20"/>
              </w:rPr>
              <w:t>Skaidrojums</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i/>
                <w:sz w:val="20"/>
                <w:szCs w:val="20"/>
              </w:rPr>
              <w:t>Summa EUR</w:t>
            </w:r>
          </w:p>
        </w:tc>
      </w:tr>
      <w:tr w:rsidR="00677A9A">
        <w:tblPrEx>
          <w:tblCellMar>
            <w:top w:w="0" w:type="dxa"/>
            <w:bottom w:w="0" w:type="dxa"/>
          </w:tblCellMar>
        </w:tblPrEx>
        <w:trPr>
          <w:trHeight w:val="2265"/>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 xml:space="preserve">1. VAAD  invazīvo sugu  monitoringa plāna īstenošana </w:t>
            </w:r>
            <w:r>
              <w:rPr>
                <w:rFonts w:ascii="Times New Roman" w:hAnsi="Times New Roman"/>
                <w:sz w:val="20"/>
                <w:szCs w:val="20"/>
              </w:rPr>
              <w:t>to attistības monitorēšanai 5 gadu ciklā, sākot no 2019. gada, pieņemot darbā papildu 1 inspektoru, darbību nodrošināšana sasitībā ar Eiropas Parlamenta un Padomes Regulas (ES) Nr. 1143/2014 ( 2014. gada 22. oktobris ) par invazīvu svešzemju sugu introdukc</w:t>
            </w:r>
            <w:r>
              <w:rPr>
                <w:rFonts w:ascii="Times New Roman" w:hAnsi="Times New Roman"/>
                <w:sz w:val="20"/>
                <w:szCs w:val="20"/>
              </w:rPr>
              <w:t>ijas un izplatīšanās profilaksi un pārvaldību ieviešanu, sugu riska izvērtēšanu Latvijai, atļauju piešķiršanu, uzraudzības īstenošanu riska pārvaldības pasākumu noteikšanai, rīcības plānu izstrādei.</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2019. gadā – 1 jauna amata vieta (vecākais inspektors dep</w:t>
            </w:r>
            <w:r>
              <w:rPr>
                <w:rFonts w:ascii="Times New Roman" w:hAnsi="Times New Roman"/>
                <w:sz w:val="20"/>
                <w:szCs w:val="20"/>
              </w:rPr>
              <w:t>artamentā) - Amatu saime un līmenis 35.II 9.mēnešalgu gr.:</w:t>
            </w:r>
          </w:p>
          <w:p w:rsidR="00677A9A" w:rsidRDefault="004D291D">
            <w:r>
              <w:rPr>
                <w:rFonts w:ascii="Times New Roman" w:hAnsi="Times New Roman"/>
                <w:sz w:val="20"/>
                <w:szCs w:val="20"/>
              </w:rPr>
              <w:t>EUR 1190 x12 mēn. = EUR 14280, visp.piem.gadā 10% = EUR 1428; prēmijas, naudas balvas 10% = EUR 1428;</w:t>
            </w:r>
          </w:p>
          <w:p w:rsidR="00677A9A" w:rsidRDefault="004D291D">
            <w:r>
              <w:rPr>
                <w:rFonts w:ascii="Times New Roman" w:hAnsi="Times New Roman"/>
                <w:sz w:val="20"/>
                <w:szCs w:val="20"/>
              </w:rPr>
              <w:t>sociālās garantijas 5% = EUR 714; 24,09% no EUR 17850 = EUR 4300</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22150</w:t>
            </w:r>
          </w:p>
        </w:tc>
      </w:tr>
      <w:tr w:rsidR="00677A9A">
        <w:tblPrEx>
          <w:tblCellMar>
            <w:top w:w="0" w:type="dxa"/>
            <w:bottom w:w="0" w:type="dxa"/>
          </w:tblCellMar>
        </w:tblPrEx>
        <w:trPr>
          <w:trHeight w:val="465"/>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color w:val="000000"/>
                <w:sz w:val="20"/>
                <w:szCs w:val="20"/>
              </w:rPr>
              <w:t>2. Trīs jaunas inspekto</w:t>
            </w:r>
            <w:r>
              <w:rPr>
                <w:rFonts w:ascii="Times New Roman" w:hAnsi="Times New Roman"/>
                <w:color w:val="000000"/>
                <w:sz w:val="20"/>
                <w:szCs w:val="20"/>
              </w:rPr>
              <w:t>ru amata vietas reģionālajās nodaļās, sākot no 2019. gada, latvāņu izplatības monitoringa un uzraudzības veikšanai, kā arī vēl vienas citas sugas, piemēram, puķu spriganes uzmērīšanai, monitoringam, uzraudzībai, stādaudzētavu un tirdzniecības vietu uzraudz</w:t>
            </w:r>
            <w:r>
              <w:rPr>
                <w:rFonts w:ascii="Times New Roman" w:hAnsi="Times New Roman"/>
                <w:color w:val="000000"/>
                <w:sz w:val="20"/>
                <w:szCs w:val="20"/>
              </w:rPr>
              <w:t>ībai saistībā ar jaunajiem Regulā noteiktajiem pienākumiem un dalībai novados ekspertu darba grupās praktiskajai pasākumu efektīvai plānošanai.</w:t>
            </w:r>
          </w:p>
          <w:p w:rsidR="00677A9A" w:rsidRDefault="004D291D">
            <w:r>
              <w:rPr>
                <w:rFonts w:ascii="Times New Roman" w:hAnsi="Times New Roman"/>
                <w:color w:val="000000"/>
                <w:sz w:val="20"/>
                <w:szCs w:val="20"/>
                <w:u w:val="single"/>
              </w:rPr>
              <w:t>Izmaksas atkarīgas no sarakstā iekļauto sugu skaita.</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color w:val="000000"/>
                <w:sz w:val="20"/>
                <w:szCs w:val="20"/>
              </w:rPr>
              <w:t>Amatu saime un līmenis 35.II 9.mēnešalgu gr.</w:t>
            </w:r>
          </w:p>
          <w:p w:rsidR="00677A9A" w:rsidRDefault="004D291D">
            <w:r>
              <w:rPr>
                <w:rFonts w:ascii="Times New Roman" w:hAnsi="Times New Roman"/>
                <w:color w:val="000000"/>
                <w:sz w:val="20"/>
                <w:szCs w:val="20"/>
              </w:rPr>
              <w:t>EUR 1190 x 12 </w:t>
            </w:r>
            <w:r>
              <w:rPr>
                <w:rFonts w:ascii="Times New Roman" w:hAnsi="Times New Roman"/>
                <w:color w:val="000000"/>
                <w:sz w:val="20"/>
                <w:szCs w:val="20"/>
              </w:rPr>
              <w:t>mēn. = EUR 14 280 </w:t>
            </w:r>
          </w:p>
          <w:p w:rsidR="00677A9A" w:rsidRDefault="004D291D">
            <w:r>
              <w:rPr>
                <w:rFonts w:ascii="Times New Roman" w:hAnsi="Times New Roman"/>
                <w:color w:val="000000"/>
                <w:sz w:val="20"/>
                <w:szCs w:val="20"/>
              </w:rPr>
              <w:t>Visp. piem. gadā 10% = 1428 EUR</w:t>
            </w:r>
          </w:p>
          <w:p w:rsidR="00677A9A" w:rsidRDefault="004D291D">
            <w:r>
              <w:rPr>
                <w:rFonts w:ascii="Times New Roman" w:hAnsi="Times New Roman"/>
                <w:color w:val="000000"/>
                <w:sz w:val="20"/>
                <w:szCs w:val="20"/>
              </w:rPr>
              <w:t>Prēmijas, naudas balvas 10% = 1428 EUR</w:t>
            </w:r>
          </w:p>
          <w:p w:rsidR="00677A9A" w:rsidRDefault="004D291D">
            <w:r>
              <w:rPr>
                <w:rFonts w:ascii="Times New Roman" w:hAnsi="Times New Roman"/>
                <w:color w:val="000000"/>
                <w:sz w:val="20"/>
                <w:szCs w:val="20"/>
              </w:rPr>
              <w:t>Sociālās garantijas 5% = 714 EUR</w:t>
            </w:r>
          </w:p>
          <w:p w:rsidR="00677A9A" w:rsidRDefault="004D291D">
            <w:r>
              <w:rPr>
                <w:rFonts w:ascii="Times New Roman" w:hAnsi="Times New Roman"/>
                <w:color w:val="000000"/>
                <w:sz w:val="20"/>
                <w:szCs w:val="20"/>
              </w:rPr>
              <w:t>24,09% no 17 850 EUR = 4300 EUR</w:t>
            </w:r>
          </w:p>
          <w:p w:rsidR="00677A9A" w:rsidRDefault="004D291D">
            <w:r>
              <w:rPr>
                <w:rFonts w:ascii="Times New Roman" w:hAnsi="Times New Roman"/>
                <w:color w:val="000000"/>
                <w:sz w:val="20"/>
                <w:szCs w:val="20"/>
              </w:rPr>
              <w:t>Kopā vienai amata vietai: 22 150 EUR</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color w:val="000000"/>
                <w:sz w:val="20"/>
                <w:szCs w:val="20"/>
              </w:rPr>
              <w:t>66 450</w:t>
            </w:r>
          </w:p>
        </w:tc>
      </w:tr>
      <w:tr w:rsidR="00677A9A">
        <w:tblPrEx>
          <w:tblCellMar>
            <w:top w:w="0" w:type="dxa"/>
            <w:bottom w:w="0" w:type="dxa"/>
          </w:tblCellMar>
        </w:tblPrEx>
        <w:trPr>
          <w:trHeight w:val="465"/>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 xml:space="preserve">3. Monitoringa nodrošināšanai nepieciešamie izdevumi (5 </w:t>
            </w:r>
            <w:r>
              <w:rPr>
                <w:rFonts w:ascii="Times New Roman" w:hAnsi="Times New Roman"/>
                <w:sz w:val="20"/>
                <w:szCs w:val="20"/>
              </w:rPr>
              <w:t xml:space="preserve">reģionālajās nodaļās)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Transportlīdzekļu uzturēšana un remonts,  (3 a/m x EUR 150)</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450</w:t>
            </w:r>
          </w:p>
        </w:tc>
      </w:tr>
      <w:tr w:rsidR="00677A9A">
        <w:tblPrEx>
          <w:tblCellMar>
            <w:top w:w="0" w:type="dxa"/>
            <w:bottom w:w="0" w:type="dxa"/>
          </w:tblCellMar>
        </w:tblPrEx>
        <w:trPr>
          <w:trHeight w:val="465"/>
        </w:trPr>
        <w:tc>
          <w:tcPr>
            <w:tcW w:w="482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r>
              <w:rPr>
                <w:rFonts w:ascii="Times New Roman" w:hAnsi="Times New Roman"/>
                <w:sz w:val="20"/>
                <w:szCs w:val="20"/>
              </w:rPr>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Degviela (3 insp.  9 mēn. EUR 500 mēn.)</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13 500</w:t>
            </w:r>
          </w:p>
        </w:tc>
      </w:tr>
      <w:tr w:rsidR="00677A9A">
        <w:tblPrEx>
          <w:tblCellMar>
            <w:top w:w="0" w:type="dxa"/>
            <w:bottom w:w="0" w:type="dxa"/>
          </w:tblCellMar>
        </w:tblPrEx>
        <w:trPr>
          <w:trHeight w:val="465"/>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color w:val="000000"/>
                <w:sz w:val="20"/>
                <w:szCs w:val="20"/>
              </w:rPr>
              <w:t>4. ĢIS licences uzturēšana</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677A9A">
            <w:pPr>
              <w:rPr>
                <w:rFonts w:ascii="Times New Roman" w:hAnsi="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color w:val="000000"/>
                <w:sz w:val="20"/>
                <w:szCs w:val="20"/>
              </w:rPr>
              <w:t>787</w:t>
            </w:r>
          </w:p>
        </w:tc>
      </w:tr>
      <w:tr w:rsidR="00677A9A">
        <w:tblPrEx>
          <w:tblCellMar>
            <w:top w:w="0" w:type="dxa"/>
            <w:bottom w:w="0" w:type="dxa"/>
          </w:tblCellMar>
        </w:tblPrEx>
        <w:trPr>
          <w:trHeight w:val="690"/>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5. ĢIS datu bāzes pilnveidošana</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 xml:space="preserve"> datu bāzes pilnveidošanai kā ārpakalpojums pa 336 </w:t>
            </w:r>
            <w:r>
              <w:rPr>
                <w:rFonts w:ascii="Times New Roman" w:hAnsi="Times New Roman"/>
                <w:sz w:val="20"/>
                <w:szCs w:val="20"/>
              </w:rPr>
              <w:t>cilv.st x EUR 30 + PVN 21% = EUR 12 197</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12 197</w:t>
            </w:r>
          </w:p>
        </w:tc>
      </w:tr>
      <w:tr w:rsidR="00677A9A">
        <w:tblPrEx>
          <w:tblCellMar>
            <w:top w:w="0" w:type="dxa"/>
            <w:bottom w:w="0" w:type="dxa"/>
          </w:tblCellMar>
        </w:tblPrEx>
        <w:trPr>
          <w:trHeight w:val="690"/>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6. Invazīvo svešzemju sugu datubāzes uzturēšana</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20 c.st. ceturksnī, kopā 80 c.st. x EUR 30 + PVN 21% = 2904</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2904</w:t>
            </w:r>
          </w:p>
        </w:tc>
      </w:tr>
      <w:tr w:rsidR="00677A9A">
        <w:tblPrEx>
          <w:tblCellMar>
            <w:top w:w="0" w:type="dxa"/>
            <w:bottom w:w="0" w:type="dxa"/>
          </w:tblCellMar>
        </w:tblPrEx>
        <w:trPr>
          <w:trHeight w:val="355"/>
        </w:trPr>
        <w:tc>
          <w:tcPr>
            <w:tcW w:w="92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pPr>
              <w:jc w:val="right"/>
            </w:pPr>
            <w:r>
              <w:rPr>
                <w:rFonts w:ascii="Times New Roman" w:hAnsi="Times New Roman"/>
                <w:b/>
                <w:szCs w:val="20"/>
              </w:rPr>
              <w:t xml:space="preserve">KOPĀ NEPIECIEŠAMAIS FINANSĒJUMS GADĀ: 118 438 </w:t>
            </w:r>
          </w:p>
        </w:tc>
      </w:tr>
      <w:tr w:rsidR="00677A9A">
        <w:tblPrEx>
          <w:tblCellMar>
            <w:top w:w="0" w:type="dxa"/>
            <w:bottom w:w="0" w:type="dxa"/>
          </w:tblCellMar>
        </w:tblPrEx>
        <w:trPr>
          <w:trHeight w:val="275"/>
        </w:trPr>
        <w:tc>
          <w:tcPr>
            <w:tcW w:w="921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b/>
                <w:color w:val="000000"/>
                <w:szCs w:val="20"/>
              </w:rPr>
              <w:t>VIENREIZĒJIE IZDEVUMI</w:t>
            </w:r>
          </w:p>
        </w:tc>
      </w:tr>
      <w:tr w:rsidR="00677A9A">
        <w:tblPrEx>
          <w:tblCellMar>
            <w:top w:w="0" w:type="dxa"/>
            <w:bottom w:w="0" w:type="dxa"/>
          </w:tblCellMar>
        </w:tblPrEx>
        <w:trPr>
          <w:trHeight w:val="465"/>
        </w:trPr>
        <w:tc>
          <w:tcPr>
            <w:tcW w:w="48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color w:val="000000"/>
                <w:sz w:val="20"/>
                <w:szCs w:val="20"/>
              </w:rPr>
              <w:t>8. Izdevumi jauno amata</w:t>
            </w:r>
            <w:r>
              <w:rPr>
                <w:rFonts w:ascii="Times New Roman" w:hAnsi="Times New Roman"/>
                <w:color w:val="000000"/>
                <w:sz w:val="20"/>
                <w:szCs w:val="20"/>
              </w:rPr>
              <w:t xml:space="preserve"> vietu (4) darba vietas iekārtošanai</w:t>
            </w:r>
          </w:p>
          <w:p w:rsidR="00677A9A" w:rsidRDefault="004D291D">
            <w:r>
              <w:rPr>
                <w:rStyle w:val="DefaultParagraphFont0"/>
                <w:rFonts w:ascii="Times New Roman" w:hAnsi="Times New Roman"/>
                <w:sz w:val="20"/>
                <w:szCs w:val="20"/>
              </w:rPr>
              <w:t> </w:t>
            </w:r>
          </w:p>
          <w:p w:rsidR="00677A9A" w:rsidRDefault="00677A9A"/>
          <w:p w:rsidR="00677A9A" w:rsidRDefault="004D291D">
            <w:pPr>
              <w:tabs>
                <w:tab w:val="left" w:pos="3270"/>
              </w:tabs>
            </w:pPr>
            <w:r>
              <w:tab/>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color w:val="000000"/>
                <w:sz w:val="20"/>
                <w:szCs w:val="20"/>
              </w:rPr>
              <w:t>datortehnika 1 darba vieta 384 EUR (dators) + 213 EUR (monitors) + 398 EUR (multifunkcionālā iekārta) = 995 EUR</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color w:val="000000"/>
                <w:sz w:val="20"/>
                <w:szCs w:val="20"/>
              </w:rPr>
              <w:t>3980</w:t>
            </w:r>
          </w:p>
        </w:tc>
      </w:tr>
      <w:tr w:rsidR="00677A9A">
        <w:tblPrEx>
          <w:tblCellMar>
            <w:top w:w="0" w:type="dxa"/>
            <w:bottom w:w="0" w:type="dxa"/>
          </w:tblCellMar>
        </w:tblPrEx>
        <w:trPr>
          <w:trHeight w:val="300"/>
        </w:trPr>
        <w:tc>
          <w:tcPr>
            <w:tcW w:w="482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677A9A"/>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mēbeles 1 darba vietai - EUR 925</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3700</w:t>
            </w:r>
          </w:p>
        </w:tc>
      </w:tr>
      <w:tr w:rsidR="00677A9A">
        <w:tblPrEx>
          <w:tblCellMar>
            <w:top w:w="0" w:type="dxa"/>
            <w:bottom w:w="0" w:type="dxa"/>
          </w:tblCellMar>
        </w:tblPrEx>
        <w:trPr>
          <w:trHeight w:val="465"/>
        </w:trPr>
        <w:tc>
          <w:tcPr>
            <w:tcW w:w="4820"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r>
              <w:rPr>
                <w:rFonts w:ascii="Times New Roman" w:hAnsi="Times New Roman"/>
                <w:sz w:val="20"/>
                <w:szCs w:val="20"/>
              </w:rPr>
              <w:lastRenderedPageBreak/>
              <w:t>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 xml:space="preserve">Mc licences EUR 256 + Tildes birojs EUR 28 noma, </w:t>
            </w:r>
            <w:r>
              <w:rPr>
                <w:rFonts w:ascii="Times New Roman" w:hAnsi="Times New Roman"/>
                <w:sz w:val="20"/>
                <w:szCs w:val="20"/>
              </w:rPr>
              <w:t>kanc.EUR 73 = EUR 357</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1428</w:t>
            </w:r>
          </w:p>
        </w:tc>
      </w:tr>
      <w:tr w:rsidR="00677A9A">
        <w:tblPrEx>
          <w:tblCellMar>
            <w:top w:w="0" w:type="dxa"/>
            <w:bottom w:w="0" w:type="dxa"/>
          </w:tblCellMar>
        </w:tblPrEx>
        <w:trPr>
          <w:trHeight w:val="465"/>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9. Planšetdatoru iegāde (1 departamentā, 3 reģionālajās nodaļās pa 1)</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4 planšetdatoru iegāde (EUR 660 viens aparāts)</w:t>
            </w: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2640</w:t>
            </w:r>
          </w:p>
        </w:tc>
      </w:tr>
      <w:tr w:rsidR="00677A9A">
        <w:tblPrEx>
          <w:tblCellMar>
            <w:top w:w="0" w:type="dxa"/>
            <w:bottom w:w="0" w:type="dxa"/>
          </w:tblCellMar>
        </w:tblPrEx>
        <w:trPr>
          <w:trHeight w:val="318"/>
        </w:trPr>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4D291D">
            <w:r>
              <w:rPr>
                <w:rFonts w:ascii="Times New Roman" w:hAnsi="Times New Roman"/>
                <w:sz w:val="20"/>
                <w:szCs w:val="20"/>
              </w:rPr>
              <w:t>10.ĢIS licences iegāde - ArcEditor licence</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77A9A" w:rsidRDefault="00677A9A">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sz w:val="20"/>
                <w:szCs w:val="20"/>
              </w:rPr>
              <w:t>10890</w:t>
            </w:r>
          </w:p>
        </w:tc>
      </w:tr>
      <w:tr w:rsidR="00677A9A">
        <w:tblPrEx>
          <w:tblCellMar>
            <w:top w:w="0" w:type="dxa"/>
            <w:bottom w:w="0" w:type="dxa"/>
          </w:tblCellMar>
        </w:tblPrEx>
        <w:trPr>
          <w:trHeight w:val="300"/>
        </w:trPr>
        <w:tc>
          <w:tcPr>
            <w:tcW w:w="9214" w:type="dxa"/>
            <w:gridSpan w:val="3"/>
            <w:tcBorders>
              <w:top w:val="single" w:sz="4" w:space="0" w:color="000000"/>
              <w:left w:val="single" w:sz="4" w:space="0" w:color="000000"/>
              <w:bottom w:val="single" w:sz="4" w:space="0" w:color="000000"/>
              <w:right w:val="single" w:sz="4" w:space="0" w:color="000000"/>
            </w:tcBorders>
            <w:noWrap/>
            <w:tcMar>
              <w:left w:w="108" w:type="dxa"/>
              <w:right w:w="108" w:type="dxa"/>
            </w:tcMar>
          </w:tcPr>
          <w:p w:rsidR="00677A9A" w:rsidRDefault="004D291D">
            <w:pPr>
              <w:jc w:val="right"/>
            </w:pPr>
            <w:r>
              <w:rPr>
                <w:rFonts w:ascii="Times New Roman" w:hAnsi="Times New Roman"/>
                <w:b/>
                <w:szCs w:val="20"/>
              </w:rPr>
              <w:t>KOPĀ VIENREIZĒJIE IZDEVUMI: 22 638</w:t>
            </w:r>
          </w:p>
        </w:tc>
      </w:tr>
    </w:tbl>
    <w:p w:rsidR="00677A9A" w:rsidRDefault="00677A9A">
      <w:pPr>
        <w:spacing w:line="240" w:lineRule="auto"/>
        <w:jc w:val="right"/>
      </w:pPr>
    </w:p>
    <w:p w:rsidR="00677A9A" w:rsidRDefault="00677A9A"/>
    <w:p w:rsidR="00677A9A" w:rsidRDefault="004D291D">
      <w:r>
        <w:rPr>
          <w:rFonts w:ascii="Times New Roman" w:hAnsi="Times New Roman"/>
          <w:sz w:val="24"/>
          <w:szCs w:val="24"/>
        </w:rPr>
        <w:t xml:space="preserve">Vides </w:t>
      </w:r>
      <w:r>
        <w:rPr>
          <w:rFonts w:ascii="Times New Roman" w:hAnsi="Times New Roman"/>
          <w:sz w:val="24"/>
          <w:szCs w:val="24"/>
        </w:rPr>
        <w:t xml:space="preserve">aizsardzības un reģionālās </w:t>
      </w:r>
    </w:p>
    <w:p w:rsidR="00677A9A" w:rsidRDefault="004D291D">
      <w:r>
        <w:rPr>
          <w:rStyle w:val="DefaultParagraphFont0"/>
          <w:rFonts w:ascii="Times New Roman" w:hAnsi="Times New Roman"/>
          <w:sz w:val="24"/>
          <w:szCs w:val="24"/>
        </w:rPr>
        <w:t>attīstības ministrs</w:t>
      </w:r>
      <w:r>
        <w:rPr>
          <w:rStyle w:val="DefaultParagraphFont0"/>
          <w:rFonts w:ascii="Times New Roman" w:hAnsi="Times New Roman"/>
          <w:sz w:val="24"/>
          <w:szCs w:val="24"/>
        </w:rPr>
        <w:tab/>
      </w:r>
      <w:r>
        <w:rPr>
          <w:rStyle w:val="DefaultParagraphFont0"/>
          <w:rFonts w:ascii="Times New Roman" w:hAnsi="Times New Roman"/>
          <w:sz w:val="24"/>
          <w:szCs w:val="24"/>
        </w:rPr>
        <w:tab/>
      </w:r>
      <w:r>
        <w:rPr>
          <w:rStyle w:val="DefaultParagraphFont0"/>
          <w:rFonts w:ascii="Times New Roman" w:hAnsi="Times New Roman"/>
          <w:sz w:val="24"/>
          <w:szCs w:val="24"/>
        </w:rPr>
        <w:tab/>
      </w:r>
      <w:r>
        <w:rPr>
          <w:rStyle w:val="DefaultParagraphFont0"/>
          <w:rFonts w:ascii="Times New Roman" w:hAnsi="Times New Roman"/>
          <w:sz w:val="24"/>
          <w:szCs w:val="24"/>
        </w:rPr>
        <w:tab/>
      </w:r>
      <w:r>
        <w:rPr>
          <w:rStyle w:val="DefaultParagraphFont0"/>
          <w:rFonts w:ascii="Times New Roman" w:hAnsi="Times New Roman"/>
          <w:sz w:val="24"/>
          <w:szCs w:val="24"/>
        </w:rPr>
        <w:tab/>
      </w:r>
      <w:r>
        <w:rPr>
          <w:rStyle w:val="DefaultParagraphFont0"/>
          <w:rFonts w:ascii="Times New Roman" w:hAnsi="Times New Roman"/>
          <w:sz w:val="24"/>
          <w:szCs w:val="24"/>
        </w:rPr>
        <w:tab/>
      </w:r>
      <w:r>
        <w:rPr>
          <w:rStyle w:val="DefaultParagraphFont0"/>
          <w:rFonts w:ascii="Times New Roman" w:hAnsi="Times New Roman"/>
          <w:sz w:val="24"/>
          <w:szCs w:val="24"/>
        </w:rPr>
        <w:tab/>
        <w:t>K.Gerhards</w:t>
      </w:r>
    </w:p>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677A9A"/>
    <w:p w:rsidR="00677A9A" w:rsidRDefault="004D291D">
      <w:pPr>
        <w:tabs>
          <w:tab w:val="left" w:pos="1740"/>
        </w:tabs>
      </w:pPr>
      <w:r>
        <w:tab/>
      </w:r>
    </w:p>
    <w:sectPr w:rsidR="00677A9A">
      <w:headerReference w:type="default" r:id="rId6"/>
      <w:footerReference w:type="default" r:id="rId7"/>
      <w:footerReference w:type="first" r:id="rId8"/>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1D" w:rsidRDefault="004D291D">
      <w:pPr>
        <w:spacing w:after="0" w:line="240" w:lineRule="auto"/>
      </w:pPr>
      <w:r>
        <w:separator/>
      </w:r>
    </w:p>
  </w:endnote>
  <w:endnote w:type="continuationSeparator" w:id="0">
    <w:p w:rsidR="004D291D" w:rsidRDefault="004D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19" w:rsidRDefault="004D291D">
    <w:pPr>
      <w:pStyle w:val="Footer"/>
    </w:pPr>
    <w:r>
      <w:rPr>
        <w:rFonts w:ascii="Times New Roman" w:hAnsi="Times New Roman"/>
        <w:sz w:val="20"/>
      </w:rPr>
      <w:t>VARAMpiel2_10052018_invaz_sugas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19" w:rsidRDefault="004D291D">
    <w:pPr>
      <w:pStyle w:val="Footer"/>
    </w:pPr>
    <w:r>
      <w:rPr>
        <w:rFonts w:ascii="Times New Roman" w:hAnsi="Times New Roman"/>
        <w:sz w:val="20"/>
        <w:szCs w:val="20"/>
      </w:rPr>
      <w:t>VARAMpiel2_10052018_invaz_sugas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1D" w:rsidRDefault="004D291D">
      <w:pPr>
        <w:spacing w:after="0" w:line="240" w:lineRule="auto"/>
      </w:pPr>
      <w:r>
        <w:separator/>
      </w:r>
    </w:p>
  </w:footnote>
  <w:footnote w:type="continuationSeparator" w:id="0">
    <w:p w:rsidR="004D291D" w:rsidRDefault="004D2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19" w:rsidRDefault="004D291D">
    <w:pPr>
      <w:pStyle w:val="Header"/>
      <w:jc w:val="center"/>
    </w:pPr>
    <w:r>
      <w:rPr>
        <w:rStyle w:val="DefaultParagraphFont0"/>
        <w:rFonts w:ascii="Times New Roman" w:hAnsi="Times New Roman"/>
        <w:sz w:val="24"/>
        <w:szCs w:val="24"/>
      </w:rPr>
      <w:fldChar w:fldCharType="begin"/>
    </w:r>
    <w:r>
      <w:rPr>
        <w:rStyle w:val="DefaultParagraphFont0"/>
        <w:rFonts w:ascii="Times New Roman" w:hAnsi="Times New Roman"/>
        <w:sz w:val="24"/>
        <w:szCs w:val="24"/>
      </w:rPr>
      <w:instrText xml:space="preserve"> PAGE </w:instrText>
    </w:r>
    <w:r>
      <w:rPr>
        <w:rStyle w:val="DefaultParagraphFont0"/>
        <w:rFonts w:ascii="Times New Roman" w:hAnsi="Times New Roman"/>
        <w:sz w:val="24"/>
        <w:szCs w:val="24"/>
      </w:rPr>
      <w:fldChar w:fldCharType="separate"/>
    </w:r>
    <w:r w:rsidR="00314759">
      <w:rPr>
        <w:rStyle w:val="DefaultParagraphFont0"/>
        <w:rFonts w:ascii="Times New Roman" w:hAnsi="Times New Roman"/>
        <w:noProof/>
        <w:sz w:val="24"/>
        <w:szCs w:val="24"/>
      </w:rPr>
      <w:t>2</w:t>
    </w:r>
    <w:r>
      <w:rPr>
        <w:rStyle w:val="DefaultParagraphFont0"/>
        <w:rFonts w:ascii="Times New Roman" w:hAnsi="Times New Roman"/>
        <w:sz w:val="24"/>
        <w:szCs w:val="24"/>
      </w:rPr>
      <w:fldChar w:fldCharType="end"/>
    </w:r>
  </w:p>
  <w:p w:rsidR="00374A19" w:rsidRDefault="004D2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77A9A"/>
    <w:rsid w:val="00314759"/>
    <w:rsid w:val="004D291D"/>
    <w:rsid w:val="00677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D9FDE-406A-499B-98D4-12DA25E5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kern w:val="3"/>
        <w:sz w:val="24"/>
        <w:szCs w:val="24"/>
        <w:lang w:val="lv-LV" w:eastAsia="lv-LV" w:bidi="ar-SA"/>
      </w:rPr>
    </w:rPrDefault>
    <w:pPrDefault>
      <w:pPr>
        <w:overflowPunct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47"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character" w:customStyle="1" w:styleId="CommentReference">
    <w:name w:val="CommentReference"/>
    <w:basedOn w:val="DefaultParagraphFont0"/>
    <w:rPr>
      <w:sz w:val="16"/>
      <w:szCs w:val="16"/>
    </w:rPr>
  </w:style>
  <w:style w:type="paragraph" w:customStyle="1" w:styleId="CommentText">
    <w:name w:val="CommentText"/>
    <w:basedOn w:val="Normal"/>
    <w:pPr>
      <w:spacing w:line="240" w:lineRule="auto"/>
    </w:pPr>
    <w:rPr>
      <w:sz w:val="20"/>
      <w:szCs w:val="20"/>
    </w:rPr>
  </w:style>
  <w:style w:type="character" w:customStyle="1" w:styleId="CommentTextChar">
    <w:name w:val="CommentTextChar"/>
    <w:basedOn w:val="DefaultParagraphFont0"/>
    <w:rPr>
      <w:rFonts w:ascii="Calibri" w:hAnsi="Calibri"/>
      <w:sz w:val="20"/>
      <w:szCs w:val="20"/>
    </w:rPr>
  </w:style>
  <w:style w:type="paragraph" w:customStyle="1" w:styleId="BalloonText">
    <w:name w:val="BalloonText"/>
    <w:basedOn w:val="Normal"/>
    <w:pPr>
      <w:spacing w:after="0" w:line="240" w:lineRule="auto"/>
    </w:pPr>
    <w:rPr>
      <w:rFonts w:ascii="Segoe UI" w:hAnsi="Segoe UI" w:cs="Segoe UI"/>
      <w:sz w:val="18"/>
      <w:szCs w:val="18"/>
    </w:rPr>
  </w:style>
  <w:style w:type="character" w:customStyle="1" w:styleId="BalloonTextChar">
    <w:name w:val="BalloonTextChar"/>
    <w:basedOn w:val="DefaultParagraphFont0"/>
    <w:rPr>
      <w:rFonts w:ascii="Segoe UI" w:hAnsi="Segoe UI" w:cs="Segoe UI"/>
      <w:sz w:val="18"/>
      <w:szCs w:val="18"/>
    </w:rPr>
  </w:style>
  <w:style w:type="paragraph" w:styleId="Header">
    <w:name w:val="header"/>
    <w:basedOn w:val="Normal"/>
    <w:pPr>
      <w:tabs>
        <w:tab w:val="center" w:pos="4153"/>
        <w:tab w:val="right" w:pos="8306"/>
      </w:tabs>
      <w:spacing w:after="0" w:line="240" w:lineRule="auto"/>
    </w:pPr>
  </w:style>
  <w:style w:type="character" w:customStyle="1" w:styleId="HeaderChar">
    <w:name w:val="HeaderChar"/>
    <w:basedOn w:val="DefaultParagraphFont0"/>
    <w:rPr>
      <w:rFonts w:ascii="Calibri" w:hAnsi="Calibri"/>
      <w:sz w:val="22"/>
    </w:rPr>
  </w:style>
  <w:style w:type="paragraph" w:styleId="Footer">
    <w:name w:val="footer"/>
    <w:basedOn w:val="Normal"/>
    <w:pPr>
      <w:tabs>
        <w:tab w:val="center" w:pos="4153"/>
        <w:tab w:val="right" w:pos="8306"/>
      </w:tabs>
      <w:spacing w:after="0" w:line="240" w:lineRule="auto"/>
    </w:pPr>
  </w:style>
  <w:style w:type="character" w:customStyle="1" w:styleId="FooterChar">
    <w:name w:val="FooterChar"/>
    <w:basedOn w:val="DefaultParagraphFont0"/>
    <w:rPr>
      <w:rFonts w:ascii="Calibri" w:hAnsi="Calibri"/>
      <w:sz w:val="22"/>
    </w:rPr>
  </w:style>
  <w:style w:type="paragraph" w:customStyle="1" w:styleId="FootnoteText">
    <w:name w:val="FootnoteText"/>
    <w:basedOn w:val="Normal"/>
    <w:pPr>
      <w:spacing w:after="0" w:line="240" w:lineRule="auto"/>
    </w:pPr>
    <w:rPr>
      <w:sz w:val="20"/>
      <w:szCs w:val="20"/>
    </w:rPr>
  </w:style>
  <w:style w:type="character" w:customStyle="1" w:styleId="FootnoteTextChar">
    <w:name w:val="FootnoteTextChar"/>
    <w:basedOn w:val="DefaultParagraphFont0"/>
    <w:rPr>
      <w:rFonts w:ascii="Calibri" w:hAnsi="Calibri"/>
      <w:sz w:val="20"/>
      <w:szCs w:val="20"/>
    </w:rPr>
  </w:style>
  <w:style w:type="character" w:customStyle="1" w:styleId="FootnoteReference">
    <w:name w:val="FootnoteReference"/>
    <w:basedOn w:val="DefaultParagraphFont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1837</Words>
  <Characters>1048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Sabīne Bunere</dc:creator>
  <cp:lastModifiedBy>Sabīne Bunere</cp:lastModifiedBy>
  <cp:revision>2</cp:revision>
  <dcterms:created xsi:type="dcterms:W3CDTF">2018-05-17T07:06:00Z</dcterms:created>
  <dcterms:modified xsi:type="dcterms:W3CDTF">2018-05-17T07:06:00Z</dcterms:modified>
</cp:coreProperties>
</file>